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7"/>
        <w:rPr>
          <w:rFonts w:ascii="Times New Roman" w:hAnsi="Times New Roman" w:cs="Times New Roman" w:eastAsia="Times New Roman" w:hint="default"/>
          <w:sz w:val="7"/>
          <w:szCs w:val="7"/>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55pt;height:.75pt;mso-position-horizontal-relative:char;mso-position-vertical-relative:line" coordorigin="0,0" coordsize="9711,15">
            <v:group style="position:absolute;left:7;top:7;width:9696;height:2" coordorigin="7,7" coordsize="9696,2">
              <v:shape style="position:absolute;left:7;top:7;width:9696;height:2" coordorigin="7,7" coordsize="9696,0" path="m7,7l9703,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p>
      <w:pPr>
        <w:spacing w:line="3078" w:lineRule="exact"/>
        <w:ind w:left="15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1"/>
          <w:sz w:val="20"/>
          <w:szCs w:val="20"/>
        </w:rPr>
        <w:drawing>
          <wp:inline distT="0" distB="0" distL="0" distR="0">
            <wp:extent cx="6181128" cy="1954529"/>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6181128" cy="1954529"/>
                    </a:xfrm>
                    <a:prstGeom prst="rect">
                      <a:avLst/>
                    </a:prstGeom>
                  </pic:spPr>
                </pic:pic>
              </a:graphicData>
            </a:graphic>
          </wp:inline>
        </w:drawing>
      </w:r>
      <w:r>
        <w:rPr>
          <w:rFonts w:ascii="Times New Roman" w:hAnsi="Times New Roman" w:cs="Times New Roman" w:eastAsia="Times New Roman" w:hint="default"/>
          <w:position w:val="-61"/>
          <w:sz w:val="20"/>
          <w:szCs w:val="20"/>
        </w:rPr>
      </w:r>
    </w:p>
    <w:p>
      <w:pPr>
        <w:spacing w:line="240" w:lineRule="auto" w:before="3"/>
        <w:rPr>
          <w:rFonts w:ascii="Times New Roman" w:hAnsi="Times New Roman" w:cs="Times New Roman" w:eastAsia="Times New Roman" w:hint="default"/>
          <w:sz w:val="27"/>
          <w:szCs w:val="27"/>
        </w:rPr>
      </w:pPr>
    </w:p>
    <w:p>
      <w:pPr>
        <w:spacing w:line="458" w:lineRule="exact" w:before="0"/>
        <w:ind w:left="1912" w:right="1915"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2012</w:t>
      </w:r>
      <w:r>
        <w:rPr>
          <w:rFonts w:ascii="Times New Roman" w:hAnsi="Times New Roman" w:cs="Times New Roman" w:eastAsia="Times New Roman" w:hint="default"/>
          <w:b/>
          <w:bCs/>
          <w:spacing w:val="4"/>
          <w:sz w:val="32"/>
          <w:szCs w:val="32"/>
        </w:rPr>
        <w:t> </w:t>
      </w:r>
      <w:r>
        <w:rPr>
          <w:rFonts w:ascii="Microsoft JhengHei" w:hAnsi="Microsoft JhengHei" w:cs="Microsoft JhengHei" w:eastAsia="Microsoft JhengHei" w:hint="default"/>
          <w:b/>
          <w:bCs/>
          <w:sz w:val="32"/>
          <w:szCs w:val="32"/>
        </w:rPr>
        <w:t>年度报告</w:t>
      </w:r>
      <w:r>
        <w:rPr>
          <w:rFonts w:ascii="Microsoft JhengHei" w:hAnsi="Microsoft JhengHei" w:cs="Microsoft JhengHei" w:eastAsia="Microsoft JhengHei" w:hint="default"/>
          <w:sz w:val="32"/>
          <w:szCs w:val="32"/>
        </w:rPr>
      </w: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0"/>
        <w:rPr>
          <w:rFonts w:ascii="Microsoft JhengHei" w:hAnsi="Microsoft JhengHei" w:cs="Microsoft JhengHei" w:eastAsia="Microsoft JhengHei" w:hint="default"/>
          <w:b/>
          <w:bCs/>
          <w:sz w:val="34"/>
          <w:szCs w:val="34"/>
        </w:rPr>
      </w:pPr>
    </w:p>
    <w:p>
      <w:pPr>
        <w:spacing w:line="240" w:lineRule="auto" w:before="12"/>
        <w:rPr>
          <w:rFonts w:ascii="Microsoft JhengHei" w:hAnsi="Microsoft JhengHei" w:cs="Microsoft JhengHei" w:eastAsia="Microsoft JhengHei" w:hint="default"/>
          <w:b/>
          <w:bCs/>
          <w:sz w:val="50"/>
          <w:szCs w:val="50"/>
        </w:rPr>
      </w:pPr>
    </w:p>
    <w:p>
      <w:pPr>
        <w:spacing w:before="0"/>
        <w:ind w:left="1912" w:right="1915" w:firstLine="0"/>
        <w:jc w:val="center"/>
        <w:rPr>
          <w:rFonts w:ascii="Microsoft JhengHei" w:hAnsi="Microsoft JhengHei" w:cs="Microsoft JhengHei" w:eastAsia="Microsoft JhengHei" w:hint="default"/>
          <w:sz w:val="32"/>
          <w:szCs w:val="32"/>
        </w:rPr>
      </w:pPr>
      <w:r>
        <w:rPr>
          <w:rFonts w:ascii="Times New Roman" w:hAnsi="Times New Roman" w:cs="Times New Roman" w:eastAsia="Times New Roman" w:hint="default"/>
          <w:b/>
          <w:bCs/>
          <w:sz w:val="32"/>
          <w:szCs w:val="32"/>
        </w:rPr>
        <w:t>2013 </w:t>
      </w:r>
      <w:r>
        <w:rPr>
          <w:rFonts w:ascii="Microsoft JhengHei" w:hAnsi="Microsoft JhengHei" w:cs="Microsoft JhengHei" w:eastAsia="Microsoft JhengHei" w:hint="default"/>
          <w:b/>
          <w:bCs/>
          <w:sz w:val="32"/>
          <w:szCs w:val="32"/>
        </w:rPr>
        <w:t>年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1"/>
          <w:sz w:val="32"/>
          <w:szCs w:val="32"/>
        </w:rPr>
        <w:t> </w:t>
      </w:r>
      <w:r>
        <w:rPr>
          <w:rFonts w:ascii="Microsoft JhengHei" w:hAnsi="Microsoft JhengHei" w:cs="Microsoft JhengHei" w:eastAsia="Microsoft JhengHei" w:hint="default"/>
          <w:b/>
          <w:bCs/>
          <w:sz w:val="32"/>
          <w:szCs w:val="32"/>
        </w:rPr>
        <w:t>月</w:t>
      </w:r>
      <w:r>
        <w:rPr>
          <w:rFonts w:ascii="Microsoft JhengHei" w:hAnsi="Microsoft JhengHei" w:cs="Microsoft JhengHei" w:eastAsia="Microsoft JhengHei" w:hint="default"/>
          <w:sz w:val="32"/>
          <w:szCs w:val="32"/>
        </w:rPr>
      </w:r>
    </w:p>
    <w:p>
      <w:pPr>
        <w:spacing w:after="0"/>
        <w:jc w:val="center"/>
        <w:rPr>
          <w:rFonts w:ascii="Microsoft JhengHei" w:hAnsi="Microsoft JhengHei" w:cs="Microsoft JhengHei" w:eastAsia="Microsoft JhengHei" w:hint="default"/>
          <w:sz w:val="32"/>
          <w:szCs w:val="32"/>
        </w:rPr>
        <w:sectPr>
          <w:type w:val="continuous"/>
          <w:pgSz w:w="11900" w:h="16840"/>
          <w:pgMar w:top="860" w:bottom="280" w:left="980" w:right="980"/>
        </w:sectPr>
      </w:pPr>
    </w:p>
    <w:p>
      <w:pPr>
        <w:spacing w:line="240" w:lineRule="auto" w:before="15"/>
        <w:rPr>
          <w:rFonts w:ascii="Microsoft JhengHei" w:hAnsi="Microsoft JhengHei" w:cs="Microsoft JhengHei" w:eastAsia="Microsoft JhengHei" w:hint="default"/>
          <w:b/>
          <w:bCs/>
          <w:sz w:val="28"/>
          <w:szCs w:val="28"/>
        </w:rPr>
      </w:pPr>
    </w:p>
    <w:p>
      <w:pPr>
        <w:pStyle w:val="Heading1"/>
        <w:spacing w:line="458" w:lineRule="exact"/>
        <w:ind w:left="3282" w:right="0"/>
        <w:jc w:val="left"/>
        <w:rPr>
          <w:b w:val="0"/>
          <w:bCs w:val="0"/>
        </w:rPr>
      </w:pPr>
      <w:bookmarkStart w:name="_TOC_250010" w:id="1"/>
      <w:r>
        <w:rPr/>
        <w:t>第一节 </w:t>
      </w:r>
      <w:r>
        <w:rPr>
          <w:spacing w:val="13"/>
        </w:rPr>
        <w:t> </w:t>
      </w:r>
      <w:r>
        <w:rPr/>
        <w:t>重要提示、目录</w:t>
      </w:r>
      <w:bookmarkEnd w:id="1"/>
      <w:r>
        <w:rPr>
          <w:b w:val="0"/>
          <w:bCs w:val="0"/>
        </w:rPr>
      </w:r>
    </w:p>
    <w:p>
      <w:pPr>
        <w:spacing w:line="240" w:lineRule="auto" w:before="17"/>
        <w:rPr>
          <w:rFonts w:ascii="Microsoft JhengHei" w:hAnsi="Microsoft JhengHei" w:cs="Microsoft JhengHei" w:eastAsia="Microsoft JhengHei" w:hint="default"/>
          <w:b/>
          <w:bCs/>
          <w:sz w:val="22"/>
          <w:szCs w:val="22"/>
        </w:rPr>
      </w:pPr>
    </w:p>
    <w:p>
      <w:pPr>
        <w:spacing w:line="268" w:lineRule="auto" w:before="0"/>
        <w:ind w:left="152" w:right="247" w:firstLine="561"/>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4"/>
          <w:w w:val="95"/>
          <w:sz w:val="28"/>
          <w:szCs w:val="28"/>
        </w:rPr>
        <w:t>本公司董事会、监事会及董事、监事、高级管理人员保证本报告所载资料</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4"/>
          <w:w w:val="95"/>
          <w:sz w:val="28"/>
          <w:szCs w:val="28"/>
        </w:rPr>
        <w:t>不存在任何虚假记载、误导性陈述或者重大遗漏，并对其内容的真实性、准确</w:t>
      </w:r>
      <w:r>
        <w:rPr>
          <w:rFonts w:ascii="Microsoft JhengHei" w:hAnsi="Microsoft JhengHei" w:cs="Microsoft JhengHei" w:eastAsia="Microsoft JhengHei" w:hint="default"/>
          <w:b/>
          <w:bCs/>
          <w:spacing w:val="15"/>
          <w:w w:val="95"/>
          <w:sz w:val="28"/>
          <w:szCs w:val="28"/>
        </w:rPr>
        <w:t> </w:t>
      </w:r>
      <w:r>
        <w:rPr>
          <w:rFonts w:ascii="Microsoft JhengHei" w:hAnsi="Microsoft JhengHei" w:cs="Microsoft JhengHei" w:eastAsia="Microsoft JhengHei" w:hint="default"/>
          <w:b/>
          <w:bCs/>
          <w:spacing w:val="15"/>
          <w:w w:val="95"/>
          <w:sz w:val="28"/>
          <w:szCs w:val="28"/>
        </w:rPr>
      </w:r>
      <w:r>
        <w:rPr>
          <w:rFonts w:ascii="Microsoft JhengHei" w:hAnsi="Microsoft JhengHei" w:cs="Microsoft JhengHei" w:eastAsia="Microsoft JhengHei" w:hint="default"/>
          <w:b/>
          <w:bCs/>
          <w:spacing w:val="2"/>
          <w:sz w:val="28"/>
          <w:szCs w:val="28"/>
        </w:rPr>
        <w:t>性和完整性承担个别及连带责任。</w:t>
      </w:r>
      <w:r>
        <w:rPr>
          <w:rFonts w:ascii="Microsoft JhengHei" w:hAnsi="Microsoft JhengHei" w:cs="Microsoft JhengHei" w:eastAsia="Microsoft JhengHei" w:hint="default"/>
          <w:spacing w:val="2"/>
          <w:sz w:val="28"/>
          <w:szCs w:val="28"/>
        </w:rPr>
      </w:r>
    </w:p>
    <w:p>
      <w:pPr>
        <w:spacing w:line="268" w:lineRule="auto" w:before="111"/>
        <w:ind w:left="152" w:right="0" w:firstLine="561"/>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w w:val="95"/>
          <w:sz w:val="28"/>
          <w:szCs w:val="28"/>
        </w:rPr>
        <w:t>公司董事长陈泰泉、财务总监钟民声明：保证年度报告中财务报告的真实、</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2"/>
          <w:sz w:val="28"/>
          <w:szCs w:val="28"/>
        </w:rPr>
        <w:t>准确、完整。</w:t>
      </w:r>
      <w:r>
        <w:rPr>
          <w:rFonts w:ascii="Microsoft JhengHei" w:hAnsi="Microsoft JhengHei" w:cs="Microsoft JhengHei" w:eastAsia="Microsoft JhengHei" w:hint="default"/>
          <w:spacing w:val="2"/>
          <w:sz w:val="28"/>
          <w:szCs w:val="28"/>
        </w:rPr>
      </w:r>
    </w:p>
    <w:p>
      <w:pPr>
        <w:spacing w:line="268" w:lineRule="auto" w:before="111"/>
        <w:ind w:left="152" w:right="247" w:firstLine="561"/>
        <w:jc w:val="both"/>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4"/>
          <w:w w:val="95"/>
          <w:sz w:val="28"/>
          <w:szCs w:val="28"/>
        </w:rPr>
        <w:t>除独立董事徐志新全权授权独立董事陈伟强行使表决权外，其余董事均出</w:t>
      </w:r>
      <w:r>
        <w:rPr>
          <w:rFonts w:ascii="Microsoft JhengHei" w:hAnsi="Microsoft JhengHei" w:cs="Microsoft JhengHei" w:eastAsia="Microsoft JhengHei" w:hint="default"/>
          <w:b/>
          <w:bCs/>
          <w:w w:val="99"/>
          <w:sz w:val="28"/>
          <w:szCs w:val="28"/>
        </w:rPr>
        <w:t> </w:t>
      </w:r>
      <w:r>
        <w:rPr>
          <w:rFonts w:ascii="Microsoft JhengHei" w:hAnsi="Microsoft JhengHei" w:cs="Microsoft JhengHei" w:eastAsia="Microsoft JhengHei" w:hint="default"/>
          <w:b/>
          <w:bCs/>
          <w:spacing w:val="2"/>
          <w:sz w:val="28"/>
          <w:szCs w:val="28"/>
        </w:rPr>
        <w:t>席了审议本次年度报告的董事会会议。</w:t>
      </w:r>
      <w:r>
        <w:rPr>
          <w:rFonts w:ascii="Microsoft JhengHei" w:hAnsi="Microsoft JhengHei" w:cs="Microsoft JhengHei" w:eastAsia="Microsoft JhengHei" w:hint="default"/>
          <w:spacing w:val="2"/>
          <w:sz w:val="28"/>
          <w:szCs w:val="28"/>
        </w:rPr>
      </w:r>
    </w:p>
    <w:p>
      <w:pPr>
        <w:spacing w:before="111"/>
        <w:ind w:left="714"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公司经本次董事会审议通过的利润分配预案为：拟以 </w:t>
      </w:r>
      <w:r>
        <w:rPr>
          <w:rFonts w:ascii="Times New Roman" w:hAnsi="Times New Roman" w:cs="Times New Roman" w:eastAsia="Times New Roman" w:hint="default"/>
          <w:b/>
          <w:bCs/>
          <w:sz w:val="28"/>
          <w:szCs w:val="28"/>
        </w:rPr>
        <w:t>2012 </w:t>
      </w:r>
      <w:r>
        <w:rPr>
          <w:rFonts w:ascii="Microsoft JhengHei" w:hAnsi="Microsoft JhengHei" w:cs="Microsoft JhengHei" w:eastAsia="Microsoft JhengHei" w:hint="default"/>
          <w:b/>
          <w:bCs/>
          <w:sz w:val="28"/>
          <w:szCs w:val="28"/>
        </w:rPr>
        <w:t>年 </w:t>
      </w:r>
      <w:r>
        <w:rPr>
          <w:rFonts w:ascii="Times New Roman" w:hAnsi="Times New Roman" w:cs="Times New Roman" w:eastAsia="Times New Roman" w:hint="default"/>
          <w:b/>
          <w:bCs/>
          <w:sz w:val="28"/>
          <w:szCs w:val="28"/>
        </w:rPr>
        <w:t>12 </w:t>
      </w:r>
      <w:r>
        <w:rPr>
          <w:rFonts w:ascii="Microsoft JhengHei" w:hAnsi="Microsoft JhengHei" w:cs="Microsoft JhengHei" w:eastAsia="Microsoft JhengHei" w:hint="default"/>
          <w:b/>
          <w:bCs/>
          <w:sz w:val="28"/>
          <w:szCs w:val="28"/>
        </w:rPr>
        <w:t>月 </w:t>
      </w:r>
      <w:r>
        <w:rPr>
          <w:rFonts w:ascii="Times New Roman" w:hAnsi="Times New Roman" w:cs="Times New Roman" w:eastAsia="Times New Roman" w:hint="default"/>
          <w:b/>
          <w:bCs/>
          <w:sz w:val="28"/>
          <w:szCs w:val="28"/>
        </w:rPr>
        <w:t>31</w:t>
      </w:r>
      <w:r>
        <w:rPr>
          <w:rFonts w:ascii="Times New Roman" w:hAnsi="Times New Roman" w:cs="Times New Roman" w:eastAsia="Times New Roman" w:hint="default"/>
          <w:b/>
          <w:bCs/>
          <w:spacing w:val="-41"/>
          <w:sz w:val="28"/>
          <w:szCs w:val="28"/>
        </w:rPr>
        <w:t> </w:t>
      </w:r>
      <w:r>
        <w:rPr>
          <w:rFonts w:ascii="Microsoft JhengHei" w:hAnsi="Microsoft JhengHei" w:cs="Microsoft JhengHei" w:eastAsia="Microsoft JhengHei" w:hint="default"/>
          <w:b/>
          <w:bCs/>
          <w:sz w:val="28"/>
          <w:szCs w:val="28"/>
        </w:rPr>
        <w:t>日的</w:t>
      </w:r>
      <w:r>
        <w:rPr>
          <w:rFonts w:ascii="Microsoft JhengHei" w:hAnsi="Microsoft JhengHei" w:cs="Microsoft JhengHei" w:eastAsia="Microsoft JhengHei" w:hint="default"/>
          <w:sz w:val="28"/>
          <w:szCs w:val="28"/>
        </w:rPr>
      </w:r>
    </w:p>
    <w:p>
      <w:pPr>
        <w:spacing w:before="60"/>
        <w:ind w:left="152" w:right="0" w:firstLine="0"/>
        <w:jc w:val="left"/>
        <w:rPr>
          <w:rFonts w:ascii="Times New Roman" w:hAnsi="Times New Roman" w:cs="Times New Roman" w:eastAsia="Times New Roman" w:hint="default"/>
          <w:sz w:val="28"/>
          <w:szCs w:val="28"/>
        </w:rPr>
      </w:pPr>
      <w:r>
        <w:rPr>
          <w:rFonts w:ascii="Microsoft JhengHei" w:hAnsi="Microsoft JhengHei" w:cs="Microsoft JhengHei" w:eastAsia="Microsoft JhengHei" w:hint="default"/>
          <w:b/>
          <w:bCs/>
          <w:spacing w:val="4"/>
          <w:w w:val="99"/>
          <w:sz w:val="28"/>
          <w:szCs w:val="28"/>
        </w:rPr>
        <w:t>公司</w:t>
      </w:r>
      <w:r>
        <w:rPr>
          <w:rFonts w:ascii="Microsoft JhengHei" w:hAnsi="Microsoft JhengHei" w:cs="Microsoft JhengHei" w:eastAsia="Microsoft JhengHei" w:hint="default"/>
          <w:b/>
          <w:bCs/>
          <w:w w:val="99"/>
          <w:sz w:val="28"/>
          <w:szCs w:val="28"/>
        </w:rPr>
        <w:t>总</w:t>
      </w:r>
      <w:r>
        <w:rPr>
          <w:rFonts w:ascii="Microsoft JhengHei" w:hAnsi="Microsoft JhengHei" w:cs="Microsoft JhengHei" w:eastAsia="Microsoft JhengHei" w:hint="default"/>
          <w:b/>
          <w:bCs/>
          <w:spacing w:val="4"/>
          <w:w w:val="99"/>
          <w:sz w:val="28"/>
          <w:szCs w:val="28"/>
        </w:rPr>
        <w:t>股</w:t>
      </w:r>
      <w:r>
        <w:rPr>
          <w:rFonts w:ascii="Microsoft JhengHei" w:hAnsi="Microsoft JhengHei" w:cs="Microsoft JhengHei" w:eastAsia="Microsoft JhengHei" w:hint="default"/>
          <w:b/>
          <w:bCs/>
          <w:w w:val="99"/>
          <w:sz w:val="28"/>
          <w:szCs w:val="28"/>
        </w:rPr>
        <w:t>本</w:t>
      </w:r>
      <w:r>
        <w:rPr>
          <w:rFonts w:ascii="Microsoft JhengHei" w:hAnsi="Microsoft JhengHei" w:cs="Microsoft JhengHei" w:eastAsia="Microsoft JhengHei" w:hint="default"/>
          <w:b/>
          <w:bCs/>
          <w:spacing w:val="4"/>
          <w:w w:val="99"/>
          <w:sz w:val="28"/>
          <w:szCs w:val="28"/>
        </w:rPr>
        <w:t>为</w:t>
      </w:r>
      <w:r>
        <w:rPr>
          <w:rFonts w:ascii="Microsoft JhengHei" w:hAnsi="Microsoft JhengHei" w:cs="Microsoft JhengHei" w:eastAsia="Microsoft JhengHei" w:hint="default"/>
          <w:b/>
          <w:bCs/>
          <w:w w:val="99"/>
          <w:sz w:val="28"/>
          <w:szCs w:val="28"/>
        </w:rPr>
        <w:t>基</w:t>
      </w:r>
      <w:r>
        <w:rPr>
          <w:rFonts w:ascii="Microsoft JhengHei" w:hAnsi="Microsoft JhengHei" w:cs="Microsoft JhengHei" w:eastAsia="Microsoft JhengHei" w:hint="default"/>
          <w:b/>
          <w:bCs/>
          <w:spacing w:val="5"/>
          <w:w w:val="99"/>
          <w:sz w:val="28"/>
          <w:szCs w:val="28"/>
        </w:rPr>
        <w:t>数</w:t>
      </w:r>
      <w:r>
        <w:rPr>
          <w:rFonts w:ascii="Microsoft JhengHei" w:hAnsi="Microsoft JhengHei" w:cs="Microsoft JhengHei" w:eastAsia="Microsoft JhengHei" w:hint="default"/>
          <w:b/>
          <w:bCs/>
          <w:spacing w:val="-15"/>
          <w:w w:val="99"/>
          <w:sz w:val="28"/>
          <w:szCs w:val="28"/>
        </w:rPr>
        <w:t>，</w:t>
      </w:r>
      <w:r>
        <w:rPr>
          <w:rFonts w:ascii="Microsoft JhengHei" w:hAnsi="Microsoft JhengHei" w:cs="Microsoft JhengHei" w:eastAsia="Microsoft JhengHei" w:hint="default"/>
          <w:b/>
          <w:bCs/>
          <w:w w:val="99"/>
          <w:sz w:val="28"/>
          <w:szCs w:val="28"/>
        </w:rPr>
        <w:t>向</w:t>
      </w:r>
      <w:r>
        <w:rPr>
          <w:rFonts w:ascii="Microsoft JhengHei" w:hAnsi="Microsoft JhengHei" w:cs="Microsoft JhengHei" w:eastAsia="Microsoft JhengHei" w:hint="default"/>
          <w:b/>
          <w:bCs/>
          <w:spacing w:val="4"/>
          <w:w w:val="99"/>
          <w:sz w:val="28"/>
          <w:szCs w:val="28"/>
        </w:rPr>
        <w:t>全</w:t>
      </w:r>
      <w:r>
        <w:rPr>
          <w:rFonts w:ascii="Microsoft JhengHei" w:hAnsi="Microsoft JhengHei" w:cs="Microsoft JhengHei" w:eastAsia="Microsoft JhengHei" w:hint="default"/>
          <w:b/>
          <w:bCs/>
          <w:w w:val="99"/>
          <w:sz w:val="28"/>
          <w:szCs w:val="28"/>
        </w:rPr>
        <w:t>体</w:t>
      </w:r>
      <w:r>
        <w:rPr>
          <w:rFonts w:ascii="Microsoft JhengHei" w:hAnsi="Microsoft JhengHei" w:cs="Microsoft JhengHei" w:eastAsia="Microsoft JhengHei" w:hint="default"/>
          <w:b/>
          <w:bCs/>
          <w:spacing w:val="4"/>
          <w:w w:val="99"/>
          <w:sz w:val="28"/>
          <w:szCs w:val="28"/>
        </w:rPr>
        <w:t>股</w:t>
      </w:r>
      <w:r>
        <w:rPr>
          <w:rFonts w:ascii="Microsoft JhengHei" w:hAnsi="Microsoft JhengHei" w:cs="Microsoft JhengHei" w:eastAsia="Microsoft JhengHei" w:hint="default"/>
          <w:b/>
          <w:bCs/>
          <w:w w:val="99"/>
          <w:sz w:val="28"/>
          <w:szCs w:val="28"/>
        </w:rPr>
        <w:t>东每</w:t>
      </w:r>
      <w:r>
        <w:rPr>
          <w:rFonts w:ascii="Microsoft JhengHei" w:hAnsi="Microsoft JhengHei" w:cs="Microsoft JhengHei" w:eastAsia="Microsoft JhengHei" w:hint="default"/>
          <w:b/>
          <w:bCs/>
          <w:spacing w:val="7"/>
          <w:sz w:val="28"/>
          <w:szCs w:val="28"/>
        </w:rPr>
        <w:t> </w:t>
      </w:r>
      <w:r>
        <w:rPr>
          <w:rFonts w:ascii="Times New Roman" w:hAnsi="Times New Roman" w:cs="Times New Roman" w:eastAsia="Times New Roman" w:hint="default"/>
          <w:b/>
          <w:bCs/>
          <w:w w:val="99"/>
          <w:sz w:val="28"/>
          <w:szCs w:val="28"/>
        </w:rPr>
        <w:t>10</w:t>
      </w:r>
      <w:r>
        <w:rPr>
          <w:rFonts w:ascii="Times New Roman" w:hAnsi="Times New Roman" w:cs="Times New Roman" w:eastAsia="Times New Roman" w:hint="default"/>
          <w:b/>
          <w:bCs/>
          <w:spacing w:val="-3"/>
          <w:sz w:val="28"/>
          <w:szCs w:val="28"/>
        </w:rPr>
        <w:t> </w:t>
      </w:r>
      <w:r>
        <w:rPr>
          <w:rFonts w:ascii="Microsoft JhengHei" w:hAnsi="Microsoft JhengHei" w:cs="Microsoft JhengHei" w:eastAsia="Microsoft JhengHei" w:hint="default"/>
          <w:b/>
          <w:bCs/>
          <w:w w:val="99"/>
          <w:sz w:val="28"/>
          <w:szCs w:val="28"/>
        </w:rPr>
        <w:t>股</w:t>
      </w:r>
      <w:r>
        <w:rPr>
          <w:rFonts w:ascii="Microsoft JhengHei" w:hAnsi="Microsoft JhengHei" w:cs="Microsoft JhengHei" w:eastAsia="Microsoft JhengHei" w:hint="default"/>
          <w:b/>
          <w:bCs/>
          <w:spacing w:val="4"/>
          <w:w w:val="99"/>
          <w:sz w:val="28"/>
          <w:szCs w:val="28"/>
        </w:rPr>
        <w:t>派发</w:t>
      </w:r>
      <w:r>
        <w:rPr>
          <w:rFonts w:ascii="Microsoft JhengHei" w:hAnsi="Microsoft JhengHei" w:cs="Microsoft JhengHei" w:eastAsia="Microsoft JhengHei" w:hint="default"/>
          <w:b/>
          <w:bCs/>
          <w:w w:val="99"/>
          <w:sz w:val="28"/>
          <w:szCs w:val="28"/>
        </w:rPr>
        <w:t>现</w:t>
      </w:r>
      <w:r>
        <w:rPr>
          <w:rFonts w:ascii="Microsoft JhengHei" w:hAnsi="Microsoft JhengHei" w:cs="Microsoft JhengHei" w:eastAsia="Microsoft JhengHei" w:hint="default"/>
          <w:b/>
          <w:bCs/>
          <w:spacing w:val="4"/>
          <w:w w:val="99"/>
          <w:sz w:val="28"/>
          <w:szCs w:val="28"/>
        </w:rPr>
        <w:t>金</w:t>
      </w:r>
      <w:r>
        <w:rPr>
          <w:rFonts w:ascii="Microsoft JhengHei" w:hAnsi="Microsoft JhengHei" w:cs="Microsoft JhengHei" w:eastAsia="Microsoft JhengHei" w:hint="default"/>
          <w:b/>
          <w:bCs/>
          <w:w w:val="99"/>
          <w:sz w:val="28"/>
          <w:szCs w:val="28"/>
        </w:rPr>
        <w:t>红利</w:t>
      </w:r>
      <w:r>
        <w:rPr>
          <w:rFonts w:ascii="Microsoft JhengHei" w:hAnsi="Microsoft JhengHei" w:cs="Microsoft JhengHei" w:eastAsia="Microsoft JhengHei" w:hint="default"/>
          <w:b/>
          <w:bCs/>
          <w:spacing w:val="7"/>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pacing w:val="-3"/>
          <w:w w:val="99"/>
          <w:sz w:val="28"/>
          <w:szCs w:val="28"/>
        </w:rPr>
        <w:t>.</w:t>
      </w:r>
      <w:r>
        <w:rPr>
          <w:rFonts w:ascii="Times New Roman" w:hAnsi="Times New Roman" w:cs="Times New Roman" w:eastAsia="Times New Roman" w:hint="default"/>
          <w:b/>
          <w:bCs/>
          <w:w w:val="99"/>
          <w:sz w:val="28"/>
          <w:szCs w:val="28"/>
        </w:rPr>
        <w:t>4</w:t>
      </w:r>
      <w:r>
        <w:rPr>
          <w:rFonts w:ascii="Times New Roman" w:hAnsi="Times New Roman" w:cs="Times New Roman" w:eastAsia="Times New Roman" w:hint="default"/>
          <w:b/>
          <w:bCs/>
          <w:spacing w:val="1"/>
          <w:sz w:val="28"/>
          <w:szCs w:val="28"/>
        </w:rPr>
        <w:t> </w:t>
      </w:r>
      <w:r>
        <w:rPr>
          <w:rFonts w:ascii="Microsoft JhengHei" w:hAnsi="Microsoft JhengHei" w:cs="Microsoft JhengHei" w:eastAsia="Microsoft JhengHei" w:hint="default"/>
          <w:b/>
          <w:bCs/>
          <w:spacing w:val="-15"/>
          <w:w w:val="99"/>
          <w:sz w:val="28"/>
          <w:szCs w:val="28"/>
        </w:rPr>
        <w:t>元</w:t>
      </w:r>
      <w:r>
        <w:rPr>
          <w:rFonts w:ascii="Microsoft JhengHei" w:hAnsi="Microsoft JhengHei" w:cs="Microsoft JhengHei" w:eastAsia="Microsoft JhengHei" w:hint="default"/>
          <w:b/>
          <w:bCs/>
          <w:w w:val="99"/>
          <w:sz w:val="28"/>
          <w:szCs w:val="28"/>
        </w:rPr>
        <w:t>（</w:t>
      </w:r>
      <w:r>
        <w:rPr>
          <w:rFonts w:ascii="Microsoft JhengHei" w:hAnsi="Microsoft JhengHei" w:cs="Microsoft JhengHei" w:eastAsia="Microsoft JhengHei" w:hint="default"/>
          <w:b/>
          <w:bCs/>
          <w:spacing w:val="4"/>
          <w:w w:val="99"/>
          <w:sz w:val="28"/>
          <w:szCs w:val="28"/>
        </w:rPr>
        <w:t>含</w:t>
      </w:r>
      <w:r>
        <w:rPr>
          <w:rFonts w:ascii="Microsoft JhengHei" w:hAnsi="Microsoft JhengHei" w:cs="Microsoft JhengHei" w:eastAsia="Microsoft JhengHei" w:hint="default"/>
          <w:b/>
          <w:bCs/>
          <w:w w:val="99"/>
          <w:sz w:val="28"/>
          <w:szCs w:val="28"/>
        </w:rPr>
        <w:t>税</w:t>
      </w:r>
      <w:r>
        <w:rPr>
          <w:rFonts w:ascii="Microsoft JhengHei" w:hAnsi="Microsoft JhengHei" w:cs="Microsoft JhengHei" w:eastAsia="Microsoft JhengHei" w:hint="default"/>
          <w:b/>
          <w:bCs/>
          <w:spacing w:val="-135"/>
          <w:w w:val="99"/>
          <w:sz w:val="28"/>
          <w:szCs w:val="28"/>
        </w:rPr>
        <w:t>）</w:t>
      </w:r>
      <w:r>
        <w:rPr>
          <w:rFonts w:ascii="Microsoft JhengHei" w:hAnsi="Microsoft JhengHei" w:cs="Microsoft JhengHei" w:eastAsia="Microsoft JhengHei" w:hint="default"/>
          <w:b/>
          <w:bCs/>
          <w:spacing w:val="-20"/>
          <w:w w:val="99"/>
          <w:sz w:val="28"/>
          <w:szCs w:val="28"/>
        </w:rPr>
        <w:t>，</w:t>
      </w:r>
      <w:r>
        <w:rPr>
          <w:rFonts w:ascii="Microsoft JhengHei" w:hAnsi="Microsoft JhengHei" w:cs="Microsoft JhengHei" w:eastAsia="Microsoft JhengHei" w:hint="default"/>
          <w:b/>
          <w:bCs/>
          <w:spacing w:val="4"/>
          <w:w w:val="99"/>
          <w:sz w:val="28"/>
          <w:szCs w:val="28"/>
        </w:rPr>
        <w:t>送</w:t>
      </w:r>
      <w:r>
        <w:rPr>
          <w:rFonts w:ascii="Microsoft JhengHei" w:hAnsi="Microsoft JhengHei" w:cs="Microsoft JhengHei" w:eastAsia="Microsoft JhengHei" w:hint="default"/>
          <w:b/>
          <w:bCs/>
          <w:w w:val="99"/>
          <w:sz w:val="28"/>
          <w:szCs w:val="28"/>
        </w:rPr>
        <w:t>红股</w:t>
      </w:r>
      <w:r>
        <w:rPr>
          <w:rFonts w:ascii="Microsoft JhengHei" w:hAnsi="Microsoft JhengHei" w:cs="Microsoft JhengHei" w:eastAsia="Microsoft JhengHei" w:hint="default"/>
          <w:b/>
          <w:bCs/>
          <w:spacing w:val="7"/>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sz w:val="28"/>
          <w:szCs w:val="28"/>
        </w:rPr>
      </w:r>
    </w:p>
    <w:p>
      <w:pPr>
        <w:spacing w:before="55"/>
        <w:ind w:left="152" w:right="0"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pacing w:val="2"/>
          <w:sz w:val="28"/>
          <w:szCs w:val="28"/>
        </w:rPr>
        <w:t>股，不以公积金转增股本。本预案尚需提交公司 </w:t>
      </w:r>
      <w:r>
        <w:rPr>
          <w:rFonts w:ascii="Times New Roman" w:hAnsi="Times New Roman" w:cs="Times New Roman" w:eastAsia="Times New Roman" w:hint="default"/>
          <w:b/>
          <w:bCs/>
          <w:sz w:val="28"/>
          <w:szCs w:val="28"/>
        </w:rPr>
        <w:t>2012</w:t>
      </w:r>
      <w:r>
        <w:rPr>
          <w:rFonts w:ascii="Times New Roman" w:hAnsi="Times New Roman" w:cs="Times New Roman" w:eastAsia="Times New Roman" w:hint="default"/>
          <w:b/>
          <w:bCs/>
          <w:spacing w:val="-28"/>
          <w:sz w:val="28"/>
          <w:szCs w:val="28"/>
        </w:rPr>
        <w:t> </w:t>
      </w:r>
      <w:r>
        <w:rPr>
          <w:rFonts w:ascii="Microsoft JhengHei" w:hAnsi="Microsoft JhengHei" w:cs="Microsoft JhengHei" w:eastAsia="Microsoft JhengHei" w:hint="default"/>
          <w:b/>
          <w:bCs/>
          <w:sz w:val="28"/>
          <w:szCs w:val="28"/>
        </w:rPr>
        <w:t>年度股东大会审议。</w:t>
      </w:r>
      <w:r>
        <w:rPr>
          <w:rFonts w:ascii="Microsoft JhengHei" w:hAnsi="Microsoft JhengHei" w:cs="Microsoft JhengHei" w:eastAsia="Microsoft JhengHei" w:hint="default"/>
          <w:sz w:val="28"/>
          <w:szCs w:val="28"/>
        </w:rPr>
      </w:r>
    </w:p>
    <w:p>
      <w:pPr>
        <w:spacing w:after="0"/>
        <w:jc w:val="left"/>
        <w:rPr>
          <w:rFonts w:ascii="Microsoft JhengHei" w:hAnsi="Microsoft JhengHei" w:cs="Microsoft JhengHei" w:eastAsia="Microsoft JhengHei" w:hint="default"/>
          <w:sz w:val="28"/>
          <w:szCs w:val="28"/>
        </w:rPr>
        <w:sectPr>
          <w:headerReference w:type="default" r:id="rId6"/>
          <w:footerReference w:type="default" r:id="rId7"/>
          <w:pgSz w:w="11900" w:h="16840"/>
          <w:pgMar w:header="872" w:footer="984" w:top="1120" w:bottom="1180" w:left="980" w:right="8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3"/>
        <w:rPr>
          <w:rFonts w:ascii="Microsoft JhengHei" w:hAnsi="Microsoft JhengHei" w:cs="Microsoft JhengHei" w:eastAsia="Microsoft JhengHei" w:hint="default"/>
          <w:b/>
          <w:bCs/>
          <w:sz w:val="10"/>
          <w:szCs w:val="10"/>
        </w:rPr>
      </w:pPr>
    </w:p>
    <w:p>
      <w:pPr>
        <w:spacing w:line="591" w:lineRule="exact" w:before="0"/>
        <w:ind w:left="1918" w:right="1915" w:firstLine="0"/>
        <w:jc w:val="center"/>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sz w:val="44"/>
          <w:szCs w:val="44"/>
        </w:rPr>
        <w:t>目录</w:t>
      </w:r>
      <w:r>
        <w:rPr>
          <w:rFonts w:ascii="Microsoft JhengHei" w:hAnsi="Microsoft JhengHei" w:cs="Microsoft JhengHei" w:eastAsia="Microsoft JhengHei" w:hint="default"/>
          <w:sz w:val="44"/>
          <w:szCs w:val="44"/>
        </w:rPr>
      </w:r>
    </w:p>
    <w:p>
      <w:pPr>
        <w:spacing w:line="240" w:lineRule="auto" w:before="0"/>
        <w:rPr>
          <w:rFonts w:ascii="Microsoft JhengHei" w:hAnsi="Microsoft JhengHei" w:cs="Microsoft JhengHei" w:eastAsia="Microsoft JhengHei" w:hint="default"/>
          <w:b/>
          <w:bCs/>
          <w:sz w:val="44"/>
          <w:szCs w:val="44"/>
        </w:rPr>
      </w:pPr>
    </w:p>
    <w:p>
      <w:pPr>
        <w:spacing w:line="240" w:lineRule="auto" w:before="11"/>
        <w:rPr>
          <w:rFonts w:ascii="Microsoft JhengHei" w:hAnsi="Microsoft JhengHei" w:cs="Microsoft JhengHei" w:eastAsia="Microsoft JhengHei" w:hint="default"/>
          <w:b/>
          <w:bCs/>
          <w:sz w:val="29"/>
          <w:szCs w:val="29"/>
        </w:rPr>
      </w:pPr>
    </w:p>
    <w:sdt>
      <w:sdtPr>
        <w:docPartObj>
          <w:docPartGallery w:val="Table of Contents"/>
          <w:docPartUnique/>
        </w:docPartObj>
      </w:sdtPr>
      <w:sdtEndPr/>
      <w:sdtContent>
        <w:p>
          <w:pPr>
            <w:pStyle w:val="TOC1"/>
            <w:tabs>
              <w:tab w:pos="9779" w:val="right" w:leader="dot"/>
            </w:tabs>
            <w:spacing w:line="486" w:lineRule="exact"/>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0">
            <w:r>
              <w:rPr>
                <w:spacing w:val="2"/>
              </w:rPr>
              <w:t>第一节</w:t>
            </w:r>
            <w:r>
              <w:rPr>
                <w:spacing w:val="68"/>
              </w:rPr>
              <w:t> </w:t>
            </w:r>
            <w:r>
              <w:rPr>
                <w:spacing w:val="2"/>
              </w:rPr>
              <w:t>重要提示、目录</w:t>
            </w:r>
            <w:r>
              <w:rPr>
                <w:rFonts w:ascii="Times New Roman" w:hAnsi="Times New Roman" w:cs="Times New Roman" w:eastAsia="Times New Roman" w:hint="default"/>
                <w:b w:val="0"/>
                <w:bCs w:val="0"/>
                <w:spacing w:val="2"/>
              </w:rPr>
              <w:tab/>
            </w:r>
            <w:r>
              <w:rPr>
                <w:rFonts w:ascii="Times New Roman" w:hAnsi="Times New Roman" w:cs="Times New Roman" w:eastAsia="Times New Roman" w:hint="default"/>
              </w:rPr>
              <w:t>I</w:t>
            </w:r>
            <w:r>
              <w:rPr>
                <w:rFonts w:ascii="Times New Roman" w:hAnsi="Times New Roman" w:cs="Times New Roman" w:eastAsia="Times New Roman" w:hint="default"/>
                <w:b w:val="0"/>
                <w:bCs w:val="0"/>
              </w:rPr>
            </w:r>
          </w:hyperlink>
        </w:p>
        <w:p>
          <w:pPr>
            <w:pStyle w:val="TOC1"/>
            <w:tabs>
              <w:tab w:pos="9781" w:val="right" w:leader="dot"/>
            </w:tabs>
            <w:spacing w:line="485" w:lineRule="exact"/>
            <w:ind w:right="0"/>
            <w:jc w:val="left"/>
            <w:rPr>
              <w:rFonts w:ascii="Times New Roman" w:hAnsi="Times New Roman" w:cs="Times New Roman" w:eastAsia="Times New Roman" w:hint="default"/>
              <w:b w:val="0"/>
              <w:bCs w:val="0"/>
            </w:rPr>
          </w:pPr>
          <w:hyperlink w:history="true" w:anchor="_TOC_250009">
            <w:r>
              <w:rPr>
                <w:spacing w:val="2"/>
              </w:rPr>
              <w:t>第二节</w:t>
            </w:r>
            <w:r>
              <w:rPr>
                <w:spacing w:val="68"/>
              </w:rPr>
              <w:t> </w:t>
            </w:r>
            <w:r>
              <w:rPr/>
              <w:t>公司简介</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w:t>
            </w:r>
            <w:r>
              <w:rPr>
                <w:rFonts w:ascii="Times New Roman" w:hAnsi="Times New Roman" w:cs="Times New Roman" w:eastAsia="Times New Roman" w:hint="default"/>
                <w:b w:val="0"/>
                <w:bCs w:val="0"/>
              </w:rPr>
            </w:r>
          </w:hyperlink>
        </w:p>
        <w:p>
          <w:pPr>
            <w:pStyle w:val="TOC1"/>
            <w:tabs>
              <w:tab w:pos="9781" w:val="right" w:leader="dot"/>
            </w:tabs>
            <w:spacing w:line="482" w:lineRule="exact"/>
            <w:ind w:right="0"/>
            <w:jc w:val="left"/>
            <w:rPr>
              <w:rFonts w:ascii="Times New Roman" w:hAnsi="Times New Roman" w:cs="Times New Roman" w:eastAsia="Times New Roman" w:hint="default"/>
              <w:b w:val="0"/>
              <w:bCs w:val="0"/>
            </w:rPr>
          </w:pPr>
          <w:hyperlink w:history="true" w:anchor="_TOC_250008">
            <w:r>
              <w:rPr>
                <w:spacing w:val="2"/>
              </w:rPr>
              <w:t>第三节</w:t>
            </w:r>
            <w:r>
              <w:rPr>
                <w:spacing w:val="68"/>
              </w:rPr>
              <w:t> </w:t>
            </w:r>
            <w:r>
              <w:rPr>
                <w:spacing w:val="2"/>
              </w:rPr>
              <w:t>会计数据和财务指标摘要</w:t>
            </w:r>
            <w:r>
              <w:rPr>
                <w:rFonts w:ascii="Times New Roman" w:hAnsi="Times New Roman" w:cs="Times New Roman" w:eastAsia="Times New Roman" w:hint="default"/>
                <w:b w:val="0"/>
                <w:bCs w:val="0"/>
                <w:spacing w:val="2"/>
              </w:rPr>
              <w:tab/>
            </w:r>
            <w:r>
              <w:rPr>
                <w:rFonts w:ascii="Times New Roman" w:hAnsi="Times New Roman" w:cs="Times New Roman" w:eastAsia="Times New Roman" w:hint="default"/>
              </w:rPr>
              <w:t>3</w:t>
            </w:r>
            <w:r>
              <w:rPr>
                <w:rFonts w:ascii="Times New Roman" w:hAnsi="Times New Roman" w:cs="Times New Roman" w:eastAsia="Times New Roman" w:hint="default"/>
                <w:b w:val="0"/>
                <w:bCs w:val="0"/>
              </w:rPr>
            </w:r>
          </w:hyperlink>
        </w:p>
        <w:p>
          <w:pPr>
            <w:pStyle w:val="TOC1"/>
            <w:tabs>
              <w:tab w:pos="9781" w:val="right" w:leader="dot"/>
            </w:tabs>
            <w:spacing w:line="482" w:lineRule="exact"/>
            <w:ind w:right="0"/>
            <w:jc w:val="left"/>
            <w:rPr>
              <w:rFonts w:ascii="Times New Roman" w:hAnsi="Times New Roman" w:cs="Times New Roman" w:eastAsia="Times New Roman" w:hint="default"/>
              <w:b w:val="0"/>
              <w:bCs w:val="0"/>
            </w:rPr>
          </w:pPr>
          <w:hyperlink w:history="true" w:anchor="_TOC_250007">
            <w:r>
              <w:rPr>
                <w:spacing w:val="2"/>
              </w:rPr>
              <w:t>第四节</w:t>
            </w:r>
            <w:r>
              <w:rPr>
                <w:spacing w:val="68"/>
              </w:rPr>
              <w:t> </w:t>
            </w:r>
            <w:r>
              <w:rPr>
                <w:spacing w:val="2"/>
              </w:rPr>
              <w:t>董事会报告</w:t>
            </w:r>
            <w:r>
              <w:rPr>
                <w:rFonts w:ascii="Times New Roman" w:hAnsi="Times New Roman" w:cs="Times New Roman" w:eastAsia="Times New Roman" w:hint="default"/>
                <w:b w:val="0"/>
                <w:bCs w:val="0"/>
                <w:spacing w:val="2"/>
              </w:rPr>
              <w:tab/>
            </w:r>
            <w:r>
              <w:rPr>
                <w:rFonts w:ascii="Times New Roman" w:hAnsi="Times New Roman" w:cs="Times New Roman" w:eastAsia="Times New Roman" w:hint="default"/>
              </w:rPr>
              <w:t>4</w:t>
            </w:r>
            <w:r>
              <w:rPr>
                <w:rFonts w:ascii="Times New Roman" w:hAnsi="Times New Roman" w:cs="Times New Roman" w:eastAsia="Times New Roman" w:hint="default"/>
                <w:b w:val="0"/>
                <w:bCs w:val="0"/>
              </w:rPr>
            </w:r>
          </w:hyperlink>
        </w:p>
        <w:p>
          <w:pPr>
            <w:pStyle w:val="TOC1"/>
            <w:tabs>
              <w:tab w:pos="9781" w:val="right" w:leader="dot"/>
            </w:tabs>
            <w:spacing w:line="485" w:lineRule="exact"/>
            <w:ind w:right="0"/>
            <w:jc w:val="left"/>
            <w:rPr>
              <w:rFonts w:ascii="Times New Roman" w:hAnsi="Times New Roman" w:cs="Times New Roman" w:eastAsia="Times New Roman" w:hint="default"/>
              <w:b w:val="0"/>
              <w:bCs w:val="0"/>
            </w:rPr>
          </w:pPr>
          <w:hyperlink w:history="true" w:anchor="_TOC_250006">
            <w:r>
              <w:rPr>
                <w:spacing w:val="2"/>
              </w:rPr>
              <w:t>第五节</w:t>
            </w:r>
            <w:r>
              <w:rPr>
                <w:spacing w:val="68"/>
              </w:rPr>
              <w:t> </w:t>
            </w:r>
            <w:r>
              <w:rPr/>
              <w:t>重要事项</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15</w:t>
            </w:r>
            <w:r>
              <w:rPr>
                <w:rFonts w:ascii="Times New Roman" w:hAnsi="Times New Roman" w:cs="Times New Roman" w:eastAsia="Times New Roman" w:hint="default"/>
                <w:b w:val="0"/>
                <w:bCs w:val="0"/>
              </w:rPr>
            </w:r>
          </w:hyperlink>
        </w:p>
        <w:p>
          <w:pPr>
            <w:pStyle w:val="TOC1"/>
            <w:tabs>
              <w:tab w:pos="9781" w:val="right" w:leader="dot"/>
            </w:tabs>
            <w:spacing w:line="482" w:lineRule="exact"/>
            <w:ind w:right="0"/>
            <w:jc w:val="left"/>
            <w:rPr>
              <w:rFonts w:ascii="Times New Roman" w:hAnsi="Times New Roman" w:cs="Times New Roman" w:eastAsia="Times New Roman" w:hint="default"/>
              <w:b w:val="0"/>
              <w:bCs w:val="0"/>
            </w:rPr>
          </w:pPr>
          <w:hyperlink w:history="true" w:anchor="_TOC_250005">
            <w:r>
              <w:rPr>
                <w:spacing w:val="2"/>
              </w:rPr>
              <w:t>第六节</w:t>
            </w:r>
            <w:r>
              <w:rPr>
                <w:spacing w:val="68"/>
              </w:rPr>
              <w:t> </w:t>
            </w:r>
            <w:r>
              <w:rPr>
                <w:spacing w:val="2"/>
              </w:rPr>
              <w:t>股份变动及股东情况</w:t>
            </w:r>
            <w:r>
              <w:rPr>
                <w:rFonts w:ascii="Times New Roman" w:hAnsi="Times New Roman" w:cs="Times New Roman" w:eastAsia="Times New Roman" w:hint="default"/>
                <w:b w:val="0"/>
                <w:bCs w:val="0"/>
                <w:spacing w:val="2"/>
              </w:rPr>
              <w:tab/>
            </w:r>
            <w:r>
              <w:rPr>
                <w:rFonts w:ascii="Times New Roman" w:hAnsi="Times New Roman" w:cs="Times New Roman" w:eastAsia="Times New Roman" w:hint="default"/>
              </w:rPr>
              <w:t>22</w:t>
            </w:r>
            <w:r>
              <w:rPr>
                <w:rFonts w:ascii="Times New Roman" w:hAnsi="Times New Roman" w:cs="Times New Roman" w:eastAsia="Times New Roman" w:hint="default"/>
                <w:b w:val="0"/>
                <w:bCs w:val="0"/>
              </w:rPr>
            </w:r>
          </w:hyperlink>
        </w:p>
        <w:p>
          <w:pPr>
            <w:pStyle w:val="TOC1"/>
            <w:tabs>
              <w:tab w:pos="9781" w:val="right" w:leader="dot"/>
            </w:tabs>
            <w:spacing w:line="482" w:lineRule="exact"/>
            <w:ind w:right="0"/>
            <w:jc w:val="left"/>
            <w:rPr>
              <w:rFonts w:ascii="Times New Roman" w:hAnsi="Times New Roman" w:cs="Times New Roman" w:eastAsia="Times New Roman" w:hint="default"/>
              <w:b w:val="0"/>
              <w:bCs w:val="0"/>
            </w:rPr>
          </w:pPr>
          <w:hyperlink w:history="true" w:anchor="_TOC_250004">
            <w:r>
              <w:rPr>
                <w:spacing w:val="2"/>
              </w:rPr>
              <w:t>第七节</w:t>
            </w:r>
            <w:r>
              <w:rPr>
                <w:spacing w:val="67"/>
              </w:rPr>
              <w:t> </w:t>
            </w:r>
            <w:r>
              <w:rPr>
                <w:spacing w:val="2"/>
              </w:rPr>
              <w:t>董事、监事、高级管理人员和员工情况</w:t>
            </w:r>
            <w:r>
              <w:rPr>
                <w:rFonts w:ascii="Times New Roman" w:hAnsi="Times New Roman" w:cs="Times New Roman" w:eastAsia="Times New Roman" w:hint="default"/>
                <w:b w:val="0"/>
                <w:bCs w:val="0"/>
                <w:spacing w:val="2"/>
              </w:rPr>
              <w:tab/>
            </w:r>
            <w:r>
              <w:rPr>
                <w:rFonts w:ascii="Times New Roman" w:hAnsi="Times New Roman" w:cs="Times New Roman" w:eastAsia="Times New Roman" w:hint="default"/>
              </w:rPr>
              <w:t>26</w:t>
            </w:r>
            <w:r>
              <w:rPr>
                <w:rFonts w:ascii="Times New Roman" w:hAnsi="Times New Roman" w:cs="Times New Roman" w:eastAsia="Times New Roman" w:hint="default"/>
                <w:b w:val="0"/>
                <w:bCs w:val="0"/>
              </w:rPr>
            </w:r>
          </w:hyperlink>
        </w:p>
        <w:p>
          <w:pPr>
            <w:pStyle w:val="TOC1"/>
            <w:tabs>
              <w:tab w:pos="9781" w:val="right" w:leader="dot"/>
            </w:tabs>
            <w:spacing w:line="485" w:lineRule="exact"/>
            <w:ind w:right="0"/>
            <w:jc w:val="left"/>
            <w:rPr>
              <w:rFonts w:ascii="Times New Roman" w:hAnsi="Times New Roman" w:cs="Times New Roman" w:eastAsia="Times New Roman" w:hint="default"/>
              <w:b w:val="0"/>
              <w:bCs w:val="0"/>
            </w:rPr>
          </w:pPr>
          <w:hyperlink w:history="true" w:anchor="_TOC_250003">
            <w:r>
              <w:rPr>
                <w:spacing w:val="2"/>
              </w:rPr>
              <w:t>第八节</w:t>
            </w:r>
            <w:r>
              <w:rPr>
                <w:spacing w:val="68"/>
              </w:rPr>
              <w:t> </w:t>
            </w:r>
            <w:r>
              <w:rPr/>
              <w:t>公司治理</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34</w:t>
            </w:r>
            <w:r>
              <w:rPr>
                <w:rFonts w:ascii="Times New Roman" w:hAnsi="Times New Roman" w:cs="Times New Roman" w:eastAsia="Times New Roman" w:hint="default"/>
                <w:b w:val="0"/>
                <w:bCs w:val="0"/>
              </w:rPr>
            </w:r>
          </w:hyperlink>
        </w:p>
        <w:p>
          <w:pPr>
            <w:pStyle w:val="TOC1"/>
            <w:tabs>
              <w:tab w:pos="9781" w:val="right" w:leader="dot"/>
            </w:tabs>
            <w:spacing w:line="482" w:lineRule="exact"/>
            <w:ind w:right="0"/>
            <w:jc w:val="left"/>
            <w:rPr>
              <w:rFonts w:ascii="Times New Roman" w:hAnsi="Times New Roman" w:cs="Times New Roman" w:eastAsia="Times New Roman" w:hint="default"/>
              <w:b w:val="0"/>
              <w:bCs w:val="0"/>
            </w:rPr>
          </w:pPr>
          <w:hyperlink w:history="true" w:anchor="_TOC_250002">
            <w:r>
              <w:rPr>
                <w:spacing w:val="2"/>
              </w:rPr>
              <w:t>第九节</w:t>
            </w:r>
            <w:r>
              <w:rPr>
                <w:spacing w:val="68"/>
              </w:rPr>
              <w:t> </w:t>
            </w:r>
            <w:r>
              <w:rPr/>
              <w:t>内部控制</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41</w:t>
            </w:r>
            <w:r>
              <w:rPr>
                <w:rFonts w:ascii="Times New Roman" w:hAnsi="Times New Roman" w:cs="Times New Roman" w:eastAsia="Times New Roman" w:hint="default"/>
                <w:b w:val="0"/>
                <w:bCs w:val="0"/>
              </w:rPr>
            </w:r>
          </w:hyperlink>
        </w:p>
        <w:p>
          <w:pPr>
            <w:pStyle w:val="TOC1"/>
            <w:tabs>
              <w:tab w:pos="9781" w:val="right" w:leader="dot"/>
            </w:tabs>
            <w:spacing w:line="482" w:lineRule="exact"/>
            <w:ind w:right="0"/>
            <w:jc w:val="left"/>
            <w:rPr>
              <w:rFonts w:ascii="Times New Roman" w:hAnsi="Times New Roman" w:cs="Times New Roman" w:eastAsia="Times New Roman" w:hint="default"/>
              <w:b w:val="0"/>
              <w:bCs w:val="0"/>
            </w:rPr>
          </w:pPr>
          <w:hyperlink w:history="true" w:anchor="_TOC_250001">
            <w:r>
              <w:rPr>
                <w:spacing w:val="2"/>
              </w:rPr>
              <w:t>第十节</w:t>
            </w:r>
            <w:r>
              <w:rPr>
                <w:spacing w:val="68"/>
              </w:rPr>
              <w:t> </w:t>
            </w:r>
            <w:r>
              <w:rPr/>
              <w:t>财务报告</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43</w:t>
            </w:r>
            <w:r>
              <w:rPr>
                <w:rFonts w:ascii="Times New Roman" w:hAnsi="Times New Roman" w:cs="Times New Roman" w:eastAsia="Times New Roman" w:hint="default"/>
                <w:b w:val="0"/>
                <w:bCs w:val="0"/>
              </w:rPr>
            </w:r>
          </w:hyperlink>
        </w:p>
        <w:p>
          <w:pPr>
            <w:pStyle w:val="TOC1"/>
            <w:tabs>
              <w:tab w:pos="9781" w:val="right" w:leader="dot"/>
            </w:tabs>
            <w:spacing w:line="486" w:lineRule="exact"/>
            <w:ind w:right="0"/>
            <w:jc w:val="left"/>
            <w:rPr>
              <w:rFonts w:ascii="Times New Roman" w:hAnsi="Times New Roman" w:cs="Times New Roman" w:eastAsia="Times New Roman" w:hint="default"/>
              <w:b w:val="0"/>
              <w:bCs w:val="0"/>
            </w:rPr>
          </w:pPr>
          <w:hyperlink w:history="true" w:anchor="_TOC_250000">
            <w:r>
              <w:rPr/>
              <w:t>第十一节 </w:t>
            </w:r>
            <w:r>
              <w:rPr>
                <w:spacing w:val="3"/>
              </w:rPr>
              <w:t> </w:t>
            </w:r>
            <w:r>
              <w:rPr>
                <w:spacing w:val="2"/>
              </w:rPr>
              <w:t>备查文件目录</w:t>
            </w:r>
            <w:r>
              <w:rPr>
                <w:rFonts w:ascii="Times New Roman" w:hAnsi="Times New Roman" w:cs="Times New Roman" w:eastAsia="Times New Roman" w:hint="default"/>
                <w:b w:val="0"/>
                <w:bCs w:val="0"/>
                <w:spacing w:val="2"/>
              </w:rPr>
              <w:tab/>
            </w:r>
            <w:r>
              <w:rPr>
                <w:rFonts w:ascii="Times New Roman" w:hAnsi="Times New Roman" w:cs="Times New Roman" w:eastAsia="Times New Roman" w:hint="default"/>
              </w:rPr>
              <w:t>137</w:t>
            </w:r>
            <w:r>
              <w:rPr>
                <w:rFonts w:ascii="Times New Roman" w:hAnsi="Times New Roman" w:cs="Times New Roman" w:eastAsia="Times New Roman" w:hint="default"/>
                <w:b w:val="0"/>
                <w:bCs w:val="0"/>
              </w:rPr>
            </w:r>
          </w:hyperlink>
        </w:p>
        <w:p>
          <w:pPr/>
          <w:r>
            <w:fldChar w:fldCharType="end"/>
          </w:r>
        </w:p>
      </w:sdtContent>
    </w:sdt>
    <w:p>
      <w:pPr>
        <w:spacing w:after="0"/>
        <w:sectPr>
          <w:footerReference w:type="default" r:id="rId8"/>
          <w:pgSz w:w="11900" w:h="16840"/>
          <w:pgMar w:footer="984" w:header="872" w:top="1120" w:bottom="1180" w:left="980" w:right="980"/>
        </w:sectPr>
      </w:pPr>
    </w:p>
    <w:p>
      <w:pPr>
        <w:pStyle w:val="Heading1"/>
        <w:spacing w:line="240" w:lineRule="auto" w:before="835"/>
        <w:ind w:right="3847"/>
        <w:jc w:val="center"/>
        <w:rPr>
          <w:b w:val="0"/>
          <w:bCs w:val="0"/>
        </w:rPr>
      </w:pPr>
      <w:bookmarkStart w:name="_TOC_250009" w:id="2"/>
      <w:r>
        <w:rPr/>
        <w:t>第二节 </w:t>
      </w:r>
      <w:r>
        <w:rPr>
          <w:spacing w:val="8"/>
        </w:rPr>
        <w:t> </w:t>
      </w:r>
      <w:r>
        <w:rPr/>
        <w:t>公司简介</w:t>
      </w:r>
      <w:bookmarkEnd w:id="2"/>
      <w:r>
        <w:rPr>
          <w:b w:val="0"/>
          <w:bCs w:val="0"/>
        </w:rPr>
      </w:r>
    </w:p>
    <w:p>
      <w:pPr>
        <w:pStyle w:val="Heading4"/>
        <w:spacing w:line="240" w:lineRule="auto" w:before="190"/>
        <w:ind w:right="0"/>
        <w:jc w:val="left"/>
        <w:rPr>
          <w:b w:val="0"/>
          <w:bCs w:val="0"/>
        </w:rPr>
      </w:pPr>
      <w:r>
        <w:rPr/>
        <w:t>一、公司信息</w:t>
      </w:r>
      <w:r>
        <w:rPr>
          <w:b w:val="0"/>
          <w:bCs w:val="0"/>
        </w:rPr>
      </w:r>
    </w:p>
    <w:p>
      <w:pPr>
        <w:spacing w:line="240" w:lineRule="auto" w:before="0"/>
        <w:rPr>
          <w:rFonts w:ascii="Microsoft JhengHei" w:hAnsi="Microsoft JhengHei" w:cs="Microsoft JhengHei" w:eastAsia="Microsoft JhengHei" w:hint="default"/>
          <w:b/>
          <w:bCs/>
          <w:sz w:val="18"/>
          <w:szCs w:val="18"/>
        </w:rPr>
      </w:pPr>
    </w:p>
    <w:p>
      <w:pPr>
        <w:spacing w:line="5923" w:lineRule="exact"/>
        <w:ind w:left="121"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17"/>
          <w:sz w:val="20"/>
          <w:szCs w:val="20"/>
        </w:rPr>
        <w:pict>
          <v:group style="width:490.6pt;height:296.2pt;mso-position-horizontal-relative:char;mso-position-vertical-relative:line" coordorigin="0,0" coordsize="9812,5924">
            <v:group style="position:absolute;left:36;top:451;width:2314;height:2" coordorigin="36,451" coordsize="2314,2">
              <v:shape style="position:absolute;left:36;top:451;width:2314;height:2" coordorigin="36,451" coordsize="2314,0" path="m36,451l2350,451e" filled="false" stroked="true" strokeweight="2.9pt" strokecolor="#d2d2d2">
                <v:path arrowok="t"/>
              </v:shape>
            </v:group>
            <v:group style="position:absolute;left:48;top:72;width:2;height:350" coordorigin="48,72" coordsize="2,350">
              <v:shape style="position:absolute;left:48;top:72;width:2;height:350" coordorigin="48,72" coordsize="0,350" path="m48,72l48,422e" filled="false" stroked="true" strokeweight="1.2pt" strokecolor="#d2d2d2">
                <v:path arrowok="t"/>
              </v:shape>
            </v:group>
            <v:group style="position:absolute;left:36;top:43;width:2314;height:2" coordorigin="36,43" coordsize="2314,2">
              <v:shape style="position:absolute;left:36;top:43;width:2314;height:2" coordorigin="36,43" coordsize="2314,0" path="m36,43l2350,43e" filled="false" stroked="true" strokeweight="2.9pt" strokecolor="#d2d2d2">
                <v:path arrowok="t"/>
              </v:shape>
            </v:group>
            <v:group style="position:absolute;left:2340;top:72;width:2;height:351" coordorigin="2340,72" coordsize="2,351">
              <v:shape style="position:absolute;left:2340;top:72;width:2;height:351" coordorigin="2340,72" coordsize="0,351" path="m2340,72l2340,422e" filled="false" stroked="true" strokeweight=".96pt" strokecolor="#d2d2d2">
                <v:path arrowok="t"/>
              </v:shape>
            </v:group>
            <v:group style="position:absolute;left:60;top:72;width:2271;height:351" coordorigin="60,72" coordsize="2271,351">
              <v:shape style="position:absolute;left:60;top:72;width:2271;height:351" coordorigin="60,72" coordsize="2271,351" path="m60,422l2330,422,2330,72,60,72,60,422xe" filled="true" fillcolor="#d2d2d2" stroked="false">
                <v:path arrowok="t"/>
                <v:fill type="solid"/>
              </v:shape>
            </v:group>
            <v:group style="position:absolute;left:36;top:10;width:2314;height:2" coordorigin="36,10" coordsize="2314,2">
              <v:shape style="position:absolute;left:36;top:10;width:2314;height:2" coordorigin="36,10" coordsize="2314,0" path="m36,10l2350,10e" filled="false" stroked="true" strokeweight=".48pt" strokecolor="#000000">
                <v:path arrowok="t"/>
              </v:shape>
            </v:group>
            <v:group style="position:absolute;left:5369;top:378;width:2189;height:102" coordorigin="5369,378" coordsize="2189,102">
              <v:shape style="position:absolute;left:5369;top:378;width:2189;height:102" coordorigin="5369,378" coordsize="2189,102" path="m5369,480l7558,480,7558,378,5369,378,5369,480xe" filled="true" fillcolor="#d2d2d2" stroked="false">
                <v:path arrowok="t"/>
                <v:fill type="solid"/>
              </v:shape>
            </v:group>
            <v:group style="position:absolute;left:5381;top:110;width:2;height:268" coordorigin="5381,110" coordsize="2,268">
              <v:shape style="position:absolute;left:5381;top:110;width:2;height:268" coordorigin="5381,110" coordsize="0,268" path="m5381,110l5381,378e" filled="false" stroked="true" strokeweight="1.2pt" strokecolor="#d2d2d2">
                <v:path arrowok="t"/>
              </v:shape>
            </v:group>
            <v:group style="position:absolute;left:5369;top:14;width:2189;height:96" coordorigin="5369,14" coordsize="2189,96">
              <v:shape style="position:absolute;left:5369;top:14;width:2189;height:96" coordorigin="5369,14" coordsize="2189,96" path="m5369,110l7558,110,7558,14,5369,14,5369,110xe" filled="true" fillcolor="#d2d2d2" stroked="false">
                <v:path arrowok="t"/>
                <v:fill type="solid"/>
              </v:shape>
            </v:group>
            <v:group style="position:absolute;left:7548;top:110;width:2;height:269" coordorigin="7548,110" coordsize="2,269">
              <v:shape style="position:absolute;left:7548;top:110;width:2;height:269" coordorigin="7548,110" coordsize="0,269" path="m7548,110l7548,379e" filled="false" stroked="true" strokeweight=".96pt" strokecolor="#d2d2d2">
                <v:path arrowok="t"/>
              </v:shape>
            </v:group>
            <v:group style="position:absolute;left:5393;top:110;width:2146;height:269" coordorigin="5393,110" coordsize="2146,269">
              <v:shape style="position:absolute;left:5393;top:110;width:2146;height:269" coordorigin="5393,110" coordsize="2146,269" path="m5393,379l7538,379,7538,110,5393,110,5393,379xe" filled="true" fillcolor="#d2d2d2" stroked="false">
                <v:path arrowok="t"/>
                <v:fill type="solid"/>
              </v:shape>
            </v:group>
            <v:group style="position:absolute;left:2359;top:10;width:3000;height:2" coordorigin="2359,10" coordsize="3000,2">
              <v:shape style="position:absolute;left:2359;top:10;width:3000;height:2" coordorigin="2359,10" coordsize="3000,0" path="m2359,10l5359,10e" filled="false" stroked="true" strokeweight=".48pt" strokecolor="#000000">
                <v:path arrowok="t"/>
              </v:shape>
            </v:group>
            <v:group style="position:absolute;left:5369;top:10;width:2189;height:2" coordorigin="5369,10" coordsize="2189,2">
              <v:shape style="position:absolute;left:5369;top:10;width:2189;height:2" coordorigin="5369,10" coordsize="2189,0" path="m5369,10l7558,10e" filled="false" stroked="true" strokeweight=".48pt" strokecolor="#000000">
                <v:path arrowok="t"/>
              </v:shape>
            </v:group>
            <v:group style="position:absolute;left:7567;top:10;width:2208;height:2" coordorigin="7567,10" coordsize="2208,2">
              <v:shape style="position:absolute;left:7567;top:10;width:2208;height:2" coordorigin="7567,10" coordsize="2208,0" path="m7567,10l9775,10e" filled="false" stroked="true" strokeweight=".48pt" strokecolor="#000000">
                <v:path arrowok="t"/>
              </v:shape>
            </v:group>
            <v:group style="position:absolute;left:5364;top:5;width:2;height:485" coordorigin="5364,5" coordsize="2,485">
              <v:shape style="position:absolute;left:5364;top:5;width:2;height:485" coordorigin="5364,5" coordsize="0,485" path="m5364,5l5364,490e" filled="false" stroked="true" strokeweight=".48pt" strokecolor="#000000">
                <v:path arrowok="t"/>
              </v:shape>
            </v:group>
            <v:group style="position:absolute;left:7562;top:5;width:2;height:485" coordorigin="7562,5" coordsize="2,485">
              <v:shape style="position:absolute;left:7562;top:5;width:2;height:485" coordorigin="7562,5" coordsize="0,485" path="m7562,5l7562,490e" filled="false" stroked="true" strokeweight=".48pt" strokecolor="#000000">
                <v:path arrowok="t"/>
              </v:shape>
            </v:group>
            <v:group style="position:absolute;left:36;top:950;width:2314;height:2" coordorigin="36,950" coordsize="2314,2">
              <v:shape style="position:absolute;left:36;top:950;width:2314;height:2" coordorigin="36,950" coordsize="2314,0" path="m36,950l2350,950e" filled="false" stroked="true" strokeweight="3.4pt" strokecolor="#d2d2d2">
                <v:path arrowok="t"/>
              </v:shape>
            </v:group>
            <v:group style="position:absolute;left:48;top:562;width:2;height:354" coordorigin="48,562" coordsize="2,354">
              <v:shape style="position:absolute;left:48;top:562;width:2;height:354" coordorigin="48,562" coordsize="0,354" path="m48,562l48,916e" filled="false" stroked="true" strokeweight="1.2pt" strokecolor="#d2d2d2">
                <v:path arrowok="t"/>
              </v:shape>
            </v:group>
            <v:group style="position:absolute;left:36;top:526;width:2314;height:2" coordorigin="36,526" coordsize="2314,2">
              <v:shape style="position:absolute;left:36;top:526;width:2314;height:2" coordorigin="36,526" coordsize="2314,0" path="m36,526l2350,526e" filled="false" stroked="true" strokeweight="3.6pt" strokecolor="#d2d2d2">
                <v:path arrowok="t"/>
              </v:shape>
            </v:group>
            <v:group style="position:absolute;left:2340;top:562;width:2;height:356" coordorigin="2340,562" coordsize="2,356">
              <v:shape style="position:absolute;left:2340;top:562;width:2;height:356" coordorigin="2340,562" coordsize="0,356" path="m2340,562l2340,917e" filled="false" stroked="true" strokeweight=".96pt" strokecolor="#d2d2d2">
                <v:path arrowok="t"/>
              </v:shape>
            </v:group>
            <v:group style="position:absolute;left:60;top:562;width:2271;height:356" coordorigin="60,562" coordsize="2271,356">
              <v:shape style="position:absolute;left:60;top:562;width:2271;height:356" coordorigin="60,562" coordsize="2271,356" path="m60,917l2330,917,2330,562,60,562,60,917xe" filled="true" fillcolor="#d2d2d2" stroked="false">
                <v:path arrowok="t"/>
                <v:fill type="solid"/>
              </v:shape>
            </v:group>
            <v:group style="position:absolute;left:2359;top:950;width:7416;height:2" coordorigin="2359,950" coordsize="7416,2">
              <v:shape style="position:absolute;left:2359;top:950;width:7416;height:2" coordorigin="2359,950" coordsize="7416,0" path="m2359,950l9775,950e" filled="false" stroked="true" strokeweight="3.4pt" strokecolor="#d2d2d2">
                <v:path arrowok="t"/>
              </v:shape>
            </v:group>
            <v:group style="position:absolute;left:2371;top:562;width:2;height:354" coordorigin="2371,562" coordsize="2,354">
              <v:shape style="position:absolute;left:2371;top:562;width:2;height:354" coordorigin="2371,562" coordsize="0,354" path="m2371,562l2371,916e" filled="false" stroked="true" strokeweight="1.2pt" strokecolor="#d2d2d2">
                <v:path arrowok="t"/>
              </v:shape>
            </v:group>
            <v:group style="position:absolute;left:2359;top:526;width:7416;height:2" coordorigin="2359,526" coordsize="7416,2">
              <v:shape style="position:absolute;left:2359;top:526;width:7416;height:2" coordorigin="2359,526" coordsize="7416,0" path="m2359,526l9775,526e" filled="false" stroked="true" strokeweight="3.6pt" strokecolor="#d2d2d2">
                <v:path arrowok="t"/>
              </v:shape>
            </v:group>
            <v:group style="position:absolute;left:9763;top:562;width:2;height:356" coordorigin="9763,562" coordsize="2,356">
              <v:shape style="position:absolute;left:9763;top:562;width:2;height:356" coordorigin="9763,562" coordsize="0,356" path="m9763,562l9763,917e" filled="false" stroked="true" strokeweight="1.2pt" strokecolor="#d2d2d2">
                <v:path arrowok="t"/>
              </v:shape>
            </v:group>
            <v:group style="position:absolute;left:2383;top:562;width:7368;height:356" coordorigin="2383,562" coordsize="7368,356">
              <v:shape style="position:absolute;left:2383;top:562;width:7368;height:356" coordorigin="2383,562" coordsize="7368,356" path="m2383,917l9751,917,9751,562,2383,562,2383,917xe" filled="true" fillcolor="#d2d2d2" stroked="false">
                <v:path arrowok="t"/>
                <v:fill type="solid"/>
              </v:shape>
            </v:group>
            <v:group style="position:absolute;left:36;top:485;width:2314;height:2" coordorigin="36,485" coordsize="2314,2">
              <v:shape style="position:absolute;left:36;top:485;width:2314;height:2" coordorigin="36,485" coordsize="2314,0" path="m36,485l2350,485e" filled="false" stroked="true" strokeweight=".48pt" strokecolor="#000000">
                <v:path arrowok="t"/>
              </v:shape>
            </v:group>
            <v:group style="position:absolute;left:2359;top:485;width:3000;height:2" coordorigin="2359,485" coordsize="3000,2">
              <v:shape style="position:absolute;left:2359;top:485;width:3000;height:2" coordorigin="2359,485" coordsize="3000,0" path="m2359,485l5359,485e" filled="false" stroked="true" strokeweight=".48pt" strokecolor="#000000">
                <v:path arrowok="t"/>
              </v:shape>
            </v:group>
            <v:group style="position:absolute;left:5369;top:485;width:2189;height:2" coordorigin="5369,485" coordsize="2189,2">
              <v:shape style="position:absolute;left:5369;top:485;width:2189;height:2" coordorigin="5369,485" coordsize="2189,0" path="m5369,485l7558,485e" filled="false" stroked="true" strokeweight=".48pt" strokecolor="#000000">
                <v:path arrowok="t"/>
              </v:shape>
            </v:group>
            <v:group style="position:absolute;left:7567;top:485;width:2208;height:2" coordorigin="7567,485" coordsize="2208,2">
              <v:shape style="position:absolute;left:7567;top:485;width:2208;height:2" coordorigin="7567,485" coordsize="2208,0" path="m7567,485l9775,485e" filled="false" stroked="true" strokeweight=".48pt" strokecolor="#000000">
                <v:path arrowok="t"/>
              </v:shape>
            </v:group>
            <v:group style="position:absolute;left:36;top:1430;width:2314;height:2" coordorigin="36,1430" coordsize="2314,2">
              <v:shape style="position:absolute;left:36;top:1430;width:2314;height:2" coordorigin="36,1430" coordsize="2314,0" path="m36,1430l2350,1430e" filled="false" stroked="true" strokeweight="2.8pt" strokecolor="#d2d2d2">
                <v:path arrowok="t"/>
              </v:shape>
            </v:group>
            <v:group style="position:absolute;left:48;top:1050;width:2;height:352" coordorigin="48,1050" coordsize="2,352">
              <v:shape style="position:absolute;left:48;top:1050;width:2;height:352" coordorigin="48,1050" coordsize="0,352" path="m48,1050l48,1402e" filled="false" stroked="true" strokeweight="1.2pt" strokecolor="#d2d2d2">
                <v:path arrowok="t"/>
              </v:shape>
            </v:group>
            <v:group style="position:absolute;left:36;top:1022;width:2314;height:2" coordorigin="36,1022" coordsize="2314,2">
              <v:shape style="position:absolute;left:36;top:1022;width:2314;height:2" coordorigin="36,1022" coordsize="2314,0" path="m36,1022l2350,1022e" filled="false" stroked="true" strokeweight="2.8pt" strokecolor="#d2d2d2">
                <v:path arrowok="t"/>
              </v:shape>
            </v:group>
            <v:group style="position:absolute;left:2340;top:1051;width:2;height:351" coordorigin="2340,1051" coordsize="2,351">
              <v:shape style="position:absolute;left:2340;top:1051;width:2;height:351" coordorigin="2340,1051" coordsize="0,351" path="m2340,1051l2340,1402e" filled="false" stroked="true" strokeweight=".96pt" strokecolor="#d2d2d2">
                <v:path arrowok="t"/>
              </v:shape>
            </v:group>
            <v:group style="position:absolute;left:60;top:1051;width:2271;height:351" coordorigin="60,1051" coordsize="2271,351">
              <v:shape style="position:absolute;left:60;top:1051;width:2271;height:351" coordorigin="60,1051" coordsize="2271,351" path="m60,1402l2330,1402,2330,1051,60,1051,60,1402xe" filled="true" fillcolor="#d2d2d2" stroked="false">
                <v:path arrowok="t"/>
                <v:fill type="solid"/>
              </v:shape>
            </v:group>
            <v:group style="position:absolute;left:36;top:989;width:2314;height:2" coordorigin="36,989" coordsize="2314,2">
              <v:shape style="position:absolute;left:36;top:989;width:2314;height:2" coordorigin="36,989" coordsize="2314,0" path="m36,989l2350,989e" filled="false" stroked="true" strokeweight=".48pt" strokecolor="#000000">
                <v:path arrowok="t"/>
              </v:shape>
            </v:group>
            <v:group style="position:absolute;left:2359;top:989;width:7416;height:2" coordorigin="2359,989" coordsize="7416,2">
              <v:shape style="position:absolute;left:2359;top:989;width:7416;height:2" coordorigin="2359,989" coordsize="7416,0" path="m2359,989l9775,989e" filled="false" stroked="true" strokeweight=".48pt" strokecolor="#000000">
                <v:path arrowok="t"/>
              </v:shape>
            </v:group>
            <v:group style="position:absolute;left:36;top:1929;width:2314;height:2" coordorigin="36,1929" coordsize="2314,2">
              <v:shape style="position:absolute;left:36;top:1929;width:2314;height:2" coordorigin="36,1929" coordsize="2314,0" path="m36,1929l2350,1929e" filled="false" stroked="true" strokeweight="3.3pt" strokecolor="#d2d2d2">
                <v:path arrowok="t"/>
              </v:shape>
            </v:group>
            <v:group style="position:absolute;left:48;top:1540;width:2;height:356" coordorigin="48,1540" coordsize="2,356">
              <v:shape style="position:absolute;left:48;top:1540;width:2;height:356" coordorigin="48,1540" coordsize="0,356" path="m48,1540l48,1896e" filled="false" stroked="true" strokeweight="1.2pt" strokecolor="#d2d2d2">
                <v:path arrowok="t"/>
              </v:shape>
            </v:group>
            <v:group style="position:absolute;left:36;top:1507;width:2314;height:2" coordorigin="36,1507" coordsize="2314,2">
              <v:shape style="position:absolute;left:36;top:1507;width:2314;height:2" coordorigin="36,1507" coordsize="2314,0" path="m36,1507l2350,1507e" filled="false" stroked="true" strokeweight="3.3pt" strokecolor="#d2d2d2">
                <v:path arrowok="t"/>
              </v:shape>
            </v:group>
            <v:group style="position:absolute;left:2340;top:1541;width:2;height:356" coordorigin="2340,1541" coordsize="2,356">
              <v:shape style="position:absolute;left:2340;top:1541;width:2;height:356" coordorigin="2340,1541" coordsize="0,356" path="m2340,1541l2340,1896e" filled="false" stroked="true" strokeweight=".96pt" strokecolor="#d2d2d2">
                <v:path arrowok="t"/>
              </v:shape>
            </v:group>
            <v:group style="position:absolute;left:60;top:1541;width:2271;height:356" coordorigin="60,1541" coordsize="2271,356">
              <v:shape style="position:absolute;left:60;top:1541;width:2271;height:356" coordorigin="60,1541" coordsize="2271,356" path="m60,1896l2330,1896,2330,1541,60,1541,60,1896xe" filled="true" fillcolor="#d2d2d2" stroked="false">
                <v:path arrowok="t"/>
                <v:fill type="solid"/>
              </v:shape>
            </v:group>
            <v:group style="position:absolute;left:36;top:1464;width:2314;height:2" coordorigin="36,1464" coordsize="2314,2">
              <v:shape style="position:absolute;left:36;top:1464;width:2314;height:2" coordorigin="36,1464" coordsize="2314,0" path="m36,1464l2350,1464e" filled="false" stroked="true" strokeweight=".48pt" strokecolor="#000000">
                <v:path arrowok="t"/>
              </v:shape>
            </v:group>
            <v:group style="position:absolute;left:2359;top:1464;width:7416;height:2" coordorigin="2359,1464" coordsize="7416,2">
              <v:shape style="position:absolute;left:2359;top:1464;width:7416;height:2" coordorigin="2359,1464" coordsize="7416,0" path="m2359,1464l9775,1464e" filled="false" stroked="true" strokeweight=".48pt" strokecolor="#000000">
                <v:path arrowok="t"/>
              </v:shape>
            </v:group>
            <v:group style="position:absolute;left:36;top:2411;width:2314;height:2" coordorigin="36,2411" coordsize="2314,2">
              <v:shape style="position:absolute;left:36;top:2411;width:2314;height:2" coordorigin="36,2411" coordsize="2314,0" path="m36,2411l2350,2411e" filled="false" stroked="true" strokeweight="3.1pt" strokecolor="#d2d2d2">
                <v:path arrowok="t"/>
              </v:shape>
            </v:group>
            <v:group style="position:absolute;left:48;top:2030;width:2;height:350" coordorigin="48,2030" coordsize="2,350">
              <v:shape style="position:absolute;left:48;top:2030;width:2;height:350" coordorigin="48,2030" coordsize="0,350" path="m48,2030l48,2380e" filled="false" stroked="true" strokeweight="1.2pt" strokecolor="#d2d2d2">
                <v:path arrowok="t"/>
              </v:shape>
            </v:group>
            <v:group style="position:absolute;left:36;top:2001;width:2314;height:2" coordorigin="36,2001" coordsize="2314,2">
              <v:shape style="position:absolute;left:36;top:2001;width:2314;height:2" coordorigin="36,2001" coordsize="2314,0" path="m36,2001l2350,2001e" filled="false" stroked="true" strokeweight="2.9pt" strokecolor="#d2d2d2">
                <v:path arrowok="t"/>
              </v:shape>
            </v:group>
            <v:group style="position:absolute;left:2340;top:2030;width:2;height:351" coordorigin="2340,2030" coordsize="2,351">
              <v:shape style="position:absolute;left:2340;top:2030;width:2;height:351" coordorigin="2340,2030" coordsize="0,351" path="m2340,2030l2340,2381e" filled="false" stroked="true" strokeweight=".96pt" strokecolor="#d2d2d2">
                <v:path arrowok="t"/>
              </v:shape>
            </v:group>
            <v:group style="position:absolute;left:60;top:2030;width:2271;height:351" coordorigin="60,2030" coordsize="2271,351">
              <v:shape style="position:absolute;left:60;top:2030;width:2271;height:351" coordorigin="60,2030" coordsize="2271,351" path="m60,2381l2330,2381,2330,2030,60,2030,60,2381xe" filled="true" fillcolor="#d2d2d2" stroked="false">
                <v:path arrowok="t"/>
                <v:fill type="solid"/>
              </v:shape>
            </v:group>
            <v:group style="position:absolute;left:2371;top:2044;width:2;height:322" coordorigin="2371,2044" coordsize="2,322">
              <v:shape style="position:absolute;left:2371;top:2044;width:2;height:322" coordorigin="2371,2044" coordsize="0,322" path="m2371,2044l2371,2366e" filled="false" stroked="true" strokeweight="1.2pt" strokecolor="#ffffff">
                <v:path arrowok="t"/>
              </v:shape>
            </v:group>
            <v:group style="position:absolute;left:36;top:1968;width:2314;height:2" coordorigin="36,1968" coordsize="2314,2">
              <v:shape style="position:absolute;left:36;top:1968;width:2314;height:2" coordorigin="36,1968" coordsize="2314,0" path="m36,1968l2350,1968e" filled="false" stroked="true" strokeweight=".48pt" strokecolor="#000000">
                <v:path arrowok="t"/>
              </v:shape>
            </v:group>
            <v:group style="position:absolute;left:2359;top:1968;width:7416;height:2" coordorigin="2359,1968" coordsize="7416,2">
              <v:shape style="position:absolute;left:2359;top:1968;width:7416;height:2" coordorigin="2359,1968" coordsize="7416,0" path="m2359,1968l9775,1968e" filled="false" stroked="true" strokeweight=".48pt" strokecolor="#000000">
                <v:path arrowok="t"/>
              </v:shape>
            </v:group>
            <v:group style="position:absolute;left:36;top:2489;width:2314;height:2" coordorigin="36,2489" coordsize="2314,2">
              <v:shape style="position:absolute;left:36;top:2489;width:2314;height:2" coordorigin="36,2489" coordsize="2314,0" path="m36,2489l2350,2489e" filled="false" stroked="true" strokeweight="3.6pt" strokecolor="#d2d2d2">
                <v:path arrowok="t"/>
              </v:shape>
            </v:group>
            <v:group style="position:absolute;left:36;top:2908;width:2314;height:2" coordorigin="36,2908" coordsize="2314,2">
              <v:shape style="position:absolute;left:36;top:2908;width:2314;height:2" coordorigin="36,2908" coordsize="2314,0" path="m36,2908l2350,2908e" filled="false" stroked="true" strokeweight="3.4pt" strokecolor="#d2d2d2">
                <v:path arrowok="t"/>
              </v:shape>
            </v:group>
            <v:group style="position:absolute;left:48;top:2524;width:2;height:350" coordorigin="48,2524" coordsize="2,350">
              <v:shape style="position:absolute;left:48;top:2524;width:2;height:350" coordorigin="48,2524" coordsize="0,350" path="m48,2524l48,2874e" filled="false" stroked="true" strokeweight="1.2pt" strokecolor="#d2d2d2">
                <v:path arrowok="t"/>
              </v:shape>
            </v:group>
            <v:group style="position:absolute;left:2340;top:2525;width:2;height:351" coordorigin="2340,2525" coordsize="2,351">
              <v:shape style="position:absolute;left:2340;top:2525;width:2;height:351" coordorigin="2340,2525" coordsize="0,351" path="m2340,2525l2340,2875e" filled="false" stroked="true" strokeweight=".96pt" strokecolor="#d2d2d2">
                <v:path arrowok="t"/>
              </v:shape>
            </v:group>
            <v:group style="position:absolute;left:60;top:2525;width:2271;height:351" coordorigin="60,2525" coordsize="2271,351">
              <v:shape style="position:absolute;left:60;top:2525;width:2271;height:351" coordorigin="60,2525" coordsize="2271,351" path="m60,2875l2330,2875,2330,2525,60,2525,60,2875xe" filled="true" fillcolor="#d2d2d2" stroked="false">
                <v:path arrowok="t"/>
                <v:fill type="solid"/>
              </v:shape>
            </v:group>
            <v:group style="position:absolute;left:36;top:2448;width:2314;height:2" coordorigin="36,2448" coordsize="2314,2">
              <v:shape style="position:absolute;left:36;top:2448;width:2314;height:2" coordorigin="36,2448" coordsize="2314,0" path="m36,2448l2350,2448e" filled="false" stroked="true" strokeweight=".48pt" strokecolor="#000000">
                <v:path arrowok="t"/>
              </v:shape>
            </v:group>
            <v:group style="position:absolute;left:2359;top:2448;width:7416;height:2" coordorigin="2359,2448" coordsize="7416,2">
              <v:shape style="position:absolute;left:2359;top:2448;width:7416;height:2" coordorigin="2359,2448" coordsize="7416,0" path="m2359,2448l9775,2448e" filled="false" stroked="true" strokeweight=".48pt" strokecolor="#000000">
                <v:path arrowok="t"/>
              </v:shape>
            </v:group>
            <v:group style="position:absolute;left:36;top:3393;width:2314;height:2" coordorigin="36,3393" coordsize="2314,2">
              <v:shape style="position:absolute;left:36;top:3393;width:2314;height:2" coordorigin="36,3393" coordsize="2314,0" path="m36,3393l2350,3393e" filled="false" stroked="true" strokeweight="2.9pt" strokecolor="#d2d2d2">
                <v:path arrowok="t"/>
              </v:shape>
            </v:group>
            <v:group style="position:absolute;left:48;top:3010;width:2;height:354" coordorigin="48,3010" coordsize="2,354">
              <v:shape style="position:absolute;left:48;top:3010;width:2;height:354" coordorigin="48,3010" coordsize="0,354" path="m48,3010l48,3364e" filled="false" stroked="true" strokeweight="1.2pt" strokecolor="#d2d2d2">
                <v:path arrowok="t"/>
              </v:shape>
            </v:group>
            <v:group style="position:absolute;left:36;top:2981;width:2314;height:2" coordorigin="36,2981" coordsize="2314,2">
              <v:shape style="position:absolute;left:36;top:2981;width:2314;height:2" coordorigin="36,2981" coordsize="2314,0" path="m36,2981l2350,2981e" filled="false" stroked="true" strokeweight="2.9pt" strokecolor="#d2d2d2">
                <v:path arrowok="t"/>
              </v:shape>
            </v:group>
            <v:group style="position:absolute;left:2340;top:3010;width:2;height:356" coordorigin="2340,3010" coordsize="2,356">
              <v:shape style="position:absolute;left:2340;top:3010;width:2;height:356" coordorigin="2340,3010" coordsize="0,356" path="m2340,3010l2340,3365e" filled="false" stroked="true" strokeweight=".96pt" strokecolor="#d2d2d2">
                <v:path arrowok="t"/>
              </v:shape>
            </v:group>
            <v:group style="position:absolute;left:60;top:3010;width:2271;height:356" coordorigin="60,3010" coordsize="2271,356">
              <v:shape style="position:absolute;left:60;top:3010;width:2271;height:356" coordorigin="60,3010" coordsize="2271,356" path="m60,3365l2330,3365,2330,3010,60,3010,60,3365xe" filled="true" fillcolor="#d2d2d2" stroked="false">
                <v:path arrowok="t"/>
                <v:fill type="solid"/>
              </v:shape>
            </v:group>
            <v:group style="position:absolute;left:36;top:2947;width:2314;height:2" coordorigin="36,2947" coordsize="2314,2">
              <v:shape style="position:absolute;left:36;top:2947;width:2314;height:2" coordorigin="36,2947" coordsize="2314,0" path="m36,2947l2350,2947e" filled="false" stroked="true" strokeweight=".48pt" strokecolor="#000000">
                <v:path arrowok="t"/>
              </v:shape>
            </v:group>
            <v:group style="position:absolute;left:2359;top:2947;width:7416;height:2" coordorigin="2359,2947" coordsize="7416,2">
              <v:shape style="position:absolute;left:2359;top:2947;width:7416;height:2" coordorigin="2359,2947" coordsize="7416,0" path="m2359,2947l9775,2947e" filled="false" stroked="true" strokeweight=".48pt" strokecolor="#000000">
                <v:path arrowok="t"/>
              </v:shape>
            </v:group>
            <v:group style="position:absolute;left:36;top:3854;width:2314;height:68" coordorigin="36,3854" coordsize="2314,68">
              <v:shape style="position:absolute;left:36;top:3854;width:2314;height:68" coordorigin="36,3854" coordsize="2314,68" path="m36,3922l2350,3922,2350,3854,36,3854,36,3922xe" filled="true" fillcolor="#d2d2d2" stroked="false">
                <v:path arrowok="t"/>
                <v:fill type="solid"/>
              </v:shape>
            </v:group>
            <v:group style="position:absolute;left:48;top:3504;width:2;height:350" coordorigin="48,3504" coordsize="2,350">
              <v:shape style="position:absolute;left:48;top:3504;width:2;height:350" coordorigin="48,3504" coordsize="0,350" path="m48,3504l48,3854e" filled="false" stroked="true" strokeweight="1.2pt" strokecolor="#d2d2d2">
                <v:path arrowok="t"/>
              </v:shape>
            </v:group>
            <v:group style="position:absolute;left:36;top:3468;width:2314;height:2" coordorigin="36,3468" coordsize="2314,2">
              <v:shape style="position:absolute;left:36;top:3468;width:2314;height:2" coordorigin="36,3468" coordsize="2314,0" path="m36,3468l2350,3468e" filled="false" stroked="true" strokeweight="3.6pt" strokecolor="#d2d2d2">
                <v:path arrowok="t"/>
              </v:shape>
            </v:group>
            <v:group style="position:absolute;left:2340;top:3504;width:2;height:351" coordorigin="2340,3504" coordsize="2,351">
              <v:shape style="position:absolute;left:2340;top:3504;width:2;height:351" coordorigin="2340,3504" coordsize="0,351" path="m2340,3504l2340,3854e" filled="false" stroked="true" strokeweight=".96pt" strokecolor="#d2d2d2">
                <v:path arrowok="t"/>
              </v:shape>
            </v:group>
            <v:group style="position:absolute;left:60;top:3504;width:2271;height:351" coordorigin="60,3504" coordsize="2271,351">
              <v:shape style="position:absolute;left:60;top:3504;width:2271;height:351" coordorigin="60,3504" coordsize="2271,351" path="m60,3854l2330,3854,2330,3504,60,3504,60,3854xe" filled="true" fillcolor="#d2d2d2" stroked="false">
                <v:path arrowok="t"/>
                <v:fill type="solid"/>
              </v:shape>
            </v:group>
            <v:group style="position:absolute;left:36;top:3427;width:2314;height:2" coordorigin="36,3427" coordsize="2314,2">
              <v:shape style="position:absolute;left:36;top:3427;width:2314;height:2" coordorigin="36,3427" coordsize="2314,0" path="m36,3427l2350,3427e" filled="false" stroked="true" strokeweight=".48pt" strokecolor="#000000">
                <v:path arrowok="t"/>
              </v:shape>
            </v:group>
            <v:group style="position:absolute;left:2359;top:3427;width:7416;height:2" coordorigin="2359,3427" coordsize="7416,2">
              <v:shape style="position:absolute;left:2359;top:3427;width:7416;height:2" coordorigin="2359,3427" coordsize="7416,0" path="m2359,3427l9775,3427e" filled="false" stroked="true" strokeweight=".48pt" strokecolor="#000000">
                <v:path arrowok="t"/>
              </v:shape>
            </v:group>
            <v:group style="position:absolute;left:36;top:3931;width:2314;height:72" coordorigin="36,3931" coordsize="2314,72">
              <v:shape style="position:absolute;left:36;top:3931;width:2314;height:72" coordorigin="36,3931" coordsize="2314,72" path="m36,4003l2350,4003,2350,3931,36,3931,36,4003xe" filled="true" fillcolor="#d2d2d2" stroked="false">
                <v:path arrowok="t"/>
                <v:fill type="solid"/>
              </v:shape>
            </v:group>
            <v:group style="position:absolute;left:36;top:4358;width:2314;height:68" coordorigin="36,4358" coordsize="2314,68">
              <v:shape style="position:absolute;left:36;top:4358;width:2314;height:68" coordorigin="36,4358" coordsize="2314,68" path="m36,4426l2350,4426,2350,4358,36,4358,36,4426xe" filled="true" fillcolor="#d2d2d2" stroked="false">
                <v:path arrowok="t"/>
                <v:fill type="solid"/>
              </v:shape>
            </v:group>
            <v:group style="position:absolute;left:48;top:4002;width:2;height:356" coordorigin="48,4002" coordsize="2,356">
              <v:shape style="position:absolute;left:48;top:4002;width:2;height:356" coordorigin="48,4002" coordsize="0,356" path="m48,4002l48,4358e" filled="false" stroked="true" strokeweight="1.2pt" strokecolor="#d2d2d2">
                <v:path arrowok="t"/>
              </v:shape>
            </v:group>
            <v:group style="position:absolute;left:2340;top:4003;width:2;height:356" coordorigin="2340,4003" coordsize="2,356">
              <v:shape style="position:absolute;left:2340;top:4003;width:2;height:356" coordorigin="2340,4003" coordsize="0,356" path="m2340,4003l2340,4358e" filled="false" stroked="true" strokeweight=".96pt" strokecolor="#d2d2d2">
                <v:path arrowok="t"/>
              </v:shape>
            </v:group>
            <v:group style="position:absolute;left:60;top:4003;width:2271;height:356" coordorigin="60,4003" coordsize="2271,356">
              <v:shape style="position:absolute;left:60;top:4003;width:2271;height:356" coordorigin="60,4003" coordsize="2271,356" path="m60,4358l2330,4358,2330,4003,60,4003,60,4358xe" filled="true" fillcolor="#d2d2d2" stroked="false">
                <v:path arrowok="t"/>
                <v:fill type="solid"/>
              </v:shape>
            </v:group>
            <v:group style="position:absolute;left:36;top:3926;width:2314;height:2" coordorigin="36,3926" coordsize="2314,2">
              <v:shape style="position:absolute;left:36;top:3926;width:2314;height:2" coordorigin="36,3926" coordsize="2314,0" path="m36,3926l2350,3926e" filled="false" stroked="true" strokeweight=".48pt" strokecolor="#000000">
                <v:path arrowok="t"/>
              </v:shape>
            </v:group>
            <v:group style="position:absolute;left:2359;top:3926;width:7416;height:2" coordorigin="2359,3926" coordsize="7416,2">
              <v:shape style="position:absolute;left:2359;top:3926;width:7416;height:2" coordorigin="2359,3926" coordsize="7416,0" path="m2359,3926l9775,3926e" filled="false" stroked="true" strokeweight=".48pt" strokecolor="#000000">
                <v:path arrowok="t"/>
              </v:shape>
            </v:group>
            <v:group style="position:absolute;left:36;top:4842;width:2314;height:64" coordorigin="36,4842" coordsize="2314,64">
              <v:shape style="position:absolute;left:36;top:4842;width:2314;height:64" coordorigin="36,4842" coordsize="2314,64" path="m36,4906l2350,4906,2350,4842,36,4842,36,4906xe" filled="true" fillcolor="#d2d2d2" stroked="false">
                <v:path arrowok="t"/>
                <v:fill type="solid"/>
              </v:shape>
            </v:group>
            <v:group style="position:absolute;left:48;top:4492;width:2;height:350" coordorigin="48,4492" coordsize="2,350">
              <v:shape style="position:absolute;left:48;top:4492;width:2;height:350" coordorigin="48,4492" coordsize="0,350" path="m48,4492l48,4842e" filled="false" stroked="true" strokeweight="1.2pt" strokecolor="#d2d2d2">
                <v:path arrowok="t"/>
              </v:shape>
            </v:group>
            <v:group style="position:absolute;left:36;top:4434;width:2314;height:58" coordorigin="36,4434" coordsize="2314,58">
              <v:shape style="position:absolute;left:36;top:4434;width:2314;height:58" coordorigin="36,4434" coordsize="2314,58" path="m36,4492l2350,4492,2350,4434,36,4434,36,4492xe" filled="true" fillcolor="#d2d2d2" stroked="false">
                <v:path arrowok="t"/>
                <v:fill type="solid"/>
              </v:shape>
            </v:group>
            <v:group style="position:absolute;left:2340;top:4493;width:2;height:351" coordorigin="2340,4493" coordsize="2,351">
              <v:shape style="position:absolute;left:2340;top:4493;width:2;height:351" coordorigin="2340,4493" coordsize="0,351" path="m2340,4493l2340,4843e" filled="false" stroked="true" strokeweight=".96pt" strokecolor="#d2d2d2">
                <v:path arrowok="t"/>
              </v:shape>
            </v:group>
            <v:group style="position:absolute;left:60;top:4493;width:2271;height:351" coordorigin="60,4493" coordsize="2271,351">
              <v:shape style="position:absolute;left:60;top:4493;width:2271;height:351" coordorigin="60,4493" coordsize="2271,351" path="m60,4843l2330,4843,2330,4493,60,4493,60,4843xe" filled="true" fillcolor="#d2d2d2" stroked="false">
                <v:path arrowok="t"/>
                <v:fill type="solid"/>
              </v:shape>
            </v:group>
            <v:group style="position:absolute;left:36;top:4430;width:2314;height:2" coordorigin="36,4430" coordsize="2314,2">
              <v:shape style="position:absolute;left:36;top:4430;width:2314;height:2" coordorigin="36,4430" coordsize="2314,0" path="m36,4430l2350,4430e" filled="false" stroked="true" strokeweight=".48pt" strokecolor="#000000">
                <v:path arrowok="t"/>
              </v:shape>
            </v:group>
            <v:group style="position:absolute;left:2359;top:4430;width:7416;height:2" coordorigin="2359,4430" coordsize="7416,2">
              <v:shape style="position:absolute;left:2359;top:4430;width:7416;height:2" coordorigin="2359,4430" coordsize="7416,0" path="m2359,4430l9775,4430e" filled="false" stroked="true" strokeweight=".48pt" strokecolor="#000000">
                <v:path arrowok="t"/>
              </v:shape>
            </v:group>
            <v:group style="position:absolute;left:36;top:5371;width:2314;height:2" coordorigin="36,5371" coordsize="2314,2">
              <v:shape style="position:absolute;left:36;top:5371;width:2314;height:2" coordorigin="36,5371" coordsize="2314,0" path="m36,5371l2350,5371e" filled="false" stroked="true" strokeweight="3.3pt" strokecolor="#d2d2d2">
                <v:path arrowok="t"/>
              </v:shape>
            </v:group>
            <v:group style="position:absolute;left:48;top:4986;width:2;height:352" coordorigin="48,4986" coordsize="2,352">
              <v:shape style="position:absolute;left:48;top:4986;width:2;height:352" coordorigin="48,4986" coordsize="0,352" path="m48,4986l48,5338e" filled="false" stroked="true" strokeweight="1.2pt" strokecolor="#d2d2d2">
                <v:path arrowok="t"/>
              </v:shape>
            </v:group>
            <v:group style="position:absolute;left:36;top:4914;width:2314;height:72" coordorigin="36,4914" coordsize="2314,72">
              <v:shape style="position:absolute;left:36;top:4914;width:2314;height:72" coordorigin="36,4914" coordsize="2314,72" path="m36,4986l2350,4986,2350,4914,36,4914,36,4986xe" filled="true" fillcolor="#d2d2d2" stroked="false">
                <v:path arrowok="t"/>
                <v:fill type="solid"/>
              </v:shape>
            </v:group>
            <v:group style="position:absolute;left:2340;top:4987;width:2;height:351" coordorigin="2340,4987" coordsize="2,351">
              <v:shape style="position:absolute;left:2340;top:4987;width:2;height:351" coordorigin="2340,4987" coordsize="0,351" path="m2340,4987l2340,5338e" filled="false" stroked="true" strokeweight=".96pt" strokecolor="#d2d2d2">
                <v:path arrowok="t"/>
              </v:shape>
            </v:group>
            <v:group style="position:absolute;left:60;top:4987;width:2271;height:351" coordorigin="60,4987" coordsize="2271,351">
              <v:shape style="position:absolute;left:60;top:4987;width:2271;height:351" coordorigin="60,4987" coordsize="2271,351" path="m60,5338l2330,5338,2330,4987,60,4987,60,5338xe" filled="true" fillcolor="#d2d2d2" stroked="false">
                <v:path arrowok="t"/>
                <v:fill type="solid"/>
              </v:shape>
            </v:group>
            <v:group style="position:absolute;left:36;top:4910;width:2314;height:2" coordorigin="36,4910" coordsize="2314,2">
              <v:shape style="position:absolute;left:36;top:4910;width:2314;height:2" coordorigin="36,4910" coordsize="2314,0" path="m36,4910l2350,4910e" filled="false" stroked="true" strokeweight=".48pt" strokecolor="#000000">
                <v:path arrowok="t"/>
              </v:shape>
            </v:group>
            <v:group style="position:absolute;left:2359;top:4910;width:7416;height:2" coordorigin="2359,4910" coordsize="7416,2">
              <v:shape style="position:absolute;left:2359;top:4910;width:7416;height:2" coordorigin="2359,4910" coordsize="7416,0" path="m2359,4910l9775,4910e" filled="false" stroked="true" strokeweight=".48pt" strokecolor="#000000">
                <v:path arrowok="t"/>
              </v:shape>
            </v:group>
            <v:group style="position:absolute;left:36;top:5875;width:2314;height:2" coordorigin="36,5875" coordsize="2314,2">
              <v:shape style="position:absolute;left:36;top:5875;width:2314;height:2" coordorigin="36,5875" coordsize="2314,0" path="m36,5875l2350,5875e" filled="false" stroked="true" strokeweight="3.3pt" strokecolor="#d2d2d2">
                <v:path arrowok="t"/>
              </v:shape>
            </v:group>
            <v:group style="position:absolute;left:48;top:5486;width:2;height:356" coordorigin="48,5486" coordsize="2,356">
              <v:shape style="position:absolute;left:48;top:5486;width:2;height:356" coordorigin="48,5486" coordsize="0,356" path="m48,5486l48,5842e" filled="false" stroked="true" strokeweight="1.2pt" strokecolor="#d2d2d2">
                <v:path arrowok="t"/>
              </v:shape>
            </v:group>
            <v:group style="position:absolute;left:36;top:5450;width:2314;height:2" coordorigin="36,5450" coordsize="2314,2">
              <v:shape style="position:absolute;left:36;top:5450;width:2314;height:2" coordorigin="36,5450" coordsize="2314,0" path="m36,5450l2350,5450e" filled="false" stroked="true" strokeweight="3.6pt" strokecolor="#d2d2d2">
                <v:path arrowok="t"/>
              </v:shape>
            </v:group>
            <v:group style="position:absolute;left:2340;top:5486;width:2;height:356" coordorigin="2340,5486" coordsize="2,356">
              <v:shape style="position:absolute;left:2340;top:5486;width:2;height:356" coordorigin="2340,5486" coordsize="0,356" path="m2340,5486l2340,5842e" filled="false" stroked="true" strokeweight=".96pt" strokecolor="#d2d2d2">
                <v:path arrowok="t"/>
              </v:shape>
            </v:group>
            <v:group style="position:absolute;left:60;top:5486;width:2271;height:356" coordorigin="60,5486" coordsize="2271,356">
              <v:shape style="position:absolute;left:60;top:5486;width:2271;height:356" coordorigin="60,5486" coordsize="2271,356" path="m60,5842l2330,5842,2330,5486,60,5486,60,5842xe" filled="true" fillcolor="#d2d2d2" stroked="false">
                <v:path arrowok="t"/>
                <v:fill type="solid"/>
              </v:shape>
            </v:group>
            <v:group style="position:absolute;left:36;top:5410;width:2314;height:2" coordorigin="36,5410" coordsize="2314,2">
              <v:shape style="position:absolute;left:36;top:5410;width:2314;height:2" coordorigin="36,5410" coordsize="2314,0" path="m36,5410l2350,5410e" filled="false" stroked="true" strokeweight=".48pt" strokecolor="#000000">
                <v:path arrowok="t"/>
              </v:shape>
            </v:group>
            <v:group style="position:absolute;left:2359;top:5410;width:7416;height:2" coordorigin="2359,5410" coordsize="7416,2">
              <v:shape style="position:absolute;left:2359;top:5410;width:7416;height:2" coordorigin="2359,5410" coordsize="7416,0" path="m2359,5410l9775,5410e" filled="false" stroked="true" strokeweight=".48pt" strokecolor="#000000">
                <v:path arrowok="t"/>
              </v:shape>
            </v:group>
            <v:group style="position:absolute;left:31;top:5;width:2;height:5914" coordorigin="31,5" coordsize="2,5914">
              <v:shape style="position:absolute;left:31;top:5;width:2;height:5914" coordorigin="31,5" coordsize="0,5914" path="m31,5l31,5918e" filled="false" stroked="true" strokeweight=".48pt" strokecolor="#000000">
                <v:path arrowok="t"/>
              </v:shape>
            </v:group>
            <v:group style="position:absolute;left:36;top:5914;width:2314;height:2" coordorigin="36,5914" coordsize="2314,2">
              <v:shape style="position:absolute;left:36;top:5914;width:2314;height:2" coordorigin="36,5914" coordsize="2314,0" path="m36,5914l2350,5914e" filled="false" stroked="true" strokeweight=".48pt" strokecolor="#000000">
                <v:path arrowok="t"/>
              </v:shape>
            </v:group>
            <v:group style="position:absolute;left:2354;top:5;width:2;height:5914" coordorigin="2354,5" coordsize="2,5914">
              <v:shape style="position:absolute;left:2354;top:5;width:2;height:5914" coordorigin="2354,5" coordsize="0,5914" path="m2354,5l2354,5918e" filled="false" stroked="true" strokeweight=".48pt" strokecolor="#000000">
                <v:path arrowok="t"/>
              </v:shape>
            </v:group>
            <v:group style="position:absolute;left:2359;top:5914;width:7416;height:2" coordorigin="2359,5914" coordsize="7416,2">
              <v:shape style="position:absolute;left:2359;top:5914;width:7416;height:2" coordorigin="2359,5914" coordsize="7416,0" path="m2359,5914l9775,5914e" filled="false" stroked="true" strokeweight=".48pt" strokecolor="#000000">
                <v:path arrowok="t"/>
              </v:shape>
            </v:group>
            <v:group style="position:absolute;left:9780;top:5;width:2;height:5914" coordorigin="9780,5" coordsize="2,5914">
              <v:shape style="position:absolute;left:9780;top:5;width:2;height:5914" coordorigin="9780,5" coordsize="0,5914" path="m9780,5l9780,5918e" filled="false" stroked="true" strokeweight=".48pt" strokecolor="#000000">
                <v:path arrowok="t"/>
              </v:shape>
              <v:shape style="position:absolute;left:31;top:10;width:2324;height:512" type="#_x0000_t202" filled="false" stroked="false">
                <v:textbox inset="0,0,0,0">
                  <w:txbxContent>
                    <w:p>
                      <w:pPr>
                        <w:spacing w:before="66"/>
                        <w:ind w:left="28" w:right="0" w:firstLine="0"/>
                        <w:jc w:val="left"/>
                        <w:rPr>
                          <w:rFonts w:ascii="宋体" w:hAnsi="宋体" w:cs="宋体" w:eastAsia="宋体" w:hint="default"/>
                          <w:sz w:val="21"/>
                          <w:szCs w:val="21"/>
                        </w:rPr>
                      </w:pPr>
                      <w:r>
                        <w:rPr>
                          <w:rFonts w:ascii="宋体" w:hAnsi="宋体" w:cs="宋体" w:eastAsia="宋体" w:hint="default"/>
                          <w:sz w:val="21"/>
                          <w:szCs w:val="21"/>
                        </w:rPr>
                        <w:t>股票简称</w:t>
                      </w:r>
                    </w:p>
                  </w:txbxContent>
                </v:textbox>
                <w10:wrap type="none"/>
              </v:shape>
              <v:shape style="position:absolute;left:2354;top:10;width:3010;height:512" type="#_x0000_t202" filled="false" stroked="false">
                <v:textbox inset="0,0,0,0">
                  <w:txbxContent>
                    <w:p>
                      <w:pPr>
                        <w:spacing w:before="66"/>
                        <w:ind w:left="28" w:right="0" w:firstLine="0"/>
                        <w:jc w:val="left"/>
                        <w:rPr>
                          <w:rFonts w:ascii="宋体" w:hAnsi="宋体" w:cs="宋体" w:eastAsia="宋体" w:hint="default"/>
                          <w:sz w:val="21"/>
                          <w:szCs w:val="21"/>
                        </w:rPr>
                      </w:pPr>
                      <w:r>
                        <w:rPr>
                          <w:rFonts w:ascii="宋体" w:hAnsi="宋体" w:cs="宋体" w:eastAsia="宋体" w:hint="default"/>
                          <w:sz w:val="21"/>
                          <w:szCs w:val="21"/>
                        </w:rPr>
                        <w:t>宝安地产</w:t>
                      </w:r>
                    </w:p>
                  </w:txbxContent>
                </v:textbox>
                <w10:wrap type="none"/>
              </v:shape>
              <v:shape style="position:absolute;left:5364;top:10;width:2199;height:370" type="#_x0000_t202" filled="false" stroked="false">
                <v:textbox inset="0,0,0,0">
                  <w:txbxContent>
                    <w:p>
                      <w:pPr>
                        <w:spacing w:before="62"/>
                        <w:ind w:left="28" w:right="0" w:firstLine="0"/>
                        <w:jc w:val="left"/>
                        <w:rPr>
                          <w:rFonts w:ascii="宋体" w:hAnsi="宋体" w:cs="宋体" w:eastAsia="宋体" w:hint="default"/>
                          <w:sz w:val="21"/>
                          <w:szCs w:val="21"/>
                        </w:rPr>
                      </w:pPr>
                      <w:r>
                        <w:rPr>
                          <w:rFonts w:ascii="宋体" w:hAnsi="宋体" w:cs="宋体" w:eastAsia="宋体" w:hint="default"/>
                          <w:sz w:val="21"/>
                          <w:szCs w:val="21"/>
                        </w:rPr>
                        <w:t>股票代码</w:t>
                      </w:r>
                    </w:p>
                  </w:txbxContent>
                </v:textbox>
                <w10:wrap type="none"/>
              </v:shape>
              <v:shape style="position:absolute;left:7562;top:10;width:2218;height:512" type="#_x0000_t202" filled="false" stroked="false">
                <v:textbox inset="0,0,0,0">
                  <w:txbxContent>
                    <w:p>
                      <w:pPr>
                        <w:spacing w:before="111"/>
                        <w:ind w:left="28" w:right="0" w:firstLine="0"/>
                        <w:jc w:val="left"/>
                        <w:rPr>
                          <w:rFonts w:ascii="Times New Roman" w:hAnsi="Times New Roman" w:cs="Times New Roman" w:eastAsia="Times New Roman" w:hint="default"/>
                          <w:sz w:val="21"/>
                          <w:szCs w:val="21"/>
                        </w:rPr>
                      </w:pPr>
                      <w:r>
                        <w:rPr>
                          <w:rFonts w:ascii="Times New Roman"/>
                          <w:sz w:val="21"/>
                        </w:rPr>
                        <w:t>000040</w:t>
                      </w:r>
                    </w:p>
                  </w:txbxContent>
                </v:textbox>
                <w10:wrap type="none"/>
              </v:shape>
              <v:shape style="position:absolute;left:31;top:521;width:2324;height:434" type="#_x0000_t202" filled="false" stroked="false">
                <v:textbox inset="0,0,0,0">
                  <w:txbxContent>
                    <w:p>
                      <w:pPr>
                        <w:spacing w:before="44"/>
                        <w:ind w:left="28" w:right="0" w:firstLine="0"/>
                        <w:jc w:val="left"/>
                        <w:rPr>
                          <w:rFonts w:ascii="宋体" w:hAnsi="宋体" w:cs="宋体" w:eastAsia="宋体" w:hint="default"/>
                          <w:sz w:val="21"/>
                          <w:szCs w:val="21"/>
                        </w:rPr>
                      </w:pPr>
                      <w:r>
                        <w:rPr>
                          <w:rFonts w:ascii="宋体" w:hAnsi="宋体" w:cs="宋体" w:eastAsia="宋体" w:hint="default"/>
                          <w:sz w:val="21"/>
                          <w:szCs w:val="21"/>
                        </w:rPr>
                        <w:t>股票上市证券交易所</w:t>
                      </w:r>
                    </w:p>
                  </w:txbxContent>
                </v:textbox>
                <w10:wrap type="none"/>
              </v:shape>
              <v:shape style="position:absolute;left:2354;top:521;width:7426;height:434" type="#_x0000_t202" filled="false" stroked="false">
                <v:textbox inset="0,0,0,0">
                  <w:txbxContent>
                    <w:p>
                      <w:pPr>
                        <w:spacing w:before="44"/>
                        <w:ind w:left="28" w:right="0" w:firstLine="0"/>
                        <w:jc w:val="left"/>
                        <w:rPr>
                          <w:rFonts w:ascii="宋体" w:hAnsi="宋体" w:cs="宋体" w:eastAsia="宋体" w:hint="default"/>
                          <w:sz w:val="21"/>
                          <w:szCs w:val="21"/>
                        </w:rPr>
                      </w:pPr>
                      <w:r>
                        <w:rPr>
                          <w:rFonts w:ascii="宋体" w:hAnsi="宋体" w:cs="宋体" w:eastAsia="宋体" w:hint="default"/>
                          <w:sz w:val="21"/>
                          <w:szCs w:val="21"/>
                        </w:rPr>
                        <w:t>深圳证券交易所</w:t>
                      </w:r>
                    </w:p>
                  </w:txbxContent>
                </v:textbox>
                <w10:wrap type="none"/>
              </v:shape>
              <v:shape style="position:absolute;left:31;top:955;width:2324;height:548" type="#_x0000_t202" filled="false" stroked="false">
                <v:textbox inset="0,0,0,0">
                  <w:txbxContent>
                    <w:p>
                      <w:pPr>
                        <w:spacing w:before="100"/>
                        <w:ind w:left="28" w:right="0" w:firstLine="0"/>
                        <w:jc w:val="left"/>
                        <w:rPr>
                          <w:rFonts w:ascii="宋体" w:hAnsi="宋体" w:cs="宋体" w:eastAsia="宋体" w:hint="default"/>
                          <w:sz w:val="21"/>
                          <w:szCs w:val="21"/>
                        </w:rPr>
                      </w:pPr>
                      <w:r>
                        <w:rPr>
                          <w:rFonts w:ascii="宋体" w:hAnsi="宋体" w:cs="宋体" w:eastAsia="宋体" w:hint="default"/>
                          <w:sz w:val="21"/>
                          <w:szCs w:val="21"/>
                        </w:rPr>
                        <w:t>公司的中文名称</w:t>
                      </w:r>
                    </w:p>
                  </w:txbxContent>
                </v:textbox>
                <w10:wrap type="none"/>
              </v:shape>
              <v:shape style="position:absolute;left:2354;top:955;width:7426;height:548" type="#_x0000_t202" filled="false" stroked="false">
                <v:textbox inset="0,0,0,0">
                  <w:txbxContent>
                    <w:p>
                      <w:pPr>
                        <w:spacing w:before="100"/>
                        <w:ind w:left="28" w:right="0" w:firstLine="0"/>
                        <w:jc w:val="left"/>
                        <w:rPr>
                          <w:rFonts w:ascii="宋体" w:hAnsi="宋体" w:cs="宋体" w:eastAsia="宋体" w:hint="default"/>
                          <w:sz w:val="21"/>
                          <w:szCs w:val="21"/>
                        </w:rPr>
                      </w:pPr>
                      <w:r>
                        <w:rPr>
                          <w:rFonts w:ascii="宋体" w:hAnsi="宋体" w:cs="宋体" w:eastAsia="宋体" w:hint="default"/>
                          <w:sz w:val="21"/>
                          <w:szCs w:val="21"/>
                        </w:rPr>
                        <w:t>宝安鸿基地产集团股份有限公司</w:t>
                      </w:r>
                    </w:p>
                  </w:txbxContent>
                </v:textbox>
                <w10:wrap type="none"/>
              </v:shape>
              <v:shape style="position:absolute;left:31;top:1502;width:2324;height:466" type="#_x0000_t202" filled="false" stroked="false">
                <v:textbox inset="0,0,0,0">
                  <w:txbxContent>
                    <w:p>
                      <w:pPr>
                        <w:spacing w:before="42"/>
                        <w:ind w:left="28" w:right="0" w:firstLine="0"/>
                        <w:jc w:val="left"/>
                        <w:rPr>
                          <w:rFonts w:ascii="宋体" w:hAnsi="宋体" w:cs="宋体" w:eastAsia="宋体" w:hint="default"/>
                          <w:sz w:val="21"/>
                          <w:szCs w:val="21"/>
                        </w:rPr>
                      </w:pPr>
                      <w:r>
                        <w:rPr>
                          <w:rFonts w:ascii="宋体" w:hAnsi="宋体" w:cs="宋体" w:eastAsia="宋体" w:hint="default"/>
                          <w:sz w:val="21"/>
                          <w:szCs w:val="21"/>
                        </w:rPr>
                        <w:t>公司的中文简称</w:t>
                      </w:r>
                    </w:p>
                  </w:txbxContent>
                </v:textbox>
                <w10:wrap type="none"/>
              </v:shape>
              <v:shape style="position:absolute;left:2354;top:1502;width:7426;height:466" type="#_x0000_t202" filled="false" stroked="false">
                <v:textbox inset="0,0,0,0">
                  <w:txbxContent>
                    <w:p>
                      <w:pPr>
                        <w:spacing w:before="42"/>
                        <w:ind w:left="28" w:right="0" w:firstLine="0"/>
                        <w:jc w:val="left"/>
                        <w:rPr>
                          <w:rFonts w:ascii="宋体" w:hAnsi="宋体" w:cs="宋体" w:eastAsia="宋体" w:hint="default"/>
                          <w:sz w:val="21"/>
                          <w:szCs w:val="21"/>
                        </w:rPr>
                      </w:pPr>
                      <w:r>
                        <w:rPr>
                          <w:rFonts w:ascii="宋体" w:hAnsi="宋体" w:cs="宋体" w:eastAsia="宋体" w:hint="default"/>
                          <w:sz w:val="21"/>
                          <w:szCs w:val="21"/>
                        </w:rPr>
                        <w:t>宝安地产</w:t>
                      </w:r>
                    </w:p>
                  </w:txbxContent>
                </v:textbox>
                <w10:wrap type="none"/>
              </v:shape>
              <v:shape style="position:absolute;left:31;top:1968;width:2324;height:519" type="#_x0000_t202" filled="false" stroked="false">
                <v:textbox inset="0,0,0,0">
                  <w:txbxContent>
                    <w:p>
                      <w:pPr>
                        <w:spacing w:before="66"/>
                        <w:ind w:left="28" w:right="-20" w:firstLine="0"/>
                        <w:jc w:val="left"/>
                        <w:rPr>
                          <w:rFonts w:ascii="宋体" w:hAnsi="宋体" w:cs="宋体" w:eastAsia="宋体" w:hint="default"/>
                          <w:sz w:val="21"/>
                          <w:szCs w:val="21"/>
                        </w:rPr>
                      </w:pPr>
                      <w:r>
                        <w:rPr>
                          <w:rFonts w:ascii="宋体" w:hAnsi="宋体" w:cs="宋体" w:eastAsia="宋体" w:hint="default"/>
                          <w:sz w:val="21"/>
                          <w:szCs w:val="21"/>
                        </w:rPr>
                        <w:t>公司的外文名称（如有）</w:t>
                      </w:r>
                    </w:p>
                  </w:txbxContent>
                </v:textbox>
                <w10:wrap type="none"/>
              </v:shape>
              <v:shape style="position:absolute;left:2354;top:1968;width:7426;height:519" type="#_x0000_t202" filled="false" stroked="false">
                <v:textbox inset="0,0,0,0">
                  <w:txbxContent>
                    <w:p>
                      <w:pPr>
                        <w:spacing w:before="106"/>
                        <w:ind w:left="28" w:right="0" w:firstLine="0"/>
                        <w:jc w:val="left"/>
                        <w:rPr>
                          <w:rFonts w:ascii="Times New Roman" w:hAnsi="Times New Roman" w:cs="Times New Roman" w:eastAsia="Times New Roman" w:hint="default"/>
                          <w:sz w:val="21"/>
                          <w:szCs w:val="21"/>
                        </w:rPr>
                      </w:pPr>
                      <w:r>
                        <w:rPr>
                          <w:rFonts w:ascii="Times New Roman"/>
                          <w:sz w:val="21"/>
                        </w:rPr>
                        <w:t>BAOAN HONGJI REAL </w:t>
                      </w:r>
                      <w:r>
                        <w:rPr>
                          <w:rFonts w:ascii="Times New Roman"/>
                          <w:spacing w:val="-8"/>
                          <w:sz w:val="21"/>
                        </w:rPr>
                        <w:t>ESTATE </w:t>
                      </w:r>
                      <w:r>
                        <w:rPr>
                          <w:rFonts w:ascii="Times New Roman"/>
                          <w:sz w:val="21"/>
                        </w:rPr>
                        <w:t>GROUP CO.,</w:t>
                      </w:r>
                      <w:r>
                        <w:rPr>
                          <w:rFonts w:ascii="Times New Roman"/>
                          <w:spacing w:val="-9"/>
                          <w:sz w:val="21"/>
                        </w:rPr>
                        <w:t> </w:t>
                      </w:r>
                      <w:r>
                        <w:rPr>
                          <w:rFonts w:ascii="Times New Roman"/>
                          <w:spacing w:val="-8"/>
                          <w:sz w:val="21"/>
                        </w:rPr>
                        <w:t>LTD</w:t>
                      </w:r>
                    </w:p>
                  </w:txbxContent>
                </v:textbox>
                <w10:wrap type="none"/>
              </v:shape>
              <v:shape style="position:absolute;left:31;top:2486;width:2324;height:461" type="#_x0000_t202" filled="false" stroked="false">
                <v:textbox inset="0,0,0,0">
                  <w:txbxContent>
                    <w:p>
                      <w:pPr>
                        <w:spacing w:before="42"/>
                        <w:ind w:left="28" w:right="0" w:firstLine="0"/>
                        <w:jc w:val="left"/>
                        <w:rPr>
                          <w:rFonts w:ascii="宋体" w:hAnsi="宋体" w:cs="宋体" w:eastAsia="宋体" w:hint="default"/>
                          <w:sz w:val="21"/>
                          <w:szCs w:val="21"/>
                        </w:rPr>
                      </w:pPr>
                      <w:r>
                        <w:rPr>
                          <w:rFonts w:ascii="宋体" w:hAnsi="宋体" w:cs="宋体" w:eastAsia="宋体" w:hint="default"/>
                          <w:sz w:val="21"/>
                          <w:szCs w:val="21"/>
                        </w:rPr>
                        <w:t>公司的法定代表人</w:t>
                      </w:r>
                    </w:p>
                  </w:txbxContent>
                </v:textbox>
                <w10:wrap type="none"/>
              </v:shape>
              <v:shape style="position:absolute;left:2383;top:2593;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陈泰泉</w:t>
                      </w:r>
                    </w:p>
                  </w:txbxContent>
                </v:textbox>
                <w10:wrap type="none"/>
              </v:shape>
              <v:shape style="position:absolute;left:31;top:2947;width:2324;height:519" type="#_x0000_t202" filled="false" stroked="false">
                <v:textbox inset="0,0,0,0">
                  <w:txbxContent>
                    <w:p>
                      <w:pPr>
                        <w:spacing w:before="66"/>
                        <w:ind w:left="28" w:right="0" w:firstLine="0"/>
                        <w:jc w:val="left"/>
                        <w:rPr>
                          <w:rFonts w:ascii="宋体" w:hAnsi="宋体" w:cs="宋体" w:eastAsia="宋体" w:hint="default"/>
                          <w:sz w:val="21"/>
                          <w:szCs w:val="21"/>
                        </w:rPr>
                      </w:pPr>
                      <w:r>
                        <w:rPr>
                          <w:rFonts w:ascii="宋体" w:hAnsi="宋体" w:cs="宋体" w:eastAsia="宋体" w:hint="default"/>
                          <w:sz w:val="21"/>
                          <w:szCs w:val="21"/>
                        </w:rPr>
                        <w:t>注册地址</w:t>
                      </w:r>
                    </w:p>
                  </w:txbxContent>
                </v:textbox>
                <w10:wrap type="none"/>
              </v:shape>
              <v:shape style="position:absolute;left:2354;top:2947;width:7426;height:519" type="#_x0000_t202" filled="false" stroked="false">
                <v:textbox inset="0,0,0,0">
                  <w:txbxContent>
                    <w:p>
                      <w:pPr>
                        <w:spacing w:before="66"/>
                        <w:ind w:left="28" w:right="0" w:firstLine="0"/>
                        <w:jc w:val="left"/>
                        <w:rPr>
                          <w:rFonts w:ascii="宋体" w:hAnsi="宋体" w:cs="宋体" w:eastAsia="宋体" w:hint="default"/>
                          <w:sz w:val="21"/>
                          <w:szCs w:val="21"/>
                        </w:rPr>
                      </w:pPr>
                      <w:r>
                        <w:rPr>
                          <w:rFonts w:ascii="宋体" w:hAnsi="宋体" w:cs="宋体" w:eastAsia="宋体" w:hint="default"/>
                          <w:sz w:val="21"/>
                          <w:szCs w:val="21"/>
                        </w:rPr>
                        <w:t>深圳市罗湖区东门中路</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1011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号鸿基大厦</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25-27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楼</w:t>
                      </w:r>
                    </w:p>
                  </w:txbxContent>
                </v:textbox>
                <w10:wrap type="none"/>
              </v:shape>
              <v:shape style="position:absolute;left:31;top:3466;width:2324;height:425" type="#_x0000_t202" filled="false" stroked="false">
                <v:textbox inset="0,0,0,0">
                  <w:txbxContent>
                    <w:p>
                      <w:pPr>
                        <w:spacing w:before="42"/>
                        <w:ind w:left="28" w:right="0" w:firstLine="0"/>
                        <w:jc w:val="left"/>
                        <w:rPr>
                          <w:rFonts w:ascii="宋体" w:hAnsi="宋体" w:cs="宋体" w:eastAsia="宋体" w:hint="default"/>
                          <w:sz w:val="21"/>
                          <w:szCs w:val="21"/>
                        </w:rPr>
                      </w:pPr>
                      <w:r>
                        <w:rPr>
                          <w:rFonts w:ascii="宋体" w:hAnsi="宋体" w:cs="宋体" w:eastAsia="宋体" w:hint="default"/>
                          <w:sz w:val="21"/>
                          <w:szCs w:val="21"/>
                        </w:rPr>
                        <w:t>注册地址的邮政编码</w:t>
                      </w:r>
                    </w:p>
                  </w:txbxContent>
                </v:textbox>
                <w10:wrap type="none"/>
              </v:shape>
              <v:shape style="position:absolute;left:2383;top:3574;width:634;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518001</w:t>
                      </w:r>
                    </w:p>
                  </w:txbxContent>
                </v:textbox>
                <w10:wrap type="none"/>
              </v:shape>
              <v:shape style="position:absolute;left:2354;top:3890;width:7426;height:540" type="#_x0000_t202" filled="false" stroked="false">
                <v:textbox inset="0,0,0,0">
                  <w:txbxContent>
                    <w:p>
                      <w:pPr>
                        <w:spacing w:before="117"/>
                        <w:ind w:left="28" w:right="0" w:firstLine="0"/>
                        <w:jc w:val="left"/>
                        <w:rPr>
                          <w:rFonts w:ascii="宋体" w:hAnsi="宋体" w:cs="宋体" w:eastAsia="宋体" w:hint="default"/>
                          <w:sz w:val="21"/>
                          <w:szCs w:val="21"/>
                        </w:rPr>
                      </w:pPr>
                      <w:r>
                        <w:rPr>
                          <w:rFonts w:ascii="宋体" w:hAnsi="宋体" w:cs="宋体" w:eastAsia="宋体" w:hint="default"/>
                          <w:sz w:val="21"/>
                          <w:szCs w:val="21"/>
                        </w:rPr>
                        <w:t>深圳市罗湖区东门中路</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1011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号鸿基大厦</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25-27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楼</w:t>
                      </w:r>
                    </w:p>
                  </w:txbxContent>
                </v:textbox>
                <w10:wrap type="none"/>
              </v:shape>
              <v:shape style="position:absolute;left:31;top:4003;width:2324;height:428" type="#_x0000_t202" filled="false" stroked="false">
                <v:textbox inset="0,0,0,0">
                  <w:txbxContent>
                    <w:p>
                      <w:pPr>
                        <w:spacing w:before="4"/>
                        <w:ind w:left="28" w:right="0" w:firstLine="0"/>
                        <w:jc w:val="left"/>
                        <w:rPr>
                          <w:rFonts w:ascii="宋体" w:hAnsi="宋体" w:cs="宋体" w:eastAsia="宋体" w:hint="default"/>
                          <w:sz w:val="21"/>
                          <w:szCs w:val="21"/>
                        </w:rPr>
                      </w:pPr>
                      <w:r>
                        <w:rPr>
                          <w:rFonts w:ascii="宋体" w:hAnsi="宋体" w:cs="宋体" w:eastAsia="宋体" w:hint="default"/>
                          <w:sz w:val="21"/>
                          <w:szCs w:val="21"/>
                        </w:rPr>
                        <w:t>办公地址</w:t>
                      </w:r>
                    </w:p>
                  </w:txbxContent>
                </v:textbox>
                <w10:wrap type="none"/>
              </v:shape>
              <v:shape style="position:absolute;left:31;top:4430;width:2324;height:447" type="#_x0000_t202" filled="false" stroked="false">
                <v:textbox inset="0,0,0,0">
                  <w:txbxContent>
                    <w:p>
                      <w:pPr>
                        <w:spacing w:before="66"/>
                        <w:ind w:left="28" w:right="0" w:firstLine="0"/>
                        <w:jc w:val="left"/>
                        <w:rPr>
                          <w:rFonts w:ascii="宋体" w:hAnsi="宋体" w:cs="宋体" w:eastAsia="宋体" w:hint="default"/>
                          <w:sz w:val="21"/>
                          <w:szCs w:val="21"/>
                        </w:rPr>
                      </w:pPr>
                      <w:r>
                        <w:rPr>
                          <w:rFonts w:ascii="宋体" w:hAnsi="宋体" w:cs="宋体" w:eastAsia="宋体" w:hint="default"/>
                          <w:sz w:val="21"/>
                          <w:szCs w:val="21"/>
                        </w:rPr>
                        <w:t>办公地址的邮政编码</w:t>
                      </w:r>
                    </w:p>
                  </w:txbxContent>
                </v:textbox>
                <w10:wrap type="none"/>
              </v:shape>
              <v:shape style="position:absolute;left:2383;top:4563;width:634;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518001</w:t>
                      </w:r>
                    </w:p>
                  </w:txbxContent>
                </v:textbox>
                <w10:wrap type="none"/>
              </v:shape>
              <v:shape style="position:absolute;left:2354;top:4877;width:7426;height:572" type="#_x0000_t202" filled="false" stroked="false">
                <v:textbox inset="0,0,0,0">
                  <w:txbxContent>
                    <w:p>
                      <w:pPr>
                        <w:spacing w:before="154"/>
                        <w:ind w:left="28" w:right="0" w:firstLine="0"/>
                        <w:jc w:val="left"/>
                        <w:rPr>
                          <w:rFonts w:ascii="Times New Roman" w:hAnsi="Times New Roman" w:cs="Times New Roman" w:eastAsia="Times New Roman" w:hint="default"/>
                          <w:sz w:val="21"/>
                          <w:szCs w:val="21"/>
                        </w:rPr>
                      </w:pPr>
                      <w:hyperlink r:id="rId10">
                        <w:r>
                          <w:rPr>
                            <w:rFonts w:ascii="Times New Roman"/>
                            <w:sz w:val="21"/>
                          </w:rPr>
                          <w:t>www.bahjdc.com</w:t>
                        </w:r>
                      </w:hyperlink>
                    </w:p>
                  </w:txbxContent>
                </v:textbox>
                <w10:wrap type="none"/>
              </v:shape>
              <v:shape style="position:absolute;left:31;top:4987;width:2324;height:462" type="#_x0000_t202" filled="false" stroked="false">
                <v:textbox inset="0,0,0,0">
                  <w:txbxContent>
                    <w:p>
                      <w:pPr>
                        <w:spacing w:before="4"/>
                        <w:ind w:left="28" w:right="0" w:firstLine="0"/>
                        <w:jc w:val="left"/>
                        <w:rPr>
                          <w:rFonts w:ascii="宋体" w:hAnsi="宋体" w:cs="宋体" w:eastAsia="宋体" w:hint="default"/>
                          <w:sz w:val="21"/>
                          <w:szCs w:val="21"/>
                        </w:rPr>
                      </w:pPr>
                      <w:r>
                        <w:rPr>
                          <w:rFonts w:ascii="宋体" w:hAnsi="宋体" w:cs="宋体" w:eastAsia="宋体" w:hint="default"/>
                          <w:sz w:val="21"/>
                          <w:szCs w:val="21"/>
                        </w:rPr>
                        <w:t>公司网址</w:t>
                      </w:r>
                    </w:p>
                  </w:txbxContent>
                </v:textbox>
                <w10:wrap type="none"/>
              </v:shape>
              <v:shape style="position:absolute;left:31;top:5448;width:2324;height:466" type="#_x0000_t202" filled="false" stroked="false">
                <v:textbox inset="0,0,0,0">
                  <w:txbxContent>
                    <w:p>
                      <w:pPr>
                        <w:spacing w:before="42"/>
                        <w:ind w:left="28" w:right="0" w:firstLine="0"/>
                        <w:jc w:val="left"/>
                        <w:rPr>
                          <w:rFonts w:ascii="宋体" w:hAnsi="宋体" w:cs="宋体" w:eastAsia="宋体" w:hint="default"/>
                          <w:sz w:val="21"/>
                          <w:szCs w:val="21"/>
                        </w:rPr>
                      </w:pPr>
                      <w:r>
                        <w:rPr>
                          <w:rFonts w:ascii="宋体" w:hAnsi="宋体" w:cs="宋体" w:eastAsia="宋体" w:hint="default"/>
                          <w:sz w:val="21"/>
                          <w:szCs w:val="21"/>
                        </w:rPr>
                        <w:t>电子信箱</w:t>
                      </w:r>
                    </w:p>
                  </w:txbxContent>
                </v:textbox>
                <w10:wrap type="none"/>
              </v:shape>
              <v:shape style="position:absolute;left:2354;top:5448;width:7426;height:466" type="#_x0000_t202" filled="false" stroked="false">
                <v:textbox inset="0,0,0,0">
                  <w:txbxContent>
                    <w:p>
                      <w:pPr>
                        <w:spacing w:before="82"/>
                        <w:ind w:left="28" w:right="0" w:firstLine="0"/>
                        <w:jc w:val="left"/>
                        <w:rPr>
                          <w:rFonts w:ascii="Times New Roman" w:hAnsi="Times New Roman" w:cs="Times New Roman" w:eastAsia="Times New Roman" w:hint="default"/>
                          <w:sz w:val="21"/>
                          <w:szCs w:val="21"/>
                        </w:rPr>
                      </w:pPr>
                      <w:hyperlink r:id="rId11">
                        <w:r>
                          <w:rPr>
                            <w:rFonts w:ascii="Times New Roman"/>
                            <w:sz w:val="21"/>
                          </w:rPr>
                          <w:t>sz000040@bahjdc.com</w:t>
                        </w:r>
                      </w:hyperlink>
                    </w:p>
                  </w:txbxContent>
                </v:textbox>
                <w10:wrap type="none"/>
              </v:shape>
            </v:group>
          </v:group>
        </w:pict>
      </w:r>
      <w:r>
        <w:rPr>
          <w:rFonts w:ascii="Microsoft JhengHei" w:hAnsi="Microsoft JhengHei" w:cs="Microsoft JhengHei" w:eastAsia="Microsoft JhengHei" w:hint="default"/>
          <w:position w:val="-117"/>
          <w:sz w:val="20"/>
          <w:szCs w:val="20"/>
        </w:rPr>
      </w:r>
    </w:p>
    <w:p>
      <w:pPr>
        <w:pStyle w:val="Heading4"/>
        <w:spacing w:line="240" w:lineRule="auto" w:before="176"/>
        <w:ind w:right="0"/>
        <w:jc w:val="left"/>
        <w:rPr>
          <w:b w:val="0"/>
          <w:bCs w:val="0"/>
        </w:rPr>
      </w:pPr>
      <w:r>
        <w:rPr/>
        <w:t>二、联系人和联系方式</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163"/>
        <w:gridCol w:w="3168"/>
        <w:gridCol w:w="3168"/>
      </w:tblGrid>
      <w:tr>
        <w:trPr>
          <w:trHeight w:val="388" w:hRule="exact"/>
        </w:trPr>
        <w:tc>
          <w:tcPr>
            <w:tcW w:w="31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051"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945"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60" w:hRule="exact"/>
        </w:trPr>
        <w:tc>
          <w:tcPr>
            <w:tcW w:w="3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沈蜀江</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刘莹</w:t>
            </w:r>
          </w:p>
        </w:tc>
      </w:tr>
      <w:tr>
        <w:trPr>
          <w:trHeight w:val="365" w:hRule="exact"/>
        </w:trPr>
        <w:tc>
          <w:tcPr>
            <w:tcW w:w="3163"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6336" w:type="dxa"/>
            <w:gridSpan w:val="2"/>
            <w:tcBorders>
              <w:top w:val="single" w:sz="4" w:space="0" w:color="000000"/>
              <w:left w:val="single" w:sz="4" w:space="0" w:color="000000"/>
              <w:bottom w:val="single" w:sz="4" w:space="0" w:color="FFFFFF"/>
              <w:right w:val="single" w:sz="4" w:space="0" w:color="000000"/>
            </w:tcBorders>
          </w:tcPr>
          <w:p>
            <w:pPr>
              <w:pStyle w:val="TableParagraph"/>
              <w:spacing w:line="290" w:lineRule="exact"/>
              <w:ind w:left="23" w:right="0"/>
              <w:jc w:val="left"/>
              <w:rPr>
                <w:rFonts w:ascii="宋体" w:hAnsi="宋体" w:cs="宋体" w:eastAsia="宋体" w:hint="default"/>
                <w:sz w:val="21"/>
                <w:szCs w:val="21"/>
              </w:rPr>
            </w:pPr>
            <w:r>
              <w:rPr>
                <w:rFonts w:ascii="宋体" w:hAnsi="宋体" w:cs="宋体" w:eastAsia="宋体" w:hint="default"/>
                <w:sz w:val="21"/>
                <w:szCs w:val="21"/>
              </w:rPr>
              <w:t>深圳市罗湖区东门中路</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1011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号鸿基大厦</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楼</w:t>
            </w:r>
          </w:p>
        </w:tc>
      </w:tr>
      <w:tr>
        <w:trPr>
          <w:trHeight w:val="389" w:hRule="exact"/>
        </w:trPr>
        <w:tc>
          <w:tcPr>
            <w:tcW w:w="3163"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14"/>
              <w:ind w:left="24"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6336" w:type="dxa"/>
            <w:gridSpan w:val="2"/>
            <w:tcBorders>
              <w:top w:val="single" w:sz="4" w:space="0" w:color="FFFFFF"/>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Times New Roman" w:hAnsi="Times New Roman" w:cs="Times New Roman" w:eastAsia="Times New Roman" w:hint="default"/>
                <w:sz w:val="21"/>
                <w:szCs w:val="21"/>
              </w:rPr>
            </w:pPr>
            <w:r>
              <w:rPr>
                <w:rFonts w:ascii="Times New Roman"/>
                <w:sz w:val="21"/>
              </w:rPr>
              <w:t>0755-82367726</w:t>
            </w:r>
          </w:p>
        </w:tc>
      </w:tr>
      <w:tr>
        <w:trPr>
          <w:trHeight w:val="365" w:hRule="exact"/>
        </w:trPr>
        <w:tc>
          <w:tcPr>
            <w:tcW w:w="3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63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3" w:right="0"/>
              <w:jc w:val="left"/>
              <w:rPr>
                <w:rFonts w:ascii="Times New Roman" w:hAnsi="Times New Roman" w:cs="Times New Roman" w:eastAsia="Times New Roman" w:hint="default"/>
                <w:sz w:val="21"/>
                <w:szCs w:val="21"/>
              </w:rPr>
            </w:pPr>
            <w:r>
              <w:rPr>
                <w:rFonts w:ascii="Times New Roman"/>
                <w:sz w:val="21"/>
              </w:rPr>
              <w:t>0755-82367753</w:t>
            </w:r>
          </w:p>
        </w:tc>
      </w:tr>
      <w:tr>
        <w:trPr>
          <w:trHeight w:val="384" w:hRule="exact"/>
        </w:trPr>
        <w:tc>
          <w:tcPr>
            <w:tcW w:w="3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24"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63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3" w:right="0"/>
              <w:jc w:val="left"/>
              <w:rPr>
                <w:rFonts w:ascii="Times New Roman" w:hAnsi="Times New Roman" w:cs="Times New Roman" w:eastAsia="Times New Roman" w:hint="default"/>
                <w:sz w:val="21"/>
                <w:szCs w:val="21"/>
              </w:rPr>
            </w:pPr>
            <w:hyperlink r:id="rId11">
              <w:r>
                <w:rPr>
                  <w:rFonts w:ascii="Times New Roman"/>
                  <w:sz w:val="21"/>
                </w:rPr>
                <w:t>sz000040@bahjdc.com</w:t>
              </w:r>
            </w:hyperlink>
          </w:p>
        </w:tc>
      </w:tr>
    </w:tbl>
    <w:p>
      <w:pPr>
        <w:spacing w:line="240" w:lineRule="auto" w:before="5"/>
        <w:rPr>
          <w:rFonts w:ascii="Microsoft JhengHei" w:hAnsi="Microsoft JhengHei" w:cs="Microsoft JhengHei" w:eastAsia="Microsoft JhengHei" w:hint="default"/>
          <w:b/>
          <w:bCs/>
          <w:sz w:val="13"/>
          <w:szCs w:val="13"/>
        </w:rPr>
      </w:pPr>
    </w:p>
    <w:p>
      <w:pPr>
        <w:pStyle w:val="Heading4"/>
        <w:spacing w:line="367" w:lineRule="exact"/>
        <w:ind w:right="0"/>
        <w:jc w:val="left"/>
        <w:rPr>
          <w:b w:val="0"/>
          <w:bCs w:val="0"/>
        </w:rPr>
      </w:pPr>
      <w:r>
        <w:rPr/>
        <w:t>三、信息披露及备置地点</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701"/>
        <w:gridCol w:w="5794"/>
      </w:tblGrid>
      <w:tr>
        <w:trPr>
          <w:trHeight w:val="456" w:hRule="exact"/>
        </w:trPr>
        <w:tc>
          <w:tcPr>
            <w:tcW w:w="3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4" w:right="0"/>
              <w:jc w:val="left"/>
              <w:rPr>
                <w:rFonts w:ascii="宋体" w:hAnsi="宋体" w:cs="宋体" w:eastAsia="宋体" w:hint="default"/>
                <w:sz w:val="21"/>
                <w:szCs w:val="21"/>
              </w:rPr>
            </w:pPr>
            <w:r>
              <w:rPr>
                <w:rFonts w:ascii="宋体" w:hAnsi="宋体" w:cs="宋体" w:eastAsia="宋体" w:hint="default"/>
                <w:sz w:val="21"/>
                <w:szCs w:val="21"/>
              </w:rPr>
              <w:t>公司选定的信息披露报纸的名称</w:t>
            </w:r>
          </w:p>
        </w:tc>
        <w:tc>
          <w:tcPr>
            <w:tcW w:w="5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9" w:right="0"/>
              <w:jc w:val="left"/>
              <w:rPr>
                <w:rFonts w:ascii="宋体" w:hAnsi="宋体" w:cs="宋体" w:eastAsia="宋体" w:hint="default"/>
                <w:sz w:val="21"/>
                <w:szCs w:val="21"/>
              </w:rPr>
            </w:pPr>
            <w:r>
              <w:rPr>
                <w:rFonts w:ascii="宋体" w:hAnsi="宋体" w:cs="宋体" w:eastAsia="宋体" w:hint="default"/>
                <w:sz w:val="21"/>
                <w:szCs w:val="21"/>
              </w:rPr>
              <w:t>中国证券报、证券时报</w:t>
            </w:r>
          </w:p>
        </w:tc>
      </w:tr>
      <w:tr>
        <w:trPr>
          <w:trHeight w:val="552" w:hRule="exact"/>
        </w:trPr>
        <w:tc>
          <w:tcPr>
            <w:tcW w:w="3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4"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w:t>
            </w:r>
          </w:p>
          <w:p>
            <w:pPr>
              <w:pStyle w:val="TableParagraph"/>
              <w:spacing w:line="272" w:lineRule="exact"/>
              <w:ind w:left="24" w:right="0"/>
              <w:jc w:val="left"/>
              <w:rPr>
                <w:rFonts w:ascii="宋体" w:hAnsi="宋体" w:cs="宋体" w:eastAsia="宋体" w:hint="default"/>
                <w:sz w:val="21"/>
                <w:szCs w:val="21"/>
              </w:rPr>
            </w:pPr>
            <w:r>
              <w:rPr>
                <w:rFonts w:ascii="宋体" w:hAnsi="宋体" w:cs="宋体" w:eastAsia="宋体" w:hint="default"/>
                <w:sz w:val="21"/>
                <w:szCs w:val="21"/>
              </w:rPr>
              <w:t>网址</w:t>
            </w:r>
          </w:p>
        </w:tc>
        <w:tc>
          <w:tcPr>
            <w:tcW w:w="5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巨潮资讯网</w:t>
            </w:r>
            <w:r>
              <w:rPr>
                <w:rFonts w:ascii="宋体" w:hAnsi="宋体" w:cs="宋体" w:eastAsia="宋体" w:hint="default"/>
                <w:spacing w:val="-21"/>
                <w:sz w:val="21"/>
                <w:szCs w:val="21"/>
              </w:rPr>
              <w:t> </w:t>
            </w:r>
            <w:hyperlink r:id="rId12">
              <w:r>
                <w:rPr>
                  <w:rFonts w:ascii="Times New Roman" w:hAnsi="Times New Roman" w:cs="Times New Roman" w:eastAsia="Times New Roman" w:hint="default"/>
                  <w:spacing w:val="-3"/>
                  <w:sz w:val="21"/>
                  <w:szCs w:val="21"/>
                </w:rPr>
                <w:t>www.cninfo.com.cn</w:t>
              </w:r>
            </w:hyperlink>
          </w:p>
        </w:tc>
      </w:tr>
      <w:tr>
        <w:trPr>
          <w:trHeight w:val="456" w:hRule="exact"/>
        </w:trPr>
        <w:tc>
          <w:tcPr>
            <w:tcW w:w="3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4"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5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9" w:right="0"/>
              <w:jc w:val="left"/>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after="0" w:line="240" w:lineRule="auto"/>
        <w:jc w:val="left"/>
        <w:rPr>
          <w:rFonts w:ascii="宋体" w:hAnsi="宋体" w:cs="宋体" w:eastAsia="宋体" w:hint="default"/>
          <w:sz w:val="21"/>
          <w:szCs w:val="21"/>
        </w:rPr>
        <w:sectPr>
          <w:footerReference w:type="default" r:id="rId9"/>
          <w:pgSz w:w="11900" w:h="16840"/>
          <w:pgMar w:footer="957" w:header="872" w:top="1120" w:bottom="1140" w:left="980" w:right="880"/>
          <w:pgNumType w:start="1"/>
        </w:sectPr>
      </w:pPr>
    </w:p>
    <w:p>
      <w:pPr>
        <w:spacing w:line="240" w:lineRule="auto" w:before="12"/>
        <w:rPr>
          <w:rFonts w:ascii="Microsoft JhengHei" w:hAnsi="Microsoft JhengHei" w:cs="Microsoft JhengHei" w:eastAsia="Microsoft JhengHei" w:hint="default"/>
          <w:b/>
          <w:bCs/>
          <w:sz w:val="14"/>
          <w:szCs w:val="14"/>
        </w:rPr>
      </w:pPr>
    </w:p>
    <w:p>
      <w:pPr>
        <w:pStyle w:val="Heading4"/>
        <w:spacing w:line="367" w:lineRule="exact"/>
        <w:ind w:right="0"/>
        <w:jc w:val="left"/>
        <w:rPr>
          <w:b w:val="0"/>
          <w:bCs w:val="0"/>
        </w:rPr>
      </w:pPr>
      <w:r>
        <w:rPr/>
        <w:t>四、注册变更情况</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589"/>
        <w:gridCol w:w="1584"/>
        <w:gridCol w:w="1584"/>
        <w:gridCol w:w="1584"/>
        <w:gridCol w:w="1584"/>
        <w:gridCol w:w="1589"/>
      </w:tblGrid>
      <w:tr>
        <w:trPr>
          <w:trHeight w:val="144" w:hRule="exact"/>
        </w:trPr>
        <w:tc>
          <w:tcPr>
            <w:tcW w:w="1589" w:type="dxa"/>
            <w:tcBorders>
              <w:top w:val="single" w:sz="4" w:space="0" w:color="000000"/>
              <w:left w:val="single" w:sz="4" w:space="0" w:color="000000"/>
              <w:bottom w:val="single" w:sz="8" w:space="0" w:color="FFFFFF"/>
              <w:right w:val="single" w:sz="4" w:space="0" w:color="000000"/>
            </w:tcBorders>
            <w:shd w:val="clear" w:color="auto" w:fill="D2D2D2"/>
          </w:tcPr>
          <w:p>
            <w:pPr/>
          </w:p>
        </w:tc>
        <w:tc>
          <w:tcPr>
            <w:tcW w:w="1584" w:type="dxa"/>
            <w:tcBorders>
              <w:top w:val="single" w:sz="4" w:space="0" w:color="000000"/>
              <w:left w:val="single" w:sz="4" w:space="0" w:color="000000"/>
              <w:bottom w:val="single" w:sz="8" w:space="0" w:color="FFFFFF"/>
              <w:right w:val="single" w:sz="4" w:space="0" w:color="000000"/>
            </w:tcBorders>
            <w:shd w:val="clear" w:color="auto" w:fill="D2D2D2"/>
          </w:tcPr>
          <w:p>
            <w:pPr/>
          </w:p>
        </w:tc>
        <w:tc>
          <w:tcPr>
            <w:tcW w:w="1584" w:type="dxa"/>
            <w:tcBorders>
              <w:top w:val="single" w:sz="4" w:space="0" w:color="000000"/>
              <w:left w:val="single" w:sz="4" w:space="0" w:color="000000"/>
              <w:bottom w:val="single" w:sz="8" w:space="0" w:color="FFFFFF"/>
              <w:right w:val="single" w:sz="4" w:space="0" w:color="000000"/>
            </w:tcBorders>
            <w:shd w:val="clear" w:color="auto" w:fill="D2D2D2"/>
          </w:tcPr>
          <w:p>
            <w:pPr/>
          </w:p>
        </w:tc>
        <w:tc>
          <w:tcPr>
            <w:tcW w:w="1584" w:type="dxa"/>
            <w:vMerge w:val="restart"/>
            <w:tcBorders>
              <w:top w:val="single" w:sz="4" w:space="0" w:color="000000"/>
              <w:left w:val="single" w:sz="4" w:space="0" w:color="000000"/>
              <w:right w:val="single" w:sz="4" w:space="0" w:color="000000"/>
            </w:tcBorders>
            <w:shd w:val="clear" w:color="auto" w:fill="D2D2D2"/>
          </w:tcPr>
          <w:p>
            <w:pPr>
              <w:pStyle w:val="TableParagraph"/>
              <w:spacing w:line="233" w:lineRule="exact"/>
              <w:ind w:left="4" w:right="0"/>
              <w:jc w:val="center"/>
              <w:rPr>
                <w:rFonts w:ascii="宋体" w:hAnsi="宋体" w:cs="宋体" w:eastAsia="宋体" w:hint="default"/>
                <w:sz w:val="21"/>
                <w:szCs w:val="21"/>
              </w:rPr>
            </w:pPr>
            <w:r>
              <w:rPr>
                <w:rFonts w:ascii="宋体" w:hAnsi="宋体" w:cs="宋体" w:eastAsia="宋体" w:hint="default"/>
                <w:sz w:val="21"/>
                <w:szCs w:val="21"/>
              </w:rPr>
              <w:t>企业法人营业执</w:t>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照注册号</w:t>
            </w:r>
          </w:p>
        </w:tc>
        <w:tc>
          <w:tcPr>
            <w:tcW w:w="15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59" w:hRule="exact"/>
        </w:trPr>
        <w:tc>
          <w:tcPr>
            <w:tcW w:w="1589" w:type="dxa"/>
            <w:tcBorders>
              <w:top w:val="single" w:sz="8" w:space="0" w:color="FFFFFF"/>
              <w:left w:val="single" w:sz="4" w:space="0" w:color="000000"/>
              <w:bottom w:val="nil" w:sz="6" w:space="0" w:color="auto"/>
              <w:right w:val="single" w:sz="4" w:space="0" w:color="000000"/>
            </w:tcBorders>
            <w:shd w:val="clear" w:color="auto" w:fill="D2D2D2"/>
          </w:tcPr>
          <w:p>
            <w:pPr/>
          </w:p>
        </w:tc>
        <w:tc>
          <w:tcPr>
            <w:tcW w:w="1584" w:type="dxa"/>
            <w:tcBorders>
              <w:top w:val="single" w:sz="8" w:space="0" w:color="FFFFFF"/>
              <w:left w:val="single" w:sz="4" w:space="0" w:color="000000"/>
              <w:bottom w:val="nil" w:sz="6" w:space="0" w:color="auto"/>
              <w:right w:val="single" w:sz="4" w:space="0" w:color="000000"/>
            </w:tcBorders>
            <w:shd w:val="clear" w:color="auto" w:fill="D2D2D2"/>
          </w:tcPr>
          <w:p>
            <w:pPr>
              <w:pStyle w:val="TableParagraph"/>
              <w:spacing w:line="221" w:lineRule="exact"/>
              <w:ind w:left="153" w:right="0"/>
              <w:jc w:val="left"/>
              <w:rPr>
                <w:rFonts w:ascii="宋体" w:hAnsi="宋体" w:cs="宋体" w:eastAsia="宋体" w:hint="default"/>
                <w:sz w:val="21"/>
                <w:szCs w:val="21"/>
              </w:rPr>
            </w:pPr>
            <w:r>
              <w:rPr>
                <w:rFonts w:ascii="宋体" w:hAnsi="宋体" w:cs="宋体" w:eastAsia="宋体" w:hint="default"/>
                <w:sz w:val="21"/>
                <w:szCs w:val="21"/>
              </w:rPr>
              <w:t>注册登记日期</w:t>
            </w:r>
          </w:p>
        </w:tc>
        <w:tc>
          <w:tcPr>
            <w:tcW w:w="1584" w:type="dxa"/>
            <w:tcBorders>
              <w:top w:val="single" w:sz="8" w:space="0" w:color="FFFFFF"/>
              <w:left w:val="single" w:sz="4" w:space="0" w:color="000000"/>
              <w:bottom w:val="nil" w:sz="6" w:space="0" w:color="auto"/>
              <w:right w:val="single" w:sz="4" w:space="0" w:color="000000"/>
            </w:tcBorders>
            <w:shd w:val="clear" w:color="auto" w:fill="D2D2D2"/>
          </w:tcPr>
          <w:p>
            <w:pPr>
              <w:pStyle w:val="TableParagraph"/>
              <w:spacing w:line="221" w:lineRule="exact"/>
              <w:ind w:left="158" w:right="0"/>
              <w:jc w:val="left"/>
              <w:rPr>
                <w:rFonts w:ascii="宋体" w:hAnsi="宋体" w:cs="宋体" w:eastAsia="宋体" w:hint="default"/>
                <w:sz w:val="21"/>
                <w:szCs w:val="21"/>
              </w:rPr>
            </w:pPr>
            <w:r>
              <w:rPr>
                <w:rFonts w:ascii="宋体" w:hAnsi="宋体" w:cs="宋体" w:eastAsia="宋体" w:hint="default"/>
                <w:sz w:val="21"/>
                <w:szCs w:val="21"/>
              </w:rPr>
              <w:t>注册登记地点</w:t>
            </w:r>
          </w:p>
        </w:tc>
        <w:tc>
          <w:tcPr>
            <w:tcW w:w="1584" w:type="dxa"/>
            <w:vMerge/>
            <w:tcBorders>
              <w:left w:val="single" w:sz="4" w:space="0" w:color="000000"/>
              <w:right w:val="single" w:sz="4" w:space="0" w:color="000000"/>
            </w:tcBorders>
            <w:shd w:val="clear" w:color="auto" w:fill="D2D2D2"/>
          </w:tcPr>
          <w:p>
            <w:pPr/>
          </w:p>
        </w:tc>
        <w:tc>
          <w:tcPr>
            <w:tcW w:w="15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1" w:lineRule="exact"/>
              <w:ind w:left="158"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15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1" w:lineRule="exact"/>
              <w:ind w:left="158"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149" w:hRule="exact"/>
        </w:trPr>
        <w:tc>
          <w:tcPr>
            <w:tcW w:w="15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4" w:type="dxa"/>
            <w:vMerge/>
            <w:tcBorders>
              <w:left w:val="single" w:sz="4" w:space="0" w:color="000000"/>
              <w:bottom w:val="single" w:sz="4" w:space="0" w:color="000000"/>
              <w:right w:val="single" w:sz="4" w:space="0" w:color="000000"/>
            </w:tcBorders>
            <w:shd w:val="clear" w:color="auto" w:fill="D2D2D2"/>
          </w:tcPr>
          <w:p>
            <w:pPr/>
          </w:p>
        </w:tc>
        <w:tc>
          <w:tcPr>
            <w:tcW w:w="15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69" w:hRule="exact"/>
        </w:trPr>
        <w:tc>
          <w:tcPr>
            <w:tcW w:w="15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4" w:type="dxa"/>
            <w:vMerge w:val="restart"/>
            <w:tcBorders>
              <w:top w:val="single" w:sz="4" w:space="0" w:color="000000"/>
              <w:left w:val="single" w:sz="10" w:space="0" w:color="D2D2D2"/>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3"/>
                <w:szCs w:val="13"/>
              </w:rPr>
            </w:pPr>
          </w:p>
          <w:p>
            <w:pPr>
              <w:pStyle w:val="TableParagraph"/>
              <w:spacing w:line="282" w:lineRule="exact"/>
              <w:ind w:left="1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1989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p>
          <w:p>
            <w:pPr>
              <w:pStyle w:val="TableParagraph"/>
              <w:spacing w:line="266" w:lineRule="exact"/>
              <w:ind w:left="12"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1584" w:type="dxa"/>
            <w:vMerge w:val="restart"/>
            <w:tcBorders>
              <w:top w:val="single" w:sz="4" w:space="0" w:color="000000"/>
              <w:left w:val="single" w:sz="4" w:space="0" w:color="000000"/>
              <w:right w:val="single" w:sz="4" w:space="0" w:color="000000"/>
            </w:tcBorders>
          </w:tcPr>
          <w:p>
            <w:pPr>
              <w:pStyle w:val="TableParagraph"/>
              <w:spacing w:line="232" w:lineRule="auto" w:before="103"/>
              <w:ind w:left="23" w:right="55"/>
              <w:jc w:val="both"/>
              <w:rPr>
                <w:rFonts w:ascii="Times New Roman" w:hAnsi="Times New Roman" w:cs="Times New Roman" w:eastAsia="Times New Roman" w:hint="default"/>
                <w:sz w:val="21"/>
                <w:szCs w:val="21"/>
              </w:rPr>
            </w:pPr>
            <w:r>
              <w:rPr>
                <w:rFonts w:ascii="宋体" w:hAnsi="宋体" w:cs="宋体" w:eastAsia="宋体" w:hint="default"/>
                <w:sz w:val="21"/>
                <w:szCs w:val="21"/>
              </w:rPr>
              <w:t>工商登记执照号</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Times New Roman" w:hAnsi="Times New Roman" w:cs="Times New Roman" w:eastAsia="Times New Roman" w:hint="default"/>
                <w:sz w:val="21"/>
                <w:szCs w:val="21"/>
              </w:rPr>
              <w:t>[</w:t>
            </w:r>
            <w:r>
              <w:rPr>
                <w:rFonts w:ascii="宋体" w:hAnsi="宋体" w:cs="宋体" w:eastAsia="宋体" w:hint="default"/>
                <w:sz w:val="21"/>
                <w:szCs w:val="21"/>
              </w:rPr>
              <w:t>深企法字</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00179</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深税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4002535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c>
          <w:tcPr>
            <w:tcW w:w="1589"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23"/>
                <w:szCs w:val="23"/>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19217441-8</w:t>
            </w:r>
          </w:p>
        </w:tc>
      </w:tr>
      <w:tr>
        <w:trPr>
          <w:trHeight w:val="355" w:hRule="exact"/>
        </w:trPr>
        <w:tc>
          <w:tcPr>
            <w:tcW w:w="15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首次注册</w:t>
            </w:r>
          </w:p>
        </w:tc>
        <w:tc>
          <w:tcPr>
            <w:tcW w:w="1584" w:type="dxa"/>
            <w:vMerge/>
            <w:tcBorders>
              <w:left w:val="single" w:sz="10" w:space="0" w:color="D2D2D2"/>
              <w:right w:val="single" w:sz="4" w:space="0" w:color="000000"/>
            </w:tcBorders>
          </w:tcPr>
          <w:p>
            <w:pPr/>
          </w:p>
        </w:tc>
        <w:tc>
          <w:tcPr>
            <w:tcW w:w="1584" w:type="dxa"/>
            <w:vMerge/>
            <w:tcBorders>
              <w:left w:val="single" w:sz="4" w:space="0" w:color="000000"/>
              <w:right w:val="single" w:sz="4" w:space="0" w:color="000000"/>
            </w:tcBorders>
          </w:tcPr>
          <w:p>
            <w:pPr/>
          </w:p>
        </w:tc>
        <w:tc>
          <w:tcPr>
            <w:tcW w:w="1584" w:type="dxa"/>
            <w:vMerge/>
            <w:tcBorders>
              <w:left w:val="single" w:sz="4" w:space="0" w:color="000000"/>
              <w:right w:val="single" w:sz="4" w:space="0" w:color="000000"/>
            </w:tcBorders>
          </w:tcPr>
          <w:p>
            <w:pPr/>
          </w:p>
        </w:tc>
        <w:tc>
          <w:tcPr>
            <w:tcW w:w="1584" w:type="dxa"/>
            <w:vMerge/>
            <w:tcBorders>
              <w:left w:val="single" w:sz="4" w:space="0" w:color="000000"/>
              <w:right w:val="single" w:sz="4" w:space="0" w:color="000000"/>
            </w:tcBorders>
          </w:tcPr>
          <w:p>
            <w:pPr/>
          </w:p>
        </w:tc>
        <w:tc>
          <w:tcPr>
            <w:tcW w:w="1589" w:type="dxa"/>
            <w:vMerge/>
            <w:tcBorders>
              <w:left w:val="single" w:sz="4" w:space="0" w:color="000000"/>
              <w:right w:val="single" w:sz="4" w:space="0" w:color="000000"/>
            </w:tcBorders>
          </w:tcPr>
          <w:p>
            <w:pPr/>
          </w:p>
        </w:tc>
      </w:tr>
      <w:tr>
        <w:trPr>
          <w:trHeight w:val="370" w:hRule="exact"/>
        </w:trPr>
        <w:tc>
          <w:tcPr>
            <w:tcW w:w="15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4" w:type="dxa"/>
            <w:vMerge/>
            <w:tcBorders>
              <w:left w:val="single" w:sz="10" w:space="0" w:color="D2D2D2"/>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589" w:type="dxa"/>
            <w:vMerge/>
            <w:tcBorders>
              <w:left w:val="single" w:sz="4" w:space="0" w:color="000000"/>
              <w:bottom w:val="single" w:sz="4" w:space="0" w:color="000000"/>
              <w:right w:val="single" w:sz="4" w:space="0" w:color="000000"/>
            </w:tcBorders>
          </w:tcPr>
          <w:p>
            <w:pPr/>
          </w:p>
        </w:tc>
      </w:tr>
      <w:tr>
        <w:trPr>
          <w:trHeight w:val="840" w:hRule="exact"/>
        </w:trPr>
        <w:tc>
          <w:tcPr>
            <w:tcW w:w="1589" w:type="dxa"/>
            <w:tcBorders>
              <w:top w:val="single" w:sz="4" w:space="0" w:color="000000"/>
              <w:left w:val="single" w:sz="4" w:space="0" w:color="000000"/>
              <w:bottom w:val="nil" w:sz="6" w:space="0" w:color="auto"/>
              <w:right w:val="single" w:sz="4" w:space="0" w:color="000000"/>
            </w:tcBorders>
            <w:shd w:val="clear" w:color="auto" w:fill="D2D2D2"/>
          </w:tcPr>
          <w:p>
            <w:pPr/>
          </w:p>
        </w:tc>
        <w:tc>
          <w:tcPr>
            <w:tcW w:w="1584"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82" w:lineRule="exact"/>
              <w:ind w:left="1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04</w:t>
            </w:r>
          </w:p>
          <w:p>
            <w:pPr>
              <w:pStyle w:val="TableParagraph"/>
              <w:spacing w:line="266" w:lineRule="exact"/>
              <w:ind w:left="12"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4"/>
              <w:ind w:right="0"/>
              <w:jc w:val="left"/>
              <w:rPr>
                <w:rFonts w:ascii="Microsoft JhengHei" w:hAnsi="Microsoft JhengHei" w:cs="Microsoft JhengHei" w:eastAsia="Microsoft JhengHei" w:hint="default"/>
                <w:b/>
                <w:bCs/>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1"/>
              <w:ind w:right="0"/>
              <w:jc w:val="left"/>
              <w:rPr>
                <w:rFonts w:ascii="Microsoft JhengHei" w:hAnsi="Microsoft JhengHei" w:cs="Microsoft JhengHei" w:eastAsia="Microsoft JhengHei" w:hint="default"/>
                <w:b/>
                <w:bCs/>
                <w:sz w:val="23"/>
                <w:szCs w:val="23"/>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44030110415508</w:t>
            </w:r>
          </w:p>
          <w:p>
            <w:pPr>
              <w:pStyle w:val="TableParagraph"/>
              <w:spacing w:line="240" w:lineRule="auto" w:before="3"/>
              <w:ind w:left="23" w:right="0"/>
              <w:jc w:val="left"/>
              <w:rPr>
                <w:rFonts w:ascii="Times New Roman" w:hAnsi="Times New Roman" w:cs="Times New Roman" w:eastAsia="Times New Roman" w:hint="default"/>
                <w:sz w:val="21"/>
                <w:szCs w:val="21"/>
              </w:rPr>
            </w:pPr>
            <w:r>
              <w:rPr>
                <w:rFonts w:ascii="Times New Roman"/>
                <w:w w:val="100"/>
                <w:sz w:val="21"/>
              </w:rPr>
              <w:t>2</w:t>
            </w:r>
          </w:p>
        </w:tc>
        <w:tc>
          <w:tcPr>
            <w:tcW w:w="1584"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深税登字</w:t>
            </w:r>
          </w:p>
          <w:p>
            <w:pPr>
              <w:pStyle w:val="TableParagraph"/>
              <w:spacing w:line="228" w:lineRule="exact" w:before="24"/>
              <w:ind w:left="23" w:right="0"/>
              <w:jc w:val="left"/>
              <w:rPr>
                <w:rFonts w:ascii="Times New Roman" w:hAnsi="Times New Roman" w:cs="Times New Roman" w:eastAsia="Times New Roman" w:hint="default"/>
                <w:sz w:val="21"/>
                <w:szCs w:val="21"/>
              </w:rPr>
            </w:pPr>
            <w:r>
              <w:rPr>
                <w:rFonts w:ascii="Times New Roman"/>
                <w:sz w:val="21"/>
              </w:rPr>
              <w:t>44030019217441</w:t>
            </w:r>
          </w:p>
          <w:p>
            <w:pPr>
              <w:pStyle w:val="TableParagraph"/>
              <w:spacing w:line="235" w:lineRule="auto"/>
              <w:ind w:left="23" w:right="646"/>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8 </w:t>
            </w:r>
            <w:r>
              <w:rPr>
                <w:rFonts w:ascii="宋体" w:hAnsi="宋体" w:cs="宋体" w:eastAsia="宋体" w:hint="default"/>
                <w:sz w:val="21"/>
                <w:szCs w:val="21"/>
              </w:rPr>
              <w:t>号</w:t>
            </w:r>
            <w:r>
              <w:rPr>
                <w:rFonts w:ascii="宋体" w:hAnsi="宋体" w:cs="宋体" w:eastAsia="宋体" w:hint="default"/>
                <w:w w:val="100"/>
                <w:sz w:val="21"/>
                <w:szCs w:val="21"/>
              </w:rPr>
              <w:t> </w:t>
            </w:r>
            <w:r>
              <w:rPr>
                <w:rFonts w:ascii="宋体" w:hAnsi="宋体" w:cs="宋体" w:eastAsia="宋体" w:hint="default"/>
                <w:sz w:val="21"/>
                <w:szCs w:val="21"/>
              </w:rPr>
              <w:t>国</w:t>
            </w:r>
            <w:r>
              <w:rPr>
                <w:rFonts w:ascii="Times New Roman" w:hAnsi="Times New Roman" w:cs="Times New Roman" w:eastAsia="Times New Roman" w:hint="default"/>
                <w:sz w:val="21"/>
                <w:szCs w:val="21"/>
              </w:rPr>
              <w:t>/</w:t>
            </w:r>
            <w:r>
              <w:rPr>
                <w:rFonts w:ascii="宋体" w:hAnsi="宋体" w:cs="宋体" w:eastAsia="宋体" w:hint="default"/>
                <w:sz w:val="21"/>
                <w:szCs w:val="21"/>
              </w:rPr>
              <w:t>地税：</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04002535</w:t>
            </w:r>
          </w:p>
        </w:tc>
        <w:tc>
          <w:tcPr>
            <w:tcW w:w="158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9"/>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19217441-8</w:t>
            </w:r>
          </w:p>
        </w:tc>
      </w:tr>
      <w:tr>
        <w:trPr>
          <w:trHeight w:val="355" w:hRule="exact"/>
        </w:trPr>
        <w:tc>
          <w:tcPr>
            <w:tcW w:w="15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报告期末注册</w:t>
            </w:r>
          </w:p>
        </w:tc>
        <w:tc>
          <w:tcPr>
            <w:tcW w:w="1584" w:type="dxa"/>
            <w:vMerge/>
            <w:tcBorders>
              <w:left w:val="single" w:sz="10" w:space="0" w:color="D2D2D2"/>
              <w:right w:val="single" w:sz="4" w:space="0" w:color="000000"/>
            </w:tcBorders>
          </w:tcPr>
          <w:p>
            <w:pPr/>
          </w:p>
        </w:tc>
        <w:tc>
          <w:tcPr>
            <w:tcW w:w="1584" w:type="dxa"/>
            <w:vMerge/>
            <w:tcBorders>
              <w:left w:val="single" w:sz="4" w:space="0" w:color="000000"/>
              <w:right w:val="single" w:sz="4" w:space="0" w:color="000000"/>
            </w:tcBorders>
          </w:tcPr>
          <w:p>
            <w:pPr/>
          </w:p>
        </w:tc>
        <w:tc>
          <w:tcPr>
            <w:tcW w:w="1584" w:type="dxa"/>
            <w:vMerge/>
            <w:tcBorders>
              <w:left w:val="single" w:sz="4" w:space="0" w:color="000000"/>
              <w:right w:val="single" w:sz="4" w:space="0" w:color="000000"/>
            </w:tcBorders>
          </w:tcPr>
          <w:p>
            <w:pPr/>
          </w:p>
        </w:tc>
        <w:tc>
          <w:tcPr>
            <w:tcW w:w="1584" w:type="dxa"/>
            <w:vMerge/>
            <w:tcBorders>
              <w:left w:val="single" w:sz="4" w:space="0" w:color="000000"/>
              <w:right w:val="single" w:sz="4" w:space="0" w:color="000000"/>
            </w:tcBorders>
          </w:tcPr>
          <w:p>
            <w:pPr/>
          </w:p>
        </w:tc>
        <w:tc>
          <w:tcPr>
            <w:tcW w:w="1589" w:type="dxa"/>
            <w:vMerge/>
            <w:tcBorders>
              <w:left w:val="single" w:sz="4" w:space="0" w:color="000000"/>
              <w:right w:val="single" w:sz="4" w:space="0" w:color="000000"/>
            </w:tcBorders>
          </w:tcPr>
          <w:p>
            <w:pPr/>
          </w:p>
        </w:tc>
      </w:tr>
      <w:tr>
        <w:trPr>
          <w:trHeight w:val="840" w:hRule="exact"/>
        </w:trPr>
        <w:tc>
          <w:tcPr>
            <w:tcW w:w="15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584" w:type="dxa"/>
            <w:vMerge/>
            <w:tcBorders>
              <w:left w:val="single" w:sz="10" w:space="0" w:color="D2D2D2"/>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584" w:type="dxa"/>
            <w:vMerge/>
            <w:tcBorders>
              <w:left w:val="single" w:sz="4" w:space="0" w:color="000000"/>
              <w:bottom w:val="single" w:sz="4" w:space="0" w:color="000000"/>
              <w:right w:val="single" w:sz="4" w:space="0" w:color="000000"/>
            </w:tcBorders>
          </w:tcPr>
          <w:p>
            <w:pPr/>
          </w:p>
        </w:tc>
        <w:tc>
          <w:tcPr>
            <w:tcW w:w="1589" w:type="dxa"/>
            <w:vMerge/>
            <w:tcBorders>
              <w:left w:val="single" w:sz="4" w:space="0" w:color="000000"/>
              <w:bottom w:val="single" w:sz="4" w:space="0" w:color="000000"/>
              <w:right w:val="single" w:sz="4" w:space="0" w:color="000000"/>
            </w:tcBorders>
          </w:tcPr>
          <w:p>
            <w:pPr/>
          </w:p>
        </w:tc>
      </w:tr>
      <w:tr>
        <w:trPr>
          <w:trHeight w:val="1286" w:hRule="exact"/>
        </w:trPr>
        <w:tc>
          <w:tcPr>
            <w:tcW w:w="3173"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341" w:type="dxa"/>
            <w:gridSpan w:val="4"/>
            <w:vMerge w:val="restart"/>
            <w:tcBorders>
              <w:top w:val="single" w:sz="4" w:space="0" w:color="000000"/>
              <w:left w:val="single" w:sz="10" w:space="0" w:color="D2D2D2"/>
              <w:right w:val="single" w:sz="4" w:space="0" w:color="000000"/>
            </w:tcBorders>
          </w:tcPr>
          <w:p>
            <w:pPr>
              <w:pStyle w:val="TableParagraph"/>
              <w:spacing w:line="232" w:lineRule="auto" w:before="141"/>
              <w:ind w:left="16" w:right="17" w:firstLine="360"/>
              <w:jc w:val="left"/>
              <w:rPr>
                <w:rFonts w:ascii="宋体" w:hAnsi="宋体" w:cs="宋体" w:eastAsia="宋体" w:hint="default"/>
                <w:sz w:val="21"/>
                <w:szCs w:val="21"/>
              </w:rPr>
            </w:pPr>
            <w:r>
              <w:rPr>
                <w:rFonts w:ascii="宋体" w:hAnsi="宋体" w:cs="宋体" w:eastAsia="宋体" w:hint="default"/>
                <w:sz w:val="21"/>
                <w:szCs w:val="21"/>
              </w:rPr>
              <w:t>公司前身为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1950 </w:t>
            </w:r>
            <w:r>
              <w:rPr>
                <w:rFonts w:ascii="宋体" w:hAnsi="宋体" w:cs="宋体" w:eastAsia="宋体" w:hint="default"/>
                <w:sz w:val="21"/>
                <w:szCs w:val="21"/>
              </w:rPr>
              <w:t>成立的集体所有制的宝安县搬运公司，</w:t>
            </w:r>
            <w:r>
              <w:rPr>
                <w:rFonts w:ascii="Times New Roman" w:hAnsi="Times New Roman" w:cs="Times New Roman" w:eastAsia="Times New Roman" w:hint="default"/>
                <w:sz w:val="21"/>
                <w:szCs w:val="21"/>
              </w:rPr>
              <w:t>1989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宋体" w:hAnsi="宋体" w:cs="宋体" w:eastAsia="宋体" w:hint="default"/>
                <w:spacing w:val="-2"/>
                <w:sz w:val="21"/>
                <w:szCs w:val="21"/>
              </w:rPr>
              <w:t>改组为深圳市装卸运输股份有限公司，主营业务为装卸搬运、公司历</w:t>
            </w:r>
            <w:r>
              <w:rPr>
                <w:rFonts w:ascii="宋体" w:hAnsi="宋体" w:cs="宋体" w:eastAsia="宋体" w:hint="default"/>
                <w:spacing w:val="-61"/>
                <w:sz w:val="21"/>
                <w:szCs w:val="21"/>
              </w:rPr>
              <w:t> </w:t>
            </w:r>
            <w:r>
              <w:rPr>
                <w:rFonts w:ascii="宋体" w:hAnsi="宋体" w:cs="宋体" w:eastAsia="宋体" w:hint="default"/>
                <w:spacing w:val="-61"/>
                <w:sz w:val="21"/>
                <w:szCs w:val="21"/>
              </w:rPr>
            </w:r>
            <w:r>
              <w:rPr>
                <w:rFonts w:ascii="宋体" w:hAnsi="宋体" w:cs="宋体" w:eastAsia="宋体" w:hint="default"/>
                <w:sz w:val="21"/>
                <w:szCs w:val="21"/>
              </w:rPr>
              <w:t>史用地的房地产开发、自有物业的管理等。</w:t>
            </w:r>
          </w:p>
          <w:p>
            <w:pPr>
              <w:pStyle w:val="TableParagraph"/>
              <w:spacing w:line="285" w:lineRule="exact" w:before="33"/>
              <w:ind w:left="37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1993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月改组为公众公司</w:t>
            </w:r>
            <w:r>
              <w:rPr>
                <w:rFonts w:ascii="Times New Roman" w:hAnsi="Times New Roman" w:cs="Times New Roman" w:eastAsia="Times New Roman" w:hint="default"/>
                <w:sz w:val="21"/>
                <w:szCs w:val="21"/>
              </w:rPr>
              <w:t>“</w:t>
            </w:r>
            <w:r>
              <w:rPr>
                <w:rFonts w:ascii="宋体" w:hAnsi="宋体" w:cs="宋体" w:eastAsia="宋体" w:hint="default"/>
                <w:sz w:val="21"/>
                <w:szCs w:val="21"/>
              </w:rPr>
              <w:t>深圳市鸿基</w:t>
            </w:r>
            <w:r>
              <w:rPr>
                <w:rFonts w:ascii="Times New Roman" w:hAnsi="Times New Roman" w:cs="Times New Roman" w:eastAsia="Times New Roman" w:hint="default"/>
                <w:sz w:val="21"/>
                <w:szCs w:val="21"/>
              </w:rPr>
              <w:t>(</w:t>
            </w:r>
            <w:r>
              <w:rPr>
                <w:rFonts w:ascii="宋体" w:hAnsi="宋体" w:cs="宋体" w:eastAsia="宋体" w:hint="default"/>
                <w:sz w:val="21"/>
                <w:szCs w:val="21"/>
              </w:rPr>
              <w:t>集团</w:t>
            </w:r>
            <w:r>
              <w:rPr>
                <w:rFonts w:ascii="Times New Roman" w:hAnsi="Times New Roman" w:cs="Times New Roman" w:eastAsia="Times New Roman" w:hint="default"/>
                <w:sz w:val="21"/>
                <w:szCs w:val="21"/>
              </w:rPr>
              <w:t>)</w:t>
            </w:r>
            <w:r>
              <w:rPr>
                <w:rFonts w:ascii="宋体" w:hAnsi="宋体" w:cs="宋体" w:eastAsia="宋体" w:hint="default"/>
                <w:sz w:val="21"/>
                <w:szCs w:val="21"/>
              </w:rPr>
              <w:t>股份有限公司，</w:t>
            </w:r>
          </w:p>
          <w:p>
            <w:pPr>
              <w:pStyle w:val="TableParagraph"/>
              <w:spacing w:line="285" w:lineRule="exact"/>
              <w:ind w:left="16" w:right="0"/>
              <w:jc w:val="left"/>
              <w:rPr>
                <w:rFonts w:ascii="宋体" w:hAnsi="宋体" w:cs="宋体" w:eastAsia="宋体" w:hint="default"/>
                <w:sz w:val="21"/>
                <w:szCs w:val="21"/>
              </w:rPr>
            </w:pPr>
            <w:r>
              <w:rPr>
                <w:rFonts w:ascii="宋体" w:hAnsi="宋体" w:cs="宋体" w:eastAsia="宋体" w:hint="default"/>
                <w:sz w:val="21"/>
                <w:szCs w:val="21"/>
              </w:rPr>
              <w:t>并于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1994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月在深圳证券交易所挂牌交易。</w:t>
            </w:r>
          </w:p>
          <w:p>
            <w:pPr>
              <w:pStyle w:val="TableParagraph"/>
              <w:spacing w:line="282" w:lineRule="exact" w:before="16"/>
              <w:ind w:left="37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月中国宝安集团控股有限公司成为公司第一大股东，</w:t>
            </w:r>
          </w:p>
          <w:p>
            <w:pPr>
              <w:pStyle w:val="TableParagraph"/>
              <w:spacing w:line="274" w:lineRule="exact"/>
              <w:ind w:left="16"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月公司更名为宝安鸿基地产集团股份有限公司，</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p>
          <w:p>
            <w:pPr>
              <w:pStyle w:val="TableParagraph"/>
              <w:spacing w:line="266" w:lineRule="exact"/>
              <w:ind w:left="16" w:right="0"/>
              <w:jc w:val="left"/>
              <w:rPr>
                <w:rFonts w:ascii="宋体" w:hAnsi="宋体" w:cs="宋体" w:eastAsia="宋体" w:hint="default"/>
                <w:sz w:val="21"/>
                <w:szCs w:val="21"/>
              </w:rPr>
            </w:pPr>
            <w:r>
              <w:rPr>
                <w:rFonts w:ascii="宋体" w:hAnsi="宋体" w:cs="宋体" w:eastAsia="宋体" w:hint="default"/>
                <w:w w:val="100"/>
                <w:sz w:val="21"/>
                <w:szCs w:val="21"/>
              </w:rPr>
              <w:t>月证券简</w:t>
            </w:r>
            <w:r>
              <w:rPr>
                <w:rFonts w:ascii="宋体" w:hAnsi="宋体" w:cs="宋体" w:eastAsia="宋体" w:hint="default"/>
                <w:spacing w:val="-5"/>
                <w:w w:val="100"/>
                <w:sz w:val="21"/>
                <w:szCs w:val="21"/>
              </w:rPr>
              <w:t>称</w:t>
            </w:r>
            <w:r>
              <w:rPr>
                <w:rFonts w:ascii="宋体" w:hAnsi="宋体" w:cs="宋体" w:eastAsia="宋体" w:hint="default"/>
                <w:w w:val="100"/>
                <w:sz w:val="21"/>
                <w:szCs w:val="21"/>
              </w:rPr>
              <w:t>由“深</w:t>
            </w:r>
            <w:r>
              <w:rPr>
                <w:rFonts w:ascii="宋体" w:hAnsi="宋体" w:cs="宋体" w:eastAsia="宋体" w:hint="default"/>
                <w:spacing w:val="-5"/>
                <w:w w:val="100"/>
                <w:sz w:val="21"/>
                <w:szCs w:val="21"/>
              </w:rPr>
              <w:t>鸿</w:t>
            </w:r>
            <w:r>
              <w:rPr>
                <w:rFonts w:ascii="宋体" w:hAnsi="宋体" w:cs="宋体" w:eastAsia="宋体" w:hint="default"/>
                <w:spacing w:val="-1"/>
                <w:w w:val="100"/>
                <w:sz w:val="21"/>
                <w:szCs w:val="21"/>
              </w:rPr>
              <w:t>基</w:t>
            </w:r>
            <w:r>
              <w:rPr>
                <w:rFonts w:ascii="宋体" w:hAnsi="宋体" w:cs="宋体" w:eastAsia="宋体" w:hint="default"/>
                <w:w w:val="100"/>
                <w:sz w:val="21"/>
                <w:szCs w:val="21"/>
              </w:rPr>
              <w:t>”变</w:t>
            </w:r>
            <w:r>
              <w:rPr>
                <w:rFonts w:ascii="宋体" w:hAnsi="宋体" w:cs="宋体" w:eastAsia="宋体" w:hint="default"/>
                <w:spacing w:val="-5"/>
                <w:w w:val="100"/>
                <w:sz w:val="21"/>
                <w:szCs w:val="21"/>
              </w:rPr>
              <w:t>更</w:t>
            </w:r>
            <w:r>
              <w:rPr>
                <w:rFonts w:ascii="宋体" w:hAnsi="宋体" w:cs="宋体" w:eastAsia="宋体" w:hint="default"/>
                <w:spacing w:val="-1"/>
                <w:w w:val="100"/>
                <w:sz w:val="21"/>
                <w:szCs w:val="21"/>
              </w:rPr>
              <w:t>为</w:t>
            </w:r>
            <w:r>
              <w:rPr>
                <w:rFonts w:ascii="宋体" w:hAnsi="宋体" w:cs="宋体" w:eastAsia="宋体" w:hint="default"/>
                <w:w w:val="100"/>
                <w:sz w:val="21"/>
                <w:szCs w:val="21"/>
              </w:rPr>
              <w:t>“宝</w:t>
            </w:r>
            <w:r>
              <w:rPr>
                <w:rFonts w:ascii="宋体" w:hAnsi="宋体" w:cs="宋体" w:eastAsia="宋体" w:hint="default"/>
                <w:spacing w:val="-5"/>
                <w:w w:val="100"/>
                <w:sz w:val="21"/>
                <w:szCs w:val="21"/>
              </w:rPr>
              <w:t>安</w:t>
            </w:r>
            <w:r>
              <w:rPr>
                <w:rFonts w:ascii="宋体" w:hAnsi="宋体" w:cs="宋体" w:eastAsia="宋体" w:hint="default"/>
                <w:w w:val="100"/>
                <w:sz w:val="21"/>
                <w:szCs w:val="21"/>
              </w:rPr>
              <w:t>地产</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pStyle w:val="TableParagraph"/>
              <w:spacing w:line="278" w:lineRule="exact" w:before="55"/>
              <w:ind w:left="16" w:right="17" w:firstLine="36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月公司主营业务范围变更为：在合法取得使用权的土地</w:t>
            </w:r>
            <w:r>
              <w:rPr>
                <w:rFonts w:ascii="宋体" w:hAnsi="宋体" w:cs="宋体" w:eastAsia="宋体" w:hint="default"/>
                <w:w w:val="100"/>
                <w:sz w:val="21"/>
                <w:szCs w:val="21"/>
              </w:rPr>
              <w:t> </w:t>
            </w:r>
            <w:r>
              <w:rPr>
                <w:rFonts w:ascii="宋体" w:hAnsi="宋体" w:cs="宋体" w:eastAsia="宋体" w:hint="default"/>
                <w:sz w:val="21"/>
                <w:szCs w:val="21"/>
              </w:rPr>
              <w:t>上从事房地产开发经营、投资兴办实业；物业管理；仓储。</w:t>
            </w:r>
          </w:p>
        </w:tc>
      </w:tr>
      <w:tr>
        <w:trPr>
          <w:trHeight w:val="624" w:hRule="exact"/>
        </w:trPr>
        <w:tc>
          <w:tcPr>
            <w:tcW w:w="3173"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
              <w:ind w:left="24" w:right="194"/>
              <w:jc w:val="left"/>
              <w:rPr>
                <w:rFonts w:ascii="宋体" w:hAnsi="宋体" w:cs="宋体" w:eastAsia="宋体" w:hint="default"/>
                <w:sz w:val="21"/>
                <w:szCs w:val="21"/>
              </w:rPr>
            </w:pPr>
            <w:r>
              <w:rPr>
                <w:rFonts w:ascii="宋体" w:hAnsi="宋体" w:cs="宋体" w:eastAsia="宋体" w:hint="default"/>
                <w:spacing w:val="-2"/>
                <w:sz w:val="21"/>
                <w:szCs w:val="21"/>
              </w:rPr>
              <w:t>公司上市以来主营业务的变化情</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况（如有）</w:t>
            </w:r>
          </w:p>
        </w:tc>
        <w:tc>
          <w:tcPr>
            <w:tcW w:w="6341" w:type="dxa"/>
            <w:gridSpan w:val="4"/>
            <w:vMerge/>
            <w:tcBorders>
              <w:left w:val="single" w:sz="10" w:space="0" w:color="D2D2D2"/>
              <w:right w:val="single" w:sz="4" w:space="0" w:color="000000"/>
            </w:tcBorders>
          </w:tcPr>
          <w:p>
            <w:pPr/>
          </w:p>
        </w:tc>
      </w:tr>
      <w:tr>
        <w:trPr>
          <w:trHeight w:val="1286" w:hRule="exact"/>
        </w:trPr>
        <w:tc>
          <w:tcPr>
            <w:tcW w:w="3173"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341" w:type="dxa"/>
            <w:gridSpan w:val="4"/>
            <w:vMerge/>
            <w:tcBorders>
              <w:left w:val="single" w:sz="10" w:space="0" w:color="D2D2D2"/>
              <w:bottom w:val="single" w:sz="4" w:space="0" w:color="000000"/>
              <w:right w:val="single" w:sz="4" w:space="0" w:color="000000"/>
            </w:tcBorders>
          </w:tcPr>
          <w:p>
            <w:pPr/>
          </w:p>
        </w:tc>
      </w:tr>
    </w:tbl>
    <w:p>
      <w:pPr>
        <w:spacing w:line="240" w:lineRule="auto" w:before="5"/>
        <w:rPr>
          <w:rFonts w:ascii="Microsoft JhengHei" w:hAnsi="Microsoft JhengHei" w:cs="Microsoft JhengHei" w:eastAsia="Microsoft JhengHei" w:hint="default"/>
          <w:b/>
          <w:bCs/>
          <w:sz w:val="13"/>
          <w:szCs w:val="13"/>
        </w:rPr>
      </w:pPr>
    </w:p>
    <w:p>
      <w:pPr>
        <w:pStyle w:val="Heading4"/>
        <w:spacing w:line="367" w:lineRule="exact"/>
        <w:ind w:right="0"/>
        <w:jc w:val="left"/>
        <w:rPr>
          <w:b w:val="0"/>
          <w:bCs w:val="0"/>
        </w:rPr>
      </w:pPr>
      <w:r>
        <w:rPr/>
        <w:t>五、其他有关资料</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240" w:lineRule="auto"/>
        <w:ind w:right="0"/>
        <w:jc w:val="left"/>
      </w:pPr>
      <w:r>
        <w:rPr/>
        <w:t>公司聘请的会计师事务所</w:t>
      </w:r>
    </w:p>
    <w:p>
      <w:pPr>
        <w:spacing w:line="240" w:lineRule="auto" w:before="1"/>
        <w:rPr>
          <w:rFonts w:ascii="宋体" w:hAnsi="宋体" w:cs="宋体" w:eastAsia="宋体" w:hint="default"/>
          <w:sz w:val="16"/>
          <w:szCs w:val="16"/>
        </w:rPr>
      </w:pPr>
    </w:p>
    <w:tbl>
      <w:tblPr>
        <w:tblW w:w="0" w:type="auto"/>
        <w:jc w:val="left"/>
        <w:tblInd w:w="148" w:type="dxa"/>
        <w:tblLayout w:type="fixed"/>
        <w:tblCellMar>
          <w:top w:w="0" w:type="dxa"/>
          <w:left w:w="0" w:type="dxa"/>
          <w:bottom w:w="0" w:type="dxa"/>
          <w:right w:w="0" w:type="dxa"/>
        </w:tblCellMar>
        <w:tblLook w:val="01E0"/>
      </w:tblPr>
      <w:tblGrid>
        <w:gridCol w:w="2652"/>
        <w:gridCol w:w="6914"/>
      </w:tblGrid>
      <w:tr>
        <w:trPr>
          <w:trHeight w:val="499"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会计师事务所名称</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国富浩华会计师事务所</w:t>
            </w:r>
          </w:p>
        </w:tc>
      </w:tr>
      <w:tr>
        <w:trPr>
          <w:trHeight w:val="494"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会计师事务所办公地址</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北京市海淀区西四环中路</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号院</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号楼</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层</w:t>
            </w:r>
          </w:p>
        </w:tc>
      </w:tr>
      <w:tr>
        <w:trPr>
          <w:trHeight w:val="499"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4"/>
              <w:ind w:left="24" w:right="0"/>
              <w:jc w:val="left"/>
              <w:rPr>
                <w:rFonts w:ascii="宋体" w:hAnsi="宋体" w:cs="宋体" w:eastAsia="宋体" w:hint="default"/>
                <w:sz w:val="21"/>
                <w:szCs w:val="21"/>
              </w:rPr>
            </w:pPr>
            <w:r>
              <w:rPr>
                <w:rFonts w:ascii="宋体" w:hAnsi="宋体" w:cs="宋体" w:eastAsia="宋体" w:hint="default"/>
                <w:sz w:val="21"/>
                <w:szCs w:val="21"/>
              </w:rPr>
              <w:t>侯立勋、龙丽萍</w:t>
            </w:r>
          </w:p>
        </w:tc>
      </w:tr>
    </w:tbl>
    <w:p>
      <w:pPr>
        <w:pStyle w:val="BodyText"/>
        <w:spacing w:line="240" w:lineRule="auto" w:before="4"/>
        <w:ind w:right="0"/>
        <w:jc w:val="left"/>
      </w:pPr>
      <w:r>
        <w:rPr/>
        <w:t>公司聘请的报告期内履行持续督导职责的保荐机构</w:t>
      </w:r>
    </w:p>
    <w:p>
      <w:pPr>
        <w:pStyle w:val="BodyText"/>
        <w:spacing w:line="372" w:lineRule="auto" w:before="176"/>
        <w:ind w:right="372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t>不适用</w:t>
      </w:r>
      <w:r>
        <w:rPr>
          <w:spacing w:val="-102"/>
        </w:rPr>
        <w:t> </w:t>
      </w:r>
      <w:r>
        <w:rPr>
          <w:spacing w:val="-2"/>
        </w:rPr>
        <w:t>公司聘请的报告期内履行持续督导职责的财务顾问</w:t>
      </w:r>
    </w:p>
    <w:p>
      <w:pPr>
        <w:pStyle w:val="BodyText"/>
        <w:spacing w:line="240" w:lineRule="auto" w:before="56"/>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after="0" w:line="240" w:lineRule="auto"/>
        <w:jc w:val="left"/>
        <w:sectPr>
          <w:pgSz w:w="11900" w:h="16840"/>
          <w:pgMar w:header="872" w:footer="957" w:top="1120" w:bottom="1180" w:left="98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458" w:lineRule="exact"/>
        <w:ind w:left="2639" w:right="0"/>
        <w:jc w:val="left"/>
        <w:rPr>
          <w:b w:val="0"/>
          <w:bCs w:val="0"/>
        </w:rPr>
      </w:pPr>
      <w:bookmarkStart w:name="_TOC_250008" w:id="3"/>
      <w:r>
        <w:rPr/>
        <w:t>第三节 </w:t>
      </w:r>
      <w:r>
        <w:rPr>
          <w:spacing w:val="19"/>
        </w:rPr>
        <w:t> </w:t>
      </w:r>
      <w:r>
        <w:rPr/>
        <w:t>会计数据和财务指标摘要</w:t>
      </w:r>
      <w:bookmarkEnd w:id="3"/>
      <w:r>
        <w:rPr>
          <w:b w:val="0"/>
          <w:bCs w:val="0"/>
        </w:rPr>
      </w:r>
    </w:p>
    <w:p>
      <w:pPr>
        <w:pStyle w:val="Heading4"/>
        <w:spacing w:line="240" w:lineRule="auto" w:before="195"/>
        <w:ind w:right="0"/>
        <w:jc w:val="left"/>
        <w:rPr>
          <w:b w:val="0"/>
          <w:bCs w:val="0"/>
        </w:rPr>
      </w:pPr>
      <w:r>
        <w:rPr/>
        <w:t>一、主要会计数据和财务指标</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240" w:lineRule="auto"/>
        <w:ind w:right="0"/>
        <w:jc w:val="left"/>
      </w:pPr>
      <w:r>
        <w:rPr/>
        <w:t>公司是否因会计政策变更及会计差错更正等追溯调整或重述以前年度会计数据</w:t>
      </w:r>
    </w:p>
    <w:p>
      <w:pPr>
        <w:pStyle w:val="BodyText"/>
        <w:spacing w:line="240" w:lineRule="auto" w:before="3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否</w:t>
      </w:r>
    </w:p>
    <w:p>
      <w:pPr>
        <w:spacing w:line="240" w:lineRule="auto" w:before="5"/>
        <w:rPr>
          <w:rFonts w:ascii="宋体" w:hAnsi="宋体" w:cs="宋体" w:eastAsia="宋体" w:hint="default"/>
          <w:sz w:val="9"/>
          <w:szCs w:val="9"/>
        </w:rPr>
      </w:pPr>
    </w:p>
    <w:tbl>
      <w:tblPr>
        <w:tblW w:w="0" w:type="auto"/>
        <w:jc w:val="left"/>
        <w:tblInd w:w="160" w:type="dxa"/>
        <w:tblLayout w:type="fixed"/>
        <w:tblCellMar>
          <w:top w:w="0" w:type="dxa"/>
          <w:left w:w="0" w:type="dxa"/>
          <w:bottom w:w="0" w:type="dxa"/>
          <w:right w:w="0" w:type="dxa"/>
        </w:tblCellMar>
        <w:tblLook w:val="01E0"/>
      </w:tblPr>
      <w:tblGrid>
        <w:gridCol w:w="2935"/>
        <w:gridCol w:w="1565"/>
        <w:gridCol w:w="1723"/>
        <w:gridCol w:w="1776"/>
        <w:gridCol w:w="1776"/>
      </w:tblGrid>
      <w:tr>
        <w:trPr>
          <w:trHeight w:val="393" w:hRule="exact"/>
        </w:trPr>
        <w:tc>
          <w:tcPr>
            <w:tcW w:w="2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7"/>
              <w:ind w:left="43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72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7"/>
              <w:ind w:left="518"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776" w:type="dxa"/>
            <w:vMerge w:val="restart"/>
            <w:tcBorders>
              <w:top w:val="single" w:sz="4" w:space="0" w:color="000000"/>
              <w:left w:val="single" w:sz="4" w:space="0" w:color="000000"/>
              <w:right w:val="single" w:sz="4" w:space="0" w:color="000000"/>
            </w:tcBorders>
            <w:shd w:val="clear" w:color="auto" w:fill="D2D2D2"/>
          </w:tcPr>
          <w:p>
            <w:pPr>
              <w:pStyle w:val="TableParagraph"/>
              <w:spacing w:line="212" w:lineRule="exact"/>
              <w:ind w:left="4" w:right="0"/>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40" w:lineRule="auto" w:before="24"/>
              <w:ind w:left="2" w:right="0"/>
              <w:jc w:val="center"/>
              <w:rPr>
                <w:rFonts w:ascii="Times New Roman" w:hAnsi="Times New Roman" w:cs="Times New Roman" w:eastAsia="Times New Roman" w:hint="default"/>
                <w:sz w:val="21"/>
                <w:szCs w:val="21"/>
              </w:rPr>
            </w:pPr>
            <w:r>
              <w:rPr>
                <w:rFonts w:ascii="Times New Roman"/>
                <w:sz w:val="21"/>
              </w:rPr>
              <w:t>(%)</w:t>
            </w:r>
          </w:p>
        </w:tc>
        <w:tc>
          <w:tcPr>
            <w:tcW w:w="17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53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r>
      <w:tr>
        <w:trPr>
          <w:trHeight w:val="140" w:hRule="exact"/>
        </w:trPr>
        <w:tc>
          <w:tcPr>
            <w:tcW w:w="2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723" w:type="dxa"/>
            <w:tcBorders>
              <w:top w:val="nil" w:sz="6" w:space="0" w:color="auto"/>
              <w:left w:val="single" w:sz="4" w:space="0" w:color="000000"/>
              <w:bottom w:val="single" w:sz="4" w:space="0" w:color="000000"/>
              <w:right w:val="single" w:sz="4" w:space="0" w:color="000000"/>
            </w:tcBorders>
            <w:shd w:val="clear" w:color="auto" w:fill="D2D2D2"/>
          </w:tcPr>
          <w:p>
            <w:pPr/>
          </w:p>
        </w:tc>
        <w:tc>
          <w:tcPr>
            <w:tcW w:w="1776" w:type="dxa"/>
            <w:vMerge/>
            <w:tcBorders>
              <w:left w:val="single" w:sz="4" w:space="0" w:color="000000"/>
              <w:bottom w:val="single" w:sz="4" w:space="0" w:color="000000"/>
              <w:right w:val="single" w:sz="4" w:space="0" w:color="000000"/>
            </w:tcBorders>
            <w:shd w:val="clear" w:color="auto" w:fill="D2D2D2"/>
          </w:tcPr>
          <w:p>
            <w:pPr/>
          </w:p>
        </w:tc>
        <w:tc>
          <w:tcPr>
            <w:tcW w:w="1776" w:type="dxa"/>
            <w:vMerge/>
            <w:tcBorders>
              <w:left w:val="single" w:sz="4" w:space="0" w:color="000000"/>
              <w:bottom w:val="single" w:sz="4" w:space="0" w:color="000000"/>
              <w:right w:val="single" w:sz="4" w:space="0" w:color="000000"/>
            </w:tcBorders>
            <w:shd w:val="clear" w:color="auto" w:fill="D2D2D2"/>
          </w:tcPr>
          <w:p>
            <w:pPr/>
          </w:p>
        </w:tc>
      </w:tr>
      <w:tr>
        <w:trPr>
          <w:trHeight w:val="365"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1" w:right="0"/>
              <w:jc w:val="left"/>
              <w:rPr>
                <w:rFonts w:ascii="宋体" w:hAnsi="宋体" w:cs="宋体" w:eastAsia="宋体" w:hint="default"/>
                <w:sz w:val="21"/>
                <w:szCs w:val="21"/>
              </w:rPr>
            </w:pPr>
            <w:r>
              <w:rPr>
                <w:rFonts w:ascii="宋体" w:hAnsi="宋体" w:cs="宋体" w:eastAsia="宋体" w:hint="default"/>
                <w:sz w:val="21"/>
                <w:szCs w:val="21"/>
              </w:rPr>
              <w:t>营业收入（元）</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pacing w:val="-1"/>
                <w:sz w:val="21"/>
              </w:rPr>
              <w:t>860,886,746.14</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pacing w:val="-1"/>
                <w:sz w:val="21"/>
              </w:rPr>
              <w:t>817,369,601.45</w:t>
            </w:r>
          </w:p>
        </w:tc>
        <w:tc>
          <w:tcPr>
            <w:tcW w:w="1776" w:type="dxa"/>
            <w:tcBorders>
              <w:top w:val="single" w:sz="5" w:space="0" w:color="000000"/>
              <w:left w:val="single" w:sz="4" w:space="0" w:color="000000"/>
              <w:bottom w:val="single" w:sz="4" w:space="0" w:color="000000"/>
              <w:right w:val="single" w:sz="4" w:space="0" w:color="000000"/>
            </w:tcBorders>
          </w:tcPr>
          <w:p>
            <w:pPr>
              <w:pStyle w:val="TableParagraph"/>
              <w:spacing w:line="240" w:lineRule="auto" w:before="46"/>
              <w:ind w:right="18"/>
              <w:jc w:val="right"/>
              <w:rPr>
                <w:rFonts w:ascii="Times New Roman" w:hAnsi="Times New Roman" w:cs="Times New Roman" w:eastAsia="Times New Roman" w:hint="default"/>
                <w:sz w:val="21"/>
                <w:szCs w:val="21"/>
              </w:rPr>
            </w:pPr>
            <w:r>
              <w:rPr>
                <w:rFonts w:ascii="Times New Roman"/>
                <w:sz w:val="21"/>
              </w:rPr>
              <w:t>5.32%</w:t>
            </w:r>
          </w:p>
        </w:tc>
        <w:tc>
          <w:tcPr>
            <w:tcW w:w="1776" w:type="dxa"/>
            <w:tcBorders>
              <w:top w:val="single" w:sz="53" w:space="0" w:color="D2D2D2"/>
              <w:left w:val="single" w:sz="4" w:space="0" w:color="000000"/>
              <w:bottom w:val="single" w:sz="4" w:space="0" w:color="000000"/>
              <w:right w:val="single" w:sz="4" w:space="0" w:color="000000"/>
            </w:tcBorders>
          </w:tcPr>
          <w:p>
            <w:pPr>
              <w:pStyle w:val="TableParagraph"/>
              <w:spacing w:line="228" w:lineRule="exact"/>
              <w:ind w:right="22"/>
              <w:jc w:val="right"/>
              <w:rPr>
                <w:rFonts w:ascii="Times New Roman" w:hAnsi="Times New Roman" w:cs="Times New Roman" w:eastAsia="Times New Roman" w:hint="default"/>
                <w:sz w:val="21"/>
                <w:szCs w:val="21"/>
              </w:rPr>
            </w:pPr>
            <w:r>
              <w:rPr>
                <w:rFonts w:ascii="Times New Roman"/>
                <w:spacing w:val="-1"/>
                <w:sz w:val="21"/>
              </w:rPr>
              <w:t>777,211,705.95</w:t>
            </w:r>
          </w:p>
        </w:tc>
      </w:tr>
      <w:tr>
        <w:trPr>
          <w:trHeight w:val="638"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before="4"/>
              <w:ind w:left="11"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（元）</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78"/>
              <w:ind w:right="17"/>
              <w:jc w:val="right"/>
              <w:rPr>
                <w:rFonts w:ascii="Times New Roman" w:hAnsi="Times New Roman" w:cs="Times New Roman" w:eastAsia="Times New Roman" w:hint="default"/>
                <w:sz w:val="21"/>
                <w:szCs w:val="21"/>
              </w:rPr>
            </w:pPr>
            <w:r>
              <w:rPr>
                <w:rFonts w:ascii="Times New Roman"/>
                <w:spacing w:val="-1"/>
                <w:sz w:val="21"/>
              </w:rPr>
              <w:t>193,932,203.55</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pacing w:val="-1"/>
                <w:sz w:val="21"/>
              </w:rPr>
              <w:t>140,080,654.63</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9"/>
              <w:jc w:val="right"/>
              <w:rPr>
                <w:rFonts w:ascii="Times New Roman" w:hAnsi="Times New Roman" w:cs="Times New Roman" w:eastAsia="Times New Roman" w:hint="default"/>
                <w:sz w:val="21"/>
                <w:szCs w:val="21"/>
              </w:rPr>
            </w:pPr>
            <w:r>
              <w:rPr>
                <w:rFonts w:ascii="Times New Roman"/>
                <w:sz w:val="21"/>
              </w:rPr>
              <w:t>38.44%</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z w:val="21"/>
              </w:rPr>
              <w:t>96,586,077.75</w:t>
            </w:r>
          </w:p>
        </w:tc>
      </w:tr>
      <w:tr>
        <w:trPr>
          <w:trHeight w:val="643"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11" w:right="175"/>
              <w:jc w:val="left"/>
              <w:rPr>
                <w:rFonts w:ascii="宋体" w:hAnsi="宋体" w:cs="宋体" w:eastAsia="宋体" w:hint="default"/>
                <w:sz w:val="21"/>
                <w:szCs w:val="21"/>
              </w:rPr>
            </w:pPr>
            <w:r>
              <w:rPr>
                <w:rFonts w:ascii="宋体" w:hAnsi="宋体" w:cs="宋体" w:eastAsia="宋体" w:hint="default"/>
                <w:spacing w:val="-1"/>
                <w:sz w:val="21"/>
                <w:szCs w:val="21"/>
              </w:rPr>
              <w:t>归属于上市公司股东的扣除非</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经常性损益的净利润（元）</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141,736,110.13</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90,534,284.68</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56.56%</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34,790,000.65</w:t>
            </w:r>
          </w:p>
        </w:tc>
      </w:tr>
      <w:tr>
        <w:trPr>
          <w:trHeight w:val="638"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before="4"/>
              <w:ind w:left="1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（元）</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78"/>
              <w:ind w:right="17"/>
              <w:jc w:val="right"/>
              <w:rPr>
                <w:rFonts w:ascii="Times New Roman" w:hAnsi="Times New Roman" w:cs="Times New Roman" w:eastAsia="Times New Roman" w:hint="default"/>
                <w:sz w:val="21"/>
                <w:szCs w:val="21"/>
              </w:rPr>
            </w:pPr>
            <w:r>
              <w:rPr>
                <w:rFonts w:ascii="Times New Roman"/>
                <w:spacing w:val="-1"/>
                <w:sz w:val="21"/>
              </w:rPr>
              <w:t>-318,673,884.83</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pacing w:val="-1"/>
                <w:sz w:val="21"/>
              </w:rPr>
              <w:t>-424,903,021.79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8"/>
              <w:jc w:val="right"/>
              <w:rPr>
                <w:rFonts w:ascii="Times New Roman" w:hAnsi="Times New Roman" w:cs="Times New Roman" w:eastAsia="Times New Roman" w:hint="default"/>
                <w:sz w:val="21"/>
                <w:szCs w:val="21"/>
              </w:rPr>
            </w:pPr>
            <w:r>
              <w:rPr>
                <w:rFonts w:ascii="Times New Roman"/>
                <w:sz w:val="21"/>
              </w:rPr>
              <w:t>-25%</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1"/>
              <w:jc w:val="right"/>
              <w:rPr>
                <w:rFonts w:ascii="Times New Roman" w:hAnsi="Times New Roman" w:cs="Times New Roman" w:eastAsia="Times New Roman" w:hint="default"/>
                <w:sz w:val="21"/>
                <w:szCs w:val="21"/>
              </w:rPr>
            </w:pPr>
            <w:r>
              <w:rPr>
                <w:rFonts w:ascii="Times New Roman"/>
                <w:spacing w:val="-1"/>
                <w:sz w:val="21"/>
              </w:rPr>
              <w:t>537,258,302.29</w:t>
            </w:r>
          </w:p>
        </w:tc>
      </w:tr>
      <w:tr>
        <w:trPr>
          <w:trHeight w:val="379"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11"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17"/>
              <w:jc w:val="right"/>
              <w:rPr>
                <w:rFonts w:ascii="Times New Roman" w:hAnsi="Times New Roman" w:cs="Times New Roman" w:eastAsia="Times New Roman" w:hint="default"/>
                <w:sz w:val="21"/>
                <w:szCs w:val="21"/>
              </w:rPr>
            </w:pPr>
            <w:r>
              <w:rPr>
                <w:rFonts w:ascii="Times New Roman"/>
                <w:sz w:val="21"/>
              </w:rPr>
              <w:t>0.41</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0.30</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z w:val="21"/>
              </w:rPr>
              <w:t>36.67%</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0.21</w:t>
            </w:r>
          </w:p>
        </w:tc>
      </w:tr>
      <w:tr>
        <w:trPr>
          <w:trHeight w:val="365"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left="11"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44"/>
              <w:ind w:right="17"/>
              <w:jc w:val="right"/>
              <w:rPr>
                <w:rFonts w:ascii="Times New Roman" w:hAnsi="Times New Roman" w:cs="Times New Roman" w:eastAsia="Times New Roman" w:hint="default"/>
                <w:sz w:val="21"/>
                <w:szCs w:val="21"/>
              </w:rPr>
            </w:pPr>
            <w:r>
              <w:rPr>
                <w:rFonts w:ascii="Times New Roman"/>
                <w:sz w:val="21"/>
              </w:rPr>
              <w:t>0.41</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z w:val="21"/>
              </w:rPr>
              <w:t>0.30</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Times New Roman" w:hAnsi="Times New Roman" w:cs="Times New Roman" w:eastAsia="Times New Roman" w:hint="default"/>
                <w:sz w:val="21"/>
                <w:szCs w:val="21"/>
              </w:rPr>
            </w:pPr>
            <w:r>
              <w:rPr>
                <w:rFonts w:ascii="Times New Roman"/>
                <w:sz w:val="21"/>
              </w:rPr>
              <w:t>36.67%</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z w:val="21"/>
              </w:rPr>
              <w:t>0.21</w:t>
            </w:r>
          </w:p>
        </w:tc>
      </w:tr>
      <w:tr>
        <w:trPr>
          <w:trHeight w:val="379"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11" w:right="0"/>
              <w:jc w:val="left"/>
              <w:rPr>
                <w:rFonts w:ascii="宋体" w:hAnsi="宋体" w:cs="宋体" w:eastAsia="宋体" w:hint="default"/>
                <w:sz w:val="21"/>
                <w:szCs w:val="21"/>
              </w:rPr>
            </w:pPr>
            <w:r>
              <w:rPr>
                <w:rFonts w:ascii="宋体" w:hAnsi="宋体" w:cs="宋体" w:eastAsia="宋体" w:hint="default"/>
                <w:sz w:val="21"/>
                <w:szCs w:val="21"/>
              </w:rPr>
              <w:t>净资产收益率（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21"/>
                <w:szCs w:val="21"/>
              </w:rPr>
            </w:pPr>
            <w:r>
              <w:rPr>
                <w:rFonts w:ascii="Times New Roman"/>
                <w:sz w:val="21"/>
              </w:rPr>
              <w:t>17.86%</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Times New Roman" w:hAnsi="Times New Roman" w:cs="Times New Roman" w:eastAsia="Times New Roman" w:hint="default"/>
                <w:sz w:val="21"/>
                <w:szCs w:val="21"/>
              </w:rPr>
            </w:pPr>
            <w:r>
              <w:rPr>
                <w:rFonts w:ascii="Times New Roman"/>
                <w:sz w:val="21"/>
              </w:rPr>
              <w:t>14.89%</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Times New Roman" w:hAnsi="Times New Roman" w:cs="Times New Roman" w:eastAsia="Times New Roman" w:hint="default"/>
                <w:sz w:val="21"/>
                <w:szCs w:val="21"/>
              </w:rPr>
            </w:pPr>
            <w:r>
              <w:rPr>
                <w:rFonts w:ascii="Times New Roman"/>
                <w:sz w:val="21"/>
              </w:rPr>
              <w:t>2.97%</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Times New Roman" w:hAnsi="Times New Roman" w:cs="Times New Roman" w:eastAsia="Times New Roman" w:hint="default"/>
                <w:sz w:val="21"/>
                <w:szCs w:val="21"/>
              </w:rPr>
            </w:pPr>
            <w:r>
              <w:rPr>
                <w:rFonts w:ascii="Times New Roman"/>
                <w:sz w:val="21"/>
              </w:rPr>
              <w:t>10.16%</w:t>
            </w:r>
          </w:p>
        </w:tc>
      </w:tr>
      <w:tr>
        <w:trPr>
          <w:trHeight w:val="147" w:hRule="exact"/>
        </w:trPr>
        <w:tc>
          <w:tcPr>
            <w:tcW w:w="2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1565" w:type="dxa"/>
            <w:tcBorders>
              <w:top w:val="single" w:sz="4" w:space="0" w:color="000000"/>
              <w:left w:val="single" w:sz="4" w:space="0" w:color="000000"/>
              <w:bottom w:val="nil" w:sz="6" w:space="0" w:color="auto"/>
              <w:right w:val="single" w:sz="4" w:space="0" w:color="000000"/>
            </w:tcBorders>
            <w:shd w:val="clear" w:color="auto" w:fill="D2D2D2"/>
          </w:tcPr>
          <w:p>
            <w:pPr/>
          </w:p>
        </w:tc>
        <w:tc>
          <w:tcPr>
            <w:tcW w:w="1723" w:type="dxa"/>
            <w:tcBorders>
              <w:top w:val="single" w:sz="4" w:space="0" w:color="000000"/>
              <w:left w:val="single" w:sz="4" w:space="0" w:color="000000"/>
              <w:bottom w:val="nil" w:sz="6" w:space="0" w:color="auto"/>
              <w:right w:val="single" w:sz="4" w:space="0" w:color="000000"/>
            </w:tcBorders>
            <w:shd w:val="clear" w:color="auto" w:fill="D2D2D2"/>
          </w:tcPr>
          <w:p>
            <w:pPr/>
          </w:p>
        </w:tc>
        <w:tc>
          <w:tcPr>
            <w:tcW w:w="17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left="43" w:right="0"/>
              <w:jc w:val="left"/>
              <w:rPr>
                <w:rFonts w:ascii="宋体" w:hAnsi="宋体" w:cs="宋体" w:eastAsia="宋体" w:hint="default"/>
                <w:sz w:val="21"/>
                <w:szCs w:val="21"/>
              </w:rPr>
            </w:pPr>
            <w:r>
              <w:rPr>
                <w:rFonts w:ascii="宋体" w:hAnsi="宋体" w:cs="宋体" w:eastAsia="宋体" w:hint="default"/>
                <w:sz w:val="21"/>
                <w:szCs w:val="21"/>
              </w:rPr>
              <w:t>本年末比上年末增</w:t>
            </w:r>
          </w:p>
        </w:tc>
        <w:tc>
          <w:tcPr>
            <w:tcW w:w="177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69" w:hRule="exact"/>
        </w:trPr>
        <w:tc>
          <w:tcPr>
            <w:tcW w:w="2935" w:type="dxa"/>
            <w:vMerge w:val="restart"/>
            <w:tcBorders>
              <w:top w:val="nil" w:sz="6" w:space="0" w:color="auto"/>
              <w:left w:val="single" w:sz="4" w:space="0" w:color="000000"/>
              <w:right w:val="single" w:sz="4" w:space="0" w:color="000000"/>
            </w:tcBorders>
            <w:shd w:val="clear" w:color="auto" w:fill="D2D2D2"/>
          </w:tcPr>
          <w:p>
            <w:pPr/>
          </w:p>
        </w:tc>
        <w:tc>
          <w:tcPr>
            <w:tcW w:w="1565" w:type="dxa"/>
            <w:vMerge w:val="restart"/>
            <w:tcBorders>
              <w:top w:val="nil" w:sz="6" w:space="0" w:color="auto"/>
              <w:left w:val="single" w:sz="4" w:space="0" w:color="000000"/>
              <w:right w:val="single" w:sz="4" w:space="0" w:color="000000"/>
            </w:tcBorders>
            <w:shd w:val="clear" w:color="auto" w:fill="D2D2D2"/>
          </w:tcPr>
          <w:p>
            <w:pPr>
              <w:pStyle w:val="TableParagraph"/>
              <w:spacing w:line="288" w:lineRule="exact"/>
              <w:ind w:left="3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年末</w:t>
            </w:r>
          </w:p>
        </w:tc>
        <w:tc>
          <w:tcPr>
            <w:tcW w:w="1723" w:type="dxa"/>
            <w:vMerge w:val="restart"/>
            <w:tcBorders>
              <w:top w:val="nil" w:sz="6" w:space="0" w:color="auto"/>
              <w:left w:val="single" w:sz="4" w:space="0" w:color="000000"/>
              <w:right w:val="single" w:sz="4" w:space="0" w:color="000000"/>
            </w:tcBorders>
            <w:shd w:val="clear" w:color="auto" w:fill="D2D2D2"/>
          </w:tcPr>
          <w:p>
            <w:pPr>
              <w:pStyle w:val="TableParagraph"/>
              <w:spacing w:line="288" w:lineRule="exact"/>
              <w:ind w:left="412"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年末</w:t>
            </w:r>
          </w:p>
        </w:tc>
        <w:tc>
          <w:tcPr>
            <w:tcW w:w="1776" w:type="dxa"/>
            <w:vMerge/>
            <w:tcBorders>
              <w:left w:val="single" w:sz="4" w:space="0" w:color="000000"/>
              <w:bottom w:val="nil" w:sz="6" w:space="0" w:color="auto"/>
              <w:right w:val="single" w:sz="4" w:space="0" w:color="000000"/>
            </w:tcBorders>
            <w:shd w:val="clear" w:color="auto" w:fill="D2D2D2"/>
          </w:tcPr>
          <w:p>
            <w:pPr/>
          </w:p>
        </w:tc>
        <w:tc>
          <w:tcPr>
            <w:tcW w:w="1776" w:type="dxa"/>
            <w:vMerge w:val="restart"/>
            <w:tcBorders>
              <w:top w:val="nil" w:sz="6" w:space="0" w:color="auto"/>
              <w:left w:val="single" w:sz="4" w:space="0" w:color="000000"/>
              <w:right w:val="single" w:sz="4" w:space="0" w:color="000000"/>
            </w:tcBorders>
            <w:shd w:val="clear" w:color="auto" w:fill="D2D2D2"/>
          </w:tcPr>
          <w:p>
            <w:pPr>
              <w:pStyle w:val="TableParagraph"/>
              <w:spacing w:line="288" w:lineRule="exact"/>
              <w:ind w:left="43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年末</w:t>
            </w:r>
          </w:p>
        </w:tc>
      </w:tr>
      <w:tr>
        <w:trPr>
          <w:trHeight w:val="161" w:hRule="exact"/>
        </w:trPr>
        <w:tc>
          <w:tcPr>
            <w:tcW w:w="2935" w:type="dxa"/>
            <w:vMerge/>
            <w:tcBorders>
              <w:left w:val="single" w:sz="4" w:space="0" w:color="000000"/>
              <w:bottom w:val="nil" w:sz="6" w:space="0" w:color="auto"/>
              <w:right w:val="single" w:sz="4" w:space="0" w:color="000000"/>
            </w:tcBorders>
            <w:shd w:val="clear" w:color="auto" w:fill="D2D2D2"/>
          </w:tcPr>
          <w:p>
            <w:pPr/>
          </w:p>
        </w:tc>
        <w:tc>
          <w:tcPr>
            <w:tcW w:w="1565" w:type="dxa"/>
            <w:vMerge/>
            <w:tcBorders>
              <w:left w:val="single" w:sz="4" w:space="0" w:color="000000"/>
              <w:bottom w:val="nil" w:sz="6" w:space="0" w:color="auto"/>
              <w:right w:val="single" w:sz="4" w:space="0" w:color="000000"/>
            </w:tcBorders>
            <w:shd w:val="clear" w:color="auto" w:fill="D2D2D2"/>
          </w:tcPr>
          <w:p>
            <w:pPr/>
          </w:p>
        </w:tc>
        <w:tc>
          <w:tcPr>
            <w:tcW w:w="1723" w:type="dxa"/>
            <w:vMerge/>
            <w:tcBorders>
              <w:left w:val="single" w:sz="4" w:space="0" w:color="000000"/>
              <w:bottom w:val="nil" w:sz="6" w:space="0" w:color="auto"/>
              <w:right w:val="single" w:sz="4" w:space="0" w:color="000000"/>
            </w:tcBorders>
            <w:shd w:val="clear" w:color="auto" w:fill="D2D2D2"/>
          </w:tcPr>
          <w:p>
            <w:pPr/>
          </w:p>
        </w:tc>
        <w:tc>
          <w:tcPr>
            <w:tcW w:w="1776" w:type="dxa"/>
            <w:vMerge w:val="restart"/>
            <w:tcBorders>
              <w:top w:val="nil" w:sz="6" w:space="0" w:color="auto"/>
              <w:left w:val="single" w:sz="4" w:space="0" w:color="000000"/>
              <w:right w:val="single" w:sz="4" w:space="0" w:color="000000"/>
            </w:tcBorders>
            <w:shd w:val="clear" w:color="auto" w:fill="D2D2D2"/>
          </w:tcPr>
          <w:p>
            <w:pPr>
              <w:pStyle w:val="TableParagraph"/>
              <w:spacing w:line="258" w:lineRule="exact"/>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p>
        </w:tc>
        <w:tc>
          <w:tcPr>
            <w:tcW w:w="1776" w:type="dxa"/>
            <w:vMerge/>
            <w:tcBorders>
              <w:left w:val="single" w:sz="4" w:space="0" w:color="000000"/>
              <w:right w:val="single" w:sz="4" w:space="0" w:color="000000"/>
            </w:tcBorders>
            <w:shd w:val="clear" w:color="auto" w:fill="D2D2D2"/>
          </w:tcPr>
          <w:p>
            <w:pPr/>
          </w:p>
        </w:tc>
      </w:tr>
      <w:tr>
        <w:trPr>
          <w:trHeight w:val="157" w:hRule="exact"/>
        </w:trPr>
        <w:tc>
          <w:tcPr>
            <w:tcW w:w="2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1565" w:type="dxa"/>
            <w:tcBorders>
              <w:top w:val="nil" w:sz="6" w:space="0" w:color="auto"/>
              <w:left w:val="single" w:sz="4" w:space="0" w:color="000000"/>
              <w:bottom w:val="single" w:sz="4" w:space="0" w:color="000000"/>
              <w:right w:val="single" w:sz="4" w:space="0" w:color="000000"/>
            </w:tcBorders>
            <w:shd w:val="clear" w:color="auto" w:fill="D2D2D2"/>
          </w:tcPr>
          <w:p>
            <w:pPr/>
          </w:p>
        </w:tc>
        <w:tc>
          <w:tcPr>
            <w:tcW w:w="1723" w:type="dxa"/>
            <w:tcBorders>
              <w:top w:val="nil" w:sz="6" w:space="0" w:color="auto"/>
              <w:left w:val="single" w:sz="4" w:space="0" w:color="000000"/>
              <w:bottom w:val="single" w:sz="4" w:space="0" w:color="000000"/>
              <w:right w:val="single" w:sz="4" w:space="0" w:color="000000"/>
            </w:tcBorders>
            <w:shd w:val="clear" w:color="auto" w:fill="D2D2D2"/>
          </w:tcPr>
          <w:p>
            <w:pPr/>
          </w:p>
        </w:tc>
        <w:tc>
          <w:tcPr>
            <w:tcW w:w="1776" w:type="dxa"/>
            <w:vMerge/>
            <w:tcBorders>
              <w:left w:val="single" w:sz="4" w:space="0" w:color="000000"/>
              <w:bottom w:val="single" w:sz="4" w:space="0" w:color="000000"/>
              <w:right w:val="single" w:sz="4" w:space="0" w:color="000000"/>
            </w:tcBorders>
            <w:shd w:val="clear" w:color="auto" w:fill="D2D2D2"/>
          </w:tcPr>
          <w:p>
            <w:pPr/>
          </w:p>
        </w:tc>
        <w:tc>
          <w:tcPr>
            <w:tcW w:w="1776" w:type="dxa"/>
            <w:vMerge/>
            <w:tcBorders>
              <w:left w:val="single" w:sz="4" w:space="0" w:color="000000"/>
              <w:bottom w:val="single" w:sz="4" w:space="0" w:color="000000"/>
              <w:right w:val="single" w:sz="4" w:space="0" w:color="000000"/>
            </w:tcBorders>
            <w:shd w:val="clear" w:color="auto" w:fill="D2D2D2"/>
          </w:tcPr>
          <w:p>
            <w:pPr/>
          </w:p>
        </w:tc>
      </w:tr>
      <w:tr>
        <w:trPr>
          <w:trHeight w:val="384" w:hRule="exact"/>
        </w:trPr>
        <w:tc>
          <w:tcPr>
            <w:tcW w:w="2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left="11" w:right="0"/>
              <w:jc w:val="left"/>
              <w:rPr>
                <w:rFonts w:ascii="宋体" w:hAnsi="宋体" w:cs="宋体" w:eastAsia="宋体" w:hint="default"/>
                <w:sz w:val="21"/>
                <w:szCs w:val="21"/>
              </w:rPr>
            </w:pPr>
            <w:r>
              <w:rPr>
                <w:rFonts w:ascii="宋体" w:hAnsi="宋体" w:cs="宋体" w:eastAsia="宋体" w:hint="default"/>
                <w:sz w:val="21"/>
                <w:szCs w:val="21"/>
              </w:rPr>
              <w:t>总资产（元）</w:t>
            </w:r>
          </w:p>
        </w:tc>
        <w:tc>
          <w:tcPr>
            <w:tcW w:w="156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4"/>
              <w:ind w:right="17"/>
              <w:jc w:val="right"/>
              <w:rPr>
                <w:rFonts w:ascii="Times New Roman" w:hAnsi="Times New Roman" w:cs="Times New Roman" w:eastAsia="Times New Roman" w:hint="default"/>
                <w:sz w:val="21"/>
                <w:szCs w:val="21"/>
              </w:rPr>
            </w:pPr>
            <w:r>
              <w:rPr>
                <w:rFonts w:ascii="Times New Roman"/>
                <w:spacing w:val="-1"/>
                <w:sz w:val="21"/>
              </w:rPr>
              <w:t>2,868,350,341.21</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2"/>
              <w:jc w:val="right"/>
              <w:rPr>
                <w:rFonts w:ascii="Times New Roman" w:hAnsi="Times New Roman" w:cs="Times New Roman" w:eastAsia="Times New Roman" w:hint="default"/>
                <w:sz w:val="21"/>
                <w:szCs w:val="21"/>
              </w:rPr>
            </w:pPr>
            <w:r>
              <w:rPr>
                <w:rFonts w:ascii="Times New Roman"/>
                <w:spacing w:val="-1"/>
                <w:sz w:val="21"/>
              </w:rPr>
              <w:t>1,888,141,595.10</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21"/>
                <w:szCs w:val="21"/>
              </w:rPr>
            </w:pPr>
            <w:r>
              <w:rPr>
                <w:rFonts w:ascii="Times New Roman"/>
                <w:sz w:val="21"/>
              </w:rPr>
              <w:t>51.91%</w:t>
            </w:r>
          </w:p>
        </w:tc>
        <w:tc>
          <w:tcPr>
            <w:tcW w:w="1776" w:type="dxa"/>
            <w:tcBorders>
              <w:top w:val="single" w:sz="58" w:space="0" w:color="D2D2D2"/>
              <w:left w:val="single" w:sz="4" w:space="0" w:color="000000"/>
              <w:bottom w:val="single" w:sz="4" w:space="0" w:color="000000"/>
              <w:right w:val="single" w:sz="4" w:space="0" w:color="000000"/>
            </w:tcBorders>
          </w:tcPr>
          <w:p>
            <w:pPr>
              <w:pStyle w:val="TableParagraph"/>
              <w:spacing w:line="228" w:lineRule="exact"/>
              <w:ind w:right="22"/>
              <w:jc w:val="right"/>
              <w:rPr>
                <w:rFonts w:ascii="Times New Roman" w:hAnsi="Times New Roman" w:cs="Times New Roman" w:eastAsia="Times New Roman" w:hint="default"/>
                <w:sz w:val="21"/>
                <w:szCs w:val="21"/>
              </w:rPr>
            </w:pPr>
            <w:r>
              <w:rPr>
                <w:rFonts w:ascii="Times New Roman"/>
                <w:spacing w:val="-1"/>
                <w:sz w:val="21"/>
              </w:rPr>
              <w:t>2,283,416,351.06</w:t>
            </w:r>
          </w:p>
        </w:tc>
      </w:tr>
      <w:tr>
        <w:trPr>
          <w:trHeight w:val="313" w:hRule="exact"/>
        </w:trPr>
        <w:tc>
          <w:tcPr>
            <w:tcW w:w="293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
              <w:ind w:left="11" w:right="0"/>
              <w:jc w:val="left"/>
              <w:rPr>
                <w:rFonts w:ascii="宋体" w:hAnsi="宋体" w:cs="宋体" w:eastAsia="宋体" w:hint="default"/>
                <w:sz w:val="21"/>
                <w:szCs w:val="21"/>
              </w:rPr>
            </w:pPr>
            <w:r>
              <w:rPr>
                <w:rFonts w:ascii="宋体" w:hAnsi="宋体" w:cs="宋体" w:eastAsia="宋体" w:hint="default"/>
                <w:sz w:val="21"/>
                <w:szCs w:val="21"/>
              </w:rPr>
              <w:t>归属于上市公司股东的净资产</w:t>
            </w:r>
          </w:p>
        </w:tc>
        <w:tc>
          <w:tcPr>
            <w:tcW w:w="1565" w:type="dxa"/>
            <w:tcBorders>
              <w:top w:val="single" w:sz="4" w:space="0" w:color="000000"/>
              <w:left w:val="single" w:sz="13" w:space="0" w:color="D2D2D2"/>
              <w:bottom w:val="nil" w:sz="6" w:space="0" w:color="auto"/>
              <w:right w:val="single" w:sz="4" w:space="0" w:color="000000"/>
            </w:tcBorders>
          </w:tcPr>
          <w:p>
            <w:pPr/>
          </w:p>
        </w:tc>
        <w:tc>
          <w:tcPr>
            <w:tcW w:w="1723" w:type="dxa"/>
            <w:tcBorders>
              <w:top w:val="single" w:sz="4" w:space="0" w:color="000000"/>
              <w:left w:val="single" w:sz="4" w:space="0" w:color="000000"/>
              <w:bottom w:val="nil" w:sz="6" w:space="0" w:color="auto"/>
              <w:right w:val="single" w:sz="4" w:space="0" w:color="000000"/>
            </w:tcBorders>
          </w:tcPr>
          <w:p>
            <w:pPr/>
          </w:p>
        </w:tc>
        <w:tc>
          <w:tcPr>
            <w:tcW w:w="1776" w:type="dxa"/>
            <w:tcBorders>
              <w:top w:val="single" w:sz="4" w:space="0" w:color="000000"/>
              <w:left w:val="single" w:sz="4" w:space="0" w:color="000000"/>
              <w:bottom w:val="nil" w:sz="6" w:space="0" w:color="auto"/>
              <w:right w:val="single" w:sz="4" w:space="0" w:color="000000"/>
            </w:tcBorders>
          </w:tcPr>
          <w:p>
            <w:pPr/>
          </w:p>
        </w:tc>
        <w:tc>
          <w:tcPr>
            <w:tcW w:w="1776" w:type="dxa"/>
            <w:tcBorders>
              <w:top w:val="single" w:sz="4" w:space="0" w:color="000000"/>
              <w:left w:val="single" w:sz="4" w:space="0" w:color="000000"/>
              <w:bottom w:val="nil" w:sz="6" w:space="0" w:color="auto"/>
              <w:right w:val="single" w:sz="4" w:space="0" w:color="000000"/>
            </w:tcBorders>
          </w:tcPr>
          <w:p>
            <w:pPr/>
          </w:p>
        </w:tc>
      </w:tr>
      <w:tr>
        <w:trPr>
          <w:trHeight w:val="277" w:hRule="exact"/>
        </w:trPr>
        <w:tc>
          <w:tcPr>
            <w:tcW w:w="29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exact"/>
              <w:ind w:left="11" w:right="0"/>
              <w:jc w:val="left"/>
              <w:rPr>
                <w:rFonts w:ascii="宋体" w:hAnsi="宋体" w:cs="宋体" w:eastAsia="宋体" w:hint="default"/>
                <w:sz w:val="21"/>
                <w:szCs w:val="21"/>
              </w:rPr>
            </w:pPr>
            <w:r>
              <w:rPr>
                <w:rFonts w:ascii="宋体" w:hAnsi="宋体" w:cs="宋体" w:eastAsia="宋体" w:hint="default"/>
                <w:sz w:val="21"/>
                <w:szCs w:val="21"/>
              </w:rPr>
              <w:t>（归属于上市公司股东的所有</w:t>
            </w:r>
          </w:p>
        </w:tc>
        <w:tc>
          <w:tcPr>
            <w:tcW w:w="1565" w:type="dxa"/>
            <w:tcBorders>
              <w:top w:val="nil" w:sz="6" w:space="0" w:color="auto"/>
              <w:left w:val="single" w:sz="13" w:space="0" w:color="D2D2D2"/>
              <w:bottom w:val="nil" w:sz="6" w:space="0" w:color="auto"/>
              <w:right w:val="single" w:sz="4" w:space="0" w:color="000000"/>
            </w:tcBorders>
          </w:tcPr>
          <w:p>
            <w:pPr>
              <w:pStyle w:val="TableParagraph"/>
              <w:spacing w:line="240" w:lineRule="auto" w:before="9"/>
              <w:ind w:right="17"/>
              <w:jc w:val="right"/>
              <w:rPr>
                <w:rFonts w:ascii="Times New Roman" w:hAnsi="Times New Roman" w:cs="Times New Roman" w:eastAsia="Times New Roman" w:hint="default"/>
                <w:sz w:val="21"/>
                <w:szCs w:val="21"/>
              </w:rPr>
            </w:pPr>
            <w:r>
              <w:rPr>
                <w:rFonts w:ascii="Times New Roman"/>
                <w:spacing w:val="-1"/>
                <w:sz w:val="21"/>
              </w:rPr>
              <w:t>1,174,791,182.98</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21"/>
                <w:szCs w:val="21"/>
              </w:rPr>
            </w:pPr>
            <w:r>
              <w:rPr>
                <w:rFonts w:ascii="Times New Roman"/>
                <w:spacing w:val="-1"/>
                <w:sz w:val="21"/>
              </w:rPr>
              <w:t>995,817,803.28</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19"/>
              <w:jc w:val="right"/>
              <w:rPr>
                <w:rFonts w:ascii="Times New Roman" w:hAnsi="Times New Roman" w:cs="Times New Roman" w:eastAsia="Times New Roman" w:hint="default"/>
                <w:sz w:val="21"/>
                <w:szCs w:val="21"/>
              </w:rPr>
            </w:pPr>
            <w:r>
              <w:rPr>
                <w:rFonts w:ascii="Times New Roman"/>
                <w:sz w:val="21"/>
              </w:rPr>
              <w:t>17.97%</w:t>
            </w:r>
          </w:p>
        </w:tc>
        <w:tc>
          <w:tcPr>
            <w:tcW w:w="177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22"/>
              <w:jc w:val="right"/>
              <w:rPr>
                <w:rFonts w:ascii="Times New Roman" w:hAnsi="Times New Roman" w:cs="Times New Roman" w:eastAsia="Times New Roman" w:hint="default"/>
                <w:sz w:val="21"/>
                <w:szCs w:val="21"/>
              </w:rPr>
            </w:pPr>
            <w:r>
              <w:rPr>
                <w:rFonts w:ascii="Times New Roman"/>
                <w:spacing w:val="-1"/>
                <w:sz w:val="21"/>
              </w:rPr>
              <w:t>858,361,709.73</w:t>
            </w:r>
          </w:p>
        </w:tc>
      </w:tr>
      <w:tr>
        <w:trPr>
          <w:trHeight w:val="317" w:hRule="exact"/>
        </w:trPr>
        <w:tc>
          <w:tcPr>
            <w:tcW w:w="2935"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w w:val="100"/>
                <w:sz w:val="21"/>
                <w:szCs w:val="21"/>
              </w:rPr>
              <w:t>者权益</w:t>
            </w:r>
            <w:r>
              <w:rPr>
                <w:rFonts w:ascii="宋体" w:hAnsi="宋体" w:cs="宋体" w:eastAsia="宋体" w:hint="default"/>
                <w:spacing w:val="-106"/>
                <w:w w:val="100"/>
                <w:sz w:val="21"/>
                <w:szCs w:val="21"/>
              </w:rPr>
              <w:t>）</w:t>
            </w:r>
            <w:r>
              <w:rPr>
                <w:rFonts w:ascii="宋体" w:hAnsi="宋体" w:cs="宋体" w:eastAsia="宋体" w:hint="default"/>
                <w:spacing w:val="-1"/>
                <w:w w:val="100"/>
                <w:sz w:val="21"/>
                <w:szCs w:val="21"/>
              </w:rPr>
              <w:t>（</w:t>
            </w:r>
            <w:r>
              <w:rPr>
                <w:rFonts w:ascii="宋体" w:hAnsi="宋体" w:cs="宋体" w:eastAsia="宋体" w:hint="default"/>
                <w:spacing w:val="-5"/>
                <w:w w:val="100"/>
                <w:sz w:val="21"/>
                <w:szCs w:val="21"/>
              </w:rPr>
              <w:t>元</w:t>
            </w:r>
            <w:r>
              <w:rPr>
                <w:rFonts w:ascii="宋体" w:hAnsi="宋体" w:cs="宋体" w:eastAsia="宋体" w:hint="default"/>
                <w:w w:val="100"/>
                <w:sz w:val="21"/>
                <w:szCs w:val="21"/>
              </w:rPr>
              <w:t>）</w:t>
            </w:r>
          </w:p>
        </w:tc>
        <w:tc>
          <w:tcPr>
            <w:tcW w:w="1565" w:type="dxa"/>
            <w:tcBorders>
              <w:top w:val="nil" w:sz="6" w:space="0" w:color="auto"/>
              <w:left w:val="single" w:sz="13" w:space="0" w:color="D2D2D2"/>
              <w:bottom w:val="single" w:sz="4" w:space="0" w:color="000000"/>
              <w:right w:val="single" w:sz="4" w:space="0" w:color="000000"/>
            </w:tcBorders>
          </w:tcPr>
          <w:p>
            <w:pPr/>
          </w:p>
        </w:tc>
        <w:tc>
          <w:tcPr>
            <w:tcW w:w="1723" w:type="dxa"/>
            <w:tcBorders>
              <w:top w:val="nil" w:sz="6" w:space="0" w:color="auto"/>
              <w:left w:val="single" w:sz="4" w:space="0" w:color="000000"/>
              <w:bottom w:val="single" w:sz="4" w:space="0" w:color="000000"/>
              <w:right w:val="single" w:sz="4" w:space="0" w:color="000000"/>
            </w:tcBorders>
          </w:tcPr>
          <w:p>
            <w:pPr/>
          </w:p>
        </w:tc>
        <w:tc>
          <w:tcPr>
            <w:tcW w:w="1776" w:type="dxa"/>
            <w:tcBorders>
              <w:top w:val="nil" w:sz="6" w:space="0" w:color="auto"/>
              <w:left w:val="single" w:sz="4" w:space="0" w:color="000000"/>
              <w:bottom w:val="single" w:sz="4" w:space="0" w:color="000000"/>
              <w:right w:val="single" w:sz="4" w:space="0" w:color="000000"/>
            </w:tcBorders>
          </w:tcPr>
          <w:p>
            <w:pPr/>
          </w:p>
        </w:tc>
        <w:tc>
          <w:tcPr>
            <w:tcW w:w="1776" w:type="dxa"/>
            <w:tcBorders>
              <w:top w:val="nil" w:sz="6" w:space="0" w:color="auto"/>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00" w:h="16840"/>
          <w:pgMar w:header="872" w:footer="957" w:top="1120" w:bottom="1180" w:left="980" w:right="860"/>
        </w:sectPr>
      </w:pPr>
    </w:p>
    <w:p>
      <w:pPr>
        <w:pStyle w:val="Heading4"/>
        <w:spacing w:line="367" w:lineRule="exact"/>
        <w:ind w:right="-11"/>
        <w:jc w:val="left"/>
        <w:rPr>
          <w:b w:val="0"/>
          <w:bCs w:val="0"/>
        </w:rPr>
      </w:pPr>
      <w:r>
        <w:rPr/>
        <w:t>二、非经常性损益项目及金额</w:t>
      </w:r>
      <w:r>
        <w:rPr>
          <w:b w:val="0"/>
          <w:bCs w:val="0"/>
        </w:rPr>
      </w:r>
    </w:p>
    <w:p>
      <w:pPr>
        <w:spacing w:line="240" w:lineRule="auto" w:before="1"/>
        <w:rPr>
          <w:rFonts w:ascii="Microsoft JhengHei" w:hAnsi="Microsoft JhengHei" w:cs="Microsoft JhengHei" w:eastAsia="Microsoft JhengHei" w:hint="default"/>
          <w:b/>
          <w:bCs/>
          <w:sz w:val="22"/>
          <w:szCs w:val="22"/>
        </w:rPr>
      </w:pPr>
      <w:r>
        <w:rPr/>
        <w:br w:type="column"/>
      </w:r>
      <w:r>
        <w:rPr>
          <w:rFonts w:ascii="Microsoft JhengHei"/>
          <w:b/>
          <w:sz w:val="22"/>
        </w:rPr>
      </w: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00" w:h="16840"/>
          <w:pgMar w:top="860" w:bottom="280" w:left="980" w:right="860"/>
          <w:cols w:num="2" w:equalWidth="0">
            <w:col w:w="3282" w:space="5631"/>
            <w:col w:w="1147"/>
          </w:cols>
        </w:sectPr>
      </w:pPr>
    </w:p>
    <w:p>
      <w:pPr>
        <w:spacing w:line="240" w:lineRule="auto" w:before="5"/>
        <w:rPr>
          <w:rFonts w:ascii="宋体" w:hAnsi="宋体" w:cs="宋体" w:eastAsia="宋体" w:hint="default"/>
          <w:sz w:val="5"/>
          <w:szCs w:val="5"/>
        </w:rPr>
      </w:pPr>
    </w:p>
    <w:tbl>
      <w:tblPr>
        <w:tblW w:w="0" w:type="auto"/>
        <w:jc w:val="left"/>
        <w:tblInd w:w="200" w:type="dxa"/>
        <w:tblLayout w:type="fixed"/>
        <w:tblCellMar>
          <w:top w:w="0" w:type="dxa"/>
          <w:left w:w="0" w:type="dxa"/>
          <w:bottom w:w="0" w:type="dxa"/>
          <w:right w:w="0" w:type="dxa"/>
        </w:tblCellMar>
        <w:tblLook w:val="01E0"/>
      </w:tblPr>
      <w:tblGrid>
        <w:gridCol w:w="3998"/>
        <w:gridCol w:w="1843"/>
        <w:gridCol w:w="1848"/>
        <w:gridCol w:w="1843"/>
      </w:tblGrid>
      <w:tr>
        <w:trPr>
          <w:trHeight w:val="394" w:hRule="exact"/>
        </w:trPr>
        <w:tc>
          <w:tcPr>
            <w:tcW w:w="39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right="2"/>
              <w:jc w:val="center"/>
              <w:rPr>
                <w:rFonts w:ascii="宋体" w:hAnsi="宋体" w:cs="宋体" w:eastAsia="宋体" w:hint="default"/>
                <w:sz w:val="21"/>
                <w:szCs w:val="21"/>
              </w:rPr>
            </w:pPr>
            <w:r>
              <w:rPr>
                <w:rFonts w:ascii="宋体" w:hAnsi="宋体" w:cs="宋体" w:eastAsia="宋体" w:hint="default"/>
                <w:sz w:val="21"/>
                <w:szCs w:val="21"/>
              </w:rPr>
              <w:t>项目</w:t>
            </w:r>
          </w:p>
        </w:tc>
        <w:tc>
          <w:tcPr>
            <w:tcW w:w="18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left="36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年金额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left="36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年金额</w:t>
            </w:r>
          </w:p>
        </w:tc>
        <w:tc>
          <w:tcPr>
            <w:tcW w:w="18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left="36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年金额</w:t>
            </w:r>
          </w:p>
        </w:tc>
      </w:tr>
      <w:tr>
        <w:trPr>
          <w:trHeight w:val="854" w:hRule="exact"/>
        </w:trPr>
        <w:tc>
          <w:tcPr>
            <w:tcW w:w="39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3"/>
              <w:ind w:left="19" w:right="17"/>
              <w:jc w:val="left"/>
              <w:rPr>
                <w:rFonts w:ascii="宋体" w:hAnsi="宋体" w:cs="宋体" w:eastAsia="宋体" w:hint="default"/>
                <w:sz w:val="21"/>
                <w:szCs w:val="21"/>
              </w:rPr>
            </w:pPr>
            <w:r>
              <w:rPr>
                <w:rFonts w:ascii="宋体" w:hAnsi="宋体" w:cs="宋体" w:eastAsia="宋体" w:hint="default"/>
                <w:spacing w:val="-4"/>
                <w:sz w:val="21"/>
                <w:szCs w:val="21"/>
              </w:rPr>
              <w:t>非流动资产处置损益（包括已计提资产减值</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准备的冲销部分）</w:t>
            </w:r>
          </w:p>
        </w:tc>
        <w:tc>
          <w:tcPr>
            <w:tcW w:w="1843" w:type="dxa"/>
            <w:tcBorders>
              <w:top w:val="single" w:sz="19" w:space="0" w:color="D2D2D2"/>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61,213,894.63</w:t>
            </w:r>
          </w:p>
        </w:tc>
        <w:tc>
          <w:tcPr>
            <w:tcW w:w="1848" w:type="dxa"/>
            <w:tcBorders>
              <w:top w:val="single" w:sz="19" w:space="0" w:color="D2D2D2"/>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105,073,201.93</w:t>
            </w:r>
          </w:p>
        </w:tc>
        <w:tc>
          <w:tcPr>
            <w:tcW w:w="1843" w:type="dxa"/>
            <w:tcBorders>
              <w:top w:val="single" w:sz="19" w:space="0" w:color="D2D2D2"/>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62,727,770.76</w:t>
            </w:r>
          </w:p>
        </w:tc>
      </w:tr>
      <w:tr>
        <w:trPr>
          <w:trHeight w:val="451" w:hRule="exact"/>
        </w:trPr>
        <w:tc>
          <w:tcPr>
            <w:tcW w:w="3998"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47"/>
              <w:ind w:left="19"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1843" w:type="dxa"/>
            <w:tcBorders>
              <w:top w:val="single" w:sz="4" w:space="0" w:color="000000"/>
              <w:left w:val="single" w:sz="4" w:space="0" w:color="000000"/>
              <w:bottom w:val="single" w:sz="4" w:space="0" w:color="FFFFFF"/>
              <w:right w:val="single" w:sz="4" w:space="0" w:color="000000"/>
            </w:tcBorders>
          </w:tcPr>
          <w:p>
            <w:pPr/>
          </w:p>
        </w:tc>
        <w:tc>
          <w:tcPr>
            <w:tcW w:w="1848" w:type="dxa"/>
            <w:tcBorders>
              <w:top w:val="single" w:sz="4" w:space="0" w:color="000000"/>
              <w:left w:val="single" w:sz="4" w:space="0" w:color="000000"/>
              <w:bottom w:val="single" w:sz="4" w:space="0" w:color="FFFFFF"/>
              <w:right w:val="single" w:sz="4" w:space="0" w:color="000000"/>
            </w:tcBorders>
          </w:tcPr>
          <w:p>
            <w:pPr/>
          </w:p>
        </w:tc>
        <w:tc>
          <w:tcPr>
            <w:tcW w:w="184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87"/>
              <w:ind w:right="22"/>
              <w:jc w:val="right"/>
              <w:rPr>
                <w:rFonts w:ascii="Times New Roman" w:hAnsi="Times New Roman" w:cs="Times New Roman" w:eastAsia="Times New Roman" w:hint="default"/>
                <w:sz w:val="21"/>
                <w:szCs w:val="21"/>
              </w:rPr>
            </w:pPr>
            <w:r>
              <w:rPr>
                <w:rFonts w:ascii="Times New Roman"/>
                <w:spacing w:val="-1"/>
                <w:sz w:val="21"/>
              </w:rPr>
              <w:t>-300,220.19</w:t>
            </w:r>
          </w:p>
        </w:tc>
      </w:tr>
      <w:tr>
        <w:trPr>
          <w:trHeight w:val="814" w:hRule="exact"/>
        </w:trPr>
        <w:tc>
          <w:tcPr>
            <w:tcW w:w="3998" w:type="dxa"/>
            <w:tcBorders>
              <w:top w:val="single" w:sz="4" w:space="0" w:color="FFFFFF"/>
              <w:left w:val="single" w:sz="4" w:space="0" w:color="000000"/>
              <w:bottom w:val="single" w:sz="21" w:space="0" w:color="FFFFFF"/>
              <w:right w:val="single" w:sz="4" w:space="0" w:color="000000"/>
            </w:tcBorders>
            <w:shd w:val="clear" w:color="auto" w:fill="D2D2D2"/>
          </w:tcPr>
          <w:p>
            <w:pPr>
              <w:pStyle w:val="TableParagraph"/>
              <w:spacing w:line="240" w:lineRule="auto" w:before="81"/>
              <w:ind w:left="19" w:right="185"/>
              <w:jc w:val="left"/>
              <w:rPr>
                <w:rFonts w:ascii="宋体" w:hAnsi="宋体" w:cs="宋体" w:eastAsia="宋体" w:hint="default"/>
                <w:sz w:val="21"/>
                <w:szCs w:val="21"/>
              </w:rPr>
            </w:pPr>
            <w:r>
              <w:rPr>
                <w:rFonts w:ascii="宋体" w:hAnsi="宋体" w:cs="宋体" w:eastAsia="宋体" w:hint="default"/>
                <w:spacing w:val="-2"/>
                <w:sz w:val="21"/>
                <w:szCs w:val="21"/>
              </w:rPr>
              <w:t>单独进行减值测试的应收款项减值准备转</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回</w:t>
            </w:r>
          </w:p>
        </w:tc>
        <w:tc>
          <w:tcPr>
            <w:tcW w:w="1843" w:type="dxa"/>
            <w:tcBorders>
              <w:top w:val="single" w:sz="4" w:space="0" w:color="FFFFFF"/>
              <w:left w:val="single" w:sz="4" w:space="0" w:color="000000"/>
              <w:bottom w:val="single" w:sz="21" w:space="0" w:color="FFFFFF"/>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14,408,572.47</w:t>
            </w:r>
          </w:p>
        </w:tc>
        <w:tc>
          <w:tcPr>
            <w:tcW w:w="1848" w:type="dxa"/>
            <w:tcBorders>
              <w:top w:val="single" w:sz="4" w:space="0" w:color="FFFFFF"/>
              <w:left w:val="single" w:sz="4" w:space="0" w:color="000000"/>
              <w:bottom w:val="single" w:sz="21" w:space="0" w:color="FFFFFF"/>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7,032,538.90</w:t>
            </w:r>
          </w:p>
        </w:tc>
        <w:tc>
          <w:tcPr>
            <w:tcW w:w="1843" w:type="dxa"/>
            <w:tcBorders>
              <w:top w:val="single" w:sz="4" w:space="0" w:color="FFFFFF"/>
              <w:left w:val="single" w:sz="4" w:space="0" w:color="000000"/>
              <w:bottom w:val="single" w:sz="21" w:space="0" w:color="FFFFFF"/>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10,635,000.00</w:t>
            </w:r>
          </w:p>
        </w:tc>
      </w:tr>
      <w:tr>
        <w:trPr>
          <w:trHeight w:val="430" w:hRule="exact"/>
        </w:trPr>
        <w:tc>
          <w:tcPr>
            <w:tcW w:w="3998" w:type="dxa"/>
            <w:tcBorders>
              <w:top w:val="single" w:sz="21"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4"/>
              <w:ind w:left="19"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43" w:type="dxa"/>
            <w:tcBorders>
              <w:top w:val="single" w:sz="21" w:space="0" w:color="FFFFFF"/>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-7,545,532.72</w:t>
            </w:r>
          </w:p>
        </w:tc>
        <w:tc>
          <w:tcPr>
            <w:tcW w:w="1848" w:type="dxa"/>
            <w:tcBorders>
              <w:top w:val="single" w:sz="21" w:space="0" w:color="FFFFFF"/>
              <w:left w:val="single" w:sz="4" w:space="0" w:color="000000"/>
              <w:bottom w:val="single" w:sz="4" w:space="0" w:color="000000"/>
              <w:right w:val="single" w:sz="4" w:space="0" w:color="000000"/>
            </w:tcBorders>
          </w:tcPr>
          <w:p>
            <w:pPr>
              <w:pStyle w:val="TableParagraph"/>
              <w:spacing w:line="240" w:lineRule="auto" w:before="44"/>
              <w:ind w:right="26"/>
              <w:jc w:val="right"/>
              <w:rPr>
                <w:rFonts w:ascii="Times New Roman" w:hAnsi="Times New Roman" w:cs="Times New Roman" w:eastAsia="Times New Roman" w:hint="default"/>
                <w:sz w:val="21"/>
                <w:szCs w:val="21"/>
              </w:rPr>
            </w:pPr>
            <w:r>
              <w:rPr>
                <w:rFonts w:ascii="Times New Roman"/>
                <w:spacing w:val="-1"/>
                <w:sz w:val="21"/>
              </w:rPr>
              <w:t>-1,823,190.72</w:t>
            </w:r>
          </w:p>
        </w:tc>
        <w:tc>
          <w:tcPr>
            <w:tcW w:w="1843" w:type="dxa"/>
            <w:tcBorders>
              <w:top w:val="single" w:sz="21" w:space="0" w:color="FFFFFF"/>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pacing w:val="-1"/>
                <w:sz w:val="21"/>
              </w:rPr>
              <w:t>-8,512,594.93</w:t>
            </w:r>
          </w:p>
        </w:tc>
      </w:tr>
      <w:tr>
        <w:trPr>
          <w:trHeight w:val="478" w:hRule="exact"/>
        </w:trPr>
        <w:tc>
          <w:tcPr>
            <w:tcW w:w="3998" w:type="dxa"/>
            <w:tcBorders>
              <w:top w:val="single" w:sz="4" w:space="0" w:color="000000"/>
              <w:left w:val="single" w:sz="4" w:space="0" w:color="000000"/>
              <w:bottom w:val="single" w:sz="21" w:space="0" w:color="FFFFFF"/>
              <w:right w:val="single" w:sz="4" w:space="0" w:color="000000"/>
            </w:tcBorders>
            <w:shd w:val="clear" w:color="auto" w:fill="D2D2D2"/>
          </w:tcPr>
          <w:p>
            <w:pPr>
              <w:pStyle w:val="TableParagraph"/>
              <w:spacing w:line="240" w:lineRule="auto" w:before="47"/>
              <w:ind w:left="19"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43" w:type="dxa"/>
            <w:tcBorders>
              <w:top w:val="single" w:sz="4" w:space="0" w:color="000000"/>
              <w:left w:val="single" w:sz="4" w:space="0" w:color="000000"/>
              <w:bottom w:val="single" w:sz="21" w:space="0" w:color="FFFFFF"/>
              <w:right w:val="single" w:sz="4" w:space="0" w:color="000000"/>
            </w:tcBorders>
          </w:tcPr>
          <w:p>
            <w:pPr>
              <w:pStyle w:val="TableParagraph"/>
              <w:spacing w:line="240" w:lineRule="auto" w:before="87"/>
              <w:ind w:right="22"/>
              <w:jc w:val="right"/>
              <w:rPr>
                <w:rFonts w:ascii="Times New Roman" w:hAnsi="Times New Roman" w:cs="Times New Roman" w:eastAsia="Times New Roman" w:hint="default"/>
                <w:sz w:val="21"/>
                <w:szCs w:val="21"/>
              </w:rPr>
            </w:pPr>
            <w:r>
              <w:rPr>
                <w:rFonts w:ascii="Times New Roman"/>
                <w:sz w:val="21"/>
              </w:rPr>
              <w:t>15,853,260.96</w:t>
            </w:r>
          </w:p>
        </w:tc>
        <w:tc>
          <w:tcPr>
            <w:tcW w:w="1848" w:type="dxa"/>
            <w:tcBorders>
              <w:top w:val="single" w:sz="4" w:space="0" w:color="000000"/>
              <w:left w:val="single" w:sz="4" w:space="0" w:color="000000"/>
              <w:bottom w:val="single" w:sz="21" w:space="0" w:color="FFFFFF"/>
              <w:right w:val="single" w:sz="4" w:space="0" w:color="000000"/>
            </w:tcBorders>
          </w:tcPr>
          <w:p>
            <w:pPr>
              <w:pStyle w:val="TableParagraph"/>
              <w:spacing w:line="240" w:lineRule="auto" w:before="87"/>
              <w:ind w:right="27"/>
              <w:jc w:val="right"/>
              <w:rPr>
                <w:rFonts w:ascii="Times New Roman" w:hAnsi="Times New Roman" w:cs="Times New Roman" w:eastAsia="Times New Roman" w:hint="default"/>
                <w:sz w:val="21"/>
                <w:szCs w:val="21"/>
              </w:rPr>
            </w:pPr>
            <w:r>
              <w:rPr>
                <w:rFonts w:ascii="Times New Roman"/>
                <w:sz w:val="21"/>
              </w:rPr>
              <w:t>60,346,188.66</w:t>
            </w:r>
          </w:p>
        </w:tc>
        <w:tc>
          <w:tcPr>
            <w:tcW w:w="1843" w:type="dxa"/>
            <w:tcBorders>
              <w:top w:val="single" w:sz="4" w:space="0" w:color="000000"/>
              <w:left w:val="single" w:sz="4" w:space="0" w:color="000000"/>
              <w:bottom w:val="single" w:sz="21" w:space="0" w:color="FFFFFF"/>
              <w:right w:val="single" w:sz="4" w:space="0" w:color="000000"/>
            </w:tcBorders>
          </w:tcPr>
          <w:p>
            <w:pPr>
              <w:pStyle w:val="TableParagraph"/>
              <w:spacing w:line="240" w:lineRule="auto" w:before="87"/>
              <w:ind w:right="22"/>
              <w:jc w:val="right"/>
              <w:rPr>
                <w:rFonts w:ascii="Times New Roman" w:hAnsi="Times New Roman" w:cs="Times New Roman" w:eastAsia="Times New Roman" w:hint="default"/>
                <w:sz w:val="21"/>
                <w:szCs w:val="21"/>
              </w:rPr>
            </w:pPr>
            <w:r>
              <w:rPr>
                <w:rFonts w:ascii="Times New Roman"/>
                <w:sz w:val="21"/>
              </w:rPr>
              <w:t>327,315.01</w:t>
            </w:r>
          </w:p>
        </w:tc>
      </w:tr>
      <w:tr>
        <w:trPr>
          <w:trHeight w:val="451" w:hRule="exact"/>
        </w:trPr>
        <w:tc>
          <w:tcPr>
            <w:tcW w:w="3998" w:type="dxa"/>
            <w:tcBorders>
              <w:top w:val="single" w:sz="21" w:space="0" w:color="FFFFFF"/>
              <w:left w:val="single" w:sz="4" w:space="0" w:color="000000"/>
              <w:bottom w:val="single" w:sz="21" w:space="0" w:color="FFFFFF"/>
              <w:right w:val="single" w:sz="4" w:space="0" w:color="000000"/>
            </w:tcBorders>
            <w:shd w:val="clear" w:color="auto" w:fill="D2D2D2"/>
          </w:tcPr>
          <w:p>
            <w:pPr>
              <w:pStyle w:val="TableParagraph"/>
              <w:spacing w:line="240" w:lineRule="auto" w:before="4"/>
              <w:ind w:left="19"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843" w:type="dxa"/>
            <w:tcBorders>
              <w:top w:val="single" w:sz="21" w:space="0" w:color="FFFFFF"/>
              <w:left w:val="single" w:sz="4" w:space="0" w:color="000000"/>
              <w:bottom w:val="single" w:sz="21" w:space="0" w:color="FFFFFF"/>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z w:val="21"/>
              </w:rPr>
              <w:t>27,580.00</w:t>
            </w:r>
          </w:p>
        </w:tc>
        <w:tc>
          <w:tcPr>
            <w:tcW w:w="1848" w:type="dxa"/>
            <w:tcBorders>
              <w:top w:val="single" w:sz="21" w:space="0" w:color="FFFFFF"/>
              <w:left w:val="single" w:sz="4" w:space="0" w:color="000000"/>
              <w:bottom w:val="single" w:sz="21" w:space="0" w:color="FFFFFF"/>
              <w:right w:val="single" w:sz="4" w:space="0" w:color="000000"/>
            </w:tcBorders>
          </w:tcPr>
          <w:p>
            <w:pPr>
              <w:pStyle w:val="TableParagraph"/>
              <w:spacing w:line="240" w:lineRule="auto" w:before="44"/>
              <w:ind w:right="28"/>
              <w:jc w:val="right"/>
              <w:rPr>
                <w:rFonts w:ascii="Times New Roman" w:hAnsi="Times New Roman" w:cs="Times New Roman" w:eastAsia="Times New Roman" w:hint="default"/>
                <w:sz w:val="21"/>
                <w:szCs w:val="21"/>
              </w:rPr>
            </w:pPr>
            <w:r>
              <w:rPr>
                <w:rFonts w:ascii="Times New Roman"/>
                <w:sz w:val="21"/>
              </w:rPr>
              <w:t>389,991.50</w:t>
            </w:r>
          </w:p>
        </w:tc>
        <w:tc>
          <w:tcPr>
            <w:tcW w:w="1843" w:type="dxa"/>
            <w:tcBorders>
              <w:top w:val="single" w:sz="21" w:space="0" w:color="FFFFFF"/>
              <w:left w:val="single" w:sz="4" w:space="0" w:color="000000"/>
              <w:bottom w:val="single" w:sz="21" w:space="0" w:color="FFFFFF"/>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z w:val="21"/>
              </w:rPr>
              <w:t>2,426,563.53</w:t>
            </w:r>
          </w:p>
        </w:tc>
      </w:tr>
      <w:tr>
        <w:trPr>
          <w:trHeight w:val="435" w:hRule="exact"/>
        </w:trPr>
        <w:tc>
          <w:tcPr>
            <w:tcW w:w="3998" w:type="dxa"/>
            <w:tcBorders>
              <w:top w:val="single" w:sz="21"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4"/>
              <w:ind w:left="1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43" w:type="dxa"/>
            <w:tcBorders>
              <w:top w:val="single" w:sz="21" w:space="0" w:color="FFFFFF"/>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z w:val="21"/>
              </w:rPr>
              <w:t>52,196,093.42</w:t>
            </w:r>
          </w:p>
        </w:tc>
        <w:tc>
          <w:tcPr>
            <w:tcW w:w="1848" w:type="dxa"/>
            <w:tcBorders>
              <w:top w:val="single" w:sz="21" w:space="0" w:color="FFFFFF"/>
              <w:left w:val="single" w:sz="4" w:space="0" w:color="000000"/>
              <w:bottom w:val="single" w:sz="4" w:space="0" w:color="000000"/>
              <w:right w:val="single" w:sz="4" w:space="0" w:color="000000"/>
            </w:tcBorders>
          </w:tcPr>
          <w:p>
            <w:pPr>
              <w:pStyle w:val="TableParagraph"/>
              <w:spacing w:line="240" w:lineRule="auto" w:before="44"/>
              <w:ind w:right="27"/>
              <w:jc w:val="right"/>
              <w:rPr>
                <w:rFonts w:ascii="Times New Roman" w:hAnsi="Times New Roman" w:cs="Times New Roman" w:eastAsia="Times New Roman" w:hint="default"/>
                <w:sz w:val="21"/>
                <w:szCs w:val="21"/>
              </w:rPr>
            </w:pPr>
            <w:r>
              <w:rPr>
                <w:rFonts w:ascii="Times New Roman"/>
                <w:sz w:val="21"/>
              </w:rPr>
              <w:t>49,546,369.95</w:t>
            </w:r>
          </w:p>
        </w:tc>
        <w:tc>
          <w:tcPr>
            <w:tcW w:w="1843" w:type="dxa"/>
            <w:tcBorders>
              <w:top w:val="single" w:sz="21" w:space="0" w:color="FFFFFF"/>
              <w:left w:val="single" w:sz="4" w:space="0" w:color="000000"/>
              <w:bottom w:val="single" w:sz="4" w:space="0" w:color="000000"/>
              <w:right w:val="single" w:sz="4" w:space="0" w:color="000000"/>
            </w:tcBorders>
          </w:tcPr>
          <w:p>
            <w:pPr>
              <w:pStyle w:val="TableParagraph"/>
              <w:spacing w:line="240" w:lineRule="auto" w:before="44"/>
              <w:ind w:right="22"/>
              <w:jc w:val="right"/>
              <w:rPr>
                <w:rFonts w:ascii="Times New Roman" w:hAnsi="Times New Roman" w:cs="Times New Roman" w:eastAsia="Times New Roman" w:hint="default"/>
                <w:sz w:val="21"/>
                <w:szCs w:val="21"/>
              </w:rPr>
            </w:pPr>
            <w:r>
              <w:rPr>
                <w:rFonts w:ascii="Times New Roman"/>
                <w:sz w:val="21"/>
              </w:rPr>
              <w:t>61,796,077.10</w:t>
            </w:r>
          </w:p>
        </w:tc>
      </w:tr>
    </w:tbl>
    <w:p>
      <w:pPr>
        <w:spacing w:after="0" w:line="240" w:lineRule="auto"/>
        <w:jc w:val="right"/>
        <w:rPr>
          <w:rFonts w:ascii="Times New Roman" w:hAnsi="Times New Roman" w:cs="Times New Roman" w:eastAsia="Times New Roman" w:hint="default"/>
          <w:sz w:val="21"/>
          <w:szCs w:val="21"/>
        </w:rPr>
        <w:sectPr>
          <w:type w:val="continuous"/>
          <w:pgSz w:w="11900" w:h="16840"/>
          <w:pgMar w:top="860" w:bottom="280" w:left="980" w:right="86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pStyle w:val="Heading1"/>
        <w:spacing w:line="458" w:lineRule="exact"/>
        <w:ind w:left="1914" w:right="1915"/>
        <w:jc w:val="center"/>
        <w:rPr>
          <w:b w:val="0"/>
          <w:bCs w:val="0"/>
        </w:rPr>
      </w:pPr>
      <w:bookmarkStart w:name="_TOC_250007" w:id="4"/>
      <w:r>
        <w:rPr/>
        <w:t>第四节 </w:t>
      </w:r>
      <w:r>
        <w:rPr>
          <w:spacing w:val="10"/>
        </w:rPr>
        <w:t> </w:t>
      </w:r>
      <w:r>
        <w:rPr/>
        <w:t>董事会报告</w:t>
      </w:r>
      <w:bookmarkEnd w:id="4"/>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29"/>
          <w:szCs w:val="29"/>
        </w:rPr>
      </w:pPr>
    </w:p>
    <w:p>
      <w:pPr>
        <w:pStyle w:val="Heading4"/>
        <w:spacing w:line="367" w:lineRule="exact"/>
        <w:ind w:right="0"/>
        <w:jc w:val="left"/>
        <w:rPr>
          <w:b w:val="0"/>
          <w:bCs w:val="0"/>
        </w:rPr>
      </w:pPr>
      <w:r>
        <w:rPr/>
        <w:t>一、概述</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55" w:lineRule="auto"/>
        <w:ind w:right="142" w:firstLine="422"/>
        <w:jc w:val="both"/>
      </w:pPr>
      <w:r>
        <w:rPr/>
        <w:t>2012 年，公司以“优化资源配置和完善管控体系”为基础，围绕</w:t>
      </w:r>
      <w:r>
        <w:rPr>
          <w:spacing w:val="-27"/>
        </w:rPr>
        <w:t> </w:t>
      </w:r>
      <w:r>
        <w:rPr/>
        <w:t>“增项目、扩规模、促销售、创收</w:t>
      </w:r>
      <w:r>
        <w:rPr>
          <w:w w:val="100"/>
        </w:rPr>
        <w:t> </w:t>
      </w:r>
      <w:r>
        <w:rPr/>
        <w:t>益”的工作方针，全面开展如下工作：</w:t>
      </w:r>
    </w:p>
    <w:p>
      <w:pPr>
        <w:pStyle w:val="BodyText"/>
        <w:spacing w:line="355" w:lineRule="auto" w:before="32"/>
        <w:ind w:right="142" w:firstLine="422"/>
        <w:jc w:val="both"/>
      </w:pPr>
      <w:r>
        <w:rPr>
          <w:spacing w:val="-5"/>
        </w:rPr>
        <w:t>1、强化集团总部对房地产项目的业务管控，采取积极措施，推进深圳地区存量物业和西安“鸿基·紫</w:t>
      </w:r>
      <w:r>
        <w:rPr>
          <w:w w:val="100"/>
        </w:rPr>
        <w:t> </w:t>
      </w:r>
      <w:r>
        <w:rPr/>
        <w:t>韵”项目销售；</w:t>
      </w:r>
    </w:p>
    <w:p>
      <w:pPr>
        <w:pStyle w:val="BodyText"/>
        <w:spacing w:line="355" w:lineRule="auto" w:before="32"/>
        <w:ind w:right="151" w:firstLine="422"/>
        <w:jc w:val="both"/>
      </w:pPr>
      <w:r>
        <w:rPr/>
        <w:t>2、集中资源加快西安“鸿基·紫韵”、东莞桥头“宝安·山水江南”项目、湖南湘潭“宝安·江南</w:t>
      </w:r>
      <w:r>
        <w:rPr>
          <w:w w:val="100"/>
        </w:rPr>
        <w:t> </w:t>
      </w:r>
      <w:r>
        <w:rPr/>
        <w:t>城”项目的开发进度，推动深圳草埔宝安·宝翠苑及龙岗中心城旧改项目的拆迁与报批、报建工作；</w:t>
      </w:r>
    </w:p>
    <w:p>
      <w:pPr>
        <w:pStyle w:val="BodyText"/>
        <w:spacing w:line="357" w:lineRule="auto" w:before="32"/>
        <w:ind w:right="142" w:firstLine="422"/>
        <w:jc w:val="both"/>
      </w:pPr>
      <w:r>
        <w:rPr/>
        <w:t>3、新项目拓展，公司获得了惠东港口“宝安·虹海湾”的土地使用权，并实现当年拿地当年开工；</w:t>
      </w:r>
      <w:r>
        <w:rPr>
          <w:w w:val="100"/>
        </w:rPr>
        <w:t> </w:t>
      </w:r>
      <w:r>
        <w:rPr/>
        <w:t>公司通过受让惠州市宝安房地产开发有限公司 </w:t>
      </w:r>
      <w:r>
        <w:rPr>
          <w:spacing w:val="-5"/>
        </w:rPr>
        <w:t>100%股权，获得了“宝安·山水龙城”项目及总占地面积约</w:t>
      </w:r>
      <w:r>
        <w:rPr>
          <w:spacing w:val="-97"/>
        </w:rPr>
        <w:t> </w:t>
      </w:r>
      <w:r>
        <w:rPr>
          <w:spacing w:val="-97"/>
        </w:rPr>
      </w:r>
      <w:r>
        <w:rPr/>
        <w:t>13</w:t>
      </w:r>
      <w:r>
        <w:rPr>
          <w:spacing w:val="-36"/>
        </w:rPr>
        <w:t> </w:t>
      </w:r>
      <w:r>
        <w:rPr>
          <w:spacing w:val="-3"/>
        </w:rPr>
        <w:t>万㎡惠州三栋坦陂地块、小金口</w:t>
      </w:r>
      <w:r>
        <w:rPr>
          <w:spacing w:val="-36"/>
        </w:rPr>
        <w:t> </w:t>
      </w:r>
      <w:r>
        <w:rPr/>
        <w:t>5.5</w:t>
      </w:r>
      <w:r>
        <w:rPr>
          <w:spacing w:val="-36"/>
        </w:rPr>
        <w:t> </w:t>
      </w:r>
      <w:r>
        <w:rPr>
          <w:spacing w:val="-3"/>
        </w:rPr>
        <w:t>万㎡工业地块，推进在深莞惠区域内的房地产项目战略布局，同时</w:t>
      </w:r>
      <w:r>
        <w:rPr>
          <w:spacing w:val="-102"/>
        </w:rPr>
        <w:t> </w:t>
      </w:r>
      <w:r>
        <w:rPr>
          <w:spacing w:val="-102"/>
        </w:rPr>
      </w:r>
      <w:r>
        <w:rPr/>
        <w:t>也解决了公司与中国宝安在惠州地区存在的同城同业竞争。</w:t>
      </w:r>
    </w:p>
    <w:p>
      <w:pPr>
        <w:pStyle w:val="BodyText"/>
        <w:spacing w:line="355" w:lineRule="auto" w:before="30"/>
        <w:ind w:right="137" w:firstLine="422"/>
        <w:jc w:val="both"/>
      </w:pPr>
      <w:r>
        <w:rPr/>
        <w:t>4、物业管理，2012</w:t>
      </w:r>
      <w:r>
        <w:rPr>
          <w:spacing w:val="-20"/>
        </w:rPr>
        <w:t> </w:t>
      </w:r>
      <w:r>
        <w:rPr/>
        <w:t>年公司开展了“以客户服务为导向”的物业管理品牌建设，促进项目开发与物业</w:t>
      </w:r>
      <w:r>
        <w:rPr>
          <w:w w:val="100"/>
        </w:rPr>
        <w:t> </w:t>
      </w:r>
      <w:r>
        <w:rPr/>
        <w:t>服务的工作衔接，加强了售后服务，提高了服务质量。</w:t>
      </w:r>
    </w:p>
    <w:p>
      <w:pPr>
        <w:pStyle w:val="BodyText"/>
        <w:spacing w:line="355" w:lineRule="auto" w:before="32"/>
        <w:ind w:right="142" w:firstLine="422"/>
        <w:jc w:val="both"/>
      </w:pPr>
      <w:r>
        <w:rPr/>
        <w:t>5、强化内部管理，提升品牌影响力。加强内部管理一直是公司持续改进、持续提升的重点工作，公</w:t>
      </w:r>
      <w:r>
        <w:rPr>
          <w:w w:val="100"/>
        </w:rPr>
        <w:t> </w:t>
      </w:r>
      <w:r>
        <w:rPr>
          <w:spacing w:val="-2"/>
        </w:rPr>
        <w:t>司通过对企业价值观、管理模式、组织架构、资产结构、制度流程、员工队伍建设、激励与约束机制等方</w:t>
      </w:r>
      <w:r>
        <w:rPr>
          <w:spacing w:val="-35"/>
        </w:rPr>
        <w:t> </w:t>
      </w:r>
      <w:r>
        <w:rPr>
          <w:spacing w:val="-35"/>
        </w:rPr>
      </w:r>
      <w:r>
        <w:rPr>
          <w:spacing w:val="-2"/>
        </w:rPr>
        <w:t>面进行全方位的改造和提升，管理理念得以更新，营造了“比、学、赶、帮、超”的企业氛围，企业内部</w:t>
      </w:r>
      <w:r>
        <w:rPr>
          <w:spacing w:val="-35"/>
        </w:rPr>
        <w:t> </w:t>
      </w:r>
      <w:r>
        <w:rPr>
          <w:spacing w:val="-35"/>
        </w:rPr>
      </w:r>
      <w:r>
        <w:rPr>
          <w:spacing w:val="-2"/>
        </w:rPr>
        <w:t>呈现出一片有动力、有活力、有干劲的欣欣向荣局面，员工队伍呈现年轻化、专业化、职业化。公司主营</w:t>
      </w:r>
      <w:r>
        <w:rPr>
          <w:spacing w:val="-37"/>
        </w:rPr>
        <w:t> </w:t>
      </w:r>
      <w:r>
        <w:rPr>
          <w:spacing w:val="-37"/>
        </w:rPr>
      </w:r>
      <w:r>
        <w:rPr>
          <w:spacing w:val="-2"/>
        </w:rPr>
        <w:t>业务发展迅速，资产质量逐步得到优化，获利能力、偿债能力、资产负债结构等财务指标不断改善，整体</w:t>
      </w:r>
      <w:r>
        <w:rPr>
          <w:spacing w:val="-40"/>
        </w:rPr>
        <w:t> </w:t>
      </w:r>
      <w:r>
        <w:rPr>
          <w:spacing w:val="-40"/>
        </w:rPr>
      </w:r>
      <w:r>
        <w:rPr/>
        <w:t>发展势头良好。</w:t>
      </w:r>
    </w:p>
    <w:p>
      <w:pPr>
        <w:pStyle w:val="BodyText"/>
        <w:spacing w:line="355" w:lineRule="auto" w:before="37"/>
        <w:ind w:right="141" w:firstLine="422"/>
        <w:jc w:val="both"/>
      </w:pPr>
      <w:r>
        <w:rPr/>
        <w:t>2012</w:t>
      </w:r>
      <w:r>
        <w:rPr>
          <w:spacing w:val="25"/>
        </w:rPr>
        <w:t> </w:t>
      </w:r>
      <w:r>
        <w:rPr>
          <w:spacing w:val="-4"/>
        </w:rPr>
        <w:t>年，公司继续健全与公司发展战略相匹配的内部管理控制体系，推进信息化建设，提高信息化管</w:t>
      </w:r>
      <w:r>
        <w:rPr>
          <w:w w:val="100"/>
        </w:rPr>
        <w:t> </w:t>
      </w:r>
      <w:r>
        <w:rPr>
          <w:spacing w:val="-2"/>
        </w:rPr>
        <w:t>理水平；通过内控管理系统的建立与优化、房地产类专业管理工具的运用，不断提升管理效率，强化了风</w:t>
      </w:r>
      <w:r>
        <w:rPr>
          <w:spacing w:val="-36"/>
        </w:rPr>
        <w:t> </w:t>
      </w:r>
      <w:r>
        <w:rPr>
          <w:spacing w:val="-36"/>
        </w:rPr>
      </w:r>
      <w:r>
        <w:rPr/>
        <w:t>险管控。</w:t>
      </w:r>
    </w:p>
    <w:p>
      <w:pPr>
        <w:pStyle w:val="BodyText"/>
        <w:spacing w:line="355" w:lineRule="auto" w:before="32"/>
        <w:ind w:right="141" w:firstLine="422"/>
        <w:jc w:val="both"/>
      </w:pPr>
      <w:r>
        <w:rPr>
          <w:spacing w:val="-2"/>
        </w:rPr>
        <w:t>三年来，公司逐步完成了从“四业并举、突出发展房地产业”到“专业房地产公司”的转变，品牌策</w:t>
      </w:r>
      <w:r>
        <w:rPr>
          <w:w w:val="100"/>
        </w:rPr>
        <w:t> </w:t>
      </w:r>
      <w:r>
        <w:rPr/>
        <w:t>略实现了专业化调整，达到了规范与整合的目标。从品牌架构上，确定了主品牌+子品牌的模式，以宝安</w:t>
      </w:r>
      <w:r>
        <w:rPr>
          <w:spacing w:val="-33"/>
        </w:rPr>
        <w:t> </w:t>
      </w:r>
      <w:r>
        <w:rPr>
          <w:spacing w:val="-33"/>
        </w:rPr>
      </w:r>
      <w:r>
        <w:rPr/>
        <w:t>地产为主品牌，划分出江南系列、汉唐系列、现代宜居系列等子品牌，</w:t>
      </w:r>
      <w:r>
        <w:rPr>
          <w:spacing w:val="60"/>
        </w:rPr>
        <w:t> </w:t>
      </w:r>
      <w:r>
        <w:rPr/>
        <w:t>“宝安地产”品牌在房地产市场</w:t>
      </w:r>
      <w:r>
        <w:rPr>
          <w:spacing w:val="-94"/>
        </w:rPr>
        <w:t> </w:t>
      </w:r>
      <w:r>
        <w:rPr>
          <w:spacing w:val="-94"/>
        </w:rPr>
      </w:r>
      <w:r>
        <w:rPr/>
        <w:t>的影响力逐渐扩大。</w:t>
      </w:r>
    </w:p>
    <w:p>
      <w:pPr>
        <w:pStyle w:val="BodyText"/>
        <w:spacing w:line="240" w:lineRule="auto" w:before="32"/>
        <w:ind w:left="575" w:right="0"/>
        <w:jc w:val="left"/>
      </w:pPr>
      <w:r>
        <w:rPr/>
        <w:t>2012</w:t>
      </w:r>
      <w:r>
        <w:rPr>
          <w:spacing w:val="-60"/>
        </w:rPr>
        <w:t> </w:t>
      </w:r>
      <w:r>
        <w:rPr/>
        <w:t>年</w:t>
      </w:r>
      <w:r>
        <w:rPr>
          <w:spacing w:val="-60"/>
        </w:rPr>
        <w:t> </w:t>
      </w:r>
      <w:r>
        <w:rPr/>
        <w:t>12</w:t>
      </w:r>
      <w:r>
        <w:rPr>
          <w:spacing w:val="-60"/>
        </w:rPr>
        <w:t> </w:t>
      </w:r>
      <w:r>
        <w:rPr/>
        <w:t>月，公司荣获由广东省企业联合会、广东省企业家协会联合颁发的“2012</w:t>
      </w:r>
      <w:r>
        <w:rPr>
          <w:spacing w:val="-60"/>
        </w:rPr>
        <w:t> </w:t>
      </w:r>
      <w:r>
        <w:rPr/>
        <w:t>广东房地产诚信</w:t>
      </w:r>
    </w:p>
    <w:p>
      <w:pPr>
        <w:pStyle w:val="BodyText"/>
        <w:spacing w:line="240" w:lineRule="auto" w:before="133"/>
        <w:ind w:right="0"/>
        <w:jc w:val="left"/>
      </w:pPr>
      <w:r>
        <w:rPr/>
        <w:t>经营</w:t>
      </w:r>
      <w:r>
        <w:rPr>
          <w:spacing w:val="-51"/>
        </w:rPr>
        <w:t> </w:t>
      </w:r>
      <w:r>
        <w:rPr/>
        <w:t>10</w:t>
      </w:r>
      <w:r>
        <w:rPr>
          <w:spacing w:val="-51"/>
        </w:rPr>
        <w:t> </w:t>
      </w:r>
      <w:r>
        <w:rPr/>
        <w:t>强”奖项。</w:t>
      </w:r>
    </w:p>
    <w:p>
      <w:pPr>
        <w:pStyle w:val="BodyText"/>
        <w:spacing w:line="240" w:lineRule="auto" w:before="133"/>
        <w:ind w:left="575" w:right="0"/>
        <w:jc w:val="left"/>
      </w:pPr>
      <w:r>
        <w:rPr/>
        <w:t>在项目子品牌方面，西安鸿基</w:t>
      </w:r>
      <w:r>
        <w:rPr>
          <w:rFonts w:ascii="Times New Roman" w:hAnsi="Times New Roman" w:cs="Times New Roman" w:eastAsia="Times New Roman" w:hint="default"/>
        </w:rPr>
        <w:t>•</w:t>
      </w:r>
      <w:r>
        <w:rPr/>
        <w:t>紫韵荣膺 2012</w:t>
      </w:r>
      <w:r>
        <w:rPr>
          <w:spacing w:val="-74"/>
        </w:rPr>
        <w:t> </w:t>
      </w:r>
      <w:r>
        <w:rPr>
          <w:spacing w:val="-4"/>
        </w:rPr>
        <w:t>年度“唐城杯”西安市优秀住宅奖项；惠州市宝安</w:t>
      </w:r>
      <w:r>
        <w:rPr>
          <w:rFonts w:ascii="Times New Roman" w:hAnsi="Times New Roman" w:cs="Times New Roman" w:eastAsia="Times New Roman" w:hint="default"/>
          <w:spacing w:val="-4"/>
        </w:rPr>
        <w:t>•</w:t>
      </w:r>
      <w:r>
        <w:rPr>
          <w:spacing w:val="-4"/>
        </w:rPr>
        <w:t>山水</w:t>
      </w:r>
    </w:p>
    <w:p>
      <w:pPr>
        <w:spacing w:after="0" w:line="240" w:lineRule="auto"/>
        <w:jc w:val="left"/>
        <w:sectPr>
          <w:pgSz w:w="11900" w:h="16840"/>
          <w:pgMar w:header="872" w:footer="957" w:top="1120" w:bottom="1180" w:left="980" w:right="980"/>
        </w:sectPr>
      </w:pPr>
    </w:p>
    <w:p>
      <w:pPr>
        <w:spacing w:line="240" w:lineRule="auto" w:before="3"/>
        <w:rPr>
          <w:rFonts w:ascii="宋体" w:hAnsi="宋体" w:cs="宋体" w:eastAsia="宋体" w:hint="default"/>
          <w:sz w:val="19"/>
          <w:szCs w:val="19"/>
        </w:rPr>
      </w:pPr>
    </w:p>
    <w:p>
      <w:pPr>
        <w:pStyle w:val="BodyText"/>
        <w:spacing w:line="355" w:lineRule="auto" w:before="36"/>
        <w:ind w:right="114"/>
        <w:jc w:val="left"/>
      </w:pPr>
      <w:r>
        <w:rPr>
          <w:spacing w:val="-2"/>
        </w:rPr>
        <w:t>龙城荣获住建部颁发的绿色建筑设计标识证书，该项目施工质量、安全生产、文明施工在业界留下了较好</w:t>
      </w:r>
      <w:r>
        <w:rPr>
          <w:spacing w:val="-36"/>
        </w:rPr>
        <w:t> </w:t>
      </w:r>
      <w:r>
        <w:rPr>
          <w:spacing w:val="-36"/>
        </w:rPr>
      </w:r>
      <w:r>
        <w:rPr/>
        <w:t>的口碑。</w:t>
      </w:r>
    </w:p>
    <w:p>
      <w:pPr>
        <w:pStyle w:val="BodyText"/>
        <w:spacing w:line="240" w:lineRule="auto" w:before="32"/>
        <w:ind w:left="575" w:right="114"/>
        <w:jc w:val="left"/>
      </w:pPr>
      <w:r>
        <w:rPr/>
        <w:t>2012</w:t>
      </w:r>
      <w:r>
        <w:rPr>
          <w:spacing w:val="9"/>
        </w:rPr>
        <w:t> </w:t>
      </w:r>
      <w:r>
        <w:rPr>
          <w:spacing w:val="-2"/>
        </w:rPr>
        <w:t>年公司内刊《宝安地产》杂志获得深圳市企业内刊传媒奖“十优”称号。</w:t>
      </w:r>
    </w:p>
    <w:p>
      <w:pPr>
        <w:spacing w:line="240" w:lineRule="auto" w:before="8"/>
        <w:rPr>
          <w:rFonts w:ascii="宋体" w:hAnsi="宋体" w:cs="宋体" w:eastAsia="宋体" w:hint="default"/>
          <w:sz w:val="26"/>
          <w:szCs w:val="26"/>
        </w:rPr>
      </w:pPr>
    </w:p>
    <w:p>
      <w:pPr>
        <w:pStyle w:val="Heading4"/>
        <w:spacing w:line="240" w:lineRule="auto"/>
        <w:ind w:right="114"/>
        <w:jc w:val="left"/>
        <w:rPr>
          <w:b w:val="0"/>
          <w:bCs w:val="0"/>
        </w:rPr>
      </w:pPr>
      <w:r>
        <w:rPr/>
        <w:t>二、主营业务分析</w:t>
      </w:r>
      <w:r>
        <w:rPr>
          <w:b w:val="0"/>
          <w:bCs w:val="0"/>
        </w:rPr>
      </w:r>
    </w:p>
    <w:p>
      <w:pPr>
        <w:pStyle w:val="Heading6"/>
        <w:spacing w:line="240" w:lineRule="auto" w:before="207"/>
        <w:ind w:left="152" w:right="114"/>
        <w:jc w:val="left"/>
        <w:rPr>
          <w:b w:val="0"/>
          <w:bCs w:val="0"/>
        </w:rPr>
      </w:pPr>
      <w:r>
        <w:rPr>
          <w:rFonts w:ascii="Times New Roman" w:hAnsi="Times New Roman" w:cs="Times New Roman" w:eastAsia="Times New Roman" w:hint="default"/>
        </w:rPr>
        <w:t>1</w:t>
      </w:r>
      <w:r>
        <w:rPr/>
        <w:t>、概述</w:t>
      </w:r>
      <w:r>
        <w:rPr>
          <w:b w:val="0"/>
          <w:bCs w:val="0"/>
        </w:rPr>
      </w:r>
    </w:p>
    <w:p>
      <w:pPr>
        <w:spacing w:line="240" w:lineRule="auto" w:before="4"/>
        <w:rPr>
          <w:rFonts w:ascii="Microsoft JhengHei" w:hAnsi="Microsoft JhengHei" w:cs="Microsoft JhengHei" w:eastAsia="Microsoft JhengHei" w:hint="default"/>
          <w:b/>
          <w:bCs/>
          <w:sz w:val="16"/>
          <w:szCs w:val="16"/>
        </w:rPr>
      </w:pPr>
    </w:p>
    <w:p>
      <w:pPr>
        <w:pStyle w:val="BodyText"/>
        <w:spacing w:line="355" w:lineRule="auto"/>
        <w:ind w:right="114" w:firstLine="422"/>
        <w:jc w:val="left"/>
      </w:pPr>
      <w:r>
        <w:rPr/>
        <w:t>2012</w:t>
      </w:r>
      <w:r>
        <w:rPr>
          <w:spacing w:val="-46"/>
        </w:rPr>
        <w:t> </w:t>
      </w:r>
      <w:r>
        <w:rPr>
          <w:spacing w:val="-4"/>
        </w:rPr>
        <w:t>年，公司实现营业收入</w:t>
      </w:r>
      <w:r>
        <w:rPr>
          <w:spacing w:val="-50"/>
        </w:rPr>
        <w:t> </w:t>
      </w:r>
      <w:r>
        <w:rPr/>
        <w:t>8.61</w:t>
      </w:r>
      <w:r>
        <w:rPr>
          <w:spacing w:val="-46"/>
        </w:rPr>
        <w:t> </w:t>
      </w:r>
      <w:r>
        <w:rPr>
          <w:spacing w:val="-3"/>
        </w:rPr>
        <w:t>亿元、归属于上市公司股东的净利润</w:t>
      </w:r>
      <w:r>
        <w:rPr>
          <w:spacing w:val="-46"/>
        </w:rPr>
        <w:t> </w:t>
      </w:r>
      <w:r>
        <w:rPr/>
        <w:t>1.93</w:t>
      </w:r>
      <w:r>
        <w:rPr>
          <w:spacing w:val="-46"/>
        </w:rPr>
        <w:t> </w:t>
      </w:r>
      <w:r>
        <w:rPr>
          <w:spacing w:val="-5"/>
        </w:rPr>
        <w:t>亿元、每股收益</w:t>
      </w:r>
      <w:r>
        <w:rPr>
          <w:spacing w:val="-46"/>
        </w:rPr>
        <w:t> </w:t>
      </w:r>
      <w:r>
        <w:rPr/>
        <w:t>0.41</w:t>
      </w:r>
      <w:r>
        <w:rPr>
          <w:spacing w:val="-50"/>
        </w:rPr>
        <w:t> </w:t>
      </w:r>
      <w:r>
        <w:rPr/>
        <w:t>元，</w:t>
      </w:r>
      <w:r>
        <w:rPr>
          <w:w w:val="100"/>
        </w:rPr>
        <w:t> </w:t>
      </w:r>
      <w:r>
        <w:rPr/>
        <w:t>分别较上年同期增长</w:t>
      </w:r>
      <w:r>
        <w:rPr>
          <w:spacing w:val="-55"/>
        </w:rPr>
        <w:t> </w:t>
      </w:r>
      <w:r>
        <w:rPr/>
        <w:t>5.3%、38.4%和</w:t>
      </w:r>
      <w:r>
        <w:rPr>
          <w:spacing w:val="-51"/>
        </w:rPr>
        <w:t> </w:t>
      </w:r>
      <w:r>
        <w:rPr/>
        <w:t>36.7%。</w:t>
      </w:r>
    </w:p>
    <w:p>
      <w:pPr>
        <w:pStyle w:val="BodyText"/>
        <w:spacing w:line="240" w:lineRule="auto" w:before="32"/>
        <w:ind w:left="484" w:right="114"/>
        <w:jc w:val="left"/>
      </w:pPr>
      <w:r>
        <w:rPr/>
        <w:t>报告期内公司房地产项目的具体进展如下：</w:t>
      </w:r>
    </w:p>
    <w:p>
      <w:pPr>
        <w:spacing w:line="240" w:lineRule="auto" w:before="10"/>
        <w:rPr>
          <w:rFonts w:ascii="宋体" w:hAnsi="宋体" w:cs="宋体" w:eastAsia="宋体" w:hint="default"/>
          <w:sz w:val="12"/>
          <w:szCs w:val="12"/>
        </w:rPr>
      </w:pPr>
    </w:p>
    <w:tbl>
      <w:tblPr>
        <w:tblW w:w="0" w:type="auto"/>
        <w:jc w:val="left"/>
        <w:tblInd w:w="239" w:type="dxa"/>
        <w:tblLayout w:type="fixed"/>
        <w:tblCellMar>
          <w:top w:w="0" w:type="dxa"/>
          <w:left w:w="0" w:type="dxa"/>
          <w:bottom w:w="0" w:type="dxa"/>
          <w:right w:w="0" w:type="dxa"/>
        </w:tblCellMar>
        <w:tblLook w:val="01E0"/>
      </w:tblPr>
      <w:tblGrid>
        <w:gridCol w:w="1843"/>
        <w:gridCol w:w="1541"/>
        <w:gridCol w:w="1723"/>
        <w:gridCol w:w="1570"/>
        <w:gridCol w:w="2779"/>
      </w:tblGrid>
      <w:tr>
        <w:trPr>
          <w:trHeight w:val="634" w:hRule="exact"/>
        </w:trPr>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left="49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项目名称</w:t>
            </w:r>
            <w:r>
              <w:rPr>
                <w:rFonts w:ascii="Microsoft JhengHei" w:hAnsi="Microsoft JhengHei" w:cs="Microsoft JhengHei" w:eastAsia="Microsoft JhengHei" w:hint="default"/>
                <w:sz w:val="21"/>
                <w:szCs w:val="21"/>
              </w:rPr>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区域</w:t>
            </w:r>
            <w:r>
              <w:rPr>
                <w:rFonts w:ascii="Microsoft JhengHei" w:hAnsi="Microsoft JhengHei" w:cs="Microsoft JhengHei" w:eastAsia="Microsoft JhengHei" w:hint="default"/>
                <w:sz w:val="21"/>
                <w:szCs w:val="21"/>
              </w:rPr>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占地面积</w:t>
            </w:r>
            <w:r>
              <w:rPr>
                <w:rFonts w:ascii="Microsoft JhengHei" w:hAnsi="Microsoft JhengHei" w:cs="Microsoft JhengHei" w:eastAsia="Microsoft JhengHei" w:hint="default"/>
                <w:sz w:val="21"/>
                <w:szCs w:val="21"/>
              </w:rPr>
            </w:r>
          </w:p>
          <w:p>
            <w:pPr>
              <w:pStyle w:val="TableParagraph"/>
              <w:spacing w:line="320" w:lineRule="exact"/>
              <w:ind w:right="1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（平方米）</w:t>
            </w:r>
            <w:r>
              <w:rPr>
                <w:rFonts w:ascii="Microsoft JhengHei" w:hAnsi="Microsoft JhengHei" w:cs="Microsoft JhengHei" w:eastAsia="Microsoft JhengHei" w:hint="default"/>
                <w:sz w:val="21"/>
                <w:szCs w:val="21"/>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77"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总建筑面积</w:t>
            </w:r>
            <w:r>
              <w:rPr>
                <w:rFonts w:ascii="Microsoft JhengHei" w:hAnsi="Microsoft JhengHei" w:cs="Microsoft JhengHei" w:eastAsia="Microsoft JhengHei" w:hint="default"/>
                <w:sz w:val="24"/>
                <w:szCs w:val="24"/>
              </w:rPr>
            </w:r>
          </w:p>
          <w:p>
            <w:pPr>
              <w:pStyle w:val="TableParagraph"/>
              <w:spacing w:line="365" w:lineRule="exact"/>
              <w:ind w:left="177" w:right="0"/>
              <w:jc w:val="left"/>
              <w:rPr>
                <w:rFonts w:ascii="Microsoft JhengHei" w:hAnsi="Microsoft JhengHei" w:cs="Microsoft JhengHei" w:eastAsia="Microsoft JhengHei" w:hint="default"/>
                <w:sz w:val="24"/>
                <w:szCs w:val="24"/>
              </w:rPr>
            </w:pPr>
            <w:r>
              <w:rPr>
                <w:rFonts w:ascii="Microsoft JhengHei" w:hAnsi="Microsoft JhengHei" w:cs="Microsoft JhengHei" w:eastAsia="Microsoft JhengHei" w:hint="default"/>
                <w:b/>
                <w:bCs/>
                <w:sz w:val="24"/>
                <w:szCs w:val="24"/>
              </w:rPr>
              <w:t>（平方米）</w:t>
            </w:r>
            <w:r>
              <w:rPr>
                <w:rFonts w:ascii="Microsoft JhengHei" w:hAnsi="Microsoft JhengHei" w:cs="Microsoft JhengHei" w:eastAsia="Microsoft JhengHei" w:hint="default"/>
                <w:sz w:val="24"/>
                <w:szCs w:val="24"/>
              </w:rPr>
            </w:r>
          </w:p>
        </w:tc>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项目进展</w:t>
            </w:r>
            <w:r>
              <w:rPr>
                <w:rFonts w:ascii="Microsoft JhengHei" w:hAnsi="Microsoft JhengHei" w:cs="Microsoft JhengHei" w:eastAsia="Microsoft JhengHei" w:hint="default"/>
                <w:sz w:val="21"/>
                <w:szCs w:val="21"/>
              </w:rPr>
            </w:r>
          </w:p>
        </w:tc>
      </w:tr>
      <w:tr>
        <w:trPr>
          <w:trHeight w:val="350" w:hRule="exact"/>
        </w:trPr>
        <w:tc>
          <w:tcPr>
            <w:tcW w:w="1843" w:type="dxa"/>
            <w:tcBorders>
              <w:top w:val="single" w:sz="4" w:space="0" w:color="000000"/>
              <w:left w:val="single" w:sz="4" w:space="0" w:color="000000"/>
              <w:bottom w:val="nil" w:sz="6" w:space="0" w:color="auto"/>
              <w:right w:val="single" w:sz="4" w:space="0" w:color="000000"/>
            </w:tcBorders>
          </w:tcPr>
          <w:p>
            <w:pPr/>
          </w:p>
        </w:tc>
        <w:tc>
          <w:tcPr>
            <w:tcW w:w="1541" w:type="dxa"/>
            <w:tcBorders>
              <w:top w:val="single" w:sz="4" w:space="0" w:color="000000"/>
              <w:left w:val="single" w:sz="4" w:space="0" w:color="000000"/>
              <w:bottom w:val="nil" w:sz="6" w:space="0" w:color="auto"/>
              <w:right w:val="single" w:sz="4" w:space="0" w:color="000000"/>
            </w:tcBorders>
          </w:tcPr>
          <w:p>
            <w:pPr/>
          </w:p>
        </w:tc>
        <w:tc>
          <w:tcPr>
            <w:tcW w:w="1723" w:type="dxa"/>
            <w:tcBorders>
              <w:top w:val="single" w:sz="4" w:space="0" w:color="000000"/>
              <w:left w:val="single" w:sz="4" w:space="0" w:color="000000"/>
              <w:bottom w:val="nil" w:sz="6" w:space="0" w:color="auto"/>
              <w:right w:val="single" w:sz="4" w:space="0" w:color="000000"/>
            </w:tcBorders>
          </w:tcPr>
          <w:p>
            <w:pPr/>
          </w:p>
        </w:tc>
        <w:tc>
          <w:tcPr>
            <w:tcW w:w="1570" w:type="dxa"/>
            <w:tcBorders>
              <w:top w:val="single" w:sz="4" w:space="0" w:color="000000"/>
              <w:left w:val="single" w:sz="4" w:space="0" w:color="000000"/>
              <w:bottom w:val="nil" w:sz="6" w:space="0" w:color="auto"/>
              <w:right w:val="single" w:sz="4" w:space="0" w:color="000000"/>
            </w:tcBorders>
          </w:tcPr>
          <w:p>
            <w:pPr/>
          </w:p>
        </w:tc>
        <w:tc>
          <w:tcPr>
            <w:tcW w:w="2779" w:type="dxa"/>
            <w:tcBorders>
              <w:top w:val="single" w:sz="4" w:space="0" w:color="000000"/>
              <w:left w:val="single" w:sz="4" w:space="0" w:color="000000"/>
              <w:bottom w:val="nil" w:sz="6" w:space="0" w:color="auto"/>
              <w:right w:val="single" w:sz="4" w:space="0" w:color="000000"/>
            </w:tcBorders>
          </w:tcPr>
          <w:p>
            <w:pPr>
              <w:pStyle w:val="TableParagraph"/>
              <w:spacing w:line="257" w:lineRule="exact"/>
              <w:ind w:left="105"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11#</w:t>
            </w: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33-35#</w:t>
            </w:r>
            <w:r>
              <w:rPr>
                <w:rFonts w:ascii="宋体" w:hAnsi="宋体" w:cs="宋体" w:eastAsia="宋体" w:hint="default"/>
                <w:spacing w:val="-3"/>
                <w:sz w:val="21"/>
                <w:szCs w:val="21"/>
              </w:rPr>
              <w:t>低层住宅主体封</w:t>
            </w:r>
          </w:p>
        </w:tc>
      </w:tr>
      <w:tr>
        <w:trPr>
          <w:trHeight w:val="338" w:hRule="exact"/>
        </w:trPr>
        <w:tc>
          <w:tcPr>
            <w:tcW w:w="1843"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single" w:sz="4" w:space="0" w:color="000000"/>
            </w:tcBorders>
          </w:tcPr>
          <w:p>
            <w:pPr/>
          </w:p>
        </w:tc>
        <w:tc>
          <w:tcPr>
            <w:tcW w:w="1723" w:type="dxa"/>
            <w:tcBorders>
              <w:top w:val="nil" w:sz="6" w:space="0" w:color="auto"/>
              <w:left w:val="single" w:sz="4" w:space="0" w:color="000000"/>
              <w:bottom w:val="nil" w:sz="6" w:space="0" w:color="auto"/>
              <w:right w:val="single" w:sz="4" w:space="0" w:color="000000"/>
            </w:tcBorders>
          </w:tcPr>
          <w:p>
            <w:pPr/>
          </w:p>
        </w:tc>
        <w:tc>
          <w:tcPr>
            <w:tcW w:w="1570" w:type="dxa"/>
            <w:tcBorders>
              <w:top w:val="nil" w:sz="6" w:space="0" w:color="auto"/>
              <w:left w:val="single" w:sz="4" w:space="0" w:color="000000"/>
              <w:bottom w:val="nil" w:sz="6" w:space="0" w:color="auto"/>
              <w:right w:val="single" w:sz="4" w:space="0" w:color="000000"/>
            </w:tcBorders>
          </w:tcPr>
          <w:p>
            <w:pPr/>
          </w:p>
        </w:tc>
        <w:tc>
          <w:tcPr>
            <w:tcW w:w="2779"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105" w:right="0"/>
              <w:jc w:val="left"/>
              <w:rPr>
                <w:rFonts w:ascii="宋体" w:hAnsi="宋体" w:cs="宋体" w:eastAsia="宋体" w:hint="default"/>
                <w:sz w:val="21"/>
                <w:szCs w:val="21"/>
              </w:rPr>
            </w:pPr>
            <w:r>
              <w:rPr>
                <w:rFonts w:ascii="宋体" w:hAnsi="宋体" w:cs="宋体" w:eastAsia="宋体" w:hint="default"/>
                <w:sz w:val="21"/>
                <w:szCs w:val="21"/>
              </w:rPr>
              <w:t>顶；高层</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42</w:t>
            </w:r>
            <w:r>
              <w:rPr>
                <w:rFonts w:ascii="宋体" w:hAnsi="宋体" w:cs="宋体" w:eastAsia="宋体" w:hint="default"/>
                <w:sz w:val="21"/>
                <w:szCs w:val="21"/>
              </w:rPr>
              <w:t>、</w:t>
            </w:r>
            <w:r>
              <w:rPr>
                <w:rFonts w:ascii="Times New Roman" w:hAnsi="Times New Roman" w:cs="Times New Roman" w:eastAsia="Times New Roman" w:hint="default"/>
                <w:sz w:val="21"/>
                <w:szCs w:val="21"/>
              </w:rPr>
              <w:t>43#</w:t>
            </w:r>
            <w:r>
              <w:rPr>
                <w:rFonts w:ascii="宋体" w:hAnsi="宋体" w:cs="宋体" w:eastAsia="宋体" w:hint="default"/>
                <w:sz w:val="21"/>
                <w:szCs w:val="21"/>
              </w:rPr>
              <w:t>、</w:t>
            </w:r>
            <w:r>
              <w:rPr>
                <w:rFonts w:ascii="Times New Roman" w:hAnsi="Times New Roman" w:cs="Times New Roman" w:eastAsia="Times New Roman" w:hint="default"/>
                <w:sz w:val="21"/>
                <w:szCs w:val="21"/>
              </w:rPr>
              <w:t>45#</w:t>
            </w:r>
            <w:r>
              <w:rPr>
                <w:rFonts w:ascii="宋体" w:hAnsi="宋体" w:cs="宋体" w:eastAsia="宋体" w:hint="default"/>
                <w:sz w:val="21"/>
                <w:szCs w:val="21"/>
              </w:rPr>
              <w:t>楼按</w:t>
            </w:r>
          </w:p>
        </w:tc>
      </w:tr>
      <w:tr>
        <w:trPr>
          <w:trHeight w:val="478" w:hRule="exact"/>
        </w:trPr>
        <w:tc>
          <w:tcPr>
            <w:tcW w:w="1843"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38" w:right="0"/>
              <w:jc w:val="left"/>
              <w:rPr>
                <w:rFonts w:ascii="宋体" w:hAnsi="宋体" w:cs="宋体" w:eastAsia="宋体" w:hint="default"/>
                <w:sz w:val="21"/>
                <w:szCs w:val="21"/>
              </w:rPr>
            </w:pPr>
            <w:r>
              <w:rPr>
                <w:rFonts w:ascii="宋体" w:hAnsi="宋体" w:cs="宋体" w:eastAsia="宋体" w:hint="default"/>
                <w:sz w:val="21"/>
                <w:szCs w:val="21"/>
              </w:rPr>
              <w:t>鸿基</w:t>
            </w:r>
            <w:r>
              <w:rPr>
                <w:rFonts w:ascii="Times New Roman" w:hAnsi="Times New Roman" w:cs="Times New Roman" w:eastAsia="Times New Roman" w:hint="default"/>
                <w:sz w:val="21"/>
                <w:szCs w:val="21"/>
              </w:rPr>
              <w:t>·</w:t>
            </w:r>
            <w:r>
              <w:rPr>
                <w:rFonts w:ascii="宋体" w:hAnsi="宋体" w:cs="宋体" w:eastAsia="宋体" w:hint="default"/>
                <w:sz w:val="21"/>
                <w:szCs w:val="21"/>
              </w:rPr>
              <w:t>紫韵</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0" w:right="0"/>
              <w:jc w:val="left"/>
              <w:rPr>
                <w:rFonts w:ascii="宋体" w:hAnsi="宋体" w:cs="宋体" w:eastAsia="宋体" w:hint="default"/>
                <w:sz w:val="21"/>
                <w:szCs w:val="21"/>
              </w:rPr>
            </w:pPr>
            <w:r>
              <w:rPr>
                <w:rFonts w:ascii="宋体" w:hAnsi="宋体" w:cs="宋体" w:eastAsia="宋体" w:hint="default"/>
                <w:sz w:val="21"/>
                <w:szCs w:val="21"/>
              </w:rPr>
              <w:t>西安雁塔区</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03"/>
              <w:jc w:val="right"/>
              <w:rPr>
                <w:rFonts w:ascii="Times New Roman" w:hAnsi="Times New Roman" w:cs="Times New Roman" w:eastAsia="Times New Roman" w:hint="default"/>
                <w:sz w:val="21"/>
                <w:szCs w:val="21"/>
              </w:rPr>
            </w:pPr>
            <w:r>
              <w:rPr>
                <w:rFonts w:ascii="Times New Roman"/>
                <w:sz w:val="21"/>
              </w:rPr>
              <w:t>102,099</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98"/>
              <w:jc w:val="right"/>
              <w:rPr>
                <w:rFonts w:ascii="Times New Roman" w:hAnsi="Times New Roman" w:cs="Times New Roman" w:eastAsia="Times New Roman" w:hint="default"/>
                <w:sz w:val="21"/>
                <w:szCs w:val="21"/>
              </w:rPr>
            </w:pPr>
            <w:r>
              <w:rPr>
                <w:rFonts w:ascii="Times New Roman"/>
                <w:sz w:val="21"/>
              </w:rPr>
              <w:t>249,517</w:t>
            </w:r>
          </w:p>
        </w:tc>
        <w:tc>
          <w:tcPr>
            <w:tcW w:w="2779" w:type="dxa"/>
            <w:tcBorders>
              <w:top w:val="nil" w:sz="6" w:space="0" w:color="auto"/>
              <w:left w:val="single" w:sz="4" w:space="0" w:color="000000"/>
              <w:bottom w:val="nil" w:sz="6" w:space="0" w:color="auto"/>
              <w:right w:val="single" w:sz="4" w:space="0" w:color="000000"/>
            </w:tcBorders>
          </w:tcPr>
          <w:p>
            <w:pPr>
              <w:pStyle w:val="TableParagraph"/>
              <w:spacing w:line="240" w:lineRule="auto" w:before="98"/>
              <w:ind w:left="105" w:right="0"/>
              <w:jc w:val="left"/>
              <w:rPr>
                <w:rFonts w:ascii="宋体" w:hAnsi="宋体" w:cs="宋体" w:eastAsia="宋体" w:hint="default"/>
                <w:sz w:val="21"/>
                <w:szCs w:val="21"/>
              </w:rPr>
            </w:pPr>
            <w:r>
              <w:rPr>
                <w:rFonts w:ascii="宋体" w:hAnsi="宋体" w:cs="宋体" w:eastAsia="宋体" w:hint="default"/>
                <w:spacing w:val="-5"/>
                <w:sz w:val="21"/>
                <w:szCs w:val="21"/>
              </w:rPr>
              <w:t>时入伙；</w:t>
            </w:r>
            <w:r>
              <w:rPr>
                <w:rFonts w:ascii="Times New Roman" w:hAnsi="Times New Roman" w:cs="Times New Roman" w:eastAsia="Times New Roman" w:hint="default"/>
                <w:spacing w:val="-5"/>
                <w:sz w:val="21"/>
                <w:szCs w:val="21"/>
              </w:rPr>
              <w:t>44#</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46#</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47#</w:t>
            </w:r>
            <w:r>
              <w:rPr>
                <w:rFonts w:ascii="宋体" w:hAnsi="宋体" w:cs="宋体" w:eastAsia="宋体" w:hint="default"/>
                <w:spacing w:val="-5"/>
                <w:sz w:val="21"/>
                <w:szCs w:val="21"/>
              </w:rPr>
              <w:t>楼按</w:t>
            </w:r>
          </w:p>
        </w:tc>
      </w:tr>
      <w:tr>
        <w:trPr>
          <w:trHeight w:val="481" w:hRule="exact"/>
        </w:trPr>
        <w:tc>
          <w:tcPr>
            <w:tcW w:w="1843" w:type="dxa"/>
            <w:tcBorders>
              <w:top w:val="nil" w:sz="6" w:space="0" w:color="auto"/>
              <w:left w:val="single" w:sz="4" w:space="0" w:color="000000"/>
              <w:bottom w:val="single" w:sz="4" w:space="0" w:color="000000"/>
              <w:right w:val="single" w:sz="4" w:space="0" w:color="000000"/>
            </w:tcBorders>
          </w:tcPr>
          <w:p>
            <w:pPr/>
          </w:p>
        </w:tc>
        <w:tc>
          <w:tcPr>
            <w:tcW w:w="1541" w:type="dxa"/>
            <w:tcBorders>
              <w:top w:val="nil" w:sz="6" w:space="0" w:color="auto"/>
              <w:left w:val="single" w:sz="4" w:space="0" w:color="000000"/>
              <w:bottom w:val="single" w:sz="4" w:space="0" w:color="000000"/>
              <w:right w:val="single" w:sz="4" w:space="0" w:color="000000"/>
            </w:tcBorders>
          </w:tcPr>
          <w:p>
            <w:pPr/>
          </w:p>
        </w:tc>
        <w:tc>
          <w:tcPr>
            <w:tcW w:w="1723" w:type="dxa"/>
            <w:tcBorders>
              <w:top w:val="nil" w:sz="6" w:space="0" w:color="auto"/>
              <w:left w:val="single" w:sz="4" w:space="0" w:color="000000"/>
              <w:bottom w:val="single" w:sz="4" w:space="0" w:color="000000"/>
              <w:right w:val="single" w:sz="4" w:space="0" w:color="000000"/>
            </w:tcBorders>
          </w:tcPr>
          <w:p>
            <w:pPr/>
          </w:p>
        </w:tc>
        <w:tc>
          <w:tcPr>
            <w:tcW w:w="1570" w:type="dxa"/>
            <w:tcBorders>
              <w:top w:val="nil" w:sz="6" w:space="0" w:color="auto"/>
              <w:left w:val="single" w:sz="4" w:space="0" w:color="000000"/>
              <w:bottom w:val="single" w:sz="4" w:space="0" w:color="000000"/>
              <w:right w:val="single" w:sz="4" w:space="0" w:color="000000"/>
            </w:tcBorders>
          </w:tcPr>
          <w:p>
            <w:pPr/>
          </w:p>
        </w:tc>
        <w:tc>
          <w:tcPr>
            <w:tcW w:w="277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9"/>
              <w:ind w:left="105" w:right="0"/>
              <w:jc w:val="left"/>
              <w:rPr>
                <w:rFonts w:ascii="宋体" w:hAnsi="宋体" w:cs="宋体" w:eastAsia="宋体" w:hint="default"/>
                <w:sz w:val="21"/>
                <w:szCs w:val="21"/>
              </w:rPr>
            </w:pPr>
            <w:r>
              <w:rPr>
                <w:rFonts w:ascii="宋体" w:hAnsi="宋体" w:cs="宋体" w:eastAsia="宋体" w:hint="default"/>
                <w:sz w:val="21"/>
                <w:szCs w:val="21"/>
              </w:rPr>
              <w:t>期施工</w:t>
            </w:r>
          </w:p>
        </w:tc>
      </w:tr>
      <w:tr>
        <w:trPr>
          <w:trHeight w:val="344" w:hRule="exact"/>
        </w:trPr>
        <w:tc>
          <w:tcPr>
            <w:tcW w:w="1843" w:type="dxa"/>
            <w:tcBorders>
              <w:top w:val="single" w:sz="4" w:space="0" w:color="000000"/>
              <w:left w:val="single" w:sz="4" w:space="0" w:color="000000"/>
              <w:bottom w:val="nil" w:sz="6" w:space="0" w:color="auto"/>
              <w:right w:val="single" w:sz="4" w:space="0" w:color="000000"/>
            </w:tcBorders>
          </w:tcPr>
          <w:p>
            <w:pPr/>
          </w:p>
        </w:tc>
        <w:tc>
          <w:tcPr>
            <w:tcW w:w="1541" w:type="dxa"/>
            <w:tcBorders>
              <w:top w:val="single" w:sz="4" w:space="0" w:color="000000"/>
              <w:left w:val="single" w:sz="4" w:space="0" w:color="000000"/>
              <w:bottom w:val="nil" w:sz="6" w:space="0" w:color="auto"/>
              <w:right w:val="single" w:sz="4" w:space="0" w:color="000000"/>
            </w:tcBorders>
          </w:tcPr>
          <w:p>
            <w:pPr/>
          </w:p>
        </w:tc>
        <w:tc>
          <w:tcPr>
            <w:tcW w:w="1723" w:type="dxa"/>
            <w:tcBorders>
              <w:top w:val="single" w:sz="4" w:space="0" w:color="000000"/>
              <w:left w:val="single" w:sz="4" w:space="0" w:color="000000"/>
              <w:bottom w:val="nil" w:sz="6" w:space="0" w:color="auto"/>
              <w:right w:val="single" w:sz="4" w:space="0" w:color="000000"/>
            </w:tcBorders>
          </w:tcPr>
          <w:p>
            <w:pPr/>
          </w:p>
        </w:tc>
        <w:tc>
          <w:tcPr>
            <w:tcW w:w="1570" w:type="dxa"/>
            <w:tcBorders>
              <w:top w:val="single" w:sz="4" w:space="0" w:color="000000"/>
              <w:left w:val="single" w:sz="4" w:space="0" w:color="000000"/>
              <w:bottom w:val="nil" w:sz="6" w:space="0" w:color="auto"/>
              <w:right w:val="single" w:sz="4" w:space="0" w:color="000000"/>
            </w:tcBorders>
          </w:tcPr>
          <w:p>
            <w:pPr/>
          </w:p>
        </w:tc>
        <w:tc>
          <w:tcPr>
            <w:tcW w:w="2779"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69</w:t>
            </w:r>
            <w:r>
              <w:rPr>
                <w:rFonts w:ascii="宋体" w:hAnsi="宋体" w:cs="宋体" w:eastAsia="宋体" w:hint="default"/>
                <w:spacing w:val="-55"/>
                <w:sz w:val="21"/>
                <w:szCs w:val="21"/>
              </w:rPr>
              <w:t> </w:t>
            </w:r>
            <w:r>
              <w:rPr>
                <w:rFonts w:ascii="宋体" w:hAnsi="宋体" w:cs="宋体" w:eastAsia="宋体" w:hint="default"/>
                <w:sz w:val="21"/>
                <w:szCs w:val="21"/>
              </w:rPr>
              <w:t>栋低层住宅已全部开工，</w:t>
            </w:r>
          </w:p>
        </w:tc>
      </w:tr>
      <w:tr>
        <w:trPr>
          <w:trHeight w:val="445" w:hRule="exact"/>
        </w:trPr>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410"/>
              <w:jc w:val="right"/>
              <w:rPr>
                <w:rFonts w:ascii="宋体" w:hAnsi="宋体" w:cs="宋体" w:eastAsia="宋体" w:hint="default"/>
                <w:sz w:val="21"/>
                <w:szCs w:val="21"/>
              </w:rPr>
            </w:pPr>
            <w:r>
              <w:rPr>
                <w:rFonts w:ascii="宋体" w:hAnsi="宋体" w:cs="宋体" w:eastAsia="宋体" w:hint="default"/>
                <w:w w:val="95"/>
                <w:sz w:val="21"/>
                <w:szCs w:val="21"/>
              </w:rPr>
              <w:t>宝安</w:t>
            </w:r>
            <w:r>
              <w:rPr>
                <w:rFonts w:ascii="Times New Roman" w:hAnsi="Times New Roman" w:cs="Times New Roman" w:eastAsia="Times New Roman" w:hint="default"/>
                <w:w w:val="95"/>
                <w:sz w:val="21"/>
                <w:szCs w:val="21"/>
              </w:rPr>
              <w:t>·</w:t>
            </w:r>
            <w:r>
              <w:rPr>
                <w:rFonts w:ascii="宋体" w:hAnsi="宋体" w:cs="宋体" w:eastAsia="宋体" w:hint="default"/>
                <w:w w:val="95"/>
                <w:sz w:val="21"/>
                <w:szCs w:val="21"/>
              </w:rPr>
              <w:t>山水江南</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00" w:right="0"/>
              <w:jc w:val="left"/>
              <w:rPr>
                <w:rFonts w:ascii="宋体" w:hAnsi="宋体" w:cs="宋体" w:eastAsia="宋体" w:hint="default"/>
                <w:sz w:val="21"/>
                <w:szCs w:val="21"/>
              </w:rPr>
            </w:pPr>
            <w:r>
              <w:rPr>
                <w:rFonts w:ascii="宋体" w:hAnsi="宋体" w:cs="宋体" w:eastAsia="宋体" w:hint="default"/>
                <w:sz w:val="21"/>
                <w:szCs w:val="21"/>
              </w:rPr>
              <w:t>东莞桥头镇</w:t>
            </w:r>
          </w:p>
        </w:tc>
        <w:tc>
          <w:tcPr>
            <w:tcW w:w="1723"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103"/>
              <w:jc w:val="right"/>
              <w:rPr>
                <w:rFonts w:ascii="Times New Roman" w:hAnsi="Times New Roman" w:cs="Times New Roman" w:eastAsia="Times New Roman" w:hint="default"/>
                <w:sz w:val="21"/>
                <w:szCs w:val="21"/>
              </w:rPr>
            </w:pPr>
            <w:r>
              <w:rPr>
                <w:rFonts w:ascii="Times New Roman"/>
                <w:sz w:val="21"/>
              </w:rPr>
              <w:t>162,121</w:t>
            </w:r>
          </w:p>
        </w:tc>
        <w:tc>
          <w:tcPr>
            <w:tcW w:w="1570"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8"/>
              <w:jc w:val="right"/>
              <w:rPr>
                <w:rFonts w:ascii="Times New Roman" w:hAnsi="Times New Roman" w:cs="Times New Roman" w:eastAsia="Times New Roman" w:hint="default"/>
                <w:sz w:val="21"/>
                <w:szCs w:val="21"/>
              </w:rPr>
            </w:pPr>
            <w:r>
              <w:rPr>
                <w:rFonts w:ascii="Times New Roman"/>
                <w:sz w:val="21"/>
              </w:rPr>
              <w:t>482,063</w:t>
            </w:r>
          </w:p>
        </w:tc>
        <w:tc>
          <w:tcPr>
            <w:tcW w:w="277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105" w:right="0"/>
              <w:jc w:val="left"/>
              <w:rPr>
                <w:rFonts w:ascii="宋体" w:hAnsi="宋体" w:cs="宋体" w:eastAsia="宋体" w:hint="default"/>
                <w:sz w:val="21"/>
                <w:szCs w:val="21"/>
              </w:rPr>
            </w:pPr>
            <w:r>
              <w:rPr>
                <w:rFonts w:ascii="宋体" w:hAnsi="宋体" w:cs="宋体" w:eastAsia="宋体" w:hint="default"/>
                <w:sz w:val="21"/>
                <w:szCs w:val="21"/>
              </w:rPr>
              <w:t>封顶</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2"/>
                <w:sz w:val="21"/>
                <w:szCs w:val="21"/>
              </w:rPr>
              <w:t> </w:t>
            </w:r>
            <w:r>
              <w:rPr>
                <w:rFonts w:ascii="宋体" w:hAnsi="宋体" w:cs="宋体" w:eastAsia="宋体" w:hint="default"/>
                <w:spacing w:val="-8"/>
                <w:sz w:val="21"/>
                <w:szCs w:val="21"/>
              </w:rPr>
              <w:t>栋；高层区项目已开</w:t>
            </w:r>
          </w:p>
        </w:tc>
      </w:tr>
      <w:tr>
        <w:trPr>
          <w:trHeight w:val="445" w:hRule="exact"/>
        </w:trPr>
        <w:tc>
          <w:tcPr>
            <w:tcW w:w="1843" w:type="dxa"/>
            <w:tcBorders>
              <w:top w:val="nil" w:sz="6" w:space="0" w:color="auto"/>
              <w:left w:val="single" w:sz="4" w:space="0" w:color="000000"/>
              <w:bottom w:val="single" w:sz="4" w:space="0" w:color="000000"/>
              <w:right w:val="single" w:sz="4" w:space="0" w:color="000000"/>
            </w:tcBorders>
          </w:tcPr>
          <w:p>
            <w:pPr/>
          </w:p>
        </w:tc>
        <w:tc>
          <w:tcPr>
            <w:tcW w:w="1541" w:type="dxa"/>
            <w:tcBorders>
              <w:top w:val="nil" w:sz="6" w:space="0" w:color="auto"/>
              <w:left w:val="single" w:sz="4" w:space="0" w:color="000000"/>
              <w:bottom w:val="single" w:sz="4" w:space="0" w:color="000000"/>
              <w:right w:val="single" w:sz="4" w:space="0" w:color="000000"/>
            </w:tcBorders>
          </w:tcPr>
          <w:p>
            <w:pPr/>
          </w:p>
        </w:tc>
        <w:tc>
          <w:tcPr>
            <w:tcW w:w="1723" w:type="dxa"/>
            <w:tcBorders>
              <w:top w:val="nil" w:sz="6" w:space="0" w:color="auto"/>
              <w:left w:val="single" w:sz="4" w:space="0" w:color="000000"/>
              <w:bottom w:val="single" w:sz="4" w:space="0" w:color="000000"/>
              <w:right w:val="single" w:sz="4" w:space="0" w:color="000000"/>
            </w:tcBorders>
          </w:tcPr>
          <w:p>
            <w:pPr/>
          </w:p>
        </w:tc>
        <w:tc>
          <w:tcPr>
            <w:tcW w:w="1570" w:type="dxa"/>
            <w:tcBorders>
              <w:top w:val="nil" w:sz="6" w:space="0" w:color="auto"/>
              <w:left w:val="single" w:sz="4" w:space="0" w:color="000000"/>
              <w:bottom w:val="single" w:sz="4" w:space="0" w:color="000000"/>
              <w:right w:val="single" w:sz="4" w:space="0" w:color="000000"/>
            </w:tcBorders>
          </w:tcPr>
          <w:p>
            <w:pPr/>
          </w:p>
        </w:tc>
        <w:tc>
          <w:tcPr>
            <w:tcW w:w="2779" w:type="dxa"/>
            <w:tcBorders>
              <w:top w:val="nil" w:sz="6" w:space="0" w:color="auto"/>
              <w:left w:val="single" w:sz="4" w:space="0" w:color="000000"/>
              <w:bottom w:val="single" w:sz="4" w:space="0" w:color="000000"/>
              <w:right w:val="single" w:sz="4" w:space="0" w:color="000000"/>
            </w:tcBorders>
          </w:tcPr>
          <w:p>
            <w:pPr>
              <w:pStyle w:val="TableParagraph"/>
              <w:spacing w:line="272" w:lineRule="exact"/>
              <w:ind w:left="105" w:right="0"/>
              <w:jc w:val="left"/>
              <w:rPr>
                <w:rFonts w:ascii="宋体" w:hAnsi="宋体" w:cs="宋体" w:eastAsia="宋体" w:hint="default"/>
                <w:sz w:val="21"/>
                <w:szCs w:val="21"/>
              </w:rPr>
            </w:pPr>
            <w:r>
              <w:rPr>
                <w:rFonts w:ascii="宋体" w:hAnsi="宋体" w:cs="宋体" w:eastAsia="宋体" w:hint="default"/>
                <w:sz w:val="21"/>
                <w:szCs w:val="21"/>
              </w:rPr>
              <w:t>始规划设计</w:t>
            </w:r>
          </w:p>
        </w:tc>
      </w:tr>
      <w:tr>
        <w:trPr>
          <w:trHeight w:val="826" w:hRule="exact"/>
        </w:trPr>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宝安</w:t>
            </w:r>
            <w:r>
              <w:rPr>
                <w:rFonts w:ascii="Times New Roman" w:hAnsi="Times New Roman" w:cs="Times New Roman" w:eastAsia="Times New Roman" w:hint="default"/>
                <w:sz w:val="21"/>
                <w:szCs w:val="21"/>
              </w:rPr>
              <w:t>·</w:t>
            </w:r>
            <w:r>
              <w:rPr>
                <w:rFonts w:ascii="宋体" w:hAnsi="宋体" w:cs="宋体" w:eastAsia="宋体" w:hint="default"/>
                <w:sz w:val="21"/>
                <w:szCs w:val="21"/>
              </w:rPr>
              <w:t>江南城</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湖南湘潭</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86,603</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260,694</w:t>
            </w:r>
          </w:p>
        </w:tc>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7" w:lineRule="exact"/>
              <w:ind w:left="10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栋低层住宅全部封顶；高</w:t>
            </w:r>
          </w:p>
          <w:p>
            <w:pPr>
              <w:pStyle w:val="TableParagraph"/>
              <w:spacing w:line="240" w:lineRule="auto" w:before="117"/>
              <w:ind w:left="105" w:right="0"/>
              <w:jc w:val="left"/>
              <w:rPr>
                <w:rFonts w:ascii="宋体" w:hAnsi="宋体" w:cs="宋体" w:eastAsia="宋体" w:hint="default"/>
                <w:sz w:val="21"/>
                <w:szCs w:val="21"/>
              </w:rPr>
            </w:pPr>
            <w:r>
              <w:rPr>
                <w:rFonts w:ascii="宋体" w:hAnsi="宋体" w:cs="宋体" w:eastAsia="宋体" w:hint="default"/>
                <w:sz w:val="21"/>
                <w:szCs w:val="21"/>
              </w:rPr>
              <w:t>层区正在进行桩基施工</w:t>
            </w:r>
          </w:p>
        </w:tc>
      </w:tr>
      <w:tr>
        <w:trPr>
          <w:trHeight w:val="485" w:hRule="exact"/>
        </w:trPr>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5" w:right="0"/>
              <w:jc w:val="left"/>
              <w:rPr>
                <w:rFonts w:ascii="宋体" w:hAnsi="宋体" w:cs="宋体" w:eastAsia="宋体" w:hint="default"/>
                <w:sz w:val="21"/>
                <w:szCs w:val="21"/>
              </w:rPr>
            </w:pPr>
            <w:r>
              <w:rPr>
                <w:rFonts w:ascii="宋体" w:hAnsi="宋体" w:cs="宋体" w:eastAsia="宋体" w:hint="default"/>
                <w:sz w:val="21"/>
                <w:szCs w:val="21"/>
              </w:rPr>
              <w:t>宝安</w:t>
            </w:r>
            <w:r>
              <w:rPr>
                <w:rFonts w:ascii="Times New Roman" w:hAnsi="Times New Roman" w:cs="Times New Roman" w:eastAsia="Times New Roman" w:hint="default"/>
                <w:sz w:val="21"/>
                <w:szCs w:val="21"/>
              </w:rPr>
              <w:t>·</w:t>
            </w:r>
            <w:r>
              <w:rPr>
                <w:rFonts w:ascii="宋体" w:hAnsi="宋体" w:cs="宋体" w:eastAsia="宋体" w:hint="default"/>
                <w:sz w:val="21"/>
                <w:szCs w:val="21"/>
              </w:rPr>
              <w:t>虹海湾</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00" w:right="0"/>
              <w:jc w:val="left"/>
              <w:rPr>
                <w:rFonts w:ascii="宋体" w:hAnsi="宋体" w:cs="宋体" w:eastAsia="宋体" w:hint="default"/>
                <w:sz w:val="21"/>
                <w:szCs w:val="21"/>
              </w:rPr>
            </w:pPr>
            <w:r>
              <w:rPr>
                <w:rFonts w:ascii="宋体" w:hAnsi="宋体" w:cs="宋体" w:eastAsia="宋体" w:hint="default"/>
                <w:sz w:val="21"/>
                <w:szCs w:val="21"/>
              </w:rPr>
              <w:t>惠东港口镇</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3"/>
              <w:jc w:val="right"/>
              <w:rPr>
                <w:rFonts w:ascii="Times New Roman" w:hAnsi="Times New Roman" w:cs="Times New Roman" w:eastAsia="Times New Roman" w:hint="default"/>
                <w:sz w:val="21"/>
                <w:szCs w:val="21"/>
              </w:rPr>
            </w:pPr>
            <w:r>
              <w:rPr>
                <w:rFonts w:ascii="Times New Roman"/>
                <w:sz w:val="21"/>
              </w:rPr>
              <w:t>30,880</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8"/>
              <w:jc w:val="right"/>
              <w:rPr>
                <w:rFonts w:ascii="Times New Roman" w:hAnsi="Times New Roman" w:cs="Times New Roman" w:eastAsia="Times New Roman" w:hint="default"/>
                <w:sz w:val="21"/>
                <w:szCs w:val="21"/>
              </w:rPr>
            </w:pPr>
            <w:r>
              <w:rPr>
                <w:rFonts w:ascii="Times New Roman"/>
                <w:spacing w:val="-2"/>
                <w:sz w:val="21"/>
              </w:rPr>
              <w:t>116,239</w:t>
            </w:r>
          </w:p>
        </w:tc>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桩基工程已全部完成</w:t>
            </w:r>
          </w:p>
        </w:tc>
      </w:tr>
      <w:tr>
        <w:trPr>
          <w:trHeight w:val="830" w:hRule="exact"/>
        </w:trPr>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410"/>
              <w:jc w:val="right"/>
              <w:rPr>
                <w:rFonts w:ascii="宋体" w:hAnsi="宋体" w:cs="宋体" w:eastAsia="宋体" w:hint="default"/>
                <w:sz w:val="21"/>
                <w:szCs w:val="21"/>
              </w:rPr>
            </w:pPr>
            <w:r>
              <w:rPr>
                <w:rFonts w:ascii="宋体" w:hAnsi="宋体" w:cs="宋体" w:eastAsia="宋体" w:hint="default"/>
                <w:w w:val="95"/>
                <w:sz w:val="21"/>
                <w:szCs w:val="21"/>
              </w:rPr>
              <w:t>宝安</w:t>
            </w:r>
            <w:r>
              <w:rPr>
                <w:rFonts w:ascii="Times New Roman" w:hAnsi="Times New Roman" w:cs="Times New Roman" w:eastAsia="Times New Roman" w:hint="default"/>
                <w:w w:val="95"/>
                <w:sz w:val="21"/>
                <w:szCs w:val="21"/>
              </w:rPr>
              <w:t>·</w:t>
            </w:r>
            <w:r>
              <w:rPr>
                <w:rFonts w:ascii="宋体" w:hAnsi="宋体" w:cs="宋体" w:eastAsia="宋体" w:hint="default"/>
                <w:w w:val="95"/>
                <w:sz w:val="21"/>
                <w:szCs w:val="21"/>
              </w:rPr>
              <w:t>山水龙城</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惠州</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2"/>
                <w:sz w:val="21"/>
              </w:rPr>
              <w:t>114,182</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303,000</w:t>
            </w:r>
          </w:p>
        </w:tc>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一期低层住宅全部封顶，高</w:t>
            </w:r>
          </w:p>
          <w:p>
            <w:pPr>
              <w:pStyle w:val="TableParagraph"/>
              <w:spacing w:line="240" w:lineRule="auto" w:before="138"/>
              <w:ind w:left="105" w:right="0"/>
              <w:jc w:val="left"/>
              <w:rPr>
                <w:rFonts w:ascii="宋体" w:hAnsi="宋体" w:cs="宋体" w:eastAsia="宋体" w:hint="default"/>
                <w:sz w:val="21"/>
                <w:szCs w:val="21"/>
              </w:rPr>
            </w:pPr>
            <w:r>
              <w:rPr>
                <w:rFonts w:ascii="宋体" w:hAnsi="宋体" w:cs="宋体" w:eastAsia="宋体" w:hint="default"/>
                <w:sz w:val="21"/>
                <w:szCs w:val="21"/>
              </w:rPr>
              <w:t>层区正在主体施工</w:t>
            </w:r>
          </w:p>
        </w:tc>
      </w:tr>
      <w:tr>
        <w:trPr>
          <w:trHeight w:val="308" w:hRule="exact"/>
        </w:trPr>
        <w:tc>
          <w:tcPr>
            <w:tcW w:w="1843" w:type="dxa"/>
            <w:tcBorders>
              <w:top w:val="single" w:sz="4" w:space="0" w:color="000000"/>
              <w:left w:val="single" w:sz="4" w:space="0" w:color="000000"/>
              <w:bottom w:val="nil" w:sz="6" w:space="0" w:color="auto"/>
              <w:right w:val="single" w:sz="4" w:space="0" w:color="000000"/>
            </w:tcBorders>
          </w:tcPr>
          <w:p>
            <w:pPr/>
          </w:p>
        </w:tc>
        <w:tc>
          <w:tcPr>
            <w:tcW w:w="1541" w:type="dxa"/>
            <w:tcBorders>
              <w:top w:val="single" w:sz="4" w:space="0" w:color="000000"/>
              <w:left w:val="single" w:sz="4" w:space="0" w:color="000000"/>
              <w:bottom w:val="nil" w:sz="6" w:space="0" w:color="auto"/>
              <w:right w:val="single" w:sz="4" w:space="0" w:color="000000"/>
            </w:tcBorders>
          </w:tcPr>
          <w:p>
            <w:pPr/>
          </w:p>
        </w:tc>
        <w:tc>
          <w:tcPr>
            <w:tcW w:w="1723" w:type="dxa"/>
            <w:tcBorders>
              <w:top w:val="single" w:sz="4" w:space="0" w:color="000000"/>
              <w:left w:val="single" w:sz="4" w:space="0" w:color="000000"/>
              <w:bottom w:val="nil" w:sz="6" w:space="0" w:color="auto"/>
              <w:right w:val="single" w:sz="4" w:space="0" w:color="000000"/>
            </w:tcBorders>
          </w:tcPr>
          <w:p>
            <w:pPr/>
          </w:p>
        </w:tc>
        <w:tc>
          <w:tcPr>
            <w:tcW w:w="1570" w:type="dxa"/>
            <w:tcBorders>
              <w:top w:val="single" w:sz="4" w:space="0" w:color="000000"/>
              <w:left w:val="single" w:sz="4" w:space="0" w:color="000000"/>
              <w:bottom w:val="nil" w:sz="6" w:space="0" w:color="auto"/>
              <w:right w:val="single" w:sz="4" w:space="0" w:color="000000"/>
            </w:tcBorders>
          </w:tcPr>
          <w:p>
            <w:pPr/>
          </w:p>
        </w:tc>
        <w:tc>
          <w:tcPr>
            <w:tcW w:w="2779"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pacing w:val="20"/>
                <w:sz w:val="21"/>
                <w:szCs w:val="21"/>
              </w:rPr>
              <w:t>已签署土地使用权出让合</w:t>
            </w:r>
          </w:p>
        </w:tc>
      </w:tr>
      <w:tr>
        <w:trPr>
          <w:trHeight w:val="925" w:hRule="exact"/>
        </w:trPr>
        <w:tc>
          <w:tcPr>
            <w:tcW w:w="1843" w:type="dxa"/>
            <w:tcBorders>
              <w:top w:val="nil" w:sz="6" w:space="0" w:color="auto"/>
              <w:left w:val="single" w:sz="4" w:space="0" w:color="000000"/>
              <w:bottom w:val="single" w:sz="4" w:space="0" w:color="000000"/>
              <w:right w:val="single" w:sz="4" w:space="0" w:color="000000"/>
            </w:tcBorders>
          </w:tcPr>
          <w:p>
            <w:pPr>
              <w:pStyle w:val="TableParagraph"/>
              <w:spacing w:line="274" w:lineRule="exact" w:before="24"/>
              <w:ind w:left="105" w:right="94"/>
              <w:jc w:val="left"/>
              <w:rPr>
                <w:rFonts w:ascii="宋体" w:hAnsi="宋体" w:cs="宋体" w:eastAsia="宋体" w:hint="default"/>
                <w:sz w:val="21"/>
                <w:szCs w:val="21"/>
              </w:rPr>
            </w:pPr>
            <w:r>
              <w:rPr>
                <w:rFonts w:ascii="宋体" w:hAnsi="宋体" w:cs="宋体" w:eastAsia="宋体" w:hint="default"/>
                <w:spacing w:val="8"/>
                <w:sz w:val="21"/>
                <w:szCs w:val="21"/>
              </w:rPr>
              <w:t>宝安</w:t>
            </w:r>
            <w:r>
              <w:rPr>
                <w:rFonts w:ascii="Times New Roman" w:hAnsi="Times New Roman" w:cs="Times New Roman" w:eastAsia="Times New Roman" w:hint="default"/>
                <w:spacing w:val="8"/>
                <w:sz w:val="21"/>
                <w:szCs w:val="21"/>
              </w:rPr>
              <w:t>·</w:t>
            </w:r>
            <w:r>
              <w:rPr>
                <w:rFonts w:ascii="Times New Roman" w:hAnsi="Times New Roman" w:cs="Times New Roman" w:eastAsia="Times New Roman" w:hint="default"/>
                <w:spacing w:val="-39"/>
                <w:sz w:val="21"/>
                <w:szCs w:val="21"/>
              </w:rPr>
              <w:t> </w:t>
            </w:r>
            <w:r>
              <w:rPr>
                <w:rFonts w:ascii="宋体" w:hAnsi="宋体" w:cs="宋体" w:eastAsia="宋体" w:hint="default"/>
                <w:spacing w:val="10"/>
                <w:sz w:val="21"/>
                <w:szCs w:val="21"/>
              </w:rPr>
              <w:t>宝翠苑旧改</w:t>
            </w:r>
            <w:r>
              <w:rPr>
                <w:rFonts w:ascii="宋体" w:hAnsi="宋体" w:cs="宋体" w:eastAsia="宋体" w:hint="default"/>
                <w:w w:val="100"/>
                <w:sz w:val="21"/>
                <w:szCs w:val="21"/>
              </w:rPr>
              <w:t> </w:t>
            </w:r>
            <w:r>
              <w:rPr>
                <w:rFonts w:ascii="宋体" w:hAnsi="宋体" w:cs="宋体" w:eastAsia="宋体" w:hint="default"/>
                <w:sz w:val="21"/>
                <w:szCs w:val="21"/>
              </w:rPr>
              <w:t>项目</w:t>
            </w:r>
          </w:p>
        </w:tc>
        <w:tc>
          <w:tcPr>
            <w:tcW w:w="154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3"/>
              <w:ind w:left="100"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17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103"/>
              <w:jc w:val="right"/>
              <w:rPr>
                <w:rFonts w:ascii="Times New Roman" w:hAnsi="Times New Roman" w:cs="Times New Roman" w:eastAsia="Times New Roman" w:hint="default"/>
                <w:sz w:val="21"/>
                <w:szCs w:val="21"/>
              </w:rPr>
            </w:pPr>
            <w:r>
              <w:rPr>
                <w:rFonts w:ascii="Times New Roman"/>
                <w:sz w:val="21"/>
              </w:rPr>
              <w:t>6,694</w:t>
            </w:r>
          </w:p>
        </w:tc>
        <w:tc>
          <w:tcPr>
            <w:tcW w:w="157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7"/>
              <w:ind w:right="98"/>
              <w:jc w:val="right"/>
              <w:rPr>
                <w:rFonts w:ascii="Times New Roman" w:hAnsi="Times New Roman" w:cs="Times New Roman" w:eastAsia="Times New Roman" w:hint="default"/>
                <w:sz w:val="21"/>
                <w:szCs w:val="21"/>
              </w:rPr>
            </w:pPr>
            <w:r>
              <w:rPr>
                <w:rFonts w:ascii="Times New Roman"/>
                <w:sz w:val="21"/>
              </w:rPr>
              <w:t>38,925</w:t>
            </w:r>
          </w:p>
        </w:tc>
        <w:tc>
          <w:tcPr>
            <w:tcW w:w="2779" w:type="dxa"/>
            <w:tcBorders>
              <w:top w:val="nil" w:sz="6" w:space="0" w:color="auto"/>
              <w:left w:val="single" w:sz="4" w:space="0" w:color="000000"/>
              <w:bottom w:val="single" w:sz="4" w:space="0" w:color="000000"/>
              <w:right w:val="single" w:sz="4" w:space="0" w:color="000000"/>
            </w:tcBorders>
          </w:tcPr>
          <w:p>
            <w:pPr>
              <w:pStyle w:val="TableParagraph"/>
              <w:spacing w:line="355" w:lineRule="auto" w:before="70"/>
              <w:ind w:left="105" w:right="99"/>
              <w:jc w:val="left"/>
              <w:rPr>
                <w:rFonts w:ascii="宋体" w:hAnsi="宋体" w:cs="宋体" w:eastAsia="宋体" w:hint="default"/>
                <w:sz w:val="21"/>
                <w:szCs w:val="21"/>
              </w:rPr>
            </w:pPr>
            <w:r>
              <w:rPr>
                <w:rFonts w:ascii="宋体" w:hAnsi="宋体" w:cs="宋体" w:eastAsia="宋体" w:hint="default"/>
                <w:sz w:val="21"/>
                <w:szCs w:val="21"/>
              </w:rPr>
              <w:t>同，正在进行边坡支护等前</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期工作</w:t>
            </w:r>
          </w:p>
        </w:tc>
      </w:tr>
      <w:tr>
        <w:trPr>
          <w:trHeight w:val="557" w:hRule="exact"/>
        </w:trPr>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05" w:right="0"/>
              <w:jc w:val="left"/>
              <w:rPr>
                <w:rFonts w:ascii="宋体" w:hAnsi="宋体" w:cs="宋体" w:eastAsia="宋体" w:hint="default"/>
                <w:sz w:val="21"/>
                <w:szCs w:val="21"/>
              </w:rPr>
            </w:pPr>
            <w:r>
              <w:rPr>
                <w:rFonts w:ascii="宋体" w:hAnsi="宋体" w:cs="宋体" w:eastAsia="宋体" w:hint="default"/>
                <w:spacing w:val="18"/>
                <w:sz w:val="21"/>
                <w:szCs w:val="21"/>
              </w:rPr>
              <w:t>龙岗中心区旧改</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0" w:right="0"/>
              <w:jc w:val="left"/>
              <w:rPr>
                <w:rFonts w:ascii="宋体" w:hAnsi="宋体" w:cs="宋体" w:eastAsia="宋体" w:hint="default"/>
                <w:sz w:val="21"/>
                <w:szCs w:val="21"/>
              </w:rPr>
            </w:pPr>
            <w:r>
              <w:rPr>
                <w:rFonts w:ascii="宋体" w:hAnsi="宋体" w:cs="宋体" w:eastAsia="宋体" w:hint="default"/>
                <w:sz w:val="21"/>
                <w:szCs w:val="21"/>
              </w:rPr>
              <w:t>深圳</w:t>
            </w:r>
          </w:p>
        </w:tc>
        <w:tc>
          <w:tcPr>
            <w:tcW w:w="17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5,452</w:t>
            </w:r>
            <w:r>
              <w:rPr>
                <w:rFonts w:ascii="宋体" w:hAnsi="宋体" w:cs="宋体" w:eastAsia="宋体" w:hint="default"/>
                <w:sz w:val="21"/>
                <w:szCs w:val="21"/>
              </w:rPr>
              <w:t>（规划草案</w:t>
            </w:r>
          </w:p>
          <w:p>
            <w:pPr>
              <w:pStyle w:val="TableParagraph"/>
              <w:spacing w:line="266" w:lineRule="exact"/>
              <w:ind w:left="974" w:right="0"/>
              <w:jc w:val="left"/>
              <w:rPr>
                <w:rFonts w:ascii="宋体" w:hAnsi="宋体" w:cs="宋体" w:eastAsia="宋体" w:hint="default"/>
                <w:sz w:val="21"/>
                <w:szCs w:val="21"/>
              </w:rPr>
            </w:pPr>
            <w:r>
              <w:rPr>
                <w:rFonts w:ascii="宋体" w:hAnsi="宋体" w:cs="宋体" w:eastAsia="宋体" w:hint="default"/>
                <w:sz w:val="21"/>
                <w:szCs w:val="21"/>
              </w:rPr>
              <w:t>数据）</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Times New Roman" w:hAnsi="Times New Roman" w:cs="Times New Roman" w:eastAsia="Times New Roman" w:hint="default"/>
                <w:spacing w:val="-7"/>
                <w:sz w:val="21"/>
                <w:szCs w:val="21"/>
              </w:rPr>
              <w:t>36,300</w:t>
            </w:r>
            <w:r>
              <w:rPr>
                <w:rFonts w:ascii="宋体" w:hAnsi="宋体" w:cs="宋体" w:eastAsia="宋体" w:hint="default"/>
                <w:spacing w:val="-7"/>
                <w:sz w:val="21"/>
                <w:szCs w:val="21"/>
              </w:rPr>
              <w:t>（规划草</w:t>
            </w:r>
          </w:p>
          <w:p>
            <w:pPr>
              <w:pStyle w:val="TableParagraph"/>
              <w:spacing w:line="266" w:lineRule="exact"/>
              <w:ind w:left="614" w:right="0"/>
              <w:jc w:val="left"/>
              <w:rPr>
                <w:rFonts w:ascii="宋体" w:hAnsi="宋体" w:cs="宋体" w:eastAsia="宋体" w:hint="default"/>
                <w:sz w:val="21"/>
                <w:szCs w:val="21"/>
              </w:rPr>
            </w:pPr>
            <w:r>
              <w:rPr>
                <w:rFonts w:ascii="宋体" w:hAnsi="宋体" w:cs="宋体" w:eastAsia="宋体" w:hint="default"/>
                <w:sz w:val="21"/>
                <w:szCs w:val="21"/>
              </w:rPr>
              <w:t>案数据）</w:t>
            </w:r>
          </w:p>
        </w:tc>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更新单元规划（草案）公示</w:t>
            </w:r>
          </w:p>
        </w:tc>
      </w:tr>
    </w:tbl>
    <w:p>
      <w:pPr>
        <w:spacing w:line="240" w:lineRule="auto" w:before="13"/>
        <w:rPr>
          <w:rFonts w:ascii="宋体" w:hAnsi="宋体" w:cs="宋体" w:eastAsia="宋体" w:hint="default"/>
          <w:sz w:val="12"/>
          <w:szCs w:val="12"/>
        </w:rPr>
      </w:pPr>
    </w:p>
    <w:p>
      <w:pPr>
        <w:pStyle w:val="BodyText"/>
        <w:spacing w:line="240" w:lineRule="auto" w:before="36"/>
        <w:ind w:right="114"/>
        <w:jc w:val="left"/>
      </w:pPr>
      <w:r>
        <w:rPr>
          <w:spacing w:val="-2"/>
        </w:rPr>
        <w:t>公司实际经营业绩较曾公开披露过的本年度盈利预测低于或高于</w:t>
      </w:r>
      <w:r>
        <w:rPr>
          <w:spacing w:val="22"/>
        </w:rPr>
        <w:t> </w:t>
      </w:r>
      <w:r>
        <w:rPr>
          <w:rFonts w:ascii="Times New Roman" w:hAnsi="Times New Roman" w:cs="Times New Roman" w:eastAsia="Times New Roman" w:hint="default"/>
          <w:spacing w:val="-2"/>
        </w:rPr>
        <w:t>20%</w:t>
      </w:r>
      <w:r>
        <w:rPr>
          <w:spacing w:val="-2"/>
        </w:rPr>
        <w:t>以上的差异原因</w:t>
      </w:r>
    </w:p>
    <w:p>
      <w:pPr>
        <w:pStyle w:val="BodyText"/>
        <w:spacing w:line="240" w:lineRule="auto" w:before="117"/>
        <w:ind w:right="114"/>
        <w:jc w:val="left"/>
      </w:pPr>
      <w:r>
        <w:rPr/>
        <w:t>□ 适用 √</w:t>
      </w:r>
      <w:r>
        <w:rPr>
          <w:spacing w:val="3"/>
        </w:rPr>
        <w:t> </w:t>
      </w:r>
      <w:r>
        <w:rPr/>
        <w:t>不适用</w:t>
      </w:r>
    </w:p>
    <w:p>
      <w:pPr>
        <w:spacing w:after="0" w:line="240" w:lineRule="auto"/>
        <w:jc w:val="left"/>
        <w:sectPr>
          <w:pgSz w:w="11900" w:h="16840"/>
          <w:pgMar w:header="872" w:footer="957" w:top="1120" w:bottom="1180" w:left="980" w:right="900"/>
        </w:sectPr>
      </w:pPr>
    </w:p>
    <w:p>
      <w:pPr>
        <w:spacing w:line="240" w:lineRule="auto" w:before="11"/>
        <w:rPr>
          <w:rFonts w:ascii="宋体" w:hAnsi="宋体" w:cs="宋体" w:eastAsia="宋体" w:hint="default"/>
          <w:sz w:val="18"/>
          <w:szCs w:val="18"/>
        </w:rPr>
      </w:pPr>
    </w:p>
    <w:p>
      <w:pPr>
        <w:pStyle w:val="Heading6"/>
        <w:spacing w:line="335" w:lineRule="exact"/>
        <w:ind w:left="152" w:right="0"/>
        <w:jc w:val="left"/>
        <w:rPr>
          <w:b w:val="0"/>
          <w:bCs w:val="0"/>
        </w:rPr>
      </w:pPr>
      <w:r>
        <w:rPr>
          <w:rFonts w:ascii="Times New Roman" w:hAnsi="Times New Roman" w:cs="Times New Roman" w:eastAsia="Times New Roman" w:hint="default"/>
        </w:rPr>
        <w:t>2</w:t>
      </w:r>
      <w:r>
        <w:rPr/>
        <w:t>、收入</w:t>
      </w:r>
      <w:r>
        <w:rPr>
          <w:b w:val="0"/>
          <w:bCs w:val="0"/>
        </w:rPr>
      </w:r>
    </w:p>
    <w:p>
      <w:pPr>
        <w:spacing w:line="240" w:lineRule="auto" w:before="16"/>
        <w:rPr>
          <w:rFonts w:ascii="Microsoft JhengHei" w:hAnsi="Microsoft JhengHei" w:cs="Microsoft JhengHei" w:eastAsia="Microsoft JhengHei" w:hint="default"/>
          <w:b/>
          <w:bCs/>
          <w:sz w:val="15"/>
          <w:szCs w:val="15"/>
        </w:rPr>
      </w:pPr>
    </w:p>
    <w:p>
      <w:pPr>
        <w:pStyle w:val="BodyText"/>
        <w:spacing w:line="240" w:lineRule="auto"/>
        <w:ind w:right="0"/>
        <w:jc w:val="left"/>
      </w:pPr>
      <w:r>
        <w:rPr/>
        <w:t>公司实物销售收入是否大于劳务收入</w:t>
      </w:r>
    </w:p>
    <w:p>
      <w:pPr>
        <w:pStyle w:val="BodyText"/>
        <w:spacing w:line="240" w:lineRule="auto" w:before="138"/>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否</w:t>
      </w:r>
    </w:p>
    <w:p>
      <w:pPr>
        <w:spacing w:line="240" w:lineRule="auto" w:before="8"/>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1915"/>
        <w:gridCol w:w="1915"/>
        <w:gridCol w:w="1910"/>
        <w:gridCol w:w="1915"/>
        <w:gridCol w:w="1915"/>
      </w:tblGrid>
      <w:tr>
        <w:trPr>
          <w:trHeight w:val="480"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28"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2"/>
              <w:jc w:val="center"/>
              <w:rPr>
                <w:rFonts w:ascii="宋体" w:hAnsi="宋体" w:cs="宋体" w:eastAsia="宋体" w:hint="default"/>
                <w:sz w:val="21"/>
                <w:szCs w:val="21"/>
              </w:rPr>
            </w:pPr>
            <w:r>
              <w:rPr>
                <w:rFonts w:ascii="宋体" w:hAnsi="宋体" w:cs="宋体" w:eastAsia="宋体" w:hint="default"/>
                <w:sz w:val="21"/>
                <w:szCs w:val="21"/>
              </w:rPr>
              <w:t>项目</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60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61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30" w:right="0"/>
              <w:jc w:val="left"/>
              <w:rPr>
                <w:rFonts w:ascii="宋体" w:hAnsi="宋体" w:cs="宋体" w:eastAsia="宋体" w:hint="default"/>
                <w:sz w:val="21"/>
                <w:szCs w:val="21"/>
              </w:rPr>
            </w:pPr>
            <w:r>
              <w:rPr>
                <w:rFonts w:ascii="宋体" w:hAnsi="宋体" w:cs="宋体" w:eastAsia="宋体" w:hint="default"/>
                <w:sz w:val="21"/>
                <w:szCs w:val="21"/>
              </w:rPr>
              <w:t>同比增减（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480"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房地产销售</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21"/>
                <w:szCs w:val="21"/>
              </w:rPr>
            </w:pPr>
            <w:r>
              <w:rPr>
                <w:rFonts w:ascii="Times New Roman"/>
                <w:spacing w:val="-1"/>
                <w:sz w:val="21"/>
              </w:rPr>
              <w:t>793,553,824.28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21"/>
                <w:szCs w:val="21"/>
              </w:rPr>
            </w:pPr>
            <w:r>
              <w:rPr>
                <w:rFonts w:ascii="Times New Roman"/>
                <w:spacing w:val="-1"/>
                <w:sz w:val="21"/>
              </w:rPr>
              <w:t>738,212,021.00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Times New Roman" w:hAnsi="Times New Roman" w:cs="Times New Roman" w:eastAsia="Times New Roman" w:hint="default"/>
                <w:sz w:val="21"/>
                <w:szCs w:val="21"/>
              </w:rPr>
            </w:pPr>
            <w:r>
              <w:rPr>
                <w:rFonts w:ascii="Times New Roman"/>
                <w:sz w:val="21"/>
              </w:rPr>
              <w:t>7.5%</w:t>
            </w:r>
          </w:p>
        </w:tc>
      </w:tr>
      <w:tr>
        <w:trPr>
          <w:trHeight w:val="456"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4" w:right="0"/>
              <w:jc w:val="left"/>
              <w:rPr>
                <w:rFonts w:ascii="宋体" w:hAnsi="宋体" w:cs="宋体" w:eastAsia="宋体" w:hint="default"/>
                <w:sz w:val="21"/>
                <w:szCs w:val="21"/>
              </w:rPr>
            </w:pPr>
            <w:r>
              <w:rPr>
                <w:rFonts w:ascii="宋体" w:hAnsi="宋体" w:cs="宋体" w:eastAsia="宋体" w:hint="default"/>
                <w:sz w:val="21"/>
                <w:szCs w:val="21"/>
              </w:rPr>
              <w:t>房地产租赁</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21"/>
                <w:szCs w:val="21"/>
              </w:rPr>
            </w:pPr>
            <w:r>
              <w:rPr>
                <w:rFonts w:ascii="Times New Roman"/>
                <w:sz w:val="21"/>
              </w:rPr>
              <w:t>25,679,893.59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21"/>
                <w:szCs w:val="21"/>
              </w:rPr>
            </w:pPr>
            <w:r>
              <w:rPr>
                <w:rFonts w:ascii="Times New Roman"/>
                <w:sz w:val="21"/>
              </w:rPr>
              <w:t>26,285,706.71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21"/>
                <w:szCs w:val="21"/>
              </w:rPr>
            </w:pPr>
            <w:r>
              <w:rPr>
                <w:rFonts w:ascii="Times New Roman"/>
                <w:sz w:val="21"/>
              </w:rPr>
              <w:t>-2.3%</w:t>
            </w:r>
          </w:p>
        </w:tc>
      </w:tr>
      <w:tr>
        <w:trPr>
          <w:trHeight w:val="480"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物业管理</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21"/>
                <w:szCs w:val="21"/>
              </w:rPr>
            </w:pPr>
            <w:r>
              <w:rPr>
                <w:rFonts w:ascii="Times New Roman"/>
                <w:sz w:val="21"/>
              </w:rPr>
              <w:t>44,965,702.72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21"/>
                <w:szCs w:val="21"/>
              </w:rPr>
            </w:pPr>
            <w:r>
              <w:rPr>
                <w:rFonts w:ascii="Times New Roman"/>
                <w:sz w:val="21"/>
              </w:rPr>
              <w:t>46,921,494.91</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Times New Roman" w:hAnsi="Times New Roman" w:cs="Times New Roman" w:eastAsia="Times New Roman" w:hint="default"/>
                <w:sz w:val="21"/>
                <w:szCs w:val="21"/>
              </w:rPr>
            </w:pPr>
            <w:r>
              <w:rPr>
                <w:rFonts w:ascii="Times New Roman"/>
                <w:sz w:val="21"/>
              </w:rPr>
              <w:t>-4.2%</w:t>
            </w:r>
          </w:p>
        </w:tc>
      </w:tr>
      <w:tr>
        <w:trPr>
          <w:trHeight w:val="480"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21"/>
                <w:szCs w:val="21"/>
              </w:rPr>
            </w:pPr>
            <w:r>
              <w:rPr>
                <w:rFonts w:ascii="Times New Roman"/>
                <w:sz w:val="21"/>
              </w:rPr>
              <w:t>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2"/>
              <w:jc w:val="right"/>
              <w:rPr>
                <w:rFonts w:ascii="Times New Roman" w:hAnsi="Times New Roman" w:cs="Times New Roman" w:eastAsia="Times New Roman" w:hint="default"/>
                <w:sz w:val="21"/>
                <w:szCs w:val="21"/>
              </w:rPr>
            </w:pPr>
            <w:r>
              <w:rPr>
                <w:rFonts w:ascii="Times New Roman"/>
                <w:sz w:val="21"/>
              </w:rPr>
              <w:t>13,405,746.39</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Times New Roman" w:hAnsi="Times New Roman" w:cs="Times New Roman" w:eastAsia="Times New Roman" w:hint="default"/>
                <w:sz w:val="21"/>
                <w:szCs w:val="21"/>
              </w:rPr>
            </w:pPr>
            <w:r>
              <w:rPr>
                <w:rFonts w:ascii="Times New Roman"/>
                <w:sz w:val="21"/>
              </w:rPr>
              <w:t>100%</w:t>
            </w:r>
          </w:p>
        </w:tc>
      </w:tr>
      <w:tr>
        <w:trPr>
          <w:trHeight w:val="509" w:hRule="exact"/>
        </w:trPr>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21"/>
                <w:szCs w:val="21"/>
              </w:rPr>
            </w:pPr>
            <w:r>
              <w:rPr>
                <w:rFonts w:ascii="宋体" w:hAnsi="宋体" w:cs="宋体" w:eastAsia="宋体" w:hint="default"/>
                <w:sz w:val="21"/>
                <w:szCs w:val="21"/>
              </w:rPr>
              <w:t>业务间抵销</w:t>
            </w:r>
          </w:p>
        </w:tc>
        <w:tc>
          <w:tcPr>
            <w:tcW w:w="1915" w:type="dxa"/>
            <w:tcBorders>
              <w:top w:val="single" w:sz="4" w:space="0" w:color="000000"/>
              <w:left w:val="single" w:sz="4" w:space="0" w:color="000000"/>
              <w:bottom w:val="single" w:sz="4" w:space="0" w:color="000000"/>
              <w:right w:val="single" w:sz="4" w:space="0" w:color="000000"/>
            </w:tcBorders>
          </w:tcPr>
          <w:p>
            <w:pP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2"/>
              <w:jc w:val="right"/>
              <w:rPr>
                <w:rFonts w:ascii="Times New Roman" w:hAnsi="Times New Roman" w:cs="Times New Roman" w:eastAsia="Times New Roman" w:hint="default"/>
                <w:sz w:val="21"/>
                <w:szCs w:val="21"/>
              </w:rPr>
            </w:pPr>
            <w:r>
              <w:rPr>
                <w:rFonts w:ascii="Times New Roman"/>
                <w:spacing w:val="-1"/>
                <w:sz w:val="21"/>
              </w:rPr>
              <w:t>-3,312,674.45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2"/>
              <w:jc w:val="right"/>
              <w:rPr>
                <w:rFonts w:ascii="Times New Roman" w:hAnsi="Times New Roman" w:cs="Times New Roman" w:eastAsia="Times New Roman" w:hint="default"/>
                <w:sz w:val="21"/>
                <w:szCs w:val="21"/>
              </w:rPr>
            </w:pPr>
            <w:r>
              <w:rPr>
                <w:rFonts w:ascii="Times New Roman"/>
                <w:spacing w:val="-1"/>
                <w:sz w:val="21"/>
              </w:rPr>
              <w:t>-7,455,367.56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3"/>
              <w:jc w:val="right"/>
              <w:rPr>
                <w:rFonts w:ascii="Times New Roman" w:hAnsi="Times New Roman" w:cs="Times New Roman" w:eastAsia="Times New Roman" w:hint="default"/>
                <w:sz w:val="21"/>
                <w:szCs w:val="21"/>
              </w:rPr>
            </w:pPr>
            <w:r>
              <w:rPr>
                <w:rFonts w:ascii="Times New Roman"/>
                <w:sz w:val="21"/>
              </w:rPr>
              <w:t>55.57%</w:t>
            </w:r>
          </w:p>
        </w:tc>
      </w:tr>
    </w:tbl>
    <w:p>
      <w:pPr>
        <w:pStyle w:val="BodyText"/>
        <w:spacing w:line="257" w:lineRule="exact"/>
        <w:ind w:right="0"/>
        <w:jc w:val="left"/>
      </w:pPr>
      <w:r>
        <w:rPr/>
        <w:t>相关数据同比发生变动</w:t>
      </w:r>
      <w:r>
        <w:rPr>
          <w:spacing w:val="-51"/>
        </w:rPr>
        <w:t> </w:t>
      </w:r>
      <w:r>
        <w:rPr>
          <w:rFonts w:ascii="Times New Roman" w:hAnsi="Times New Roman" w:cs="Times New Roman" w:eastAsia="Times New Roman" w:hint="default"/>
        </w:rPr>
        <w:t>30%</w:t>
      </w:r>
      <w:r>
        <w:rPr/>
        <w:t>以上的原因说明</w:t>
      </w:r>
    </w:p>
    <w:p>
      <w:pPr>
        <w:pStyle w:val="BodyText"/>
        <w:spacing w:line="336" w:lineRule="auto" w:before="117"/>
        <w:ind w:right="746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t>不适用</w:t>
      </w:r>
      <w:r>
        <w:rPr>
          <w:spacing w:val="-102"/>
        </w:rPr>
        <w:t> </w:t>
      </w:r>
      <w:r>
        <w:rPr>
          <w:spacing w:val="-1"/>
        </w:rPr>
        <w:t>公司重大的在手订单情况</w:t>
      </w:r>
    </w:p>
    <w:p>
      <w:pPr>
        <w:pStyle w:val="BodyText"/>
        <w:spacing w:line="336" w:lineRule="auto" w:before="49"/>
        <w:ind w:right="372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t>不适用</w:t>
      </w:r>
      <w:r>
        <w:rPr>
          <w:spacing w:val="-102"/>
        </w:rPr>
        <w:t> </w:t>
      </w:r>
      <w:r>
        <w:rPr>
          <w:spacing w:val="-2"/>
        </w:rPr>
        <w:t>公司报告期内产品或服务发生重大变化或调整有关情况</w:t>
      </w:r>
    </w:p>
    <w:p>
      <w:pPr>
        <w:pStyle w:val="BodyText"/>
        <w:spacing w:line="336" w:lineRule="auto" w:before="54"/>
        <w:ind w:right="7678"/>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t>不适用</w:t>
      </w:r>
      <w:r>
        <w:rPr>
          <w:spacing w:val="-102"/>
        </w:rPr>
        <w:t> </w:t>
      </w:r>
      <w:r>
        <w:rPr>
          <w:spacing w:val="-1"/>
        </w:rPr>
        <w:t>公司主要销售客户情况</w:t>
      </w:r>
    </w:p>
    <w:p>
      <w:pPr>
        <w:spacing w:line="240" w:lineRule="auto" w:before="5"/>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4670"/>
        <w:gridCol w:w="4882"/>
      </w:tblGrid>
      <w:tr>
        <w:trPr>
          <w:trHeight w:val="513" w:hRule="exact"/>
        </w:trPr>
        <w:tc>
          <w:tcPr>
            <w:tcW w:w="46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6"/>
              <w:ind w:left="24" w:right="0"/>
              <w:jc w:val="left"/>
              <w:rPr>
                <w:rFonts w:ascii="宋体" w:hAnsi="宋体" w:cs="宋体" w:eastAsia="宋体" w:hint="default"/>
                <w:sz w:val="21"/>
                <w:szCs w:val="21"/>
              </w:rPr>
            </w:pPr>
            <w:r>
              <w:rPr>
                <w:rFonts w:ascii="宋体" w:hAnsi="宋体" w:cs="宋体" w:eastAsia="宋体" w:hint="default"/>
                <w:sz w:val="21"/>
                <w:szCs w:val="21"/>
              </w:rPr>
              <w:t>前五名客户合计销售金额（元）</w:t>
            </w:r>
          </w:p>
        </w:tc>
        <w:tc>
          <w:tcPr>
            <w:tcW w:w="4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22"/>
              <w:jc w:val="right"/>
              <w:rPr>
                <w:rFonts w:ascii="Times New Roman" w:hAnsi="Times New Roman" w:cs="Times New Roman" w:eastAsia="Times New Roman" w:hint="default"/>
                <w:sz w:val="21"/>
                <w:szCs w:val="21"/>
              </w:rPr>
            </w:pPr>
            <w:r>
              <w:rPr>
                <w:rFonts w:ascii="Times New Roman"/>
                <w:spacing w:val="-1"/>
                <w:sz w:val="21"/>
              </w:rPr>
              <w:t>343,183,095.28</w:t>
            </w:r>
          </w:p>
        </w:tc>
      </w:tr>
      <w:tr>
        <w:trPr>
          <w:trHeight w:val="514" w:hRule="exact"/>
        </w:trPr>
        <w:tc>
          <w:tcPr>
            <w:tcW w:w="4670" w:type="dxa"/>
            <w:tcBorders>
              <w:top w:val="single" w:sz="4" w:space="0" w:color="000000"/>
              <w:left w:val="single" w:sz="4" w:space="0" w:color="000000"/>
              <w:bottom w:val="single" w:sz="4" w:space="0" w:color="000000"/>
              <w:right w:val="single" w:sz="10" w:space="0" w:color="FFFFFF"/>
            </w:tcBorders>
            <w:shd w:val="clear" w:color="auto" w:fill="D2D2D2"/>
          </w:tcPr>
          <w:p>
            <w:pPr>
              <w:pStyle w:val="TableParagraph"/>
              <w:spacing w:line="240" w:lineRule="auto" w:before="76"/>
              <w:ind w:left="24" w:right="0"/>
              <w:jc w:val="left"/>
              <w:rPr>
                <w:rFonts w:ascii="Times New Roman" w:hAnsi="Times New Roman" w:cs="Times New Roman" w:eastAsia="Times New Roman" w:hint="default"/>
                <w:sz w:val="21"/>
                <w:szCs w:val="21"/>
              </w:rPr>
            </w:pPr>
            <w:r>
              <w:rPr>
                <w:rFonts w:ascii="宋体" w:hAnsi="宋体" w:cs="宋体" w:eastAsia="宋体" w:hint="default"/>
                <w:spacing w:val="-5"/>
                <w:sz w:val="21"/>
                <w:szCs w:val="21"/>
              </w:rPr>
              <w:t>前五名客户合计销售金额占年度销售总额比例（</w:t>
            </w:r>
            <w:r>
              <w:rPr>
                <w:rFonts w:ascii="Times New Roman" w:hAnsi="Times New Roman" w:cs="Times New Roman" w:eastAsia="Times New Roman" w:hint="default"/>
                <w:spacing w:val="-5"/>
                <w:sz w:val="21"/>
                <w:szCs w:val="21"/>
              </w:rPr>
              <w:t>%</w:t>
            </w:r>
          </w:p>
        </w:tc>
        <w:tc>
          <w:tcPr>
            <w:tcW w:w="4882" w:type="dxa"/>
            <w:tcBorders>
              <w:top w:val="single" w:sz="4" w:space="0" w:color="000000"/>
              <w:left w:val="single" w:sz="10" w:space="0" w:color="FFFFFF"/>
              <w:bottom w:val="single" w:sz="4" w:space="0" w:color="000000"/>
              <w:right w:val="single" w:sz="4" w:space="0" w:color="000000"/>
            </w:tcBorders>
          </w:tcPr>
          <w:p>
            <w:pPr>
              <w:pStyle w:val="TableParagraph"/>
              <w:tabs>
                <w:tab w:pos="4187" w:val="left" w:leader="none"/>
              </w:tabs>
              <w:spacing w:line="240" w:lineRule="auto" w:before="76"/>
              <w:ind w:left="-142" w:right="23"/>
              <w:jc w:val="right"/>
              <w:rPr>
                <w:rFonts w:ascii="Times New Roman" w:hAnsi="Times New Roman" w:cs="Times New Roman" w:eastAsia="Times New Roman" w:hint="default"/>
                <w:sz w:val="21"/>
                <w:szCs w:val="21"/>
              </w:rPr>
            </w:pPr>
            <w:r>
              <w:rPr>
                <w:rFonts w:ascii="宋体" w:hAnsi="宋体" w:cs="宋体" w:eastAsia="宋体" w:hint="default"/>
                <w:sz w:val="21"/>
                <w:szCs w:val="21"/>
              </w:rPr>
              <w:t>）</w:t>
              <w:tab/>
            </w:r>
            <w:r>
              <w:rPr>
                <w:rFonts w:ascii="Times New Roman" w:hAnsi="Times New Roman" w:cs="Times New Roman" w:eastAsia="Times New Roman" w:hint="default"/>
                <w:sz w:val="21"/>
                <w:szCs w:val="21"/>
              </w:rPr>
              <w:t>39.86%</w:t>
            </w:r>
          </w:p>
        </w:tc>
      </w:tr>
    </w:tbl>
    <w:p>
      <w:pPr>
        <w:pStyle w:val="BodyText"/>
        <w:spacing w:line="257" w:lineRule="exact"/>
        <w:ind w:right="0"/>
        <w:jc w:val="left"/>
      </w:pPr>
      <w:r>
        <w:rPr/>
        <w:pict>
          <v:group style="position:absolute;margin-left:291.600006pt;margin-top:-19.200001pt;width:241.45pt;height:12pt;mso-position-horizontal-relative:page;mso-position-vertical-relative:paragraph;z-index:-1000216" coordorigin="5832,-384" coordsize="4829,240">
            <v:shape style="position:absolute;left:5832;top:-384;width:4829;height:240" coordorigin="5832,-384" coordsize="4829,240" path="m5832,-144l10661,-144,10661,-384,5832,-384,5832,-144xe" filled="true" fillcolor="#ffffff" stroked="false">
              <v:path arrowok="t"/>
              <v:fill type="solid"/>
            </v:shape>
            <w10:wrap type="none"/>
          </v:group>
        </w:pict>
      </w:r>
      <w:r>
        <w:rPr/>
        <w:t>公司前</w:t>
      </w:r>
      <w:r>
        <w:rPr>
          <w:spacing w:val="-51"/>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大客户资料</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240" w:lineRule="auto" w:before="8"/>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802"/>
        <w:gridCol w:w="3302"/>
        <w:gridCol w:w="2323"/>
        <w:gridCol w:w="3139"/>
      </w:tblGrid>
      <w:tr>
        <w:trPr>
          <w:trHeight w:val="331"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序号</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0" w:lineRule="exact"/>
              <w:ind w:left="523" w:right="0"/>
              <w:jc w:val="left"/>
              <w:rPr>
                <w:rFonts w:ascii="宋体" w:hAnsi="宋体" w:cs="宋体" w:eastAsia="宋体" w:hint="default"/>
                <w:sz w:val="21"/>
                <w:szCs w:val="21"/>
              </w:rPr>
            </w:pPr>
            <w:r>
              <w:rPr>
                <w:rFonts w:ascii="宋体" w:hAnsi="宋体" w:cs="宋体" w:eastAsia="宋体" w:hint="default"/>
                <w:sz w:val="21"/>
                <w:szCs w:val="21"/>
              </w:rPr>
              <w:t>销售额（元）</w:t>
            </w:r>
          </w:p>
        </w:tc>
        <w:tc>
          <w:tcPr>
            <w:tcW w:w="31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5" w:lineRule="exact"/>
              <w:ind w:left="316" w:right="0"/>
              <w:jc w:val="left"/>
              <w:rPr>
                <w:rFonts w:ascii="宋体" w:hAnsi="宋体" w:cs="宋体" w:eastAsia="宋体" w:hint="default"/>
                <w:sz w:val="21"/>
                <w:szCs w:val="21"/>
              </w:rPr>
            </w:pPr>
            <w:r>
              <w:rPr>
                <w:rFonts w:ascii="宋体" w:hAnsi="宋体" w:cs="宋体" w:eastAsia="宋体" w:hint="default"/>
                <w:sz w:val="21"/>
                <w:szCs w:val="21"/>
              </w:rPr>
              <w:t>占年度销售总额比例（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26"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right="2"/>
              <w:jc w:val="center"/>
              <w:rPr>
                <w:rFonts w:ascii="Times New Roman" w:hAnsi="Times New Roman" w:cs="Times New Roman" w:eastAsia="Times New Roman" w:hint="default"/>
                <w:sz w:val="21"/>
                <w:szCs w:val="21"/>
              </w:rPr>
            </w:pPr>
            <w:r>
              <w:rPr>
                <w:rFonts w:ascii="Times New Roman"/>
                <w:w w:val="100"/>
                <w:sz w:val="21"/>
              </w:rPr>
              <w:t>1</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3" w:right="0"/>
              <w:jc w:val="left"/>
              <w:rPr>
                <w:rFonts w:ascii="宋体" w:hAnsi="宋体" w:cs="宋体" w:eastAsia="宋体" w:hint="default"/>
                <w:sz w:val="21"/>
                <w:szCs w:val="21"/>
              </w:rPr>
            </w:pPr>
            <w:r>
              <w:rPr>
                <w:rFonts w:ascii="宋体" w:hAnsi="宋体" w:cs="宋体" w:eastAsia="宋体" w:hint="default"/>
                <w:sz w:val="21"/>
                <w:szCs w:val="21"/>
              </w:rPr>
              <w:t>深圳市富锦昌贸易有限公司</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Times New Roman" w:hAnsi="Times New Roman" w:cs="Times New Roman" w:eastAsia="Times New Roman" w:hint="default"/>
                <w:sz w:val="21"/>
                <w:szCs w:val="21"/>
              </w:rPr>
            </w:pPr>
            <w:r>
              <w:rPr>
                <w:rFonts w:ascii="Times New Roman"/>
                <w:spacing w:val="-1"/>
                <w:sz w:val="21"/>
              </w:rPr>
              <w:t>151,005,980.00</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3"/>
              <w:jc w:val="right"/>
              <w:rPr>
                <w:rFonts w:ascii="Times New Roman" w:hAnsi="Times New Roman" w:cs="Times New Roman" w:eastAsia="Times New Roman" w:hint="default"/>
                <w:sz w:val="21"/>
                <w:szCs w:val="21"/>
              </w:rPr>
            </w:pPr>
            <w:r>
              <w:rPr>
                <w:rFonts w:ascii="Times New Roman"/>
                <w:sz w:val="21"/>
              </w:rPr>
              <w:t>17.54%</w:t>
            </w:r>
          </w:p>
        </w:tc>
      </w:tr>
      <w:tr>
        <w:trPr>
          <w:trHeight w:val="336"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right="2"/>
              <w:jc w:val="center"/>
              <w:rPr>
                <w:rFonts w:ascii="Times New Roman" w:hAnsi="Times New Roman" w:cs="Times New Roman" w:eastAsia="Times New Roman" w:hint="default"/>
                <w:sz w:val="21"/>
                <w:szCs w:val="21"/>
              </w:rPr>
            </w:pPr>
            <w:r>
              <w:rPr>
                <w:rFonts w:ascii="Times New Roman"/>
                <w:w w:val="100"/>
                <w:sz w:val="21"/>
              </w:rPr>
              <w:t>2</w:t>
            </w:r>
          </w:p>
        </w:tc>
        <w:tc>
          <w:tcPr>
            <w:tcW w:w="3302" w:type="dxa"/>
            <w:tcBorders>
              <w:top w:val="single" w:sz="4" w:space="0" w:color="000000"/>
              <w:left w:val="single" w:sz="8" w:space="0" w:color="D2D2D2"/>
              <w:bottom w:val="single" w:sz="4" w:space="0" w:color="000000"/>
              <w:right w:val="single" w:sz="4" w:space="0" w:color="000000"/>
            </w:tcBorders>
          </w:tcPr>
          <w:p>
            <w:pPr>
              <w:pStyle w:val="TableParagraph"/>
              <w:spacing w:line="260" w:lineRule="exact"/>
              <w:ind w:left="19" w:right="0"/>
              <w:jc w:val="left"/>
              <w:rPr>
                <w:rFonts w:ascii="宋体" w:hAnsi="宋体" w:cs="宋体" w:eastAsia="宋体" w:hint="default"/>
                <w:sz w:val="21"/>
                <w:szCs w:val="21"/>
              </w:rPr>
            </w:pPr>
            <w:r>
              <w:rPr>
                <w:rFonts w:ascii="宋体" w:hAnsi="宋体" w:cs="宋体" w:eastAsia="宋体" w:hint="default"/>
                <w:sz w:val="21"/>
                <w:szCs w:val="21"/>
              </w:rPr>
              <w:t>深圳市恒信奥特投资发展有限公司</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108,312,932.28</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z w:val="21"/>
              </w:rPr>
              <w:t>12.58%</w:t>
            </w:r>
          </w:p>
        </w:tc>
      </w:tr>
      <w:tr>
        <w:trPr>
          <w:trHeight w:val="336"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right="2"/>
              <w:jc w:val="center"/>
              <w:rPr>
                <w:rFonts w:ascii="Times New Roman" w:hAnsi="Times New Roman" w:cs="Times New Roman" w:eastAsia="Times New Roman" w:hint="default"/>
                <w:sz w:val="21"/>
                <w:szCs w:val="21"/>
              </w:rPr>
            </w:pPr>
            <w:r>
              <w:rPr>
                <w:rFonts w:ascii="Times New Roman"/>
                <w:w w:val="100"/>
                <w:sz w:val="21"/>
              </w:rPr>
              <w:t>3</w:t>
            </w:r>
          </w:p>
        </w:tc>
        <w:tc>
          <w:tcPr>
            <w:tcW w:w="3302" w:type="dxa"/>
            <w:tcBorders>
              <w:top w:val="single" w:sz="4" w:space="0" w:color="000000"/>
              <w:left w:val="single" w:sz="8" w:space="0" w:color="D2D2D2"/>
              <w:bottom w:val="single" w:sz="4" w:space="0" w:color="000000"/>
              <w:right w:val="single" w:sz="4" w:space="0" w:color="000000"/>
            </w:tcBorders>
          </w:tcPr>
          <w:p>
            <w:pPr>
              <w:pStyle w:val="TableParagraph"/>
              <w:spacing w:line="260" w:lineRule="exact"/>
              <w:ind w:left="19" w:right="0"/>
              <w:jc w:val="left"/>
              <w:rPr>
                <w:rFonts w:ascii="宋体" w:hAnsi="宋体" w:cs="宋体" w:eastAsia="宋体" w:hint="default"/>
                <w:sz w:val="21"/>
                <w:szCs w:val="21"/>
              </w:rPr>
            </w:pPr>
            <w:r>
              <w:rPr>
                <w:rFonts w:ascii="宋体" w:hAnsi="宋体" w:cs="宋体" w:eastAsia="宋体" w:hint="default"/>
                <w:sz w:val="21"/>
                <w:szCs w:val="21"/>
              </w:rPr>
              <w:t>厦门市恒信网元通信技术有限公司</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35,524,480.00</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z w:val="21"/>
              </w:rPr>
              <w:t>4.13%</w:t>
            </w:r>
          </w:p>
        </w:tc>
      </w:tr>
      <w:tr>
        <w:trPr>
          <w:trHeight w:val="341"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right="2"/>
              <w:jc w:val="center"/>
              <w:rPr>
                <w:rFonts w:ascii="Times New Roman" w:hAnsi="Times New Roman" w:cs="Times New Roman" w:eastAsia="Times New Roman" w:hint="default"/>
                <w:sz w:val="21"/>
                <w:szCs w:val="21"/>
              </w:rPr>
            </w:pPr>
            <w:r>
              <w:rPr>
                <w:rFonts w:ascii="Times New Roman"/>
                <w:w w:val="100"/>
                <w:sz w:val="21"/>
              </w:rPr>
              <w:t>4</w:t>
            </w:r>
          </w:p>
        </w:tc>
        <w:tc>
          <w:tcPr>
            <w:tcW w:w="3302" w:type="dxa"/>
            <w:tcBorders>
              <w:top w:val="single" w:sz="4" w:space="0" w:color="000000"/>
              <w:left w:val="single" w:sz="8" w:space="0" w:color="D2D2D2"/>
              <w:bottom w:val="single" w:sz="4" w:space="0" w:color="000000"/>
              <w:right w:val="single" w:sz="4" w:space="0" w:color="000000"/>
            </w:tcBorders>
          </w:tcPr>
          <w:p>
            <w:pPr>
              <w:pStyle w:val="TableParagraph"/>
              <w:spacing w:line="260" w:lineRule="exact"/>
              <w:ind w:left="19" w:right="0"/>
              <w:jc w:val="left"/>
              <w:rPr>
                <w:rFonts w:ascii="宋体" w:hAnsi="宋体" w:cs="宋体" w:eastAsia="宋体" w:hint="default"/>
                <w:sz w:val="21"/>
                <w:szCs w:val="21"/>
              </w:rPr>
            </w:pPr>
            <w:r>
              <w:rPr>
                <w:rFonts w:ascii="宋体" w:hAnsi="宋体" w:cs="宋体" w:eastAsia="宋体" w:hint="default"/>
                <w:sz w:val="21"/>
                <w:szCs w:val="21"/>
              </w:rPr>
              <w:t>自然人（购房款）</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31,500,000.00</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z w:val="21"/>
              </w:rPr>
              <w:t>3.66%</w:t>
            </w:r>
          </w:p>
        </w:tc>
      </w:tr>
      <w:tr>
        <w:trPr>
          <w:trHeight w:val="336"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right="2"/>
              <w:jc w:val="center"/>
              <w:rPr>
                <w:rFonts w:ascii="Times New Roman" w:hAnsi="Times New Roman" w:cs="Times New Roman" w:eastAsia="Times New Roman" w:hint="default"/>
                <w:sz w:val="21"/>
                <w:szCs w:val="21"/>
              </w:rPr>
            </w:pPr>
            <w:r>
              <w:rPr>
                <w:rFonts w:ascii="Times New Roman"/>
                <w:w w:val="100"/>
                <w:sz w:val="21"/>
              </w:rPr>
              <w:t>5</w:t>
            </w:r>
          </w:p>
        </w:tc>
        <w:tc>
          <w:tcPr>
            <w:tcW w:w="3302" w:type="dxa"/>
            <w:tcBorders>
              <w:top w:val="single" w:sz="4" w:space="0" w:color="000000"/>
              <w:left w:val="single" w:sz="8" w:space="0" w:color="D2D2D2"/>
              <w:bottom w:val="single" w:sz="21" w:space="0" w:color="D2D2D2"/>
              <w:right w:val="single" w:sz="4" w:space="0" w:color="000000"/>
            </w:tcBorders>
          </w:tcPr>
          <w:p>
            <w:pPr>
              <w:pStyle w:val="TableParagraph"/>
              <w:spacing w:line="260" w:lineRule="exact"/>
              <w:ind w:left="19" w:right="0"/>
              <w:jc w:val="left"/>
              <w:rPr>
                <w:rFonts w:ascii="宋体" w:hAnsi="宋体" w:cs="宋体" w:eastAsia="宋体" w:hint="default"/>
                <w:sz w:val="21"/>
                <w:szCs w:val="21"/>
              </w:rPr>
            </w:pPr>
            <w:r>
              <w:rPr>
                <w:rFonts w:ascii="宋体" w:hAnsi="宋体" w:cs="宋体" w:eastAsia="宋体" w:hint="default"/>
                <w:sz w:val="21"/>
                <w:szCs w:val="21"/>
              </w:rPr>
              <w:t>自然人（购房款）</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16,839,703.00</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z w:val="21"/>
              </w:rPr>
              <w:t>1.95%</w:t>
            </w:r>
          </w:p>
        </w:tc>
      </w:tr>
      <w:tr>
        <w:trPr>
          <w:trHeight w:val="336"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合计</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232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343,183,095.28</w:t>
            </w:r>
          </w:p>
        </w:tc>
        <w:tc>
          <w:tcPr>
            <w:tcW w:w="31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z w:val="21"/>
              </w:rPr>
              <w:t>39.86%</w:t>
            </w:r>
          </w:p>
        </w:tc>
      </w:tr>
    </w:tbl>
    <w:p>
      <w:pPr>
        <w:spacing w:line="240" w:lineRule="auto" w:before="0"/>
        <w:rPr>
          <w:rFonts w:ascii="宋体" w:hAnsi="宋体" w:cs="宋体" w:eastAsia="宋体" w:hint="default"/>
          <w:sz w:val="17"/>
          <w:szCs w:val="17"/>
        </w:rPr>
      </w:pPr>
    </w:p>
    <w:p>
      <w:pPr>
        <w:pStyle w:val="Heading6"/>
        <w:spacing w:line="335" w:lineRule="exact"/>
        <w:ind w:left="152" w:right="0"/>
        <w:jc w:val="left"/>
        <w:rPr>
          <w:b w:val="0"/>
          <w:bCs w:val="0"/>
        </w:rPr>
      </w:pPr>
      <w:r>
        <w:rPr>
          <w:rFonts w:ascii="Times New Roman" w:hAnsi="Times New Roman" w:cs="Times New Roman" w:eastAsia="Times New Roman" w:hint="default"/>
        </w:rPr>
        <w:t>3</w:t>
      </w:r>
      <w:r>
        <w:rPr/>
        <w:t>、成本</w:t>
      </w:r>
      <w:r>
        <w:rPr>
          <w:b w:val="0"/>
          <w:bCs w:val="0"/>
        </w:rPr>
      </w:r>
    </w:p>
    <w:p>
      <w:pPr>
        <w:spacing w:line="240" w:lineRule="auto" w:before="15"/>
        <w:rPr>
          <w:rFonts w:ascii="Microsoft JhengHei" w:hAnsi="Microsoft JhengHei" w:cs="Microsoft JhengHei" w:eastAsia="Microsoft JhengHei" w:hint="default"/>
          <w:b/>
          <w:bCs/>
          <w:sz w:val="13"/>
          <w:szCs w:val="13"/>
        </w:rPr>
      </w:pPr>
    </w:p>
    <w:p>
      <w:pPr>
        <w:pStyle w:val="BodyText"/>
        <w:spacing w:line="274" w:lineRule="exact" w:before="36"/>
        <w:ind w:right="0"/>
        <w:jc w:val="left"/>
      </w:pPr>
      <w:r>
        <w:rPr/>
        <w:t>行业分类</w:t>
      </w:r>
    </w:p>
    <w:p>
      <w:pPr>
        <w:pStyle w:val="BodyText"/>
        <w:spacing w:line="274" w:lineRule="exact"/>
        <w:ind w:left="0" w:right="146"/>
        <w:jc w:val="right"/>
      </w:pPr>
      <w:r>
        <w:rPr/>
        <w:t>单位：元</w:t>
      </w:r>
    </w:p>
    <w:p>
      <w:pPr>
        <w:spacing w:line="240" w:lineRule="auto" w:before="9"/>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368"/>
        <w:gridCol w:w="1186"/>
        <w:gridCol w:w="1550"/>
        <w:gridCol w:w="1368"/>
        <w:gridCol w:w="1474"/>
        <w:gridCol w:w="1258"/>
        <w:gridCol w:w="1368"/>
      </w:tblGrid>
      <w:tr>
        <w:trPr>
          <w:trHeight w:val="310"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59"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1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7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91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9" w:lineRule="exact"/>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7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9" w:lineRule="exact"/>
              <w:ind w:right="7"/>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9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同比增减</w:t>
            </w:r>
            <w:r>
              <w:rPr>
                <w:rFonts w:ascii="Times New Roman" w:hAnsi="Times New Roman" w:cs="Times New Roman" w:eastAsia="Times New Roman" w:hint="default"/>
                <w:sz w:val="21"/>
                <w:szCs w:val="21"/>
              </w:rPr>
              <w:t>(%)</w:t>
            </w:r>
          </w:p>
        </w:tc>
      </w:tr>
      <w:tr>
        <w:trPr>
          <w:trHeight w:val="62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186" w:type="dxa"/>
            <w:vMerge/>
            <w:tcBorders>
              <w:left w:val="single" w:sz="4" w:space="0" w:color="000000"/>
              <w:bottom w:val="single" w:sz="4" w:space="0" w:color="000000"/>
              <w:right w:val="single" w:sz="4" w:space="0" w:color="000000"/>
            </w:tcBorders>
            <w:shd w:val="clear" w:color="auto" w:fill="D2D2D2"/>
          </w:tcPr>
          <w:p>
            <w:pPr/>
          </w:p>
        </w:tc>
        <w:tc>
          <w:tcPr>
            <w:tcW w:w="15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8" w:lineRule="exact" w:before="25"/>
              <w:ind w:left="273" w:right="46" w:hanging="226"/>
              <w:jc w:val="left"/>
              <w:rPr>
                <w:rFonts w:ascii="宋体" w:hAnsi="宋体" w:cs="宋体" w:eastAsia="宋体" w:hint="default"/>
                <w:sz w:val="21"/>
                <w:szCs w:val="21"/>
              </w:rPr>
            </w:pPr>
            <w:r>
              <w:rPr>
                <w:rFonts w:ascii="宋体" w:hAnsi="宋体" w:cs="宋体" w:eastAsia="宋体" w:hint="default"/>
                <w:sz w:val="21"/>
                <w:szCs w:val="21"/>
              </w:rPr>
              <w:t>占营业成本比</w:t>
            </w:r>
            <w:r>
              <w:rPr>
                <w:rFonts w:ascii="宋体" w:hAnsi="宋体" w:cs="宋体" w:eastAsia="宋体" w:hint="default"/>
                <w:w w:val="100"/>
                <w:sz w:val="21"/>
                <w:szCs w:val="21"/>
              </w:rPr>
              <w:t> </w:t>
            </w:r>
            <w:r>
              <w:rPr>
                <w:rFonts w:ascii="宋体" w:hAnsi="宋体" w:cs="宋体" w:eastAsia="宋体" w:hint="default"/>
                <w:sz w:val="21"/>
                <w:szCs w:val="21"/>
              </w:rPr>
              <w:t>重（</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4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8" w:lineRule="exact" w:before="25"/>
              <w:ind w:left="115" w:right="94" w:hanging="20"/>
              <w:jc w:val="left"/>
              <w:rPr>
                <w:rFonts w:ascii="宋体" w:hAnsi="宋体" w:cs="宋体" w:eastAsia="宋体" w:hint="default"/>
                <w:sz w:val="21"/>
                <w:szCs w:val="21"/>
              </w:rPr>
            </w:pPr>
            <w:r>
              <w:rPr>
                <w:rFonts w:ascii="宋体" w:hAnsi="宋体" w:cs="宋体" w:eastAsia="宋体" w:hint="default"/>
                <w:sz w:val="21"/>
                <w:szCs w:val="21"/>
              </w:rPr>
              <w:t>占营业成本</w:t>
            </w:r>
            <w:r>
              <w:rPr>
                <w:rFonts w:ascii="宋体" w:hAnsi="宋体" w:cs="宋体" w:eastAsia="宋体" w:hint="default"/>
                <w:spacing w:val="-100"/>
                <w:sz w:val="21"/>
                <w:szCs w:val="21"/>
              </w:rPr>
              <w:t> </w:t>
            </w:r>
            <w:r>
              <w:rPr>
                <w:rFonts w:ascii="宋体" w:hAnsi="宋体" w:cs="宋体" w:eastAsia="宋体" w:hint="default"/>
                <w:sz w:val="21"/>
                <w:szCs w:val="21"/>
              </w:rPr>
              <w:t>比重（</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368"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00" w:h="16840"/>
          <w:pgMar w:header="872" w:footer="957" w:top="1120" w:bottom="1180" w:left="980" w:right="98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368"/>
        <w:gridCol w:w="1186"/>
        <w:gridCol w:w="1550"/>
        <w:gridCol w:w="1368"/>
        <w:gridCol w:w="1474"/>
        <w:gridCol w:w="1258"/>
        <w:gridCol w:w="1368"/>
      </w:tblGrid>
      <w:tr>
        <w:trPr>
          <w:trHeight w:val="307"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4" w:right="0"/>
              <w:jc w:val="left"/>
              <w:rPr>
                <w:rFonts w:ascii="宋体" w:hAnsi="宋体" w:cs="宋体" w:eastAsia="宋体" w:hint="default"/>
                <w:sz w:val="21"/>
                <w:szCs w:val="21"/>
              </w:rPr>
            </w:pPr>
            <w:r>
              <w:rPr>
                <w:rFonts w:ascii="宋体" w:hAnsi="宋体" w:cs="宋体" w:eastAsia="宋体" w:hint="default"/>
                <w:sz w:val="21"/>
                <w:szCs w:val="21"/>
              </w:rPr>
              <w:t>房地产销售</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Times New Roman" w:hAnsi="Times New Roman" w:cs="Times New Roman" w:eastAsia="Times New Roman" w:hint="default"/>
                <w:sz w:val="21"/>
                <w:szCs w:val="21"/>
              </w:rPr>
            </w:pPr>
            <w:r>
              <w:rPr>
                <w:rFonts w:ascii="Times New Roman"/>
                <w:spacing w:val="-1"/>
                <w:sz w:val="21"/>
              </w:rPr>
              <w:t>331,748,944.57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86.86%</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Times New Roman" w:hAnsi="Times New Roman" w:cs="Times New Roman" w:eastAsia="Times New Roman" w:hint="default"/>
                <w:sz w:val="21"/>
                <w:szCs w:val="21"/>
              </w:rPr>
            </w:pPr>
            <w:r>
              <w:rPr>
                <w:rFonts w:ascii="Times New Roman"/>
                <w:spacing w:val="-1"/>
                <w:sz w:val="21"/>
              </w:rPr>
              <w:t>490,576,170.60</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90.63%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pacing w:val="-1"/>
                <w:sz w:val="21"/>
              </w:rPr>
              <w:t>-32.38%</w:t>
            </w:r>
          </w:p>
        </w:tc>
      </w:tr>
      <w:tr>
        <w:trPr>
          <w:trHeight w:val="29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房地产租赁</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sz w:val="21"/>
              </w:rPr>
              <w:t>14,366,044.35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3.76%</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sz w:val="21"/>
              </w:rPr>
              <w:t>12,631,356.94</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2.33%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13.73%</w:t>
            </w:r>
          </w:p>
        </w:tc>
      </w:tr>
      <w:tr>
        <w:trPr>
          <w:trHeight w:val="307"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4" w:right="0"/>
              <w:jc w:val="left"/>
              <w:rPr>
                <w:rFonts w:ascii="宋体" w:hAnsi="宋体" w:cs="宋体" w:eastAsia="宋体" w:hint="default"/>
                <w:sz w:val="21"/>
                <w:szCs w:val="21"/>
              </w:rPr>
            </w:pPr>
            <w:r>
              <w:rPr>
                <w:rFonts w:ascii="宋体" w:hAnsi="宋体" w:cs="宋体" w:eastAsia="宋体" w:hint="default"/>
                <w:sz w:val="21"/>
                <w:szCs w:val="21"/>
              </w:rPr>
              <w:t>物业管理</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Times New Roman" w:hAnsi="Times New Roman" w:cs="Times New Roman" w:eastAsia="Times New Roman" w:hint="default"/>
                <w:sz w:val="21"/>
                <w:szCs w:val="21"/>
              </w:rPr>
            </w:pPr>
            <w:r>
              <w:rPr>
                <w:rFonts w:ascii="Times New Roman"/>
                <w:sz w:val="21"/>
              </w:rPr>
              <w:t>37,708,376.26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9.87%</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Times New Roman" w:hAnsi="Times New Roman" w:cs="Times New Roman" w:eastAsia="Times New Roman" w:hint="default"/>
                <w:sz w:val="21"/>
                <w:szCs w:val="21"/>
              </w:rPr>
            </w:pPr>
            <w:r>
              <w:rPr>
                <w:rFonts w:ascii="Times New Roman"/>
                <w:sz w:val="21"/>
              </w:rPr>
              <w:t>35,634,552.65</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6.58%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5.82%</w:t>
            </w:r>
          </w:p>
        </w:tc>
      </w:tr>
      <w:tr>
        <w:trPr>
          <w:trHeight w:val="29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sz w:val="21"/>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spacing w:val="-1"/>
                <w:sz w:val="21"/>
              </w:rPr>
              <w:t>8,311,051.16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1.54%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-100%</w:t>
            </w:r>
          </w:p>
        </w:tc>
      </w:tr>
      <w:tr>
        <w:trPr>
          <w:trHeight w:val="307"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4" w:right="0"/>
              <w:jc w:val="left"/>
              <w:rPr>
                <w:rFonts w:ascii="宋体" w:hAnsi="宋体" w:cs="宋体" w:eastAsia="宋体" w:hint="default"/>
                <w:sz w:val="21"/>
                <w:szCs w:val="21"/>
              </w:rPr>
            </w:pPr>
            <w:r>
              <w:rPr>
                <w:rFonts w:ascii="宋体" w:hAnsi="宋体" w:cs="宋体" w:eastAsia="宋体" w:hint="default"/>
                <w:sz w:val="21"/>
                <w:szCs w:val="21"/>
              </w:rPr>
              <w:t>业务间抵销</w:t>
            </w:r>
          </w:p>
        </w:tc>
        <w:tc>
          <w:tcPr>
            <w:tcW w:w="1186" w:type="dxa"/>
            <w:tcBorders>
              <w:top w:val="single" w:sz="4" w:space="0" w:color="000000"/>
              <w:left w:val="single" w:sz="4" w:space="0" w:color="000000"/>
              <w:bottom w:val="single" w:sz="4" w:space="0" w:color="000000"/>
              <w:right w:val="single" w:sz="4" w:space="0" w:color="000000"/>
            </w:tcBorders>
          </w:tcPr>
          <w:p>
            <w:pP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Times New Roman" w:hAnsi="Times New Roman" w:cs="Times New Roman" w:eastAsia="Times New Roman" w:hint="default"/>
                <w:sz w:val="21"/>
                <w:szCs w:val="21"/>
              </w:rPr>
            </w:pPr>
            <w:r>
              <w:rPr>
                <w:rFonts w:ascii="Times New Roman"/>
                <w:spacing w:val="-1"/>
                <w:sz w:val="21"/>
              </w:rPr>
              <w:t>-1,902,064.70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-0.5%</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Times New Roman" w:hAnsi="Times New Roman" w:cs="Times New Roman" w:eastAsia="Times New Roman" w:hint="default"/>
                <w:sz w:val="21"/>
                <w:szCs w:val="21"/>
              </w:rPr>
            </w:pPr>
            <w:r>
              <w:rPr>
                <w:rFonts w:ascii="Times New Roman"/>
                <w:spacing w:val="-1"/>
                <w:sz w:val="21"/>
              </w:rPr>
              <w:t>-5,877,910.16</w:t>
            </w:r>
          </w:p>
        </w:tc>
        <w:tc>
          <w:tcPr>
            <w:tcW w:w="1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z w:val="21"/>
              </w:rPr>
              <w:t>-1.09%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Times New Roman" w:hAnsi="Times New Roman" w:cs="Times New Roman" w:eastAsia="Times New Roman" w:hint="default"/>
                <w:sz w:val="21"/>
                <w:szCs w:val="21"/>
              </w:rPr>
            </w:pPr>
            <w:r>
              <w:rPr>
                <w:rFonts w:ascii="Times New Roman"/>
                <w:spacing w:val="-1"/>
                <w:sz w:val="21"/>
              </w:rPr>
              <w:t>-67.64%</w:t>
            </w:r>
          </w:p>
        </w:tc>
      </w:tr>
    </w:tbl>
    <w:p>
      <w:pPr>
        <w:spacing w:line="240" w:lineRule="auto" w:before="0"/>
        <w:rPr>
          <w:rFonts w:ascii="宋体" w:hAnsi="宋体" w:cs="宋体" w:eastAsia="宋体" w:hint="default"/>
          <w:sz w:val="17"/>
          <w:szCs w:val="17"/>
        </w:rPr>
      </w:pPr>
    </w:p>
    <w:p>
      <w:pPr>
        <w:pStyle w:val="Heading6"/>
        <w:spacing w:line="335" w:lineRule="exact"/>
        <w:ind w:left="152" w:right="114"/>
        <w:jc w:val="left"/>
        <w:rPr>
          <w:b w:val="0"/>
          <w:bCs w:val="0"/>
        </w:rPr>
      </w:pPr>
      <w:r>
        <w:rPr>
          <w:rFonts w:ascii="Times New Roman" w:hAnsi="Times New Roman" w:cs="Times New Roman" w:eastAsia="Times New Roman" w:hint="default"/>
        </w:rPr>
        <w:t>4</w:t>
      </w:r>
      <w:r>
        <w:rPr/>
        <w:t>、费用</w:t>
      </w:r>
      <w:r>
        <w:rPr>
          <w:b w:val="0"/>
          <w:bCs w:val="0"/>
        </w:rPr>
      </w:r>
    </w:p>
    <w:p>
      <w:pPr>
        <w:spacing w:line="240" w:lineRule="auto" w:before="4"/>
        <w:rPr>
          <w:rFonts w:ascii="Microsoft JhengHei" w:hAnsi="Microsoft JhengHei" w:cs="Microsoft JhengHei" w:eastAsia="Microsoft JhengHei" w:hint="default"/>
          <w:b/>
          <w:bCs/>
          <w:sz w:val="16"/>
          <w:szCs w:val="16"/>
        </w:rPr>
      </w:pPr>
    </w:p>
    <w:p>
      <w:pPr>
        <w:pStyle w:val="BodyText"/>
        <w:spacing w:line="240" w:lineRule="auto"/>
        <w:ind w:right="0"/>
        <w:jc w:val="left"/>
      </w:pPr>
      <w:r>
        <w:rPr>
          <w:rFonts w:ascii="Times New Roman" w:hAnsi="Times New Roman" w:cs="Times New Roman" w:eastAsia="Times New Roman" w:hint="default"/>
          <w:w w:val="100"/>
        </w:rPr>
        <w:t>1</w:t>
      </w:r>
      <w:r>
        <w:rPr>
          <w:spacing w:val="-15"/>
          <w:w w:val="100"/>
        </w:rPr>
        <w:t>、</w:t>
      </w:r>
      <w:r>
        <w:rPr>
          <w:spacing w:val="-5"/>
          <w:w w:val="100"/>
        </w:rPr>
        <w:t>销</w:t>
      </w:r>
      <w:r>
        <w:rPr>
          <w:w w:val="100"/>
        </w:rPr>
        <w:t>售费用</w:t>
      </w:r>
      <w:r>
        <w:rPr>
          <w:spacing w:val="-5"/>
          <w:w w:val="100"/>
        </w:rPr>
        <w:t>较</w:t>
      </w:r>
      <w:r>
        <w:rPr>
          <w:w w:val="100"/>
        </w:rPr>
        <w:t>上年</w:t>
      </w:r>
      <w:r>
        <w:rPr>
          <w:spacing w:val="-5"/>
          <w:w w:val="100"/>
        </w:rPr>
        <w:t>同</w:t>
      </w:r>
      <w:r>
        <w:rPr>
          <w:w w:val="100"/>
        </w:rPr>
        <w:t>期增加</w:t>
      </w:r>
      <w:r>
        <w:rPr>
          <w:rFonts w:ascii="Times New Roman" w:hAnsi="Times New Roman" w:cs="Times New Roman" w:eastAsia="Times New Roman" w:hint="default"/>
          <w:w w:val="100"/>
        </w:rPr>
        <w:t>236</w:t>
      </w:r>
      <w:r>
        <w:rPr>
          <w:rFonts w:ascii="Times New Roman" w:hAnsi="Times New Roman" w:cs="Times New Roman" w:eastAsia="Times New Roman" w:hint="default"/>
          <w:spacing w:val="-5"/>
          <w:w w:val="100"/>
        </w:rPr>
        <w:t>.</w:t>
      </w:r>
      <w:r>
        <w:rPr>
          <w:rFonts w:ascii="Times New Roman" w:hAnsi="Times New Roman" w:cs="Times New Roman" w:eastAsia="Times New Roman" w:hint="default"/>
          <w:w w:val="100"/>
        </w:rPr>
        <w:t>67</w:t>
      </w:r>
      <w:r>
        <w:rPr>
          <w:rFonts w:ascii="Times New Roman" w:hAnsi="Times New Roman" w:cs="Times New Roman" w:eastAsia="Times New Roman" w:hint="default"/>
          <w:spacing w:val="-4"/>
          <w:w w:val="100"/>
        </w:rPr>
        <w:t>%</w:t>
      </w:r>
      <w:r>
        <w:rPr>
          <w:spacing w:val="-101"/>
          <w:w w:val="100"/>
        </w:rPr>
        <w:t>，</w:t>
      </w:r>
      <w:r>
        <w:rPr>
          <w:w w:val="100"/>
        </w:rPr>
        <w:t>主</w:t>
      </w:r>
      <w:r>
        <w:rPr>
          <w:spacing w:val="-5"/>
          <w:w w:val="100"/>
        </w:rPr>
        <w:t>要</w:t>
      </w:r>
      <w:r>
        <w:rPr>
          <w:w w:val="100"/>
        </w:rPr>
        <w:t>原因为</w:t>
      </w:r>
      <w:r>
        <w:rPr>
          <w:spacing w:val="-5"/>
          <w:w w:val="100"/>
        </w:rPr>
        <w:t>本期</w:t>
      </w:r>
      <w:r>
        <w:rPr>
          <w:rFonts w:ascii="Times New Roman" w:hAnsi="Times New Roman" w:cs="Times New Roman" w:eastAsia="Times New Roman" w:hint="default"/>
          <w:spacing w:val="7"/>
          <w:w w:val="100"/>
        </w:rPr>
        <w:t>“</w:t>
      </w:r>
      <w:r>
        <w:rPr>
          <w:w w:val="100"/>
        </w:rPr>
        <w:t>鸿</w:t>
      </w:r>
      <w:r>
        <w:rPr>
          <w:spacing w:val="-5"/>
          <w:w w:val="100"/>
        </w:rPr>
        <w:t>基</w:t>
      </w:r>
      <w:r>
        <w:rPr>
          <w:w w:val="100"/>
        </w:rPr>
        <w:t>紫韵</w:t>
      </w:r>
      <w:r>
        <w:rPr>
          <w:rFonts w:ascii="Times New Roman" w:hAnsi="Times New Roman" w:cs="Times New Roman" w:eastAsia="Times New Roman" w:hint="default"/>
          <w:spacing w:val="-3"/>
          <w:w w:val="100"/>
        </w:rPr>
        <w:t>”</w:t>
      </w:r>
      <w:r>
        <w:rPr>
          <w:w w:val="100"/>
        </w:rPr>
        <w:t>项目结</w:t>
      </w:r>
      <w:r>
        <w:rPr>
          <w:spacing w:val="-5"/>
          <w:w w:val="100"/>
        </w:rPr>
        <w:t>算</w:t>
      </w:r>
      <w:r>
        <w:rPr>
          <w:w w:val="100"/>
        </w:rPr>
        <w:t>销售</w:t>
      </w:r>
      <w:r>
        <w:rPr>
          <w:spacing w:val="-5"/>
          <w:w w:val="100"/>
        </w:rPr>
        <w:t>佣</w:t>
      </w:r>
      <w:r>
        <w:rPr>
          <w:w w:val="100"/>
        </w:rPr>
        <w:t>金及增</w:t>
      </w:r>
      <w:r>
        <w:rPr>
          <w:spacing w:val="-5"/>
          <w:w w:val="100"/>
        </w:rPr>
        <w:t>加</w:t>
      </w:r>
      <w:r>
        <w:rPr>
          <w:w w:val="100"/>
        </w:rPr>
        <w:t>广告投</w:t>
      </w:r>
      <w:r>
        <w:rPr>
          <w:spacing w:val="-5"/>
          <w:w w:val="100"/>
        </w:rPr>
        <w:t>入</w:t>
      </w:r>
      <w:r>
        <w:rPr>
          <w:w w:val="100"/>
        </w:rPr>
        <w:t>所致。</w:t>
      </w:r>
    </w:p>
    <w:p>
      <w:pPr>
        <w:pStyle w:val="BodyText"/>
        <w:spacing w:line="240" w:lineRule="auto" w:before="117"/>
        <w:ind w:right="114"/>
        <w:jc w:val="left"/>
      </w:pPr>
      <w:r>
        <w:rPr>
          <w:rFonts w:ascii="Times New Roman" w:hAnsi="Times New Roman" w:cs="Times New Roman" w:eastAsia="Times New Roman" w:hint="default"/>
        </w:rPr>
        <w:t>2</w:t>
      </w:r>
      <w:r>
        <w:rPr/>
        <w:t>、</w:t>
      </w:r>
      <w:r>
        <w:rPr>
          <w:spacing w:val="-21"/>
        </w:rPr>
        <w:t> </w:t>
      </w:r>
      <w:r>
        <w:rPr/>
        <w:t>财务费用较上年同期增加</w:t>
      </w:r>
      <w:r>
        <w:rPr>
          <w:rFonts w:ascii="Times New Roman" w:hAnsi="Times New Roman" w:cs="Times New Roman" w:eastAsia="Times New Roman" w:hint="default"/>
        </w:rPr>
        <w:t>368.90%</w:t>
      </w:r>
      <w:r>
        <w:rPr/>
        <w:t>，主要原因为公司新增借款增加利息费用所致。</w:t>
      </w:r>
    </w:p>
    <w:p>
      <w:pPr>
        <w:spacing w:line="240" w:lineRule="auto" w:before="3"/>
        <w:rPr>
          <w:rFonts w:ascii="宋体" w:hAnsi="宋体" w:cs="宋体" w:eastAsia="宋体" w:hint="default"/>
          <w:sz w:val="26"/>
          <w:szCs w:val="26"/>
        </w:rPr>
      </w:pPr>
    </w:p>
    <w:p>
      <w:pPr>
        <w:pStyle w:val="Heading6"/>
        <w:spacing w:line="240" w:lineRule="auto"/>
        <w:ind w:left="152" w:right="114"/>
        <w:jc w:val="left"/>
        <w:rPr>
          <w:b w:val="0"/>
          <w:bCs w:val="0"/>
        </w:rPr>
      </w:pPr>
      <w:r>
        <w:rPr>
          <w:rFonts w:ascii="Times New Roman" w:hAnsi="Times New Roman" w:cs="Times New Roman" w:eastAsia="Times New Roman" w:hint="default"/>
        </w:rPr>
        <w:t>5</w:t>
      </w:r>
      <w:r>
        <w:rPr/>
        <w:t>、现金流</w:t>
      </w:r>
      <w:r>
        <w:rPr>
          <w:b w:val="0"/>
          <w:bCs w:val="0"/>
        </w:rPr>
      </w:r>
    </w:p>
    <w:p>
      <w:pPr>
        <w:spacing w:line="240" w:lineRule="auto" w:before="16"/>
        <w:rPr>
          <w:rFonts w:ascii="Microsoft JhengHei" w:hAnsi="Microsoft JhengHei" w:cs="Microsoft JhengHei" w:eastAsia="Microsoft JhengHei" w:hint="default"/>
          <w:b/>
          <w:bCs/>
          <w:sz w:val="15"/>
          <w:szCs w:val="15"/>
        </w:rPr>
      </w:pPr>
    </w:p>
    <w:p>
      <w:pPr>
        <w:pStyle w:val="BodyText"/>
        <w:spacing w:line="240" w:lineRule="auto"/>
        <w:ind w:left="0" w:right="226"/>
        <w:jc w:val="right"/>
      </w:pPr>
      <w:r>
        <w:rPr/>
        <w:t>单位：元</w:t>
      </w:r>
    </w:p>
    <w:p>
      <w:pPr>
        <w:spacing w:line="240" w:lineRule="auto" w:before="6"/>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288"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7"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7" w:lineRule="exact"/>
              <w:ind w:left="470" w:right="0"/>
              <w:jc w:val="left"/>
              <w:rPr>
                <w:rFonts w:ascii="宋体" w:hAnsi="宋体" w:cs="宋体" w:eastAsia="宋体" w:hint="default"/>
                <w:sz w:val="21"/>
                <w:szCs w:val="21"/>
              </w:rPr>
            </w:pPr>
            <w:r>
              <w:rPr>
                <w:rFonts w:ascii="宋体" w:hAnsi="宋体" w:cs="宋体" w:eastAsia="宋体" w:hint="default"/>
                <w:sz w:val="21"/>
                <w:szCs w:val="21"/>
              </w:rPr>
              <w:t>同比增减（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360"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2395" w:type="dxa"/>
            <w:tcBorders>
              <w:top w:val="single" w:sz="15" w:space="0" w:color="D2D2D2"/>
              <w:left w:val="single" w:sz="4" w:space="0" w:color="000000"/>
              <w:bottom w:val="single" w:sz="4" w:space="0" w:color="000000"/>
              <w:right w:val="single" w:sz="4" w:space="0" w:color="000000"/>
            </w:tcBorders>
          </w:tcPr>
          <w:p>
            <w:pPr>
              <w:pStyle w:val="TableParagraph"/>
              <w:spacing w:line="240" w:lineRule="auto" w:before="39"/>
              <w:ind w:right="22"/>
              <w:jc w:val="right"/>
              <w:rPr>
                <w:rFonts w:ascii="Times New Roman" w:hAnsi="Times New Roman" w:cs="Times New Roman" w:eastAsia="Times New Roman" w:hint="default"/>
                <w:sz w:val="21"/>
                <w:szCs w:val="21"/>
              </w:rPr>
            </w:pPr>
            <w:r>
              <w:rPr>
                <w:rFonts w:ascii="Times New Roman"/>
                <w:spacing w:val="-1"/>
                <w:sz w:val="21"/>
              </w:rPr>
              <w:t>807,982,184.28</w:t>
            </w:r>
          </w:p>
        </w:tc>
        <w:tc>
          <w:tcPr>
            <w:tcW w:w="2390" w:type="dxa"/>
            <w:tcBorders>
              <w:top w:val="single" w:sz="15" w:space="0" w:color="D2D2D2"/>
              <w:left w:val="single" w:sz="4" w:space="0" w:color="000000"/>
              <w:bottom w:val="single" w:sz="4" w:space="0" w:color="000000"/>
              <w:right w:val="single" w:sz="4" w:space="0" w:color="000000"/>
            </w:tcBorders>
          </w:tcPr>
          <w:p>
            <w:pPr>
              <w:pStyle w:val="TableParagraph"/>
              <w:spacing w:line="240" w:lineRule="auto" w:before="39"/>
              <w:ind w:right="17"/>
              <w:jc w:val="right"/>
              <w:rPr>
                <w:rFonts w:ascii="Times New Roman" w:hAnsi="Times New Roman" w:cs="Times New Roman" w:eastAsia="Times New Roman" w:hint="default"/>
                <w:sz w:val="21"/>
                <w:szCs w:val="21"/>
              </w:rPr>
            </w:pPr>
            <w:r>
              <w:rPr>
                <w:rFonts w:ascii="Times New Roman"/>
                <w:spacing w:val="-1"/>
                <w:sz w:val="21"/>
              </w:rPr>
              <w:t>540,966,197.31</w:t>
            </w:r>
          </w:p>
        </w:tc>
        <w:tc>
          <w:tcPr>
            <w:tcW w:w="2390" w:type="dxa"/>
            <w:tcBorders>
              <w:top w:val="single" w:sz="15" w:space="0" w:color="D2D2D2"/>
              <w:left w:val="single" w:sz="4" w:space="0" w:color="000000"/>
              <w:bottom w:val="single" w:sz="4" w:space="0" w:color="000000"/>
              <w:right w:val="single" w:sz="4" w:space="0" w:color="000000"/>
            </w:tcBorders>
          </w:tcPr>
          <w:p>
            <w:pPr>
              <w:pStyle w:val="TableParagraph"/>
              <w:spacing w:line="240" w:lineRule="auto" w:before="39"/>
              <w:ind w:right="19"/>
              <w:jc w:val="right"/>
              <w:rPr>
                <w:rFonts w:ascii="Times New Roman" w:hAnsi="Times New Roman" w:cs="Times New Roman" w:eastAsia="Times New Roman" w:hint="default"/>
                <w:sz w:val="21"/>
                <w:szCs w:val="21"/>
              </w:rPr>
            </w:pPr>
            <w:r>
              <w:rPr>
                <w:rFonts w:ascii="Times New Roman"/>
                <w:sz w:val="21"/>
              </w:rPr>
              <w:t>49.36%</w:t>
            </w:r>
          </w:p>
        </w:tc>
      </w:tr>
      <w:tr>
        <w:trPr>
          <w:trHeight w:val="34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1,126,656,069.11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pacing w:val="-1"/>
                <w:sz w:val="21"/>
              </w:rPr>
              <w:t>965,869,219.10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z w:val="21"/>
              </w:rPr>
              <w:t>16.65%</w:t>
            </w:r>
          </w:p>
        </w:tc>
      </w:tr>
      <w:tr>
        <w:trPr>
          <w:trHeight w:val="67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left="24" w:right="41"/>
              <w:jc w:val="left"/>
              <w:rPr>
                <w:rFonts w:ascii="宋体" w:hAnsi="宋体" w:cs="宋体" w:eastAsia="宋体" w:hint="default"/>
                <w:sz w:val="21"/>
                <w:szCs w:val="21"/>
              </w:rPr>
            </w:pPr>
            <w:r>
              <w:rPr>
                <w:rFonts w:ascii="宋体" w:hAnsi="宋体" w:cs="宋体" w:eastAsia="宋体" w:hint="default"/>
                <w:spacing w:val="-1"/>
                <w:sz w:val="21"/>
                <w:szCs w:val="21"/>
              </w:rPr>
              <w:t>经营活动产生的现金流量</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净额</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-318,673,884.83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-424,903,021.79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25%</w:t>
            </w:r>
          </w:p>
        </w:tc>
      </w:tr>
      <w:tr>
        <w:trPr>
          <w:trHeight w:val="34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z w:val="21"/>
              </w:rPr>
              <w:t>60,870,940.29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pacing w:val="-1"/>
                <w:sz w:val="21"/>
              </w:rPr>
              <w:t>250,056,868.35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pacing w:val="-1"/>
                <w:sz w:val="21"/>
              </w:rPr>
              <w:t>-75.66%</w:t>
            </w:r>
          </w:p>
        </w:tc>
      </w:tr>
      <w:tr>
        <w:trPr>
          <w:trHeight w:val="34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173,795,232.64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z w:val="21"/>
              </w:rPr>
              <w:t>26,853,963.69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z w:val="21"/>
              </w:rPr>
              <w:t>547.19%</w:t>
            </w:r>
          </w:p>
        </w:tc>
      </w:tr>
      <w:tr>
        <w:trPr>
          <w:trHeight w:val="67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8"/>
              <w:ind w:left="24" w:right="41"/>
              <w:jc w:val="left"/>
              <w:rPr>
                <w:rFonts w:ascii="宋体" w:hAnsi="宋体" w:cs="宋体" w:eastAsia="宋体" w:hint="default"/>
                <w:sz w:val="21"/>
                <w:szCs w:val="21"/>
              </w:rPr>
            </w:pPr>
            <w:r>
              <w:rPr>
                <w:rFonts w:ascii="宋体" w:hAnsi="宋体" w:cs="宋体" w:eastAsia="宋体" w:hint="default"/>
                <w:spacing w:val="-1"/>
                <w:sz w:val="21"/>
                <w:szCs w:val="21"/>
              </w:rPr>
              <w:t>投资活动产生的现金流量</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净额</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-112,924,292.35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223,202,904.66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pacing w:val="-1"/>
                <w:sz w:val="21"/>
              </w:rPr>
              <w:t>-150.59%</w:t>
            </w:r>
          </w:p>
        </w:tc>
      </w:tr>
      <w:tr>
        <w:trPr>
          <w:trHeight w:val="34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428,500,000.00</w:t>
            </w:r>
          </w:p>
        </w:tc>
        <w:tc>
          <w:tcPr>
            <w:tcW w:w="2390" w:type="dxa"/>
            <w:tcBorders>
              <w:top w:val="single" w:sz="4" w:space="0" w:color="000000"/>
              <w:left w:val="single" w:sz="4" w:space="0" w:color="000000"/>
              <w:bottom w:val="single" w:sz="4" w:space="0" w:color="000000"/>
              <w:right w:val="single" w:sz="4" w:space="0" w:color="000000"/>
            </w:tcBorders>
          </w:tcPr>
          <w:p>
            <w:pP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8"/>
              <w:jc w:val="right"/>
              <w:rPr>
                <w:rFonts w:ascii="Times New Roman" w:hAnsi="Times New Roman" w:cs="Times New Roman" w:eastAsia="Times New Roman" w:hint="default"/>
                <w:sz w:val="21"/>
                <w:szCs w:val="21"/>
              </w:rPr>
            </w:pPr>
            <w:r>
              <w:rPr>
                <w:rFonts w:ascii="Times New Roman"/>
                <w:sz w:val="21"/>
              </w:rPr>
              <w:t>100%</w:t>
            </w:r>
          </w:p>
        </w:tc>
      </w:tr>
      <w:tr>
        <w:trPr>
          <w:trHeight w:val="341"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186,462,660.36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7"/>
              <w:jc w:val="right"/>
              <w:rPr>
                <w:rFonts w:ascii="Times New Roman" w:hAnsi="Times New Roman" w:cs="Times New Roman" w:eastAsia="Times New Roman" w:hint="default"/>
                <w:sz w:val="21"/>
                <w:szCs w:val="21"/>
              </w:rPr>
            </w:pPr>
            <w:r>
              <w:rPr>
                <w:rFonts w:ascii="Times New Roman"/>
                <w:spacing w:val="-1"/>
                <w:sz w:val="21"/>
              </w:rPr>
              <w:t>136,033,756.81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z w:val="21"/>
              </w:rPr>
              <w:t>37.07%</w:t>
            </w:r>
          </w:p>
        </w:tc>
      </w:tr>
      <w:tr>
        <w:trPr>
          <w:trHeight w:val="672" w:hRule="exact"/>
        </w:trPr>
        <w:tc>
          <w:tcPr>
            <w:tcW w:w="2390"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18"/>
              <w:ind w:left="24" w:right="41"/>
              <w:jc w:val="left"/>
              <w:rPr>
                <w:rFonts w:ascii="宋体" w:hAnsi="宋体" w:cs="宋体" w:eastAsia="宋体" w:hint="default"/>
                <w:sz w:val="21"/>
                <w:szCs w:val="21"/>
              </w:rPr>
            </w:pPr>
            <w:r>
              <w:rPr>
                <w:rFonts w:ascii="宋体" w:hAnsi="宋体" w:cs="宋体" w:eastAsia="宋体" w:hint="default"/>
                <w:spacing w:val="-1"/>
                <w:sz w:val="21"/>
                <w:szCs w:val="21"/>
              </w:rPr>
              <w:t>筹资活动产生的现金流量</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净额</w:t>
            </w:r>
          </w:p>
        </w:tc>
        <w:tc>
          <w:tcPr>
            <w:tcW w:w="239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242,037,339.64</w:t>
            </w:r>
          </w:p>
        </w:tc>
        <w:tc>
          <w:tcPr>
            <w:tcW w:w="239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-136,033,756.81</w:t>
            </w:r>
          </w:p>
        </w:tc>
        <w:tc>
          <w:tcPr>
            <w:tcW w:w="239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277.92%</w:t>
            </w:r>
          </w:p>
        </w:tc>
      </w:tr>
      <w:tr>
        <w:trPr>
          <w:trHeight w:val="672" w:hRule="exact"/>
        </w:trPr>
        <w:tc>
          <w:tcPr>
            <w:tcW w:w="2390"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18"/>
              <w:ind w:left="24" w:right="41"/>
              <w:jc w:val="left"/>
              <w:rPr>
                <w:rFonts w:ascii="宋体" w:hAnsi="宋体" w:cs="宋体" w:eastAsia="宋体" w:hint="default"/>
                <w:sz w:val="21"/>
                <w:szCs w:val="21"/>
              </w:rPr>
            </w:pPr>
            <w:r>
              <w:rPr>
                <w:rFonts w:ascii="宋体" w:hAnsi="宋体" w:cs="宋体" w:eastAsia="宋体" w:hint="default"/>
                <w:spacing w:val="-1"/>
                <w:sz w:val="21"/>
                <w:szCs w:val="21"/>
              </w:rPr>
              <w:t>现金及现金等价物净增加</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额</w:t>
            </w:r>
          </w:p>
        </w:tc>
        <w:tc>
          <w:tcPr>
            <w:tcW w:w="239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-189,560,082.70</w:t>
            </w:r>
          </w:p>
        </w:tc>
        <w:tc>
          <w:tcPr>
            <w:tcW w:w="239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pacing w:val="-1"/>
                <w:sz w:val="21"/>
              </w:rPr>
              <w:t>-337,745,212.37</w:t>
            </w:r>
          </w:p>
        </w:tc>
        <w:tc>
          <w:tcPr>
            <w:tcW w:w="239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43.87%</w:t>
            </w:r>
          </w:p>
        </w:tc>
      </w:tr>
    </w:tbl>
    <w:p>
      <w:pPr>
        <w:pStyle w:val="BodyText"/>
        <w:spacing w:line="257" w:lineRule="exact"/>
        <w:ind w:right="114"/>
        <w:jc w:val="left"/>
      </w:pPr>
      <w:r>
        <w:rPr/>
        <w:t>相关数据同比发生变动</w:t>
      </w:r>
      <w:r>
        <w:rPr>
          <w:spacing w:val="-51"/>
        </w:rPr>
        <w:t> </w:t>
      </w:r>
      <w:r>
        <w:rPr>
          <w:rFonts w:ascii="Times New Roman" w:hAnsi="Times New Roman" w:cs="Times New Roman" w:eastAsia="Times New Roman" w:hint="default"/>
        </w:rPr>
        <w:t>30%</w:t>
      </w:r>
      <w:r>
        <w:rPr/>
        <w:t>以上的原因说明</w:t>
      </w:r>
    </w:p>
    <w:p>
      <w:pPr>
        <w:pStyle w:val="BodyText"/>
        <w:spacing w:line="345" w:lineRule="auto" w:before="117"/>
        <w:ind w:right="114"/>
        <w:jc w:val="left"/>
      </w:pPr>
      <w:r>
        <w:rPr/>
        <w:t>√ 适用 □ 不适用</w:t>
      </w:r>
      <w:r>
        <w:rPr>
          <w:spacing w:val="-102"/>
        </w:rPr>
        <w:t> </w:t>
      </w:r>
      <w:r>
        <w:rPr>
          <w:spacing w:val="-102"/>
        </w:rPr>
      </w:r>
      <w:r>
        <w:rPr>
          <w:rFonts w:ascii="Times New Roman" w:hAnsi="Times New Roman" w:cs="Times New Roman" w:eastAsia="Times New Roman" w:hint="default"/>
          <w:spacing w:val="-2"/>
        </w:rPr>
        <w:t>1</w:t>
      </w:r>
      <w:r>
        <w:rPr>
          <w:spacing w:val="-2"/>
        </w:rPr>
        <w:t>、经营活动现金流入同比增长</w:t>
      </w:r>
      <w:r>
        <w:rPr>
          <w:rFonts w:ascii="Times New Roman" w:hAnsi="Times New Roman" w:cs="Times New Roman" w:eastAsia="Times New Roman" w:hint="default"/>
          <w:spacing w:val="-2"/>
        </w:rPr>
        <w:t>49.36%</w:t>
      </w:r>
      <w:r>
        <w:rPr>
          <w:spacing w:val="-2"/>
        </w:rPr>
        <w:t>，主要是本期西安“鸿基·紫韵”项目及存量物业新风花园商铺销</w:t>
      </w:r>
      <w:r>
        <w:rPr>
          <w:spacing w:val="-9"/>
        </w:rPr>
        <w:t> </w:t>
      </w:r>
      <w:r>
        <w:rPr>
          <w:spacing w:val="-9"/>
        </w:rPr>
      </w:r>
      <w:r>
        <w:rPr/>
        <w:t>售，资金回笼相比上年增长；</w:t>
      </w:r>
      <w:r>
        <w:rPr>
          <w:spacing w:val="-100"/>
        </w:rPr>
        <w:t> </w:t>
      </w:r>
      <w:r>
        <w:rPr>
          <w:spacing w:val="-100"/>
        </w:rPr>
      </w:r>
      <w:r>
        <w:rPr>
          <w:rFonts w:ascii="Times New Roman" w:hAnsi="Times New Roman" w:cs="Times New Roman" w:eastAsia="Times New Roman" w:hint="default"/>
          <w:spacing w:val="-2"/>
        </w:rPr>
        <w:t>2</w:t>
      </w:r>
      <w:r>
        <w:rPr>
          <w:spacing w:val="-2"/>
        </w:rPr>
        <w:t>、投资活动现金流入同比减少</w:t>
      </w:r>
      <w:r>
        <w:rPr>
          <w:rFonts w:ascii="Times New Roman" w:hAnsi="Times New Roman" w:cs="Times New Roman" w:eastAsia="Times New Roman" w:hint="default"/>
          <w:spacing w:val="-2"/>
        </w:rPr>
        <w:t>75.66%</w:t>
      </w:r>
      <w:r>
        <w:rPr>
          <w:spacing w:val="-2"/>
        </w:rPr>
        <w:t>，主要是上期非房地产业务的剥离，公司转让深圳市迅达汽车运输</w:t>
      </w:r>
      <w:r>
        <w:rPr>
          <w:spacing w:val="-9"/>
        </w:rPr>
        <w:t> </w:t>
      </w:r>
      <w:r>
        <w:rPr>
          <w:spacing w:val="-9"/>
        </w:rPr>
      </w:r>
      <w:r>
        <w:rPr/>
        <w:t>有限公司等子公司股权取得的现金流入较大；</w:t>
      </w:r>
      <w:r>
        <w:rPr>
          <w:spacing w:val="-102"/>
        </w:rPr>
        <w:t> </w:t>
      </w:r>
      <w:r>
        <w:rPr>
          <w:spacing w:val="-102"/>
        </w:rPr>
      </w:r>
      <w:r>
        <w:rPr>
          <w:rFonts w:ascii="Times New Roman" w:hAnsi="Times New Roman" w:cs="Times New Roman" w:eastAsia="Times New Roman" w:hint="default"/>
          <w:spacing w:val="-2"/>
        </w:rPr>
        <w:t>3</w:t>
      </w:r>
      <w:r>
        <w:rPr>
          <w:spacing w:val="-2"/>
        </w:rPr>
        <w:t>、投资活动现金流出同比增长</w:t>
      </w:r>
      <w:r>
        <w:rPr>
          <w:rFonts w:ascii="Times New Roman" w:hAnsi="Times New Roman" w:cs="Times New Roman" w:eastAsia="Times New Roman" w:hint="default"/>
          <w:spacing w:val="-2"/>
        </w:rPr>
        <w:t>547.19%</w:t>
      </w:r>
      <w:r>
        <w:rPr>
          <w:spacing w:val="-2"/>
        </w:rPr>
        <w:t>，主要是本期收购子公司惠州市宝安房地产开发有限公司支付股权</w:t>
      </w:r>
      <w:r>
        <w:rPr>
          <w:spacing w:val="-46"/>
        </w:rPr>
        <w:t> </w:t>
      </w:r>
      <w:r>
        <w:rPr>
          <w:spacing w:val="-46"/>
        </w:rPr>
      </w:r>
      <w:r>
        <w:rPr/>
        <w:t>转让款所致；</w:t>
      </w:r>
    </w:p>
    <w:p>
      <w:pPr>
        <w:pStyle w:val="BodyText"/>
        <w:spacing w:line="240" w:lineRule="auto" w:before="45"/>
        <w:ind w:right="114"/>
        <w:jc w:val="left"/>
      </w:pPr>
      <w:r>
        <w:rPr>
          <w:rFonts w:ascii="Times New Roman" w:hAnsi="Times New Roman" w:cs="Times New Roman" w:eastAsia="Times New Roman" w:hint="default"/>
        </w:rPr>
        <w:t>4</w:t>
      </w:r>
      <w:r>
        <w:rPr/>
        <w:t>、筹资活动现金流入同比增长</w:t>
      </w:r>
      <w:r>
        <w:rPr>
          <w:rFonts w:ascii="Times New Roman" w:hAnsi="Times New Roman" w:cs="Times New Roman" w:eastAsia="Times New Roman" w:hint="default"/>
        </w:rPr>
        <w:t>100%</w:t>
      </w:r>
      <w:r>
        <w:rPr/>
        <w:t>，全部是本期取得银行贷款资金的现金流入；</w:t>
      </w:r>
    </w:p>
    <w:p>
      <w:pPr>
        <w:pStyle w:val="BodyText"/>
        <w:spacing w:line="240" w:lineRule="auto" w:before="117"/>
        <w:ind w:right="114"/>
        <w:jc w:val="left"/>
      </w:pPr>
      <w:r>
        <w:rPr>
          <w:rFonts w:ascii="Times New Roman" w:hAnsi="Times New Roman" w:cs="Times New Roman" w:eastAsia="Times New Roman" w:hint="default"/>
        </w:rPr>
        <w:t>5</w:t>
      </w:r>
      <w:r>
        <w:rPr/>
        <w:t>、筹资活动现金流出同比增长</w:t>
      </w:r>
      <w:r>
        <w:rPr>
          <w:rFonts w:ascii="Times New Roman" w:hAnsi="Times New Roman" w:cs="Times New Roman" w:eastAsia="Times New Roman" w:hint="default"/>
        </w:rPr>
        <w:t>37.07%</w:t>
      </w:r>
      <w:r>
        <w:rPr/>
        <w:t>，主要是本期偿还银行到期贷款支付的现金；</w:t>
      </w:r>
    </w:p>
    <w:p>
      <w:pPr>
        <w:spacing w:after="0" w:line="240" w:lineRule="auto"/>
        <w:jc w:val="left"/>
        <w:sectPr>
          <w:pgSz w:w="11900" w:h="16840"/>
          <w:pgMar w:header="872" w:footer="957" w:top="1120" w:bottom="1180" w:left="980" w:right="900"/>
        </w:sectPr>
      </w:pPr>
    </w:p>
    <w:p>
      <w:pPr>
        <w:spacing w:line="240" w:lineRule="auto" w:before="3"/>
        <w:rPr>
          <w:rFonts w:ascii="宋体" w:hAnsi="宋体" w:cs="宋体" w:eastAsia="宋体" w:hint="default"/>
          <w:sz w:val="19"/>
          <w:szCs w:val="19"/>
        </w:rPr>
      </w:pPr>
    </w:p>
    <w:p>
      <w:pPr>
        <w:pStyle w:val="BodyText"/>
        <w:spacing w:line="240" w:lineRule="auto" w:before="36"/>
        <w:ind w:left="332" w:right="329"/>
        <w:jc w:val="left"/>
      </w:pPr>
      <w:r>
        <w:rPr/>
        <w:t>报告期内公司经营活动的现金流量与本年度净利润存在重大差异的原因说明</w:t>
      </w:r>
    </w:p>
    <w:p>
      <w:pPr>
        <w:pStyle w:val="BodyText"/>
        <w:tabs>
          <w:tab w:pos="1283" w:val="left" w:leader="none"/>
        </w:tabs>
        <w:spacing w:line="355" w:lineRule="auto" w:before="133"/>
        <w:ind w:left="332" w:right="5468"/>
        <w:jc w:val="left"/>
      </w:pPr>
      <w:r>
        <w:rPr/>
        <w:t>√</w:t>
      </w:r>
      <w:r>
        <w:rPr>
          <w:spacing w:val="3"/>
        </w:rPr>
        <w:t> </w:t>
      </w:r>
      <w:r>
        <w:rPr/>
        <w:t>适用</w:t>
        <w:tab/>
        <w:t>□</w:t>
      </w:r>
      <w:r>
        <w:rPr>
          <w:spacing w:val="-1"/>
        </w:rPr>
        <w:t> </w:t>
      </w:r>
      <w:r>
        <w:rPr/>
        <w:t>不适用</w:t>
      </w:r>
      <w:r>
        <w:rPr>
          <w:w w:val="100"/>
        </w:rPr>
        <w:t> </w:t>
      </w:r>
      <w:r>
        <w:rPr>
          <w:spacing w:val="-2"/>
        </w:rPr>
        <w:t>原因:房地产项目土地、工程等开发成本费用支出</w:t>
      </w:r>
    </w:p>
    <w:p>
      <w:pPr>
        <w:spacing w:line="240" w:lineRule="auto" w:before="12"/>
        <w:rPr>
          <w:rFonts w:ascii="宋体" w:hAnsi="宋体" w:cs="宋体" w:eastAsia="宋体" w:hint="default"/>
          <w:sz w:val="18"/>
          <w:szCs w:val="18"/>
        </w:rPr>
      </w:pPr>
    </w:p>
    <w:p>
      <w:pPr>
        <w:pStyle w:val="Heading4"/>
        <w:spacing w:line="240" w:lineRule="auto"/>
        <w:ind w:left="332" w:right="329"/>
        <w:jc w:val="left"/>
        <w:rPr>
          <w:b w:val="0"/>
          <w:bCs w:val="0"/>
        </w:rPr>
      </w:pPr>
      <w:r>
        <w:rPr/>
        <w:t>三、主营业务构成情况</w:t>
      </w:r>
      <w:r>
        <w:rPr>
          <w:b w:val="0"/>
          <w:bCs w:val="0"/>
        </w:rPr>
      </w:r>
    </w:p>
    <w:p>
      <w:pPr>
        <w:spacing w:line="240" w:lineRule="auto" w:before="12"/>
        <w:rPr>
          <w:rFonts w:ascii="Microsoft JhengHei" w:hAnsi="Microsoft JhengHei" w:cs="Microsoft JhengHei" w:eastAsia="Microsoft JhengHei" w:hint="default"/>
          <w:b/>
          <w:bCs/>
          <w:sz w:val="13"/>
          <w:szCs w:val="13"/>
        </w:rPr>
      </w:pPr>
    </w:p>
    <w:p>
      <w:pPr>
        <w:pStyle w:val="BodyText"/>
        <w:spacing w:line="240" w:lineRule="auto" w:before="36"/>
        <w:ind w:left="0" w:right="346"/>
        <w:jc w:val="right"/>
      </w:pPr>
      <w:r>
        <w:rPr/>
        <w:t>单位：元</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240" w:lineRule="auto" w:before="36"/>
        <w:ind w:left="0" w:right="303"/>
        <w:jc w:val="right"/>
      </w:pPr>
      <w:r>
        <w:rPr/>
        <w:pict>
          <v:shape style="position:absolute;margin-left:56.400002pt;margin-top:-21.216354pt;width:480.75pt;height:199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73"/>
                    <w:gridCol w:w="1474"/>
                    <w:gridCol w:w="1421"/>
                    <w:gridCol w:w="1214"/>
                    <w:gridCol w:w="1373"/>
                    <w:gridCol w:w="1373"/>
                    <w:gridCol w:w="1373"/>
                  </w:tblGrid>
                  <w:tr>
                    <w:trPr>
                      <w:trHeight w:val="1018" w:hRule="exact"/>
                    </w:trPr>
                    <w:tc>
                      <w:tcPr>
                        <w:tcW w:w="1373" w:type="dxa"/>
                        <w:tcBorders>
                          <w:top w:val="single" w:sz="4" w:space="0" w:color="000000"/>
                          <w:left w:val="single" w:sz="4" w:space="0" w:color="000000"/>
                          <w:bottom w:val="single" w:sz="31" w:space="0" w:color="FFFFFF"/>
                          <w:right w:val="single" w:sz="4" w:space="0" w:color="000000"/>
                        </w:tcBorders>
                        <w:shd w:val="clear" w:color="auto" w:fill="D2D2D2"/>
                      </w:tcPr>
                      <w:p>
                        <w:pPr/>
                      </w:p>
                    </w:tc>
                    <w:tc>
                      <w:tcPr>
                        <w:tcW w:w="1474" w:type="dxa"/>
                        <w:tcBorders>
                          <w:top w:val="single" w:sz="4" w:space="0" w:color="000000"/>
                          <w:left w:val="single" w:sz="4" w:space="0" w:color="000000"/>
                          <w:bottom w:val="single" w:sz="31" w:space="0" w:color="FFFFFF"/>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30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421" w:type="dxa"/>
                        <w:tcBorders>
                          <w:top w:val="single" w:sz="4" w:space="0" w:color="000000"/>
                          <w:left w:val="single" w:sz="4" w:space="0" w:color="000000"/>
                          <w:bottom w:val="single" w:sz="31" w:space="0" w:color="FFFFFF"/>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27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214" w:type="dxa"/>
                        <w:tcBorders>
                          <w:top w:val="single" w:sz="4" w:space="0" w:color="000000"/>
                          <w:left w:val="single" w:sz="4" w:space="0" w:color="000000"/>
                          <w:bottom w:val="single" w:sz="31" w:space="0" w:color="FFFFFF"/>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2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毛利率</w:t>
                        </w:r>
                        <w:r>
                          <w:rPr>
                            <w:rFonts w:ascii="Times New Roman" w:hAnsi="Times New Roman" w:cs="Times New Roman" w:eastAsia="Times New Roman" w:hint="default"/>
                            <w:sz w:val="21"/>
                            <w:szCs w:val="21"/>
                          </w:rPr>
                          <w:t>(%)</w:t>
                        </w:r>
                      </w:p>
                    </w:tc>
                    <w:tc>
                      <w:tcPr>
                        <w:tcW w:w="1373" w:type="dxa"/>
                        <w:tcBorders>
                          <w:top w:val="single" w:sz="4" w:space="0" w:color="000000"/>
                          <w:left w:val="single" w:sz="4" w:space="0" w:color="000000"/>
                          <w:bottom w:val="single" w:sz="31" w:space="0" w:color="FFFFFF"/>
                          <w:right w:val="single" w:sz="4" w:space="0" w:color="000000"/>
                        </w:tcBorders>
                        <w:shd w:val="clear" w:color="auto" w:fill="D2D2D2"/>
                      </w:tcPr>
                      <w:p>
                        <w:pPr>
                          <w:pStyle w:val="TableParagraph"/>
                          <w:spacing w:line="240" w:lineRule="auto" w:before="38"/>
                          <w:ind w:left="52" w:right="46"/>
                          <w:jc w:val="center"/>
                          <w:rPr>
                            <w:rFonts w:ascii="宋体" w:hAnsi="宋体" w:cs="宋体" w:eastAsia="宋体" w:hint="default"/>
                            <w:sz w:val="21"/>
                            <w:szCs w:val="21"/>
                          </w:rPr>
                        </w:pPr>
                        <w:r>
                          <w:rPr>
                            <w:rFonts w:ascii="宋体" w:hAnsi="宋体" w:cs="宋体" w:eastAsia="宋体" w:hint="default"/>
                            <w:spacing w:val="-1"/>
                            <w:sz w:val="21"/>
                            <w:szCs w:val="21"/>
                          </w:rPr>
                          <w:t>营业收入比上</w:t>
                        </w:r>
                        <w:r>
                          <w:rPr>
                            <w:rFonts w:ascii="宋体" w:hAnsi="宋体" w:cs="宋体" w:eastAsia="宋体" w:hint="default"/>
                            <w:w w:val="100"/>
                            <w:sz w:val="21"/>
                            <w:szCs w:val="21"/>
                          </w:rPr>
                          <w:t> </w:t>
                        </w:r>
                        <w:r>
                          <w:rPr>
                            <w:rFonts w:ascii="宋体" w:hAnsi="宋体" w:cs="宋体" w:eastAsia="宋体" w:hint="default"/>
                            <w:sz w:val="21"/>
                            <w:szCs w:val="21"/>
                          </w:rPr>
                          <w:t>年同期增减</w:t>
                        </w:r>
                      </w:p>
                      <w:p>
                        <w:pPr>
                          <w:pStyle w:val="TableParagraph"/>
                          <w:spacing w:line="289" w:lineRule="exact"/>
                          <w:ind w:right="2"/>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373" w:type="dxa"/>
                        <w:tcBorders>
                          <w:top w:val="single" w:sz="4" w:space="0" w:color="000000"/>
                          <w:left w:val="single" w:sz="4" w:space="0" w:color="000000"/>
                          <w:bottom w:val="single" w:sz="31" w:space="0" w:color="FFFFFF"/>
                          <w:right w:val="single" w:sz="4" w:space="0" w:color="000000"/>
                        </w:tcBorders>
                        <w:shd w:val="clear" w:color="auto" w:fill="D2D2D2"/>
                      </w:tcPr>
                      <w:p>
                        <w:pPr>
                          <w:pStyle w:val="TableParagraph"/>
                          <w:spacing w:line="240" w:lineRule="auto" w:before="38"/>
                          <w:ind w:left="52" w:right="46"/>
                          <w:jc w:val="center"/>
                          <w:rPr>
                            <w:rFonts w:ascii="宋体" w:hAnsi="宋体" w:cs="宋体" w:eastAsia="宋体" w:hint="default"/>
                            <w:sz w:val="21"/>
                            <w:szCs w:val="21"/>
                          </w:rPr>
                        </w:pPr>
                        <w:r>
                          <w:rPr>
                            <w:rFonts w:ascii="宋体" w:hAnsi="宋体" w:cs="宋体" w:eastAsia="宋体" w:hint="default"/>
                            <w:spacing w:val="-1"/>
                            <w:sz w:val="21"/>
                            <w:szCs w:val="21"/>
                          </w:rPr>
                          <w:t>营业成本比上</w:t>
                        </w:r>
                        <w:r>
                          <w:rPr>
                            <w:rFonts w:ascii="宋体" w:hAnsi="宋体" w:cs="宋体" w:eastAsia="宋体" w:hint="default"/>
                            <w:w w:val="100"/>
                            <w:sz w:val="21"/>
                            <w:szCs w:val="21"/>
                          </w:rPr>
                          <w:t> </w:t>
                        </w:r>
                        <w:r>
                          <w:rPr>
                            <w:rFonts w:ascii="宋体" w:hAnsi="宋体" w:cs="宋体" w:eastAsia="宋体" w:hint="default"/>
                            <w:sz w:val="21"/>
                            <w:szCs w:val="21"/>
                          </w:rPr>
                          <w:t>年同期增减</w:t>
                        </w:r>
                      </w:p>
                      <w:p>
                        <w:pPr>
                          <w:pStyle w:val="TableParagraph"/>
                          <w:spacing w:line="289" w:lineRule="exact"/>
                          <w:ind w:right="2"/>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373" w:type="dxa"/>
                        <w:tcBorders>
                          <w:top w:val="single" w:sz="4" w:space="0" w:color="000000"/>
                          <w:left w:val="single" w:sz="4" w:space="0" w:color="000000"/>
                          <w:bottom w:val="single" w:sz="31" w:space="0" w:color="FFFFFF"/>
                          <w:right w:val="single" w:sz="4" w:space="0" w:color="000000"/>
                        </w:tcBorders>
                        <w:shd w:val="clear" w:color="auto" w:fill="D2D2D2"/>
                      </w:tcPr>
                      <w:p>
                        <w:pPr>
                          <w:pStyle w:val="TableParagraph"/>
                          <w:spacing w:line="240" w:lineRule="auto" w:before="177"/>
                          <w:ind w:left="19" w:right="50" w:firstLine="28"/>
                          <w:jc w:val="left"/>
                          <w:rPr>
                            <w:rFonts w:ascii="Times New Roman" w:hAnsi="Times New Roman" w:cs="Times New Roman" w:eastAsia="Times New Roman" w:hint="default"/>
                            <w:sz w:val="21"/>
                            <w:szCs w:val="21"/>
                          </w:rPr>
                        </w:pPr>
                        <w:r>
                          <w:rPr>
                            <w:rFonts w:ascii="宋体" w:hAnsi="宋体" w:cs="宋体" w:eastAsia="宋体" w:hint="default"/>
                            <w:sz w:val="21"/>
                            <w:szCs w:val="21"/>
                          </w:rPr>
                          <w:t>毛利率比上年</w:t>
                        </w:r>
                        <w:r>
                          <w:rPr>
                            <w:rFonts w:ascii="宋体" w:hAnsi="宋体" w:cs="宋体" w:eastAsia="宋体" w:hint="default"/>
                            <w:w w:val="100"/>
                            <w:sz w:val="21"/>
                            <w:szCs w:val="21"/>
                          </w:rPr>
                          <w:t> </w:t>
                        </w:r>
                        <w:r>
                          <w:rPr>
                            <w:rFonts w:ascii="宋体" w:hAnsi="宋体" w:cs="宋体" w:eastAsia="宋体" w:hint="default"/>
                            <w:spacing w:val="-3"/>
                            <w:sz w:val="21"/>
                            <w:szCs w:val="21"/>
                          </w:rPr>
                          <w:t>同期增减（</w:t>
                        </w:r>
                        <w:r>
                          <w:rPr>
                            <w:rFonts w:ascii="Times New Roman" w:hAnsi="Times New Roman" w:cs="Times New Roman" w:eastAsia="Times New Roman" w:hint="default"/>
                            <w:spacing w:val="-3"/>
                            <w:sz w:val="21"/>
                            <w:szCs w:val="21"/>
                          </w:rPr>
                          <w:t>%</w:t>
                        </w:r>
                      </w:p>
                    </w:tc>
                  </w:tr>
                  <w:tr>
                    <w:trPr>
                      <w:trHeight w:val="389" w:hRule="exact"/>
                    </w:trPr>
                    <w:tc>
                      <w:tcPr>
                        <w:tcW w:w="9600" w:type="dxa"/>
                        <w:gridSpan w:val="7"/>
                        <w:tcBorders>
                          <w:top w:val="single" w:sz="31" w:space="0" w:color="FFFFFF"/>
                          <w:left w:val="single" w:sz="4" w:space="0" w:color="000000"/>
                          <w:bottom w:val="single" w:sz="4" w:space="0" w:color="000000"/>
                          <w:right w:val="single" w:sz="4" w:space="0" w:color="000000"/>
                        </w:tcBorders>
                        <w:shd w:val="clear" w:color="auto" w:fill="D2D2D2"/>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分行业</w:t>
                        </w:r>
                      </w:p>
                    </w:tc>
                  </w:tr>
                  <w:tr>
                    <w:trPr>
                      <w:trHeight w:val="423"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房地产销售</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6"/>
                          <w:jc w:val="right"/>
                          <w:rPr>
                            <w:rFonts w:ascii="Times New Roman" w:hAnsi="Times New Roman" w:cs="Times New Roman" w:eastAsia="Times New Roman" w:hint="default"/>
                            <w:sz w:val="21"/>
                            <w:szCs w:val="21"/>
                          </w:rPr>
                        </w:pPr>
                        <w:r>
                          <w:rPr>
                            <w:rFonts w:ascii="Times New Roman"/>
                            <w:spacing w:val="-1"/>
                            <w:sz w:val="21"/>
                          </w:rPr>
                          <w:t>793,553,824.28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pacing w:val="-1"/>
                            <w:sz w:val="21"/>
                          </w:rPr>
                          <w:t>331,748,944.57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z w:val="21"/>
                          </w:rPr>
                          <w:t>58.19%</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z w:val="21"/>
                          </w:rPr>
                          <w:t>7.5%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pacing w:val="-1"/>
                            <w:sz w:val="21"/>
                          </w:rPr>
                          <w:t>-32.38%</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z w:val="21"/>
                          </w:rPr>
                          <w:t>24.65%</w:t>
                        </w:r>
                      </w:p>
                    </w:tc>
                  </w:tr>
                  <w:tr>
                    <w:trPr>
                      <w:trHeight w:val="422" w:hRule="exact"/>
                    </w:trPr>
                    <w:tc>
                      <w:tcPr>
                        <w:tcW w:w="960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分产品</w:t>
                        </w:r>
                      </w:p>
                    </w:tc>
                  </w:tr>
                  <w:tr>
                    <w:trPr>
                      <w:trHeight w:val="425"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房地产销售</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6"/>
                          <w:jc w:val="right"/>
                          <w:rPr>
                            <w:rFonts w:ascii="Times New Roman" w:hAnsi="Times New Roman" w:cs="Times New Roman" w:eastAsia="Times New Roman" w:hint="default"/>
                            <w:sz w:val="21"/>
                            <w:szCs w:val="21"/>
                          </w:rPr>
                        </w:pPr>
                        <w:r>
                          <w:rPr>
                            <w:rFonts w:ascii="Times New Roman"/>
                            <w:spacing w:val="-1"/>
                            <w:sz w:val="21"/>
                          </w:rPr>
                          <w:t>793,553,824.28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pacing w:val="-1"/>
                            <w:sz w:val="21"/>
                          </w:rPr>
                          <w:t>331,748,944.57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z w:val="21"/>
                          </w:rPr>
                          <w:t>58.19%</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z w:val="21"/>
                          </w:rPr>
                          <w:t>7.5%</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pacing w:val="-1"/>
                            <w:sz w:val="21"/>
                          </w:rPr>
                          <w:t>-32.38%</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z w:val="21"/>
                          </w:rPr>
                          <w:t>24.65%</w:t>
                        </w:r>
                      </w:p>
                    </w:tc>
                  </w:tr>
                  <w:tr>
                    <w:trPr>
                      <w:trHeight w:val="424" w:hRule="exact"/>
                    </w:trPr>
                    <w:tc>
                      <w:tcPr>
                        <w:tcW w:w="9600"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5"/>
                          <w:ind w:left="24" w:right="0"/>
                          <w:jc w:val="left"/>
                          <w:rPr>
                            <w:rFonts w:ascii="宋体" w:hAnsi="宋体" w:cs="宋体" w:eastAsia="宋体" w:hint="default"/>
                            <w:sz w:val="21"/>
                            <w:szCs w:val="21"/>
                          </w:rPr>
                        </w:pPr>
                        <w:r>
                          <w:rPr>
                            <w:rFonts w:ascii="宋体" w:hAnsi="宋体" w:cs="宋体" w:eastAsia="宋体" w:hint="default"/>
                            <w:sz w:val="21"/>
                            <w:szCs w:val="21"/>
                          </w:rPr>
                          <w:t>分地区</w:t>
                        </w:r>
                      </w:p>
                    </w:tc>
                  </w:tr>
                  <w:tr>
                    <w:trPr>
                      <w:trHeight w:val="422"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西安地区</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6"/>
                          <w:jc w:val="right"/>
                          <w:rPr>
                            <w:rFonts w:ascii="Times New Roman" w:hAnsi="Times New Roman" w:cs="Times New Roman" w:eastAsia="Times New Roman" w:hint="default"/>
                            <w:sz w:val="21"/>
                            <w:szCs w:val="21"/>
                          </w:rPr>
                        </w:pPr>
                        <w:r>
                          <w:rPr>
                            <w:rFonts w:ascii="Times New Roman"/>
                            <w:spacing w:val="-1"/>
                            <w:sz w:val="21"/>
                          </w:rPr>
                          <w:t>464,582,001.00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pacing w:val="-1"/>
                            <w:sz w:val="21"/>
                          </w:rPr>
                          <w:t>249,866,356.61</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z w:val="21"/>
                          </w:rPr>
                          <w:t>46.22%</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pacing w:val="-1"/>
                            <w:sz w:val="21"/>
                          </w:rPr>
                          <w:t>-23.17%</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pacing w:val="-1"/>
                            <w:sz w:val="21"/>
                          </w:rPr>
                          <w:t>-39.66%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3"/>
                          <w:jc w:val="right"/>
                          <w:rPr>
                            <w:rFonts w:ascii="Times New Roman" w:hAnsi="Times New Roman" w:cs="Times New Roman" w:eastAsia="Times New Roman" w:hint="default"/>
                            <w:sz w:val="21"/>
                            <w:szCs w:val="21"/>
                          </w:rPr>
                        </w:pPr>
                        <w:r>
                          <w:rPr>
                            <w:rFonts w:ascii="Times New Roman"/>
                            <w:sz w:val="21"/>
                          </w:rPr>
                          <w:t>14.69%</w:t>
                        </w:r>
                      </w:p>
                    </w:tc>
                  </w:tr>
                  <w:tr>
                    <w:trPr>
                      <w:trHeight w:val="446"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4" w:right="0"/>
                          <w:jc w:val="left"/>
                          <w:rPr>
                            <w:rFonts w:ascii="宋体" w:hAnsi="宋体" w:cs="宋体" w:eastAsia="宋体" w:hint="default"/>
                            <w:sz w:val="21"/>
                            <w:szCs w:val="21"/>
                          </w:rPr>
                        </w:pPr>
                        <w:r>
                          <w:rPr>
                            <w:rFonts w:ascii="宋体" w:hAnsi="宋体" w:cs="宋体" w:eastAsia="宋体" w:hint="default"/>
                            <w:sz w:val="21"/>
                            <w:szCs w:val="21"/>
                          </w:rPr>
                          <w:t>广东地区</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6"/>
                          <w:jc w:val="right"/>
                          <w:rPr>
                            <w:rFonts w:ascii="Times New Roman" w:hAnsi="Times New Roman" w:cs="Times New Roman" w:eastAsia="Times New Roman" w:hint="default"/>
                            <w:sz w:val="21"/>
                            <w:szCs w:val="21"/>
                          </w:rPr>
                        </w:pPr>
                        <w:r>
                          <w:rPr>
                            <w:rFonts w:ascii="Times New Roman"/>
                            <w:spacing w:val="-1"/>
                            <w:sz w:val="21"/>
                          </w:rPr>
                          <w:t>328,971,823.28</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2"/>
                          <w:jc w:val="right"/>
                          <w:rPr>
                            <w:rFonts w:ascii="Times New Roman" w:hAnsi="Times New Roman" w:cs="Times New Roman" w:eastAsia="Times New Roman" w:hint="default"/>
                            <w:sz w:val="21"/>
                            <w:szCs w:val="21"/>
                          </w:rPr>
                        </w:pPr>
                        <w:r>
                          <w:rPr>
                            <w:rFonts w:ascii="Times New Roman"/>
                            <w:sz w:val="21"/>
                          </w:rPr>
                          <w:t>81,882,587.96</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8"/>
                          <w:jc w:val="right"/>
                          <w:rPr>
                            <w:rFonts w:ascii="Times New Roman" w:hAnsi="Times New Roman" w:cs="Times New Roman" w:eastAsia="Times New Roman" w:hint="default"/>
                            <w:sz w:val="21"/>
                            <w:szCs w:val="21"/>
                          </w:rPr>
                        </w:pPr>
                        <w:r>
                          <w:rPr>
                            <w:rFonts w:ascii="Times New Roman"/>
                            <w:spacing w:val="-2"/>
                            <w:sz w:val="21"/>
                          </w:rPr>
                          <w:t>75.11%</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Times New Roman" w:hAnsi="Times New Roman" w:cs="Times New Roman" w:eastAsia="Times New Roman" w:hint="default"/>
                            <w:sz w:val="21"/>
                            <w:szCs w:val="21"/>
                          </w:rPr>
                        </w:pPr>
                        <w:r>
                          <w:rPr>
                            <w:rFonts w:ascii="Times New Roman"/>
                            <w:sz w:val="21"/>
                          </w:rPr>
                          <w:t>146.36%</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Times New Roman" w:hAnsi="Times New Roman" w:cs="Times New Roman" w:eastAsia="Times New Roman" w:hint="default"/>
                            <w:sz w:val="21"/>
                            <w:szCs w:val="21"/>
                          </w:rPr>
                        </w:pPr>
                        <w:r>
                          <w:rPr>
                            <w:rFonts w:ascii="Times New Roman"/>
                            <w:sz w:val="21"/>
                          </w:rPr>
                          <w:t>7.03%</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Times New Roman" w:hAnsi="Times New Roman" w:cs="Times New Roman" w:eastAsia="Times New Roman" w:hint="default"/>
                            <w:sz w:val="21"/>
                            <w:szCs w:val="21"/>
                          </w:rPr>
                        </w:pPr>
                        <w:r>
                          <w:rPr>
                            <w:rFonts w:ascii="Times New Roman"/>
                            <w:sz w:val="21"/>
                          </w:rPr>
                          <w:t>32.4%</w:t>
                        </w:r>
                      </w:p>
                    </w:tc>
                  </w:tr>
                </w:tbl>
                <w:p>
                  <w:pPr/>
                </w:p>
              </w:txbxContent>
            </v:textbox>
            <w10:wrap type="none"/>
          </v:shape>
        </w:pict>
      </w:r>
      <w:r>
        <w:rPr>
          <w:w w:val="10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pStyle w:val="BodyText"/>
        <w:spacing w:line="333" w:lineRule="auto" w:before="36"/>
        <w:ind w:left="332" w:right="329"/>
        <w:jc w:val="left"/>
      </w:pPr>
      <w:r>
        <w:rPr/>
        <w:t>本年毛利率为</w:t>
      </w:r>
      <w:r>
        <w:rPr>
          <w:spacing w:val="-53"/>
        </w:rPr>
        <w:t> </w:t>
      </w:r>
      <w:r>
        <w:rPr>
          <w:rFonts w:ascii="Times New Roman" w:hAnsi="Times New Roman" w:cs="Times New Roman" w:eastAsia="Times New Roman" w:hint="default"/>
        </w:rPr>
        <w:t>58.19%</w:t>
      </w:r>
      <w:r>
        <w:rPr/>
        <w:t>，较上年同期增减幅度较大的原因说明：</w:t>
      </w:r>
      <w:r>
        <w:rPr>
          <w:spacing w:val="-103"/>
        </w:rPr>
        <w:t> </w:t>
      </w:r>
      <w:r>
        <w:rPr>
          <w:spacing w:val="-103"/>
        </w:rPr>
      </w:r>
      <w:r>
        <w:rPr/>
        <w:t>主要系由于本期公司销售存量物业新风花园商铺，其成本经逐年摊销后较低缘故。</w:t>
      </w:r>
    </w:p>
    <w:p>
      <w:pPr>
        <w:spacing w:line="240" w:lineRule="auto" w:before="5"/>
        <w:rPr>
          <w:rFonts w:ascii="宋体" w:hAnsi="宋体" w:cs="宋体" w:eastAsia="宋体" w:hint="default"/>
          <w:sz w:val="14"/>
          <w:szCs w:val="14"/>
        </w:rPr>
      </w:pPr>
    </w:p>
    <w:p>
      <w:pPr>
        <w:pStyle w:val="BodyText"/>
        <w:spacing w:line="268" w:lineRule="exact"/>
        <w:ind w:left="332" w:right="329"/>
        <w:jc w:val="left"/>
      </w:pPr>
      <w:r>
        <w:rPr/>
        <w:t>公司主营业务数据统计口径在报告期发生调整的情况下，公司最近</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年按报告期末口径调整后的主营业务</w:t>
      </w:r>
      <w:r>
        <w:rPr>
          <w:w w:val="100"/>
        </w:rPr>
        <w:t> </w:t>
      </w:r>
      <w:r>
        <w:rPr/>
        <w:t>数据</w:t>
      </w:r>
    </w:p>
    <w:p>
      <w:pPr>
        <w:pStyle w:val="BodyText"/>
        <w:spacing w:line="265" w:lineRule="exact"/>
        <w:ind w:left="332" w:right="32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240" w:lineRule="auto" w:before="6"/>
        <w:rPr>
          <w:rFonts w:ascii="宋体" w:hAnsi="宋体" w:cs="宋体" w:eastAsia="宋体" w:hint="default"/>
          <w:sz w:val="15"/>
          <w:szCs w:val="15"/>
        </w:rPr>
      </w:pPr>
    </w:p>
    <w:p>
      <w:pPr>
        <w:pStyle w:val="Heading4"/>
        <w:spacing w:line="240" w:lineRule="auto"/>
        <w:ind w:left="332" w:right="329"/>
        <w:jc w:val="left"/>
        <w:rPr>
          <w:b w:val="0"/>
          <w:bCs w:val="0"/>
        </w:rPr>
      </w:pPr>
      <w:r>
        <w:rPr/>
        <w:t>四、资产、负债状况分析</w:t>
      </w:r>
      <w:r>
        <w:rPr>
          <w:b w:val="0"/>
          <w:bCs w:val="0"/>
        </w:rPr>
      </w:r>
    </w:p>
    <w:p>
      <w:pPr>
        <w:pStyle w:val="Heading6"/>
        <w:spacing w:line="240" w:lineRule="auto" w:before="207"/>
        <w:ind w:left="332" w:right="329"/>
        <w:jc w:val="left"/>
        <w:rPr>
          <w:b w:val="0"/>
          <w:bCs w:val="0"/>
        </w:rPr>
      </w:pPr>
      <w:r>
        <w:rPr>
          <w:rFonts w:ascii="Times New Roman" w:hAnsi="Times New Roman" w:cs="Times New Roman" w:eastAsia="Times New Roman" w:hint="default"/>
        </w:rPr>
        <w:t>1</w:t>
      </w:r>
      <w:r>
        <w:rPr/>
        <w:t>、资产项目重大变动情况</w:t>
      </w:r>
      <w:r>
        <w:rPr>
          <w:b w:val="0"/>
          <w:bCs w:val="0"/>
        </w:rPr>
      </w:r>
    </w:p>
    <w:p>
      <w:pPr>
        <w:spacing w:line="240" w:lineRule="auto" w:before="11"/>
        <w:rPr>
          <w:rFonts w:ascii="Microsoft JhengHei" w:hAnsi="Microsoft JhengHei" w:cs="Microsoft JhengHei" w:eastAsia="Microsoft JhengHei" w:hint="default"/>
          <w:b/>
          <w:bCs/>
          <w:sz w:val="15"/>
          <w:szCs w:val="15"/>
        </w:rPr>
      </w:pPr>
    </w:p>
    <w:p>
      <w:pPr>
        <w:pStyle w:val="BodyText"/>
        <w:spacing w:line="240" w:lineRule="auto"/>
        <w:ind w:left="0" w:right="346"/>
        <w:jc w:val="right"/>
      </w:pPr>
      <w:r>
        <w:rPr/>
        <w:t>单位：元</w:t>
      </w:r>
    </w:p>
    <w:p>
      <w:pPr>
        <w:spacing w:line="240" w:lineRule="auto" w:before="11"/>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483"/>
        <w:gridCol w:w="1632"/>
        <w:gridCol w:w="994"/>
        <w:gridCol w:w="1416"/>
        <w:gridCol w:w="994"/>
        <w:gridCol w:w="850"/>
        <w:gridCol w:w="2712"/>
      </w:tblGrid>
      <w:tr>
        <w:trPr>
          <w:trHeight w:val="288" w:hRule="exact"/>
        </w:trPr>
        <w:tc>
          <w:tcPr>
            <w:tcW w:w="1483" w:type="dxa"/>
            <w:vMerge w:val="restart"/>
            <w:tcBorders>
              <w:top w:val="single" w:sz="4" w:space="0" w:color="000000"/>
              <w:left w:val="single" w:sz="4" w:space="0" w:color="000000"/>
              <w:right w:val="single" w:sz="4" w:space="0" w:color="000000"/>
            </w:tcBorders>
            <w:shd w:val="clear" w:color="auto" w:fill="D2D2D2"/>
          </w:tcPr>
          <w:p>
            <w:pPr/>
          </w:p>
        </w:tc>
        <w:tc>
          <w:tcPr>
            <w:tcW w:w="26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2" w:lineRule="exact"/>
              <w:ind w:left="85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年末</w:t>
            </w: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2" w:lineRule="exact"/>
              <w:ind w:left="75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年末</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0"/>
              <w:ind w:left="23" w:right="7" w:firstLine="81"/>
              <w:jc w:val="left"/>
              <w:rPr>
                <w:rFonts w:ascii="宋体" w:hAnsi="宋体" w:cs="宋体" w:eastAsia="宋体" w:hint="default"/>
                <w:sz w:val="21"/>
                <w:szCs w:val="21"/>
              </w:rPr>
            </w:pPr>
            <w:r>
              <w:rPr>
                <w:rFonts w:ascii="宋体" w:hAnsi="宋体" w:cs="宋体" w:eastAsia="宋体" w:hint="default"/>
                <w:sz w:val="21"/>
                <w:szCs w:val="21"/>
              </w:rPr>
              <w:t>比重增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pStyle w:val="TableParagraph"/>
              <w:spacing w:line="133" w:lineRule="exact"/>
              <w:ind w:left="-164"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27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720" w:right="0"/>
              <w:jc w:val="left"/>
              <w:rPr>
                <w:rFonts w:ascii="宋体" w:hAnsi="宋体" w:cs="宋体" w:eastAsia="宋体" w:hint="default"/>
                <w:sz w:val="21"/>
                <w:szCs w:val="21"/>
              </w:rPr>
            </w:pPr>
            <w:r>
              <w:rPr>
                <w:rFonts w:ascii="宋体" w:hAnsi="宋体" w:cs="宋体" w:eastAsia="宋体" w:hint="default"/>
                <w:sz w:val="21"/>
                <w:szCs w:val="21"/>
              </w:rPr>
              <w:t>重大变动说明</w:t>
            </w:r>
          </w:p>
        </w:tc>
      </w:tr>
      <w:tr>
        <w:trPr>
          <w:trHeight w:val="552" w:hRule="exact"/>
        </w:trPr>
        <w:tc>
          <w:tcPr>
            <w:tcW w:w="1483" w:type="dxa"/>
            <w:vMerge/>
            <w:tcBorders>
              <w:left w:val="single" w:sz="4" w:space="0" w:color="000000"/>
              <w:bottom w:val="single" w:sz="4" w:space="0" w:color="000000"/>
              <w:right w:val="single" w:sz="4" w:space="0" w:color="000000"/>
            </w:tcBorders>
            <w:shd w:val="clear" w:color="auto" w:fill="D2D2D2"/>
          </w:tcPr>
          <w:p>
            <w:pPr/>
          </w:p>
        </w:tc>
        <w:tc>
          <w:tcPr>
            <w:tcW w:w="1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left="23" w:right="0" w:firstLine="48"/>
              <w:jc w:val="left"/>
              <w:rPr>
                <w:rFonts w:ascii="宋体" w:hAnsi="宋体" w:cs="宋体" w:eastAsia="宋体" w:hint="default"/>
                <w:sz w:val="21"/>
                <w:szCs w:val="21"/>
              </w:rPr>
            </w:pPr>
            <w:r>
              <w:rPr>
                <w:rFonts w:ascii="宋体" w:hAnsi="宋体" w:cs="宋体" w:eastAsia="宋体" w:hint="default"/>
                <w:sz w:val="21"/>
                <w:szCs w:val="21"/>
              </w:rPr>
              <w:t>占总资产</w:t>
            </w:r>
          </w:p>
          <w:p>
            <w:pPr>
              <w:pStyle w:val="TableParagraph"/>
              <w:spacing w:line="290"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494" w:val="left" w:leader="none"/>
              </w:tabs>
              <w:spacing w:line="240" w:lineRule="auto" w:before="95"/>
              <w:ind w:left="-164" w:right="0"/>
              <w:jc w:val="left"/>
              <w:rPr>
                <w:rFonts w:ascii="宋体" w:hAnsi="宋体" w:cs="宋体" w:eastAsia="宋体" w:hint="default"/>
                <w:sz w:val="21"/>
                <w:szCs w:val="21"/>
              </w:rPr>
            </w:pPr>
            <w:r>
              <w:rPr>
                <w:rFonts w:ascii="宋体" w:hAnsi="宋体" w:cs="宋体" w:eastAsia="宋体" w:hint="default"/>
                <w:position w:val="-13"/>
                <w:sz w:val="21"/>
                <w:szCs w:val="21"/>
              </w:rPr>
              <w:t>）</w:t>
              <w:tab/>
            </w:r>
            <w:r>
              <w:rPr>
                <w:rFonts w:ascii="宋体" w:hAnsi="宋体" w:cs="宋体" w:eastAsia="宋体" w:hint="default"/>
                <w:sz w:val="21"/>
                <w:szCs w:val="21"/>
              </w:rPr>
              <w:t>金额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left="23" w:right="0" w:firstLine="48"/>
              <w:jc w:val="left"/>
              <w:rPr>
                <w:rFonts w:ascii="宋体" w:hAnsi="宋体" w:cs="宋体" w:eastAsia="宋体" w:hint="default"/>
                <w:sz w:val="21"/>
                <w:szCs w:val="21"/>
              </w:rPr>
            </w:pPr>
            <w:r>
              <w:rPr>
                <w:rFonts w:ascii="宋体" w:hAnsi="宋体" w:cs="宋体" w:eastAsia="宋体" w:hint="default"/>
                <w:sz w:val="21"/>
                <w:szCs w:val="21"/>
              </w:rPr>
              <w:t>占总资产</w:t>
            </w:r>
          </w:p>
          <w:p>
            <w:pPr>
              <w:pStyle w:val="TableParagraph"/>
              <w:spacing w:line="290"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850" w:type="dxa"/>
            <w:vMerge/>
            <w:tcBorders>
              <w:left w:val="single" w:sz="4" w:space="0" w:color="000000"/>
              <w:bottom w:val="single" w:sz="4" w:space="0" w:color="000000"/>
              <w:right w:val="single" w:sz="4" w:space="0" w:color="000000"/>
            </w:tcBorders>
            <w:shd w:val="clear" w:color="auto" w:fill="D2D2D2"/>
          </w:tcPr>
          <w:p>
            <w:pPr/>
          </w:p>
        </w:tc>
        <w:tc>
          <w:tcPr>
            <w:tcW w:w="2712" w:type="dxa"/>
            <w:vMerge/>
            <w:tcBorders>
              <w:left w:val="single" w:sz="4" w:space="0" w:color="000000"/>
              <w:bottom w:val="single" w:sz="4" w:space="0" w:color="000000"/>
              <w:right w:val="single" w:sz="4" w:space="0" w:color="000000"/>
            </w:tcBorders>
            <w:shd w:val="clear" w:color="auto" w:fill="D2D2D2"/>
          </w:tcPr>
          <w:p>
            <w:pPr/>
          </w:p>
        </w:tc>
      </w:tr>
      <w:tr>
        <w:trPr>
          <w:trHeight w:val="562" w:hRule="exact"/>
        </w:trPr>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9"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176,261,385.76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6.15%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362,404,316.56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19.19%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70" w:right="0"/>
              <w:jc w:val="center"/>
              <w:rPr>
                <w:rFonts w:ascii="Times New Roman" w:hAnsi="Times New Roman" w:cs="Times New Roman" w:eastAsia="Times New Roman" w:hint="default"/>
                <w:sz w:val="21"/>
                <w:szCs w:val="21"/>
              </w:rPr>
            </w:pPr>
            <w:r>
              <w:rPr>
                <w:rFonts w:ascii="Times New Roman"/>
                <w:sz w:val="21"/>
              </w:rPr>
              <w:t>-13.04%</w:t>
            </w:r>
          </w:p>
        </w:tc>
        <w:tc>
          <w:tcPr>
            <w:tcW w:w="27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pacing w:val="-7"/>
                <w:sz w:val="21"/>
                <w:szCs w:val="21"/>
              </w:rPr>
              <w:t>本期各项目公司土地、工程进</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度款支付</w:t>
            </w:r>
          </w:p>
        </w:tc>
      </w:tr>
      <w:tr>
        <w:trPr>
          <w:trHeight w:val="504" w:hRule="exact"/>
        </w:trPr>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9"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7"/>
              <w:jc w:val="right"/>
              <w:rPr>
                <w:rFonts w:ascii="Times New Roman" w:hAnsi="Times New Roman" w:cs="Times New Roman" w:eastAsia="Times New Roman" w:hint="default"/>
                <w:sz w:val="21"/>
                <w:szCs w:val="21"/>
              </w:rPr>
            </w:pPr>
            <w:r>
              <w:rPr>
                <w:rFonts w:ascii="Times New Roman"/>
                <w:spacing w:val="-1"/>
                <w:sz w:val="21"/>
              </w:rPr>
              <w:t>2,047,179,454.97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23"/>
              <w:jc w:val="right"/>
              <w:rPr>
                <w:rFonts w:ascii="Times New Roman" w:hAnsi="Times New Roman" w:cs="Times New Roman" w:eastAsia="Times New Roman" w:hint="default"/>
                <w:sz w:val="21"/>
                <w:szCs w:val="21"/>
              </w:rPr>
            </w:pPr>
            <w:r>
              <w:rPr>
                <w:rFonts w:ascii="Times New Roman"/>
                <w:sz w:val="21"/>
              </w:rPr>
              <w:t>71.37%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7"/>
              <w:jc w:val="right"/>
              <w:rPr>
                <w:rFonts w:ascii="Times New Roman" w:hAnsi="Times New Roman" w:cs="Times New Roman" w:eastAsia="Times New Roman" w:hint="default"/>
                <w:sz w:val="21"/>
                <w:szCs w:val="21"/>
              </w:rPr>
            </w:pPr>
            <w:r>
              <w:rPr>
                <w:rFonts w:ascii="Times New Roman"/>
                <w:spacing w:val="-1"/>
                <w:sz w:val="21"/>
              </w:rPr>
              <w:t>912,241,811.08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23"/>
              <w:jc w:val="right"/>
              <w:rPr>
                <w:rFonts w:ascii="Times New Roman" w:hAnsi="Times New Roman" w:cs="Times New Roman" w:eastAsia="Times New Roman" w:hint="default"/>
                <w:sz w:val="21"/>
                <w:szCs w:val="21"/>
              </w:rPr>
            </w:pPr>
            <w:r>
              <w:rPr>
                <w:rFonts w:ascii="Times New Roman"/>
                <w:sz w:val="21"/>
              </w:rPr>
              <w:t>48.31%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137" w:right="0"/>
              <w:jc w:val="center"/>
              <w:rPr>
                <w:rFonts w:ascii="Times New Roman" w:hAnsi="Times New Roman" w:cs="Times New Roman" w:eastAsia="Times New Roman" w:hint="default"/>
                <w:sz w:val="21"/>
                <w:szCs w:val="21"/>
              </w:rPr>
            </w:pPr>
            <w:r>
              <w:rPr>
                <w:rFonts w:ascii="Times New Roman"/>
                <w:sz w:val="21"/>
              </w:rPr>
              <w:t>23.06%</w:t>
            </w:r>
          </w:p>
        </w:tc>
        <w:tc>
          <w:tcPr>
            <w:tcW w:w="2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3" w:right="0"/>
              <w:jc w:val="left"/>
              <w:rPr>
                <w:rFonts w:ascii="宋体" w:hAnsi="宋体" w:cs="宋体" w:eastAsia="宋体" w:hint="default"/>
                <w:sz w:val="21"/>
                <w:szCs w:val="21"/>
              </w:rPr>
            </w:pPr>
            <w:r>
              <w:rPr>
                <w:rFonts w:ascii="宋体" w:hAnsi="宋体" w:cs="宋体" w:eastAsia="宋体" w:hint="default"/>
                <w:sz w:val="21"/>
                <w:szCs w:val="21"/>
              </w:rPr>
              <w:t>本期新增子公司合并报表</w:t>
            </w:r>
          </w:p>
        </w:tc>
      </w:tr>
      <w:tr>
        <w:trPr>
          <w:trHeight w:val="562" w:hRule="exact"/>
        </w:trPr>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9"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288,865,939.41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10.07%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pacing w:val="-1"/>
                <w:sz w:val="21"/>
              </w:rPr>
              <w:t>367,041,939.04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19.44%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171" w:right="0"/>
              <w:jc w:val="center"/>
              <w:rPr>
                <w:rFonts w:ascii="Times New Roman" w:hAnsi="Times New Roman" w:cs="Times New Roman" w:eastAsia="Times New Roman" w:hint="default"/>
                <w:sz w:val="21"/>
                <w:szCs w:val="21"/>
              </w:rPr>
            </w:pPr>
            <w:r>
              <w:rPr>
                <w:rFonts w:ascii="Times New Roman"/>
                <w:sz w:val="21"/>
              </w:rPr>
              <w:t>-9.37%</w:t>
            </w:r>
          </w:p>
        </w:tc>
        <w:tc>
          <w:tcPr>
            <w:tcW w:w="271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z w:val="21"/>
                <w:szCs w:val="21"/>
              </w:rPr>
              <w:t>本期出售存量物业新风花园</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商铺</w:t>
            </w:r>
          </w:p>
        </w:tc>
      </w:tr>
      <w:tr>
        <w:trPr>
          <w:trHeight w:val="562" w:hRule="exact"/>
        </w:trPr>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9"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z w:val="21"/>
              </w:rPr>
              <w:t>67,041,089.37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2.34%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17"/>
              <w:jc w:val="right"/>
              <w:rPr>
                <w:rFonts w:ascii="Times New Roman" w:hAnsi="Times New Roman" w:cs="Times New Roman" w:eastAsia="Times New Roman" w:hint="default"/>
                <w:sz w:val="21"/>
                <w:szCs w:val="21"/>
              </w:rPr>
            </w:pPr>
            <w:r>
              <w:rPr>
                <w:rFonts w:ascii="Times New Roman"/>
                <w:sz w:val="21"/>
              </w:rPr>
              <w:t>7,136,384.54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right="23"/>
              <w:jc w:val="right"/>
              <w:rPr>
                <w:rFonts w:ascii="Times New Roman" w:hAnsi="Times New Roman" w:cs="Times New Roman" w:eastAsia="Times New Roman" w:hint="default"/>
                <w:sz w:val="21"/>
                <w:szCs w:val="21"/>
              </w:rPr>
            </w:pPr>
            <w:r>
              <w:rPr>
                <w:rFonts w:ascii="Times New Roman"/>
                <w:sz w:val="21"/>
              </w:rPr>
              <w:t>0.38%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43" w:right="0"/>
              <w:jc w:val="center"/>
              <w:rPr>
                <w:rFonts w:ascii="Times New Roman" w:hAnsi="Times New Roman" w:cs="Times New Roman" w:eastAsia="Times New Roman" w:hint="default"/>
                <w:sz w:val="21"/>
                <w:szCs w:val="21"/>
              </w:rPr>
            </w:pPr>
            <w:r>
              <w:rPr>
                <w:rFonts w:ascii="Times New Roman"/>
                <w:sz w:val="21"/>
              </w:rPr>
              <w:t>1.96%</w:t>
            </w:r>
          </w:p>
        </w:tc>
        <w:tc>
          <w:tcPr>
            <w:tcW w:w="2712"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3" w:right="0"/>
              <w:jc w:val="left"/>
              <w:rPr>
                <w:rFonts w:ascii="宋体" w:hAnsi="宋体" w:cs="宋体" w:eastAsia="宋体" w:hint="default"/>
                <w:sz w:val="21"/>
                <w:szCs w:val="21"/>
              </w:rPr>
            </w:pPr>
            <w:r>
              <w:rPr>
                <w:rFonts w:ascii="宋体" w:hAnsi="宋体" w:cs="宋体" w:eastAsia="宋体" w:hint="default"/>
                <w:spacing w:val="-7"/>
                <w:sz w:val="21"/>
                <w:szCs w:val="21"/>
              </w:rPr>
              <w:t>本期新增子公司合并报表，西</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安紫韵项目预付土地款</w:t>
            </w:r>
          </w:p>
        </w:tc>
      </w:tr>
      <w:tr>
        <w:trPr>
          <w:trHeight w:val="499" w:hRule="exact"/>
        </w:trPr>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19"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7"/>
              <w:jc w:val="right"/>
              <w:rPr>
                <w:rFonts w:ascii="Times New Roman" w:hAnsi="Times New Roman" w:cs="Times New Roman" w:eastAsia="Times New Roman" w:hint="default"/>
                <w:sz w:val="21"/>
                <w:szCs w:val="21"/>
              </w:rPr>
            </w:pPr>
            <w:r>
              <w:rPr>
                <w:rFonts w:ascii="Times New Roman"/>
                <w:sz w:val="21"/>
              </w:rPr>
              <w:t>82,738,287.83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23"/>
              <w:jc w:val="right"/>
              <w:rPr>
                <w:rFonts w:ascii="Times New Roman" w:hAnsi="Times New Roman" w:cs="Times New Roman" w:eastAsia="Times New Roman" w:hint="default"/>
                <w:sz w:val="21"/>
                <w:szCs w:val="21"/>
              </w:rPr>
            </w:pPr>
            <w:r>
              <w:rPr>
                <w:rFonts w:ascii="Times New Roman"/>
                <w:sz w:val="21"/>
              </w:rPr>
              <w:t>2.88%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7"/>
              <w:jc w:val="right"/>
              <w:rPr>
                <w:rFonts w:ascii="Times New Roman" w:hAnsi="Times New Roman" w:cs="Times New Roman" w:eastAsia="Times New Roman" w:hint="default"/>
                <w:sz w:val="21"/>
                <w:szCs w:val="21"/>
              </w:rPr>
            </w:pPr>
            <w:r>
              <w:rPr>
                <w:rFonts w:ascii="Times New Roman"/>
                <w:sz w:val="21"/>
              </w:rPr>
              <w:t>28,947,899.34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23"/>
              <w:jc w:val="right"/>
              <w:rPr>
                <w:rFonts w:ascii="Times New Roman" w:hAnsi="Times New Roman" w:cs="Times New Roman" w:eastAsia="Times New Roman" w:hint="default"/>
                <w:sz w:val="21"/>
                <w:szCs w:val="21"/>
              </w:rPr>
            </w:pPr>
            <w:r>
              <w:rPr>
                <w:rFonts w:ascii="Times New Roman"/>
                <w:sz w:val="21"/>
              </w:rPr>
              <w:t>1.53%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left="243" w:right="0"/>
              <w:jc w:val="center"/>
              <w:rPr>
                <w:rFonts w:ascii="Times New Roman" w:hAnsi="Times New Roman" w:cs="Times New Roman" w:eastAsia="Times New Roman" w:hint="default"/>
                <w:sz w:val="21"/>
                <w:szCs w:val="21"/>
              </w:rPr>
            </w:pPr>
            <w:r>
              <w:rPr>
                <w:rFonts w:ascii="Times New Roman"/>
                <w:sz w:val="21"/>
              </w:rPr>
              <w:t>1.35%</w:t>
            </w:r>
          </w:p>
        </w:tc>
        <w:tc>
          <w:tcPr>
            <w:tcW w:w="2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3" w:right="0"/>
              <w:jc w:val="left"/>
              <w:rPr>
                <w:rFonts w:ascii="宋体" w:hAnsi="宋体" w:cs="宋体" w:eastAsia="宋体" w:hint="default"/>
                <w:sz w:val="21"/>
                <w:szCs w:val="21"/>
              </w:rPr>
            </w:pPr>
            <w:r>
              <w:rPr>
                <w:rFonts w:ascii="宋体" w:hAnsi="宋体" w:cs="宋体" w:eastAsia="宋体" w:hint="default"/>
                <w:sz w:val="21"/>
                <w:szCs w:val="21"/>
              </w:rPr>
              <w:t>本期新增子公司合并报表</w:t>
            </w:r>
          </w:p>
        </w:tc>
      </w:tr>
    </w:tbl>
    <w:p>
      <w:pPr>
        <w:spacing w:after="0" w:line="240" w:lineRule="auto"/>
        <w:jc w:val="left"/>
        <w:rPr>
          <w:rFonts w:ascii="宋体" w:hAnsi="宋体" w:cs="宋体" w:eastAsia="宋体" w:hint="default"/>
          <w:sz w:val="21"/>
          <w:szCs w:val="21"/>
        </w:rPr>
        <w:sectPr>
          <w:pgSz w:w="11900" w:h="16840"/>
          <w:pgMar w:header="872" w:footer="957" w:top="1120" w:bottom="1180" w:left="800" w:right="780"/>
        </w:sectPr>
      </w:pPr>
    </w:p>
    <w:p>
      <w:pPr>
        <w:spacing w:line="240" w:lineRule="auto" w:before="11"/>
        <w:rPr>
          <w:rFonts w:ascii="宋体" w:hAnsi="宋体" w:cs="宋体" w:eastAsia="宋体" w:hint="default"/>
          <w:sz w:val="18"/>
          <w:szCs w:val="18"/>
        </w:rPr>
      </w:pPr>
    </w:p>
    <w:p>
      <w:pPr>
        <w:pStyle w:val="Heading6"/>
        <w:spacing w:line="335" w:lineRule="exact"/>
        <w:ind w:left="152" w:right="0"/>
        <w:jc w:val="left"/>
        <w:rPr>
          <w:b w:val="0"/>
          <w:bCs w:val="0"/>
        </w:rPr>
      </w:pPr>
      <w:r>
        <w:rPr>
          <w:rFonts w:ascii="Times New Roman" w:hAnsi="Times New Roman" w:cs="Times New Roman" w:eastAsia="Times New Roman" w:hint="default"/>
        </w:rPr>
        <w:t>2</w:t>
      </w:r>
      <w:r>
        <w:rPr/>
        <w:t>、负债项目重大变动情况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BodyText"/>
        <w:spacing w:line="240" w:lineRule="auto" w:before="36"/>
        <w:ind w:left="0" w:right="146"/>
        <w:jc w:val="right"/>
      </w:pPr>
      <w:r>
        <w:rPr/>
        <w:pict>
          <v:group style="position:absolute;margin-left:56.400002pt;margin-top:17.183649pt;width:479.05pt;height:140.65pt;mso-position-horizontal-relative:page;mso-position-vertical-relative:paragraph;z-index:-1000072" coordorigin="1128,344" coordsize="9581,2813">
            <v:group style="position:absolute;left:2518;top:358;width:2;height:274" coordorigin="2518,358" coordsize="2,274">
              <v:shape style="position:absolute;left:2518;top:358;width:2;height:274" coordorigin="2518,358" coordsize="0,274" path="m2518,358l2518,632e" filled="false" stroked="true" strokeweight="1.2pt" strokecolor="#d2d2d2">
                <v:path arrowok="t"/>
              </v:shape>
            </v:group>
            <v:group style="position:absolute;left:4946;top:358;width:2;height:274" coordorigin="4946,358" coordsize="2,274">
              <v:shape style="position:absolute;left:4946;top:358;width:2;height:274" coordorigin="4946,358" coordsize="0,274" path="m4946,358l4946,632e" filled="false" stroked="true" strokeweight="1.2pt" strokecolor="#d2d2d2">
                <v:path arrowok="t"/>
              </v:shape>
            </v:group>
            <v:group style="position:absolute;left:2530;top:358;width:2405;height:274" coordorigin="2530,358" coordsize="2405,274">
              <v:shape style="position:absolute;left:2530;top:358;width:2405;height:274" coordorigin="2530,358" coordsize="2405,274" path="m2530,632l4934,632,4934,358,2530,358,2530,632xe" filled="true" fillcolor="#d2d2d2" stroked="false">
                <v:path arrowok="t"/>
                <v:fill type="solid"/>
              </v:shape>
            </v:group>
            <v:group style="position:absolute;left:4978;top:358;width:2;height:274" coordorigin="4978,358" coordsize="2,274">
              <v:shape style="position:absolute;left:4978;top:358;width:2;height:274" coordorigin="4978,358" coordsize="0,274" path="m4978,358l4978,632e" filled="false" stroked="true" strokeweight=".96pt" strokecolor="#d2d2d2">
                <v:path arrowok="t"/>
              </v:shape>
            </v:group>
            <v:group style="position:absolute;left:7351;top:358;width:2;height:274" coordorigin="7351,358" coordsize="2,274">
              <v:shape style="position:absolute;left:7351;top:358;width:2;height:274" coordorigin="7351,358" coordsize="0,274" path="m7351,358l7351,632e" filled="false" stroked="true" strokeweight="1.2pt" strokecolor="#d2d2d2">
                <v:path arrowok="t"/>
              </v:shape>
            </v:group>
            <v:group style="position:absolute;left:4987;top:358;width:2352;height:274" coordorigin="4987,358" coordsize="2352,274">
              <v:shape style="position:absolute;left:4987;top:358;width:2352;height:274" coordorigin="4987,358" coordsize="2352,274" path="m4987,632l7339,632,7339,358,4987,358,4987,632xe" filled="true" fillcolor="#d2d2d2" stroked="false">
                <v:path arrowok="t"/>
                <v:fill type="solid"/>
              </v:shape>
            </v:group>
            <v:group style="position:absolute;left:1138;top:353;width:1359;height:2" coordorigin="1138,353" coordsize="1359,2">
              <v:shape style="position:absolute;left:1138;top:353;width:1359;height:2" coordorigin="1138,353" coordsize="1359,0" path="m1138,353l2496,353e" filled="false" stroked="true" strokeweight=".48pt" strokecolor="#000000">
                <v:path arrowok="t"/>
              </v:shape>
            </v:group>
            <v:group style="position:absolute;left:2506;top:353;width:2453;height:2" coordorigin="2506,353" coordsize="2453,2">
              <v:shape style="position:absolute;left:2506;top:353;width:2453;height:2" coordorigin="2506,353" coordsize="2453,0" path="m2506,353l4958,353e" filled="false" stroked="true" strokeweight=".48pt" strokecolor="#000000">
                <v:path arrowok="t"/>
              </v:shape>
            </v:group>
            <v:group style="position:absolute;left:4968;top:353;width:2396;height:2" coordorigin="4968,353" coordsize="2396,2">
              <v:shape style="position:absolute;left:4968;top:353;width:2396;height:2" coordorigin="4968,353" coordsize="2396,0" path="m4968,353l7363,353e" filled="false" stroked="true" strokeweight=".48pt" strokecolor="#000000">
                <v:path arrowok="t"/>
              </v:shape>
            </v:group>
            <v:group style="position:absolute;left:7373;top:353;width:701;height:2" coordorigin="7373,353" coordsize="701,2">
              <v:shape style="position:absolute;left:7373;top:353;width:701;height:2" coordorigin="7373,353" coordsize="701,0" path="m7373,353l8074,353e" filled="false" stroked="true" strokeweight=".48pt" strokecolor="#000000">
                <v:path arrowok="t"/>
              </v:shape>
            </v:group>
            <v:group style="position:absolute;left:8083;top:353;width:2616;height:2" coordorigin="8083,353" coordsize="2616,2">
              <v:shape style="position:absolute;left:8083;top:353;width:2616;height:2" coordorigin="8083,353" coordsize="2616,0" path="m8083,353l10699,353e" filled="false" stroked="true" strokeweight=".48pt" strokecolor="#000000">
                <v:path arrowok="t"/>
              </v:shape>
            </v:group>
            <v:group style="position:absolute;left:1138;top:890;width:1359;height:298" coordorigin="1138,890" coordsize="1359,298">
              <v:shape style="position:absolute;left:1138;top:890;width:1359;height:298" coordorigin="1138,890" coordsize="1359,298" path="m1138,1188l2496,1188,2496,890,1138,890,1138,1188xe" filled="true" fillcolor="#d2d2d2" stroked="false">
                <v:path arrowok="t"/>
                <v:fill type="solid"/>
              </v:shape>
            </v:group>
            <v:group style="position:absolute;left:1150;top:646;width:2;height:244" coordorigin="1150,646" coordsize="2,244">
              <v:shape style="position:absolute;left:1150;top:646;width:2;height:244" coordorigin="1150,646" coordsize="0,244" path="m1150,646l1150,890e" filled="false" stroked="true" strokeweight="1.2pt" strokecolor="#d2d2d2">
                <v:path arrowok="t"/>
              </v:shape>
            </v:group>
            <v:group style="position:absolute;left:1138;top:358;width:1359;height:288" coordorigin="1138,358" coordsize="1359,288">
              <v:shape style="position:absolute;left:1138;top:358;width:1359;height:288" coordorigin="1138,358" coordsize="1359,288" path="m1138,646l2496,646,2496,358,1138,358,1138,646xe" filled="true" fillcolor="#d2d2d2" stroked="false">
                <v:path arrowok="t"/>
                <v:fill type="solid"/>
              </v:shape>
            </v:group>
            <v:group style="position:absolute;left:2486;top:646;width:2;height:245" coordorigin="2486,646" coordsize="2,245">
              <v:shape style="position:absolute;left:2486;top:646;width:2;height:245" coordorigin="2486,646" coordsize="0,245" path="m2486,646l2486,891e" filled="false" stroked="true" strokeweight=".96pt" strokecolor="#d2d2d2">
                <v:path arrowok="t"/>
              </v:shape>
            </v:group>
            <v:group style="position:absolute;left:1162;top:646;width:1316;height:245" coordorigin="1162,646" coordsize="1316,245">
              <v:shape style="position:absolute;left:1162;top:646;width:1316;height:245" coordorigin="1162,646" coordsize="1316,245" path="m1162,891l2477,891,2477,646,1162,646,1162,891xe" filled="true" fillcolor="#d2d2d2" stroked="false">
                <v:path arrowok="t"/>
                <v:fill type="solid"/>
              </v:shape>
            </v:group>
            <v:group style="position:absolute;left:2506;top:641;width:1460;height:135" coordorigin="2506,641" coordsize="1460,135">
              <v:shape style="position:absolute;left:2506;top:641;width:1460;height:135" coordorigin="2506,641" coordsize="1460,135" path="m3965,641l2506,641,2506,776,3965,776,3965,641xe" filled="true" fillcolor="#d2d2d2" stroked="false">
                <v:path arrowok="t"/>
                <v:fill type="solid"/>
              </v:shape>
            </v:group>
            <v:group style="position:absolute;left:2506;top:1050;width:1460;height:138" coordorigin="2506,1050" coordsize="1460,138">
              <v:shape style="position:absolute;left:2506;top:1050;width:1460;height:138" coordorigin="2506,1050" coordsize="1460,138" path="m2506,1188l3965,1188,3965,1050,2506,1050,2506,1188xe" filled="true" fillcolor="#d2d2d2" stroked="false">
                <v:path arrowok="t"/>
                <v:fill type="solid"/>
              </v:shape>
            </v:group>
            <v:group style="position:absolute;left:2518;top:776;width:2;height:274" coordorigin="2518,776" coordsize="2,274">
              <v:shape style="position:absolute;left:2518;top:776;width:2;height:274" coordorigin="2518,776" coordsize="0,274" path="m2518,776l2518,1050e" filled="false" stroked="true" strokeweight="1.2pt" strokecolor="#d2d2d2">
                <v:path arrowok="t"/>
              </v:shape>
            </v:group>
            <v:group style="position:absolute;left:3953;top:776;width:2;height:274" coordorigin="3953,776" coordsize="2,274">
              <v:shape style="position:absolute;left:3953;top:776;width:2;height:274" coordorigin="3953,776" coordsize="0,274" path="m3953,776l3953,1049e" filled="false" stroked="true" strokeweight="1.1999pt" strokecolor="#d2d2d2">
                <v:path arrowok="t"/>
              </v:shape>
            </v:group>
            <v:group style="position:absolute;left:2530;top:776;width:1412;height:274" coordorigin="2530,776" coordsize="1412,274">
              <v:shape style="position:absolute;left:2530;top:776;width:1412;height:274" coordorigin="2530,776" coordsize="1412,274" path="m2530,1049l3941,1049,3941,776,2530,776,2530,1049xe" filled="true" fillcolor="#d2d2d2" stroked="false">
                <v:path arrowok="t"/>
                <v:fill type="solid"/>
              </v:shape>
            </v:group>
            <v:group style="position:absolute;left:3984;top:641;width:2;height:548" coordorigin="3984,641" coordsize="2,548">
              <v:shape style="position:absolute;left:3984;top:641;width:2;height:548" coordorigin="3984,641" coordsize="0,548" path="m3984,641l3984,1188e" filled="false" stroked="true" strokeweight=".96pt" strokecolor="#d2d2d2">
                <v:path arrowok="t"/>
              </v:shape>
            </v:group>
            <v:group style="position:absolute;left:4944;top:641;width:2;height:548" coordorigin="4944,641" coordsize="2,548">
              <v:shape style="position:absolute;left:4944;top:641;width:2;height:548" coordorigin="4944,641" coordsize="0,548" path="m4944,641l4944,1188e" filled="false" stroked="true" strokeweight="1.44pt" strokecolor="#d2d2d2">
                <v:path arrowok="t"/>
              </v:shape>
            </v:group>
            <v:group style="position:absolute;left:3994;top:641;width:936;height:274" coordorigin="3994,641" coordsize="936,274">
              <v:shape style="position:absolute;left:3994;top:641;width:936;height:274" coordorigin="3994,641" coordsize="936,274" path="m3994,915l4930,915,4930,641,3994,641,3994,915xe" filled="true" fillcolor="#d2d2d2" stroked="false">
                <v:path arrowok="t"/>
                <v:fill type="solid"/>
              </v:shape>
            </v:group>
            <v:group style="position:absolute;left:3994;top:915;width:936;height:274" coordorigin="3994,915" coordsize="936,274">
              <v:shape style="position:absolute;left:3994;top:915;width:936;height:274" coordorigin="3994,915" coordsize="936,274" path="m3994,1188l4930,1188,4930,915,3994,915,3994,1188xe" filled="true" fillcolor="#d2d2d2" stroked="false">
                <v:path arrowok="t"/>
                <v:fill type="solid"/>
              </v:shape>
            </v:group>
            <v:group style="position:absolute;left:4968;top:641;width:1407;height:135" coordorigin="4968,641" coordsize="1407,135">
              <v:shape style="position:absolute;left:4968;top:641;width:1407;height:135" coordorigin="4968,641" coordsize="1407,135" path="m6374,641l4968,641,4968,776,6374,776,6374,641xe" filled="true" fillcolor="#d2d2d2" stroked="false">
                <v:path arrowok="t"/>
                <v:fill type="solid"/>
              </v:shape>
            </v:group>
            <v:group style="position:absolute;left:4968;top:1050;width:1407;height:138" coordorigin="4968,1050" coordsize="1407,138">
              <v:shape style="position:absolute;left:4968;top:1050;width:1407;height:138" coordorigin="4968,1050" coordsize="1407,138" path="m4968,1188l6374,1188,6374,1050,4968,1050,4968,1188xe" filled="true" fillcolor="#d2d2d2" stroked="false">
                <v:path arrowok="t"/>
                <v:fill type="solid"/>
              </v:shape>
            </v:group>
            <v:group style="position:absolute;left:4978;top:776;width:2;height:274" coordorigin="4978,776" coordsize="2,274">
              <v:shape style="position:absolute;left:4978;top:776;width:2;height:274" coordorigin="4978,776" coordsize="0,274" path="m4978,776l4978,1050e" filled="false" stroked="true" strokeweight=".96pt" strokecolor="#d2d2d2">
                <v:path arrowok="t"/>
              </v:shape>
            </v:group>
            <v:group style="position:absolute;left:6362;top:776;width:2;height:274" coordorigin="6362,776" coordsize="2,274">
              <v:shape style="position:absolute;left:6362;top:776;width:2;height:274" coordorigin="6362,776" coordsize="0,274" path="m6362,776l6362,1049e" filled="false" stroked="true" strokeweight="1.1999pt" strokecolor="#d2d2d2">
                <v:path arrowok="t"/>
              </v:shape>
            </v:group>
            <v:group style="position:absolute;left:4987;top:776;width:1364;height:274" coordorigin="4987,776" coordsize="1364,274">
              <v:shape style="position:absolute;left:4987;top:776;width:1364;height:274" coordorigin="4987,776" coordsize="1364,274" path="m4987,1049l6350,1049,6350,776,4987,776,4987,1049xe" filled="true" fillcolor="#d2d2d2" stroked="false">
                <v:path arrowok="t"/>
                <v:fill type="solid"/>
              </v:shape>
            </v:group>
            <v:group style="position:absolute;left:6396;top:641;width:2;height:548" coordorigin="6396,641" coordsize="2,548">
              <v:shape style="position:absolute;left:6396;top:641;width:2;height:548" coordorigin="6396,641" coordsize="0,548" path="m6396,641l6396,1188e" filled="false" stroked="true" strokeweight="1.2pt" strokecolor="#d2d2d2">
                <v:path arrowok="t"/>
              </v:shape>
            </v:group>
            <v:group style="position:absolute;left:7354;top:641;width:2;height:548" coordorigin="7354,641" coordsize="2,548">
              <v:shape style="position:absolute;left:7354;top:641;width:2;height:548" coordorigin="7354,641" coordsize="0,548" path="m7354,641l7354,1188e" filled="false" stroked="true" strokeweight=".96pt" strokecolor="#d2d2d2">
                <v:path arrowok="t"/>
              </v:shape>
            </v:group>
            <v:group style="position:absolute;left:6408;top:641;width:936;height:274" coordorigin="6408,641" coordsize="936,274">
              <v:shape style="position:absolute;left:6408;top:641;width:936;height:274" coordorigin="6408,641" coordsize="936,274" path="m6408,915l7344,915,7344,641,6408,641,6408,915xe" filled="true" fillcolor="#d2d2d2" stroked="false">
                <v:path arrowok="t"/>
                <v:fill type="solid"/>
              </v:shape>
            </v:group>
            <v:group style="position:absolute;left:6408;top:915;width:936;height:274" coordorigin="6408,915" coordsize="936,274">
              <v:shape style="position:absolute;left:6408;top:915;width:936;height:274" coordorigin="6408,915" coordsize="936,274" path="m6408,1188l7344,1188,7344,915,6408,915,6408,1188xe" filled="true" fillcolor="#d2d2d2" stroked="false">
                <v:path arrowok="t"/>
                <v:fill type="solid"/>
              </v:shape>
            </v:group>
            <v:group style="position:absolute;left:7373;top:1040;width:701;height:148" coordorigin="7373,1040" coordsize="701,148">
              <v:shape style="position:absolute;left:7373;top:1040;width:701;height:148" coordorigin="7373,1040" coordsize="701,148" path="m7373,1188l8074,1188,8074,1040,7373,1040,7373,1188xe" filled="true" fillcolor="#d2d2d2" stroked="false">
                <v:path arrowok="t"/>
                <v:fill type="solid"/>
              </v:shape>
            </v:group>
            <v:group style="position:absolute;left:7385;top:492;width:2;height:548" coordorigin="7385,492" coordsize="2,548">
              <v:shape style="position:absolute;left:7385;top:492;width:2;height:548" coordorigin="7385,492" coordsize="0,548" path="m7385,492l7385,1040e" filled="false" stroked="true" strokeweight="1.2pt" strokecolor="#d2d2d2">
                <v:path arrowok="t"/>
              </v:shape>
            </v:group>
            <v:group style="position:absolute;left:7373;top:358;width:701;height:134" coordorigin="7373,358" coordsize="701,134">
              <v:shape style="position:absolute;left:7373;top:358;width:701;height:134" coordorigin="7373,358" coordsize="701,134" path="m7373,492l8074,492,8074,358,7373,358,7373,492xe" filled="true" fillcolor="#d2d2d2" stroked="false">
                <v:path arrowok="t"/>
                <v:fill type="solid"/>
              </v:shape>
            </v:group>
            <v:group style="position:absolute;left:8062;top:492;width:2;height:548" coordorigin="8062,492" coordsize="2,548">
              <v:shape style="position:absolute;left:8062;top:492;width:2;height:548" coordorigin="8062,492" coordsize="0,548" path="m8062,492l8062,1040e" filled="false" stroked="true" strokeweight="1.2pt" strokecolor="#d2d2d2">
                <v:path arrowok="t"/>
              </v:shape>
            </v:group>
            <v:group style="position:absolute;left:7397;top:492;width:653;height:274" coordorigin="7397,492" coordsize="653,274">
              <v:shape style="position:absolute;left:7397;top:492;width:653;height:274" coordorigin="7397,492" coordsize="653,274" path="m7397,766l8050,766,8050,492,7397,492,7397,766xe" filled="true" fillcolor="#d2d2d2" stroked="false">
                <v:path arrowok="t"/>
                <v:fill type="solid"/>
              </v:shape>
            </v:group>
            <v:group style="position:absolute;left:7397;top:766;width:653;height:274" coordorigin="7397,766" coordsize="653,274">
              <v:shape style="position:absolute;left:7397;top:766;width:653;height:274" coordorigin="7397,766" coordsize="653,274" path="m7397,1040l8050,1040,8050,766,7397,766,7397,1040xe" filled="true" fillcolor="#d2d2d2" stroked="false">
                <v:path arrowok="t"/>
                <v:fill type="solid"/>
              </v:shape>
            </v:group>
            <v:group style="position:absolute;left:8095;top:626;width:2;height:274" coordorigin="8095,626" coordsize="2,274">
              <v:shape style="position:absolute;left:8095;top:626;width:2;height:274" coordorigin="8095,626" coordsize="0,274" path="m8095,626l8095,900e" filled="false" stroked="true" strokeweight="1.2pt" strokecolor="#d2d2d2">
                <v:path arrowok="t"/>
              </v:shape>
            </v:group>
            <v:group style="position:absolute;left:8083;top:358;width:2616;height:268" coordorigin="8083,358" coordsize="2616,268">
              <v:shape style="position:absolute;left:8083;top:358;width:2616;height:268" coordorigin="8083,358" coordsize="2616,268" path="m8083,626l10699,626,10699,358,8083,358,8083,626xe" filled="true" fillcolor="#d2d2d2" stroked="false">
                <v:path arrowok="t"/>
                <v:fill type="solid"/>
              </v:shape>
            </v:group>
            <v:group style="position:absolute;left:10687;top:627;width:2;height:274" coordorigin="10687,627" coordsize="2,274">
              <v:shape style="position:absolute;left:10687;top:627;width:2;height:274" coordorigin="10687,627" coordsize="0,274" path="m10687,627l10687,900e" filled="false" stroked="true" strokeweight="1.2pt" strokecolor="#d2d2d2">
                <v:path arrowok="t"/>
              </v:shape>
            </v:group>
            <v:group style="position:absolute;left:8083;top:900;width:2616;height:288" coordorigin="8083,900" coordsize="2616,288">
              <v:shape style="position:absolute;left:8083;top:900;width:2616;height:288" coordorigin="8083,900" coordsize="2616,288" path="m10699,900l8083,900,8083,1188,10699,1188,10699,900xe" filled="true" fillcolor="#d2d2d2" stroked="false">
                <v:path arrowok="t"/>
                <v:fill type="solid"/>
              </v:shape>
            </v:group>
            <v:group style="position:absolute;left:8107;top:627;width:2568;height:274" coordorigin="8107,627" coordsize="2568,274">
              <v:shape style="position:absolute;left:8107;top:627;width:2568;height:274" coordorigin="8107,627" coordsize="2568,274" path="m8107,900l10675,900,10675,627,8107,627,8107,900xe" filled="true" fillcolor="#d2d2d2" stroked="false">
                <v:path arrowok="t"/>
                <v:fill type="solid"/>
              </v:shape>
            </v:group>
            <v:group style="position:absolute;left:2506;top:636;width:1460;height:2" coordorigin="2506,636" coordsize="1460,2">
              <v:shape style="position:absolute;left:2506;top:636;width:1460;height:2" coordorigin="2506,636" coordsize="1460,0" path="m2506,636l3965,636e" filled="false" stroked="true" strokeweight=".48pt" strokecolor="#000000">
                <v:path arrowok="t"/>
              </v:shape>
            </v:group>
            <v:group style="position:absolute;left:3974;top:636;width:984;height:2" coordorigin="3974,636" coordsize="984,2">
              <v:shape style="position:absolute;left:3974;top:636;width:984;height:2" coordorigin="3974,636" coordsize="984,0" path="m3974,636l4958,636e" filled="false" stroked="true" strokeweight=".48pt" strokecolor="#000000">
                <v:path arrowok="t"/>
              </v:shape>
            </v:group>
            <v:group style="position:absolute;left:4968;top:636;width:1407;height:2" coordorigin="4968,636" coordsize="1407,2">
              <v:shape style="position:absolute;left:4968;top:636;width:1407;height:2" coordorigin="4968,636" coordsize="1407,0" path="m4968,636l6374,636e" filled="false" stroked="true" strokeweight=".48pt" strokecolor="#000000">
                <v:path arrowok="t"/>
              </v:shape>
            </v:group>
            <v:group style="position:absolute;left:6384;top:636;width:980;height:2" coordorigin="6384,636" coordsize="980,2">
              <v:shape style="position:absolute;left:6384;top:636;width:980;height:2" coordorigin="6384,636" coordsize="980,0" path="m6384,636l7363,636e" filled="false" stroked="true" strokeweight=".48pt" strokecolor="#000000">
                <v:path arrowok="t"/>
              </v:shape>
            </v:group>
            <v:group style="position:absolute;left:1150;top:1198;width:2;height:269" coordorigin="1150,1198" coordsize="2,269">
              <v:shape style="position:absolute;left:1150;top:1198;width:2;height:269" coordorigin="1150,1198" coordsize="0,269" path="m1150,1198l1150,1467e" filled="false" stroked="true" strokeweight="1.2pt" strokecolor="#d2d2d2">
                <v:path arrowok="t"/>
              </v:shape>
            </v:group>
            <v:group style="position:absolute;left:2486;top:1198;width:2;height:269" coordorigin="2486,1198" coordsize="2,269">
              <v:shape style="position:absolute;left:2486;top:1198;width:2;height:269" coordorigin="2486,1198" coordsize="0,269" path="m2486,1198l2486,1467e" filled="false" stroked="true" strokeweight=".96pt" strokecolor="#d2d2d2">
                <v:path arrowok="t"/>
              </v:shape>
            </v:group>
            <v:group style="position:absolute;left:1162;top:1198;width:1316;height:269" coordorigin="1162,1198" coordsize="1316,269">
              <v:shape style="position:absolute;left:1162;top:1198;width:1316;height:269" coordorigin="1162,1198" coordsize="1316,269" path="m1162,1467l2477,1467,2477,1198,1162,1198,1162,1467xe" filled="true" fillcolor="#d2d2d2" stroked="false">
                <v:path arrowok="t"/>
                <v:fill type="solid"/>
              </v:shape>
            </v:group>
            <v:group style="position:absolute;left:1138;top:1193;width:1359;height:2" coordorigin="1138,1193" coordsize="1359,2">
              <v:shape style="position:absolute;left:1138;top:1193;width:1359;height:2" coordorigin="1138,1193" coordsize="1359,0" path="m1138,1193l2496,1193e" filled="false" stroked="true" strokeweight=".48pt" strokecolor="#000000">
                <v:path arrowok="t"/>
              </v:shape>
            </v:group>
            <v:group style="position:absolute;left:2506;top:1193;width:1460;height:2" coordorigin="2506,1193" coordsize="1460,2">
              <v:shape style="position:absolute;left:2506;top:1193;width:1460;height:2" coordorigin="2506,1193" coordsize="1460,0" path="m2506,1193l3965,1193e" filled="false" stroked="true" strokeweight=".48pt" strokecolor="#000000">
                <v:path arrowok="t"/>
              </v:shape>
            </v:group>
            <v:group style="position:absolute;left:3974;top:1193;width:984;height:2" coordorigin="3974,1193" coordsize="984,2">
              <v:shape style="position:absolute;left:3974;top:1193;width:984;height:2" coordorigin="3974,1193" coordsize="984,0" path="m3974,1193l4958,1193e" filled="false" stroked="true" strokeweight=".48pt" strokecolor="#000000">
                <v:path arrowok="t"/>
              </v:shape>
            </v:group>
            <v:group style="position:absolute;left:4968;top:1193;width:1407;height:2" coordorigin="4968,1193" coordsize="1407,2">
              <v:shape style="position:absolute;left:4968;top:1193;width:1407;height:2" coordorigin="4968,1193" coordsize="1407,0" path="m4968,1193l6374,1193e" filled="false" stroked="true" strokeweight=".48pt" strokecolor="#000000">
                <v:path arrowok="t"/>
              </v:shape>
            </v:group>
            <v:group style="position:absolute;left:6384;top:1193;width:980;height:2" coordorigin="6384,1193" coordsize="980,2">
              <v:shape style="position:absolute;left:6384;top:1193;width:980;height:2" coordorigin="6384,1193" coordsize="980,0" path="m6384,1193l7363,1193e" filled="false" stroked="true" strokeweight=".48pt" strokecolor="#000000">
                <v:path arrowok="t"/>
              </v:shape>
            </v:group>
            <v:group style="position:absolute;left:7373;top:1193;width:701;height:2" coordorigin="7373,1193" coordsize="701,2">
              <v:shape style="position:absolute;left:7373;top:1193;width:701;height:2" coordorigin="7373,1193" coordsize="701,0" path="m7373,1193l8074,1193e" filled="false" stroked="true" strokeweight=".48pt" strokecolor="#000000">
                <v:path arrowok="t"/>
              </v:shape>
            </v:group>
            <v:group style="position:absolute;left:8083;top:1193;width:2616;height:2" coordorigin="8083,1193" coordsize="2616,2">
              <v:shape style="position:absolute;left:8083;top:1193;width:2616;height:2" coordorigin="8083,1193" coordsize="2616,0" path="m8083,1193l10699,1193e" filled="false" stroked="true" strokeweight=".48pt" strokecolor="#000000">
                <v:path arrowok="t"/>
              </v:shape>
            </v:group>
            <v:group style="position:absolute;left:1150;top:1476;width:2;height:274" coordorigin="1150,1476" coordsize="2,274">
              <v:shape style="position:absolute;left:1150;top:1476;width:2;height:274" coordorigin="1150,1476" coordsize="0,274" path="m1150,1476l1150,1750e" filled="false" stroked="true" strokeweight="1.2pt" strokecolor="#d2d2d2">
                <v:path arrowok="t"/>
              </v:shape>
            </v:group>
            <v:group style="position:absolute;left:2486;top:1476;width:2;height:274" coordorigin="2486,1476" coordsize="2,274">
              <v:shape style="position:absolute;left:2486;top:1476;width:2;height:274" coordorigin="2486,1476" coordsize="0,274" path="m2486,1476l2486,1750e" filled="false" stroked="true" strokeweight=".96pt" strokecolor="#d2d2d2">
                <v:path arrowok="t"/>
              </v:shape>
            </v:group>
            <v:group style="position:absolute;left:1162;top:1476;width:1316;height:274" coordorigin="1162,1476" coordsize="1316,274">
              <v:shape style="position:absolute;left:1162;top:1476;width:1316;height:274" coordorigin="1162,1476" coordsize="1316,274" path="m1162,1750l2477,1750,2477,1476,1162,1476,1162,1750xe" filled="true" fillcolor="#d2d2d2" stroked="false">
                <v:path arrowok="t"/>
                <v:fill type="solid"/>
              </v:shape>
            </v:group>
            <v:group style="position:absolute;left:1138;top:1472;width:1359;height:2" coordorigin="1138,1472" coordsize="1359,2">
              <v:shape style="position:absolute;left:1138;top:1472;width:1359;height:2" coordorigin="1138,1472" coordsize="1359,0" path="m1138,1472l2496,1472e" filled="false" stroked="true" strokeweight=".48pt" strokecolor="#000000">
                <v:path arrowok="t"/>
              </v:shape>
            </v:group>
            <v:group style="position:absolute;left:2506;top:1472;width:1460;height:2" coordorigin="2506,1472" coordsize="1460,2">
              <v:shape style="position:absolute;left:2506;top:1472;width:1460;height:2" coordorigin="2506,1472" coordsize="1460,0" path="m2506,1472l3965,1472e" filled="false" stroked="true" strokeweight=".48pt" strokecolor="#000000">
                <v:path arrowok="t"/>
              </v:shape>
            </v:group>
            <v:group style="position:absolute;left:3974;top:1472;width:984;height:2" coordorigin="3974,1472" coordsize="984,2">
              <v:shape style="position:absolute;left:3974;top:1472;width:984;height:2" coordorigin="3974,1472" coordsize="984,0" path="m3974,1472l4958,1472e" filled="false" stroked="true" strokeweight=".48pt" strokecolor="#000000">
                <v:path arrowok="t"/>
              </v:shape>
            </v:group>
            <v:group style="position:absolute;left:4968;top:1472;width:1407;height:2" coordorigin="4968,1472" coordsize="1407,2">
              <v:shape style="position:absolute;left:4968;top:1472;width:1407;height:2" coordorigin="4968,1472" coordsize="1407,0" path="m4968,1472l6374,1472e" filled="false" stroked="true" strokeweight=".48pt" strokecolor="#000000">
                <v:path arrowok="t"/>
              </v:shape>
            </v:group>
            <v:group style="position:absolute;left:6384;top:1472;width:980;height:2" coordorigin="6384,1472" coordsize="980,2">
              <v:shape style="position:absolute;left:6384;top:1472;width:980;height:2" coordorigin="6384,1472" coordsize="980,0" path="m6384,1472l7363,1472e" filled="false" stroked="true" strokeweight=".48pt" strokecolor="#000000">
                <v:path arrowok="t"/>
              </v:shape>
            </v:group>
            <v:group style="position:absolute;left:7373;top:1472;width:701;height:2" coordorigin="7373,1472" coordsize="701,2">
              <v:shape style="position:absolute;left:7373;top:1472;width:701;height:2" coordorigin="7373,1472" coordsize="701,0" path="m7373,1472l8074,1472e" filled="false" stroked="true" strokeweight=".48pt" strokecolor="#000000">
                <v:path arrowok="t"/>
              </v:shape>
            </v:group>
            <v:group style="position:absolute;left:8083;top:1472;width:2616;height:2" coordorigin="8083,1472" coordsize="2616,2">
              <v:shape style="position:absolute;left:8083;top:1472;width:2616;height:2" coordorigin="8083,1472" coordsize="2616,0" path="m8083,1472l10699,1472e" filled="false" stroked="true" strokeweight=".48pt" strokecolor="#000000">
                <v:path arrowok="t"/>
              </v:shape>
            </v:group>
            <v:group style="position:absolute;left:1138;top:1755;width:1359;height:2" coordorigin="1138,1755" coordsize="1359,2">
              <v:shape style="position:absolute;left:1138;top:1755;width:1359;height:2" coordorigin="1138,1755" coordsize="1359,0" path="m1138,1755l2496,1755e" filled="false" stroked="true" strokeweight=".48pt" strokecolor="#000000">
                <v:path arrowok="t"/>
              </v:shape>
            </v:group>
            <v:group style="position:absolute;left:2506;top:1755;width:1460;height:2" coordorigin="2506,1755" coordsize="1460,2">
              <v:shape style="position:absolute;left:2506;top:1755;width:1460;height:2" coordorigin="2506,1755" coordsize="1460,0" path="m2506,1755l3965,1755e" filled="false" stroked="true" strokeweight=".48pt" strokecolor="#000000">
                <v:path arrowok="t"/>
              </v:shape>
            </v:group>
            <v:group style="position:absolute;left:3974;top:1755;width:984;height:2" coordorigin="3974,1755" coordsize="984,2">
              <v:shape style="position:absolute;left:3974;top:1755;width:984;height:2" coordorigin="3974,1755" coordsize="984,0" path="m3974,1755l4958,1755e" filled="false" stroked="true" strokeweight=".48pt" strokecolor="#000000">
                <v:path arrowok="t"/>
              </v:shape>
            </v:group>
            <v:group style="position:absolute;left:4968;top:1755;width:1407;height:2" coordorigin="4968,1755" coordsize="1407,2">
              <v:shape style="position:absolute;left:4968;top:1755;width:1407;height:2" coordorigin="4968,1755" coordsize="1407,0" path="m4968,1755l6374,1755e" filled="false" stroked="true" strokeweight=".48pt" strokecolor="#000000">
                <v:path arrowok="t"/>
              </v:shape>
            </v:group>
            <v:group style="position:absolute;left:6384;top:1755;width:980;height:2" coordorigin="6384,1755" coordsize="980,2">
              <v:shape style="position:absolute;left:6384;top:1755;width:980;height:2" coordorigin="6384,1755" coordsize="980,0" path="m6384,1755l7363,1755e" filled="false" stroked="true" strokeweight=".48pt" strokecolor="#000000">
                <v:path arrowok="t"/>
              </v:shape>
            </v:group>
            <v:group style="position:absolute;left:7373;top:1755;width:701;height:2" coordorigin="7373,1755" coordsize="701,2">
              <v:shape style="position:absolute;left:7373;top:1755;width:701;height:2" coordorigin="7373,1755" coordsize="701,0" path="m7373,1755l8074,1755e" filled="false" stroked="true" strokeweight=".48pt" strokecolor="#000000">
                <v:path arrowok="t"/>
              </v:shape>
            </v:group>
            <v:group style="position:absolute;left:8083;top:1755;width:2616;height:2" coordorigin="8083,1755" coordsize="2616,2">
              <v:shape style="position:absolute;left:8083;top:1755;width:2616;height:2" coordorigin="8083,1755" coordsize="2616,0" path="m8083,1755l10699,1755e" filled="false" stroked="true" strokeweight=".48pt" strokecolor="#000000">
                <v:path arrowok="t"/>
              </v:shape>
            </v:group>
            <v:group style="position:absolute;left:1138;top:2312;width:1359;height:2" coordorigin="1138,2312" coordsize="1359,2">
              <v:shape style="position:absolute;left:1138;top:2312;width:1359;height:2" coordorigin="1138,2312" coordsize="1359,0" path="m1138,2312l2496,2312e" filled="false" stroked="true" strokeweight=".48pt" strokecolor="#000000">
                <v:path arrowok="t"/>
              </v:shape>
            </v:group>
            <v:group style="position:absolute;left:2506;top:2312;width:1460;height:2" coordorigin="2506,2312" coordsize="1460,2">
              <v:shape style="position:absolute;left:2506;top:2312;width:1460;height:2" coordorigin="2506,2312" coordsize="1460,0" path="m2506,2312l3965,2312e" filled="false" stroked="true" strokeweight=".48pt" strokecolor="#000000">
                <v:path arrowok="t"/>
              </v:shape>
            </v:group>
            <v:group style="position:absolute;left:3974;top:2312;width:984;height:2" coordorigin="3974,2312" coordsize="984,2">
              <v:shape style="position:absolute;left:3974;top:2312;width:984;height:2" coordorigin="3974,2312" coordsize="984,0" path="m3974,2312l4958,2312e" filled="false" stroked="true" strokeweight=".48pt" strokecolor="#000000">
                <v:path arrowok="t"/>
              </v:shape>
            </v:group>
            <v:group style="position:absolute;left:4968;top:2312;width:1407;height:2" coordorigin="4968,2312" coordsize="1407,2">
              <v:shape style="position:absolute;left:4968;top:2312;width:1407;height:2" coordorigin="4968,2312" coordsize="1407,0" path="m4968,2312l6374,2312e" filled="false" stroked="true" strokeweight=".48pt" strokecolor="#000000">
                <v:path arrowok="t"/>
              </v:shape>
            </v:group>
            <v:group style="position:absolute;left:6384;top:2312;width:980;height:2" coordorigin="6384,2312" coordsize="980,2">
              <v:shape style="position:absolute;left:6384;top:2312;width:980;height:2" coordorigin="6384,2312" coordsize="980,0" path="m6384,2312l7363,2312e" filled="false" stroked="true" strokeweight=".48pt" strokecolor="#000000">
                <v:path arrowok="t"/>
              </v:shape>
            </v:group>
            <v:group style="position:absolute;left:7373;top:2312;width:701;height:2" coordorigin="7373,2312" coordsize="701,2">
              <v:shape style="position:absolute;left:7373;top:2312;width:701;height:2" coordorigin="7373,2312" coordsize="701,0" path="m7373,2312l8074,2312e" filled="false" stroked="true" strokeweight=".48pt" strokecolor="#000000">
                <v:path arrowok="t"/>
              </v:shape>
            </v:group>
            <v:group style="position:absolute;left:8083;top:2312;width:2616;height:2" coordorigin="8083,2312" coordsize="2616,2">
              <v:shape style="position:absolute;left:8083;top:2312;width:2616;height:2" coordorigin="8083,2312" coordsize="2616,0" path="m8083,2312l10699,2312e" filled="false" stroked="true" strokeweight=".48pt" strokecolor="#000000">
                <v:path arrowok="t"/>
              </v:shape>
            </v:group>
            <v:group style="position:absolute;left:1138;top:2864;width:1359;height:2" coordorigin="1138,2864" coordsize="1359,2">
              <v:shape style="position:absolute;left:1138;top:2864;width:1359;height:2" coordorigin="1138,2864" coordsize="1359,0" path="m1138,2864l2496,2864e" filled="false" stroked="true" strokeweight=".48pt" strokecolor="#000000">
                <v:path arrowok="t"/>
              </v:shape>
            </v:group>
            <v:group style="position:absolute;left:2506;top:2864;width:1460;height:2" coordorigin="2506,2864" coordsize="1460,2">
              <v:shape style="position:absolute;left:2506;top:2864;width:1460;height:2" coordorigin="2506,2864" coordsize="1460,0" path="m2506,2864l3965,2864e" filled="false" stroked="true" strokeweight=".48pt" strokecolor="#000000">
                <v:path arrowok="t"/>
              </v:shape>
            </v:group>
            <v:group style="position:absolute;left:3974;top:2864;width:984;height:2" coordorigin="3974,2864" coordsize="984,2">
              <v:shape style="position:absolute;left:3974;top:2864;width:984;height:2" coordorigin="3974,2864" coordsize="984,0" path="m3974,2864l4958,2864e" filled="false" stroked="true" strokeweight=".48pt" strokecolor="#000000">
                <v:path arrowok="t"/>
              </v:shape>
            </v:group>
            <v:group style="position:absolute;left:4968;top:2864;width:1407;height:2" coordorigin="4968,2864" coordsize="1407,2">
              <v:shape style="position:absolute;left:4968;top:2864;width:1407;height:2" coordorigin="4968,2864" coordsize="1407,0" path="m4968,2864l6374,2864e" filled="false" stroked="true" strokeweight=".48pt" strokecolor="#000000">
                <v:path arrowok="t"/>
              </v:shape>
            </v:group>
            <v:group style="position:absolute;left:6384;top:2864;width:980;height:2" coordorigin="6384,2864" coordsize="980,2">
              <v:shape style="position:absolute;left:6384;top:2864;width:980;height:2" coordorigin="6384,2864" coordsize="980,0" path="m6384,2864l7363,2864e" filled="false" stroked="true" strokeweight=".48pt" strokecolor="#000000">
                <v:path arrowok="t"/>
              </v:shape>
            </v:group>
            <v:group style="position:absolute;left:7373;top:2864;width:701;height:2" coordorigin="7373,2864" coordsize="701,2">
              <v:shape style="position:absolute;left:7373;top:2864;width:701;height:2" coordorigin="7373,2864" coordsize="701,0" path="m7373,2864l8074,2864e" filled="false" stroked="true" strokeweight=".48pt" strokecolor="#000000">
                <v:path arrowok="t"/>
              </v:shape>
            </v:group>
            <v:group style="position:absolute;left:8083;top:2864;width:2616;height:2" coordorigin="8083,2864" coordsize="2616,2">
              <v:shape style="position:absolute;left:8083;top:2864;width:2616;height:2" coordorigin="8083,2864" coordsize="2616,0" path="m8083,2864l10699,2864e" filled="false" stroked="true" strokeweight=".48pt" strokecolor="#000000">
                <v:path arrowok="t"/>
              </v:shape>
            </v:group>
            <v:group style="position:absolute;left:1133;top:348;width:2;height:2804" coordorigin="1133,348" coordsize="2,2804">
              <v:shape style="position:absolute;left:1133;top:348;width:2;height:2804" coordorigin="1133,348" coordsize="0,2804" path="m1133,348l1133,3152e" filled="false" stroked="true" strokeweight=".48pt" strokecolor="#000000">
                <v:path arrowok="t"/>
              </v:shape>
            </v:group>
            <v:group style="position:absolute;left:2501;top:348;width:2;height:2804" coordorigin="2501,348" coordsize="2,2804">
              <v:shape style="position:absolute;left:2501;top:348;width:2;height:2804" coordorigin="2501,348" coordsize="0,2804" path="m2501,348l2501,3152e" filled="false" stroked="true" strokeweight=".48pt" strokecolor="#000000">
                <v:path arrowok="t"/>
              </v:shape>
            </v:group>
            <v:group style="position:absolute;left:3970;top:632;width:2;height:2520" coordorigin="3970,632" coordsize="2,2520">
              <v:shape style="position:absolute;left:3970;top:632;width:2;height:2520" coordorigin="3970,632" coordsize="0,2520" path="m3970,632l3970,3152e" filled="false" stroked="true" strokeweight=".48pt" strokecolor="#000000">
                <v:path arrowok="t"/>
              </v:shape>
            </v:group>
            <v:group style="position:absolute;left:4963;top:348;width:2;height:2804" coordorigin="4963,348" coordsize="2,2804">
              <v:shape style="position:absolute;left:4963;top:348;width:2;height:2804" coordorigin="4963,348" coordsize="0,2804" path="m4963,348l4963,3152e" filled="false" stroked="true" strokeweight=".48pt" strokecolor="#000000">
                <v:path arrowok="t"/>
              </v:shape>
            </v:group>
            <v:group style="position:absolute;left:6379;top:632;width:2;height:2520" coordorigin="6379,632" coordsize="2,2520">
              <v:shape style="position:absolute;left:6379;top:632;width:2;height:2520" coordorigin="6379,632" coordsize="0,2520" path="m6379,632l6379,3152e" filled="false" stroked="true" strokeweight=".48pt" strokecolor="#000000">
                <v:path arrowok="t"/>
              </v:shape>
            </v:group>
            <v:group style="position:absolute;left:7368;top:348;width:2;height:2804" coordorigin="7368,348" coordsize="2,2804">
              <v:shape style="position:absolute;left:7368;top:348;width:2;height:2804" coordorigin="7368,348" coordsize="0,2804" path="m7368,348l7368,3152e" filled="false" stroked="true" strokeweight=".48pt" strokecolor="#000000">
                <v:path arrowok="t"/>
              </v:shape>
            </v:group>
            <v:group style="position:absolute;left:8078;top:348;width:2;height:2804" coordorigin="8078,348" coordsize="2,2804">
              <v:shape style="position:absolute;left:8078;top:348;width:2;height:2804" coordorigin="8078,348" coordsize="0,2804" path="m8078,348l8078,3152e" filled="false" stroked="true" strokeweight=".48pt" strokecolor="#000000">
                <v:path arrowok="t"/>
              </v:shape>
            </v:group>
            <v:group style="position:absolute;left:10704;top:348;width:2;height:2804" coordorigin="10704,348" coordsize="2,2804">
              <v:shape style="position:absolute;left:10704;top:348;width:2;height:2804" coordorigin="10704,348" coordsize="0,2804" path="m10704,348l10704,3152e" filled="false" stroked="true" strokeweight=".48pt" strokecolor="#000000">
                <v:path arrowok="t"/>
              </v:shape>
              <v:shape style="position:absolute;left:3994;top:940;width:1018;height:223" type="#_x0000_t202" filled="false" stroked="false">
                <v:textbox inset="0,0,0,0">
                  <w:txbxContent>
                    <w:p>
                      <w:pPr>
                        <w:spacing w:line="223"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w:t>
                      </w:r>
                    </w:p>
                  </w:txbxContent>
                </v:textbox>
                <w10:wrap type="none"/>
              </v:shape>
              <v:shape style="position:absolute;left:6408;top:940;width:1018;height:223" type="#_x0000_t202" filled="false" stroked="false">
                <v:textbox inset="0,0,0,0">
                  <w:txbxContent>
                    <w:p>
                      <w:pPr>
                        <w:spacing w:line="223"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w:t>
                      </w:r>
                    </w:p>
                  </w:txbxContent>
                </v:textbox>
                <w10:wrap type="none"/>
              </v:shape>
              <v:shape style="position:absolute;left:7397;top:791;width:764;height:223" type="#_x0000_t202" filled="false" stroked="false">
                <v:textbox inset="0,0,0,0">
                  <w:txbxContent>
                    <w:p>
                      <w:pPr>
                        <w:spacing w:line="223" w:lineRule="exact" w:before="0"/>
                        <w:ind w:left="0" w:right="0" w:firstLine="0"/>
                        <w:jc w:val="left"/>
                        <w:rPr>
                          <w:rFonts w:ascii="宋体" w:hAnsi="宋体" w:cs="宋体" w:eastAsia="宋体" w:hint="default"/>
                          <w:sz w:val="21"/>
                          <w:szCs w:val="21"/>
                        </w:rPr>
                      </w:pPr>
                      <w:r>
                        <w:rPr>
                          <w:rFonts w:ascii="宋体" w:hAnsi="宋体" w:cs="宋体" w:eastAsia="宋体" w:hint="default"/>
                          <w:spacing w:val="-12"/>
                          <w:sz w:val="21"/>
                          <w:szCs w:val="21"/>
                        </w:rPr>
                        <w:t>减（</w:t>
                      </w:r>
                      <w:r>
                        <w:rPr>
                          <w:rFonts w:ascii="Times New Roman" w:hAnsi="Times New Roman" w:cs="Times New Roman" w:eastAsia="Times New Roman" w:hint="default"/>
                          <w:spacing w:val="-12"/>
                          <w:sz w:val="21"/>
                          <w:szCs w:val="21"/>
                        </w:rPr>
                        <w:t>%</w:t>
                      </w:r>
                      <w:r>
                        <w:rPr>
                          <w:rFonts w:ascii="宋体" w:hAnsi="宋体" w:cs="宋体" w:eastAsia="宋体" w:hint="default"/>
                          <w:spacing w:val="-12"/>
                          <w:sz w:val="21"/>
                          <w:szCs w:val="21"/>
                        </w:rPr>
                        <w:t>）</w:t>
                      </w:r>
                    </w:p>
                  </w:txbxContent>
                </v:textbox>
                <w10:wrap type="none"/>
              </v:shape>
              <v:shape style="position:absolute;left:8760;top:652;width:126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重大变动说明</w:t>
                      </w:r>
                    </w:p>
                  </w:txbxContent>
                </v:textbox>
                <w10:wrap type="none"/>
              </v:shape>
            </v:group>
            <w10:wrap type="none"/>
          </v:group>
        </w:pict>
      </w:r>
      <w:r>
        <w:rPr/>
        <w:t>单位：元</w:t>
      </w:r>
    </w:p>
    <w:p>
      <w:pPr>
        <w:spacing w:line="240" w:lineRule="auto" w:before="3"/>
        <w:rPr>
          <w:rFonts w:ascii="宋体" w:hAnsi="宋体" w:cs="宋体" w:eastAsia="宋体" w:hint="default"/>
          <w:sz w:val="3"/>
          <w:szCs w:val="3"/>
        </w:rPr>
      </w:pPr>
    </w:p>
    <w:tbl>
      <w:tblPr>
        <w:tblW w:w="0" w:type="auto"/>
        <w:jc w:val="left"/>
        <w:tblInd w:w="152" w:type="dxa"/>
        <w:tblLayout w:type="fixed"/>
        <w:tblCellMar>
          <w:top w:w="0" w:type="dxa"/>
          <w:left w:w="0" w:type="dxa"/>
          <w:bottom w:w="0" w:type="dxa"/>
          <w:right w:w="0" w:type="dxa"/>
        </w:tblCellMar>
        <w:tblLook w:val="01E0"/>
      </w:tblPr>
      <w:tblGrid>
        <w:gridCol w:w="1368"/>
        <w:gridCol w:w="1469"/>
        <w:gridCol w:w="994"/>
        <w:gridCol w:w="1416"/>
        <w:gridCol w:w="989"/>
        <w:gridCol w:w="3336"/>
      </w:tblGrid>
      <w:tr>
        <w:trPr>
          <w:trHeight w:val="1118" w:hRule="exact"/>
        </w:trPr>
        <w:tc>
          <w:tcPr>
            <w:tcW w:w="1368"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8203" w:type="dxa"/>
            <w:gridSpan w:val="5"/>
            <w:tcBorders>
              <w:top w:val="nil" w:sz="6" w:space="0" w:color="auto"/>
              <w:left w:val="nil" w:sz="6" w:space="0" w:color="auto"/>
              <w:bottom w:val="nil" w:sz="6" w:space="0" w:color="auto"/>
              <w:right w:val="nil" w:sz="6" w:space="0" w:color="auto"/>
            </w:tcBorders>
          </w:tcPr>
          <w:p>
            <w:pPr>
              <w:pStyle w:val="TableParagraph"/>
              <w:tabs>
                <w:tab w:pos="1540" w:val="left" w:leader="none"/>
                <w:tab w:pos="2956" w:val="left" w:leader="none"/>
                <w:tab w:pos="3321" w:val="left" w:leader="none"/>
                <w:tab w:pos="3955" w:val="left" w:leader="none"/>
                <w:tab w:pos="4905" w:val="left" w:leader="none"/>
              </w:tabs>
              <w:spacing w:line="168" w:lineRule="auto" w:before="39"/>
              <w:ind w:left="523" w:right="2662" w:firstLine="364"/>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tab/>
              <w:tab/>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tab/>
            </w:r>
            <w:r>
              <w:rPr>
                <w:rFonts w:ascii="宋体" w:hAnsi="宋体" w:cs="宋体" w:eastAsia="宋体" w:hint="default"/>
                <w:position w:val="-12"/>
                <w:sz w:val="21"/>
                <w:szCs w:val="21"/>
              </w:rPr>
              <w:t>比重增</w:t>
            </w:r>
            <w:r>
              <w:rPr>
                <w:rFonts w:ascii="宋体" w:hAnsi="宋体" w:cs="宋体" w:eastAsia="宋体" w:hint="default"/>
                <w:w w:val="100"/>
                <w:position w:val="-12"/>
                <w:sz w:val="21"/>
                <w:szCs w:val="21"/>
              </w:rPr>
              <w:t> </w:t>
            </w:r>
            <w:r>
              <w:rPr>
                <w:rFonts w:ascii="宋体" w:hAnsi="宋体" w:cs="宋体" w:eastAsia="宋体" w:hint="default"/>
                <w:position w:val="-12"/>
                <w:sz w:val="21"/>
                <w:szCs w:val="21"/>
              </w:rPr>
              <w:t>金额</w:t>
              <w:tab/>
            </w:r>
            <w:r>
              <w:rPr>
                <w:rFonts w:ascii="宋体" w:hAnsi="宋体" w:cs="宋体" w:eastAsia="宋体" w:hint="default"/>
                <w:sz w:val="21"/>
                <w:szCs w:val="21"/>
              </w:rPr>
              <w:t>占总资产</w:t>
              <w:tab/>
            </w:r>
            <w:r>
              <w:rPr>
                <w:rFonts w:ascii="宋体" w:hAnsi="宋体" w:cs="宋体" w:eastAsia="宋体" w:hint="default"/>
                <w:position w:val="-12"/>
                <w:sz w:val="21"/>
                <w:szCs w:val="21"/>
              </w:rPr>
              <w:t>金额</w:t>
              <w:tab/>
            </w:r>
            <w:r>
              <w:rPr>
                <w:rFonts w:ascii="宋体" w:hAnsi="宋体" w:cs="宋体" w:eastAsia="宋体" w:hint="default"/>
                <w:sz w:val="21"/>
                <w:szCs w:val="21"/>
              </w:rPr>
              <w:t>占总资产</w:t>
            </w:r>
          </w:p>
          <w:p>
            <w:pPr>
              <w:pStyle w:val="TableParagraph"/>
              <w:tabs>
                <w:tab w:pos="1987" w:val="left" w:leader="none"/>
                <w:tab w:pos="4559" w:val="left" w:leader="none"/>
                <w:tab w:pos="5107" w:val="left" w:leader="none"/>
              </w:tabs>
              <w:spacing w:line="240" w:lineRule="auto" w:before="200"/>
              <w:ind w:left="124" w:right="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206,500,000.00</w:t>
              <w:tab/>
            </w:r>
            <w:r>
              <w:rPr>
                <w:rFonts w:ascii="Times New Roman" w:hAnsi="Times New Roman" w:cs="Times New Roman" w:eastAsia="Times New Roman" w:hint="default"/>
                <w:sz w:val="21"/>
                <w:szCs w:val="21"/>
              </w:rPr>
              <w:t>7.2%</w:t>
              <w:tab/>
              <w:t>0%</w:t>
              <w:tab/>
              <w:t>7.2%</w:t>
            </w:r>
            <w:r>
              <w:rPr>
                <w:rFonts w:ascii="Times New Roman" w:hAnsi="Times New Roman" w:cs="Times New Roman" w:eastAsia="Times New Roman" w:hint="default"/>
                <w:spacing w:val="16"/>
                <w:sz w:val="21"/>
                <w:szCs w:val="21"/>
              </w:rPr>
              <w:t> </w:t>
            </w:r>
            <w:r>
              <w:rPr>
                <w:rFonts w:ascii="宋体" w:hAnsi="宋体" w:cs="宋体" w:eastAsia="宋体" w:hint="default"/>
                <w:spacing w:val="-1"/>
                <w:sz w:val="21"/>
                <w:szCs w:val="21"/>
              </w:rPr>
              <w:t>本期新增借款</w:t>
            </w:r>
          </w:p>
        </w:tc>
      </w:tr>
      <w:tr>
        <w:trPr>
          <w:trHeight w:val="248" w:hRule="exact"/>
        </w:trPr>
        <w:tc>
          <w:tcPr>
            <w:tcW w:w="1368"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1" w:lineRule="exact"/>
              <w:ind w:left="28"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4" w:right="0"/>
              <w:jc w:val="left"/>
              <w:rPr>
                <w:rFonts w:ascii="Times New Roman" w:hAnsi="Times New Roman" w:cs="Times New Roman" w:eastAsia="Times New Roman" w:hint="default"/>
                <w:sz w:val="21"/>
                <w:szCs w:val="21"/>
              </w:rPr>
            </w:pPr>
            <w:r>
              <w:rPr>
                <w:rFonts w:ascii="Times New Roman"/>
                <w:sz w:val="21"/>
              </w:rPr>
              <w:t>220,600,000.00</w:t>
            </w:r>
          </w:p>
        </w:tc>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12" w:right="0"/>
              <w:jc w:val="left"/>
              <w:rPr>
                <w:rFonts w:ascii="Times New Roman" w:hAnsi="Times New Roman" w:cs="Times New Roman" w:eastAsia="Times New Roman" w:hint="default"/>
                <w:sz w:val="21"/>
                <w:szCs w:val="21"/>
              </w:rPr>
            </w:pPr>
            <w:r>
              <w:rPr>
                <w:rFonts w:ascii="Times New Roman"/>
                <w:sz w:val="21"/>
              </w:rPr>
              <w:t>7.69%</w:t>
            </w:r>
          </w:p>
        </w:tc>
        <w:tc>
          <w:tcPr>
            <w:tcW w:w="1416"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
              <w:jc w:val="right"/>
              <w:rPr>
                <w:rFonts w:ascii="Times New Roman" w:hAnsi="Times New Roman" w:cs="Times New Roman" w:eastAsia="Times New Roman" w:hint="default"/>
                <w:sz w:val="21"/>
                <w:szCs w:val="21"/>
              </w:rPr>
            </w:pPr>
            <w:r>
              <w:rPr>
                <w:rFonts w:ascii="Times New Roman"/>
                <w:sz w:val="21"/>
              </w:rPr>
              <w:t>0%</w:t>
            </w:r>
          </w:p>
        </w:tc>
        <w:tc>
          <w:tcPr>
            <w:tcW w:w="3336" w:type="dxa"/>
            <w:tcBorders>
              <w:top w:val="nil" w:sz="6" w:space="0" w:color="auto"/>
              <w:left w:val="nil" w:sz="6" w:space="0" w:color="auto"/>
              <w:bottom w:val="nil" w:sz="6" w:space="0" w:color="auto"/>
              <w:right w:val="nil" w:sz="6" w:space="0" w:color="auto"/>
            </w:tcBorders>
          </w:tcPr>
          <w:p>
            <w:pPr>
              <w:pStyle w:val="TableParagraph"/>
              <w:spacing w:line="257" w:lineRule="exact"/>
              <w:ind w:left="13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7.69%</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本期新增借款</w:t>
            </w:r>
          </w:p>
        </w:tc>
      </w:tr>
      <w:tr>
        <w:trPr>
          <w:trHeight w:val="1428" w:hRule="exact"/>
        </w:trPr>
        <w:tc>
          <w:tcPr>
            <w:tcW w:w="1368" w:type="dxa"/>
            <w:tcBorders>
              <w:top w:val="nil" w:sz="6" w:space="0" w:color="auto"/>
              <w:left w:val="nil" w:sz="6" w:space="0" w:color="auto"/>
              <w:bottom w:val="single" w:sz="4" w:space="0" w:color="000000"/>
              <w:right w:val="nil" w:sz="6" w:space="0" w:color="auto"/>
            </w:tcBorders>
          </w:tcPr>
          <w:p>
            <w:pPr>
              <w:pStyle w:val="TableParagraph"/>
              <w:spacing w:line="240" w:lineRule="auto" w:before="136"/>
              <w:ind w:left="28" w:right="0"/>
              <w:jc w:val="left"/>
              <w:rPr>
                <w:rFonts w:ascii="宋体" w:hAnsi="宋体" w:cs="宋体" w:eastAsia="宋体" w:hint="default"/>
                <w:sz w:val="21"/>
                <w:szCs w:val="21"/>
              </w:rPr>
            </w:pPr>
            <w:r>
              <w:rPr>
                <w:rFonts w:ascii="宋体" w:hAnsi="宋体" w:cs="宋体" w:eastAsia="宋体" w:hint="default"/>
                <w:sz w:val="21"/>
                <w:szCs w:val="21"/>
              </w:rPr>
              <w:t>应付账款</w:t>
            </w:r>
          </w:p>
          <w:p>
            <w:pPr>
              <w:pStyle w:val="TableParagraph"/>
              <w:spacing w:line="410" w:lineRule="atLeast" w:before="147"/>
              <w:ind w:left="28" w:right="281"/>
              <w:jc w:val="left"/>
              <w:rPr>
                <w:rFonts w:ascii="宋体" w:hAnsi="宋体" w:cs="宋体" w:eastAsia="宋体" w:hint="default"/>
                <w:sz w:val="21"/>
                <w:szCs w:val="21"/>
              </w:rPr>
            </w:pPr>
            <w:r>
              <w:rPr>
                <w:rFonts w:ascii="宋体" w:hAnsi="宋体" w:cs="宋体" w:eastAsia="宋体" w:hint="default"/>
                <w:sz w:val="21"/>
                <w:szCs w:val="21"/>
              </w:rPr>
              <w:t>预收款项</w:t>
            </w:r>
            <w:r>
              <w:rPr>
                <w:rFonts w:ascii="宋体" w:hAnsi="宋体" w:cs="宋体" w:eastAsia="宋体" w:hint="default"/>
                <w:spacing w:val="-101"/>
                <w:sz w:val="21"/>
                <w:szCs w:val="21"/>
              </w:rPr>
              <w:t> </w:t>
            </w:r>
            <w:r>
              <w:rPr>
                <w:rFonts w:ascii="宋体" w:hAnsi="宋体" w:cs="宋体" w:eastAsia="宋体" w:hint="default"/>
                <w:sz w:val="21"/>
                <w:szCs w:val="21"/>
              </w:rPr>
              <w:t>其他应付款</w:t>
            </w:r>
          </w:p>
        </w:tc>
        <w:tc>
          <w:tcPr>
            <w:tcW w:w="1469"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24" w:right="0"/>
              <w:jc w:val="left"/>
              <w:rPr>
                <w:rFonts w:ascii="Times New Roman" w:hAnsi="Times New Roman" w:cs="Times New Roman" w:eastAsia="Times New Roman" w:hint="default"/>
                <w:sz w:val="21"/>
                <w:szCs w:val="21"/>
              </w:rPr>
            </w:pPr>
            <w:r>
              <w:rPr>
                <w:rFonts w:ascii="Times New Roman"/>
                <w:sz w:val="21"/>
              </w:rPr>
              <w:t>330,281,921.19</w:t>
            </w: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124" w:right="0"/>
              <w:jc w:val="left"/>
              <w:rPr>
                <w:rFonts w:ascii="Times New Roman" w:hAnsi="Times New Roman" w:cs="Times New Roman" w:eastAsia="Times New Roman" w:hint="default"/>
                <w:sz w:val="21"/>
                <w:szCs w:val="21"/>
              </w:rPr>
            </w:pPr>
            <w:r>
              <w:rPr>
                <w:rFonts w:ascii="Times New Roman"/>
                <w:sz w:val="21"/>
              </w:rPr>
              <w:t>327,651,127.62</w:t>
            </w:r>
          </w:p>
          <w:p>
            <w:pPr>
              <w:pStyle w:val="TableParagraph"/>
              <w:spacing w:line="240" w:lineRule="auto" w:before="171"/>
              <w:ind w:left="124" w:right="0"/>
              <w:jc w:val="left"/>
              <w:rPr>
                <w:rFonts w:ascii="Times New Roman" w:hAnsi="Times New Roman" w:cs="Times New Roman" w:eastAsia="Times New Roman" w:hint="default"/>
                <w:sz w:val="21"/>
                <w:szCs w:val="21"/>
              </w:rPr>
            </w:pPr>
            <w:r>
              <w:rPr>
                <w:rFonts w:ascii="Times New Roman"/>
                <w:sz w:val="21"/>
              </w:rPr>
              <w:t>403,681,313.87</w:t>
            </w:r>
          </w:p>
        </w:tc>
        <w:tc>
          <w:tcPr>
            <w:tcW w:w="994"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11.51%</w:t>
            </w: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11.42%</w:t>
            </w:r>
          </w:p>
          <w:p>
            <w:pPr>
              <w:pStyle w:val="TableParagraph"/>
              <w:spacing w:line="240" w:lineRule="auto" w:before="171"/>
              <w:ind w:left="307" w:right="0"/>
              <w:jc w:val="left"/>
              <w:rPr>
                <w:rFonts w:ascii="Times New Roman" w:hAnsi="Times New Roman" w:cs="Times New Roman" w:eastAsia="Times New Roman" w:hint="default"/>
                <w:sz w:val="21"/>
                <w:szCs w:val="21"/>
              </w:rPr>
            </w:pPr>
            <w:r>
              <w:rPr>
                <w:rFonts w:ascii="Times New Roman"/>
                <w:sz w:val="21"/>
              </w:rPr>
              <w:t>14.07%</w:t>
            </w:r>
          </w:p>
        </w:tc>
        <w:tc>
          <w:tcPr>
            <w:tcW w:w="1416"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3" w:right="0"/>
              <w:jc w:val="center"/>
              <w:rPr>
                <w:rFonts w:ascii="Times New Roman" w:hAnsi="Times New Roman" w:cs="Times New Roman" w:eastAsia="Times New Roman" w:hint="default"/>
                <w:sz w:val="21"/>
                <w:szCs w:val="21"/>
              </w:rPr>
            </w:pPr>
            <w:r>
              <w:rPr>
                <w:rFonts w:ascii="Times New Roman"/>
                <w:sz w:val="21"/>
              </w:rPr>
              <w:t>169,687,725.97</w:t>
            </w: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43" w:right="0"/>
              <w:jc w:val="center"/>
              <w:rPr>
                <w:rFonts w:ascii="Times New Roman" w:hAnsi="Times New Roman" w:cs="Times New Roman" w:eastAsia="Times New Roman" w:hint="default"/>
                <w:sz w:val="21"/>
                <w:szCs w:val="21"/>
              </w:rPr>
            </w:pPr>
            <w:r>
              <w:rPr>
                <w:rFonts w:ascii="Times New Roman"/>
                <w:sz w:val="21"/>
              </w:rPr>
              <w:t>434,428,888.21</w:t>
            </w:r>
          </w:p>
          <w:p>
            <w:pPr>
              <w:pStyle w:val="TableParagraph"/>
              <w:spacing w:line="240" w:lineRule="auto" w:before="171"/>
              <w:ind w:left="143" w:right="0"/>
              <w:jc w:val="center"/>
              <w:rPr>
                <w:rFonts w:ascii="Times New Roman" w:hAnsi="Times New Roman" w:cs="Times New Roman" w:eastAsia="Times New Roman" w:hint="default"/>
                <w:sz w:val="21"/>
                <w:szCs w:val="21"/>
              </w:rPr>
            </w:pPr>
            <w:r>
              <w:rPr>
                <w:rFonts w:ascii="Times New Roman"/>
                <w:sz w:val="21"/>
              </w:rPr>
              <w:t>74,320,398.06</w:t>
            </w:r>
          </w:p>
        </w:tc>
        <w:tc>
          <w:tcPr>
            <w:tcW w:w="989" w:type="dxa"/>
            <w:tcBorders>
              <w:top w:val="nil" w:sz="6" w:space="0" w:color="auto"/>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391" w:right="0"/>
              <w:jc w:val="center"/>
              <w:rPr>
                <w:rFonts w:ascii="Times New Roman" w:hAnsi="Times New Roman" w:cs="Times New Roman" w:eastAsia="Times New Roman" w:hint="default"/>
                <w:sz w:val="21"/>
                <w:szCs w:val="21"/>
              </w:rPr>
            </w:pPr>
            <w:r>
              <w:rPr>
                <w:rFonts w:ascii="Times New Roman"/>
                <w:sz w:val="21"/>
              </w:rPr>
              <w:t>8.99%</w:t>
            </w: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286" w:right="0"/>
              <w:jc w:val="center"/>
              <w:rPr>
                <w:rFonts w:ascii="Times New Roman" w:hAnsi="Times New Roman" w:cs="Times New Roman" w:eastAsia="Times New Roman" w:hint="default"/>
                <w:sz w:val="21"/>
                <w:szCs w:val="21"/>
              </w:rPr>
            </w:pPr>
            <w:r>
              <w:rPr>
                <w:rFonts w:ascii="Times New Roman"/>
                <w:sz w:val="21"/>
              </w:rPr>
              <w:t>23.01%</w:t>
            </w:r>
          </w:p>
          <w:p>
            <w:pPr>
              <w:pStyle w:val="TableParagraph"/>
              <w:spacing w:line="240" w:lineRule="auto" w:before="171"/>
              <w:ind w:left="391" w:right="0"/>
              <w:jc w:val="center"/>
              <w:rPr>
                <w:rFonts w:ascii="Times New Roman" w:hAnsi="Times New Roman" w:cs="Times New Roman" w:eastAsia="Times New Roman" w:hint="default"/>
                <w:sz w:val="21"/>
                <w:szCs w:val="21"/>
              </w:rPr>
            </w:pPr>
            <w:r>
              <w:rPr>
                <w:rFonts w:ascii="Times New Roman"/>
                <w:sz w:val="21"/>
              </w:rPr>
              <w:t>3.94%</w:t>
            </w:r>
          </w:p>
        </w:tc>
        <w:tc>
          <w:tcPr>
            <w:tcW w:w="3336" w:type="dxa"/>
            <w:tcBorders>
              <w:top w:val="nil" w:sz="6" w:space="0" w:color="auto"/>
              <w:left w:val="nil" w:sz="6" w:space="0" w:color="auto"/>
              <w:bottom w:val="single" w:sz="4" w:space="0" w:color="000000"/>
              <w:right w:val="nil" w:sz="6" w:space="0" w:color="auto"/>
            </w:tcBorders>
          </w:tcPr>
          <w:p>
            <w:pPr>
              <w:pStyle w:val="TableParagraph"/>
              <w:spacing w:line="229" w:lineRule="exact" w:before="1"/>
              <w:ind w:left="739" w:right="0"/>
              <w:jc w:val="left"/>
              <w:rPr>
                <w:rFonts w:ascii="宋体" w:hAnsi="宋体" w:cs="宋体" w:eastAsia="宋体" w:hint="default"/>
                <w:sz w:val="21"/>
                <w:szCs w:val="21"/>
              </w:rPr>
            </w:pPr>
            <w:r>
              <w:rPr>
                <w:rFonts w:ascii="宋体" w:hAnsi="宋体" w:cs="宋体" w:eastAsia="宋体" w:hint="default"/>
                <w:sz w:val="21"/>
                <w:szCs w:val="21"/>
              </w:rPr>
              <w:t>本期各地产项目公司应付未</w:t>
            </w:r>
          </w:p>
          <w:p>
            <w:pPr>
              <w:pStyle w:val="TableParagraph"/>
              <w:spacing w:line="320" w:lineRule="exact"/>
              <w:ind w:left="134" w:right="0"/>
              <w:jc w:val="left"/>
              <w:rPr>
                <w:rFonts w:ascii="宋体" w:hAnsi="宋体" w:cs="宋体" w:eastAsia="宋体" w:hint="default"/>
                <w:sz w:val="21"/>
                <w:szCs w:val="21"/>
              </w:rPr>
            </w:pPr>
            <w:r>
              <w:rPr>
                <w:rFonts w:ascii="Times New Roman" w:hAnsi="Times New Roman" w:cs="Times New Roman" w:eastAsia="Times New Roman" w:hint="default"/>
                <w:position w:val="14"/>
                <w:sz w:val="21"/>
                <w:szCs w:val="21"/>
              </w:rPr>
              <w:t>2.52%</w:t>
            </w:r>
            <w:r>
              <w:rPr>
                <w:rFonts w:ascii="Times New Roman" w:hAnsi="Times New Roman" w:cs="Times New Roman" w:eastAsia="Times New Roman" w:hint="default"/>
                <w:spacing w:val="13"/>
                <w:position w:val="14"/>
                <w:sz w:val="21"/>
                <w:szCs w:val="21"/>
              </w:rPr>
              <w:t> </w:t>
            </w:r>
            <w:r>
              <w:rPr>
                <w:rFonts w:ascii="宋体" w:hAnsi="宋体" w:cs="宋体" w:eastAsia="宋体" w:hint="default"/>
                <w:sz w:val="21"/>
                <w:szCs w:val="21"/>
              </w:rPr>
              <w:t>付工程款增加所致</w:t>
            </w:r>
          </w:p>
          <w:p>
            <w:pPr>
              <w:pStyle w:val="TableParagraph"/>
              <w:spacing w:line="287" w:lineRule="exact" w:before="8"/>
              <w:ind w:left="14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-11.59</w:t>
            </w:r>
            <w:r>
              <w:rPr>
                <w:rFonts w:ascii="Times New Roman" w:hAnsi="Times New Roman" w:cs="Times New Roman" w:eastAsia="Times New Roman" w:hint="default"/>
                <w:spacing w:val="-3"/>
                <w:sz w:val="21"/>
                <w:szCs w:val="21"/>
              </w:rPr>
              <w:t> </w:t>
            </w:r>
            <w:r>
              <w:rPr>
                <w:rFonts w:ascii="宋体" w:hAnsi="宋体" w:cs="宋体" w:eastAsia="宋体" w:hint="default"/>
                <w:position w:val="1"/>
                <w:sz w:val="21"/>
                <w:szCs w:val="21"/>
              </w:rPr>
              <w:t>主要系本期西安紫韵结转收</w:t>
            </w:r>
            <w:r>
              <w:rPr>
                <w:rFonts w:ascii="宋体" w:hAnsi="宋体" w:cs="宋体" w:eastAsia="宋体" w:hint="default"/>
                <w:sz w:val="21"/>
                <w:szCs w:val="21"/>
              </w:rPr>
            </w:r>
          </w:p>
          <w:p>
            <w:pPr>
              <w:pStyle w:val="TableParagraph"/>
              <w:spacing w:line="261" w:lineRule="exact"/>
              <w:ind w:left="503" w:right="0"/>
              <w:jc w:val="left"/>
              <w:rPr>
                <w:rFonts w:ascii="宋体" w:hAnsi="宋体" w:cs="宋体" w:eastAsia="宋体" w:hint="default"/>
                <w:sz w:val="21"/>
                <w:szCs w:val="21"/>
              </w:rPr>
            </w:pPr>
            <w:r>
              <w:rPr>
                <w:rFonts w:ascii="Times New Roman" w:hAnsi="Times New Roman" w:cs="Times New Roman" w:eastAsia="Times New Roman" w:hint="default"/>
                <w:position w:val="2"/>
                <w:sz w:val="21"/>
                <w:szCs w:val="21"/>
              </w:rPr>
              <w:t>%</w:t>
            </w:r>
            <w:r>
              <w:rPr>
                <w:rFonts w:ascii="Times New Roman" w:hAnsi="Times New Roman" w:cs="Times New Roman" w:eastAsia="Times New Roman" w:hint="default"/>
                <w:spacing w:val="10"/>
                <w:position w:val="2"/>
                <w:sz w:val="21"/>
                <w:szCs w:val="21"/>
              </w:rPr>
              <w:t> </w:t>
            </w:r>
            <w:r>
              <w:rPr>
                <w:rFonts w:ascii="宋体" w:hAnsi="宋体" w:cs="宋体" w:eastAsia="宋体" w:hint="default"/>
                <w:sz w:val="21"/>
                <w:szCs w:val="21"/>
              </w:rPr>
              <w:t>入所致</w:t>
            </w:r>
          </w:p>
          <w:p>
            <w:pPr>
              <w:pStyle w:val="TableParagraph"/>
              <w:spacing w:line="240" w:lineRule="auto" w:before="3"/>
              <w:ind w:left="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10.13%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本期新增子公司合并报表</w:t>
            </w:r>
          </w:p>
        </w:tc>
      </w:tr>
    </w:tbl>
    <w:p>
      <w:pPr>
        <w:spacing w:line="240" w:lineRule="auto" w:before="8"/>
        <w:rPr>
          <w:rFonts w:ascii="宋体" w:hAnsi="宋体" w:cs="宋体" w:eastAsia="宋体" w:hint="default"/>
          <w:sz w:val="16"/>
          <w:szCs w:val="16"/>
        </w:rPr>
      </w:pPr>
    </w:p>
    <w:p>
      <w:pPr>
        <w:pStyle w:val="Heading6"/>
        <w:spacing w:line="335" w:lineRule="exact"/>
        <w:ind w:left="152" w:right="0"/>
        <w:jc w:val="left"/>
        <w:rPr>
          <w:b w:val="0"/>
          <w:bCs w:val="0"/>
        </w:rPr>
      </w:pPr>
      <w:r>
        <w:rPr>
          <w:rFonts w:ascii="Times New Roman" w:hAnsi="Times New Roman" w:cs="Times New Roman" w:eastAsia="Times New Roman" w:hint="default"/>
        </w:rPr>
        <w:t>3</w:t>
      </w:r>
      <w:r>
        <w:rPr/>
        <w:t>、以公允价值计量的资产和负债</w:t>
      </w:r>
      <w:r>
        <w:rPr>
          <w:b w:val="0"/>
          <w:bCs w:val="0"/>
        </w:rPr>
      </w:r>
    </w:p>
    <w:p>
      <w:pPr>
        <w:spacing w:line="240" w:lineRule="auto" w:before="15"/>
        <w:rPr>
          <w:rFonts w:ascii="Microsoft JhengHei" w:hAnsi="Microsoft JhengHei" w:cs="Microsoft JhengHei" w:eastAsia="Microsoft JhengHei" w:hint="default"/>
          <w:b/>
          <w:bCs/>
          <w:sz w:val="13"/>
          <w:szCs w:val="13"/>
        </w:rPr>
      </w:pPr>
    </w:p>
    <w:p>
      <w:pPr>
        <w:pStyle w:val="BodyText"/>
        <w:spacing w:line="240" w:lineRule="auto" w:before="36"/>
        <w:ind w:left="0" w:right="146"/>
        <w:jc w:val="right"/>
      </w:pPr>
      <w:r>
        <w:rPr/>
        <w:t>单位：元</w:t>
      </w:r>
    </w:p>
    <w:p>
      <w:pPr>
        <w:spacing w:line="240" w:lineRule="auto" w:before="11"/>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200"/>
        <w:gridCol w:w="1358"/>
        <w:gridCol w:w="1042"/>
        <w:gridCol w:w="1378"/>
        <w:gridCol w:w="1022"/>
        <w:gridCol w:w="1200"/>
        <w:gridCol w:w="1200"/>
        <w:gridCol w:w="1272"/>
      </w:tblGrid>
      <w:tr>
        <w:trPr>
          <w:trHeight w:val="125" w:hRule="exact"/>
        </w:trPr>
        <w:tc>
          <w:tcPr>
            <w:tcW w:w="1200" w:type="dxa"/>
            <w:vMerge w:val="restart"/>
            <w:tcBorders>
              <w:top w:val="single" w:sz="4" w:space="0" w:color="000000"/>
              <w:left w:val="single" w:sz="4" w:space="0" w:color="000000"/>
              <w:right w:val="single" w:sz="4" w:space="0" w:color="000000"/>
            </w:tcBorders>
            <w:shd w:val="clear" w:color="auto" w:fill="D2D2D2"/>
          </w:tcPr>
          <w:p>
            <w:pPr/>
          </w:p>
        </w:tc>
        <w:tc>
          <w:tcPr>
            <w:tcW w:w="1358" w:type="dxa"/>
            <w:vMerge w:val="restart"/>
            <w:tcBorders>
              <w:top w:val="single" w:sz="4" w:space="0" w:color="000000"/>
              <w:left w:val="single" w:sz="4" w:space="0" w:color="000000"/>
              <w:right w:val="single" w:sz="4" w:space="0" w:color="000000"/>
            </w:tcBorders>
            <w:shd w:val="clear" w:color="auto" w:fill="D2D2D2"/>
          </w:tcPr>
          <w:p>
            <w:pPr/>
          </w:p>
        </w:tc>
        <w:tc>
          <w:tcPr>
            <w:tcW w:w="1042" w:type="dxa"/>
            <w:tcBorders>
              <w:top w:val="single" w:sz="4" w:space="0" w:color="000000"/>
              <w:left w:val="single" w:sz="4" w:space="0" w:color="000000"/>
              <w:bottom w:val="nil" w:sz="6" w:space="0" w:color="auto"/>
              <w:right w:val="single" w:sz="4" w:space="0" w:color="000000"/>
            </w:tcBorders>
            <w:shd w:val="clear" w:color="auto" w:fill="D2D2D2"/>
          </w:tcPr>
          <w:p>
            <w:pPr/>
          </w:p>
        </w:tc>
        <w:tc>
          <w:tcPr>
            <w:tcW w:w="137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22" w:type="dxa"/>
            <w:vMerge w:val="restart"/>
            <w:tcBorders>
              <w:top w:val="single" w:sz="4" w:space="0" w:color="000000"/>
              <w:left w:val="single" w:sz="4" w:space="0" w:color="000000"/>
              <w:right w:val="single" w:sz="4" w:space="0" w:color="000000"/>
            </w:tcBorders>
            <w:shd w:val="clear" w:color="auto" w:fill="D2D2D2"/>
          </w:tcPr>
          <w:p>
            <w:pPr/>
          </w:p>
        </w:tc>
        <w:tc>
          <w:tcPr>
            <w:tcW w:w="1200" w:type="dxa"/>
            <w:vMerge w:val="restart"/>
            <w:tcBorders>
              <w:top w:val="single" w:sz="4" w:space="0" w:color="000000"/>
              <w:left w:val="single" w:sz="4" w:space="0" w:color="000000"/>
              <w:right w:val="single" w:sz="4" w:space="0" w:color="000000"/>
            </w:tcBorders>
            <w:shd w:val="clear" w:color="auto" w:fill="D2D2D2"/>
          </w:tcPr>
          <w:p>
            <w:pPr/>
          </w:p>
        </w:tc>
        <w:tc>
          <w:tcPr>
            <w:tcW w:w="1200" w:type="dxa"/>
            <w:vMerge w:val="restart"/>
            <w:tcBorders>
              <w:top w:val="single" w:sz="4" w:space="0" w:color="000000"/>
              <w:left w:val="single" w:sz="4" w:space="0" w:color="000000"/>
              <w:right w:val="single" w:sz="4" w:space="0" w:color="000000"/>
            </w:tcBorders>
            <w:shd w:val="clear" w:color="auto" w:fill="D2D2D2"/>
          </w:tcPr>
          <w:p>
            <w:pPr/>
          </w:p>
        </w:tc>
        <w:tc>
          <w:tcPr>
            <w:tcW w:w="1272" w:type="dxa"/>
            <w:vMerge w:val="restart"/>
            <w:tcBorders>
              <w:top w:val="single" w:sz="4" w:space="0" w:color="000000"/>
              <w:left w:val="single" w:sz="4" w:space="0" w:color="000000"/>
              <w:right w:val="single" w:sz="4" w:space="0" w:color="000000"/>
            </w:tcBorders>
            <w:shd w:val="clear" w:color="auto" w:fill="D2D2D2"/>
          </w:tcPr>
          <w:p>
            <w:pPr/>
          </w:p>
        </w:tc>
      </w:tr>
      <w:tr>
        <w:trPr>
          <w:trHeight w:val="134" w:hRule="exact"/>
        </w:trPr>
        <w:tc>
          <w:tcPr>
            <w:tcW w:w="1200" w:type="dxa"/>
            <w:vMerge/>
            <w:tcBorders>
              <w:left w:val="single" w:sz="4" w:space="0" w:color="000000"/>
              <w:right w:val="single" w:sz="4" w:space="0" w:color="000000"/>
            </w:tcBorders>
            <w:shd w:val="clear" w:color="auto" w:fill="D2D2D2"/>
          </w:tcPr>
          <w:p>
            <w:pPr/>
          </w:p>
        </w:tc>
        <w:tc>
          <w:tcPr>
            <w:tcW w:w="1358" w:type="dxa"/>
            <w:vMerge/>
            <w:tcBorders>
              <w:left w:val="single" w:sz="4" w:space="0" w:color="000000"/>
              <w:right w:val="single" w:sz="4" w:space="0" w:color="000000"/>
            </w:tcBorders>
            <w:shd w:val="clear" w:color="auto" w:fill="D2D2D2"/>
          </w:tcPr>
          <w:p>
            <w:pPr/>
          </w:p>
        </w:tc>
        <w:tc>
          <w:tcPr>
            <w:tcW w:w="1042" w:type="dxa"/>
            <w:vMerge w:val="restart"/>
            <w:tcBorders>
              <w:top w:val="nil" w:sz="6" w:space="0" w:color="auto"/>
              <w:left w:val="single" w:sz="4" w:space="0" w:color="000000"/>
              <w:right w:val="single" w:sz="4" w:space="0" w:color="000000"/>
            </w:tcBorders>
            <w:shd w:val="clear" w:color="auto" w:fill="D2D2D2"/>
          </w:tcPr>
          <w:p>
            <w:pPr>
              <w:pStyle w:val="TableParagraph"/>
              <w:spacing w:line="235" w:lineRule="exact"/>
              <w:ind w:left="95" w:right="0"/>
              <w:jc w:val="left"/>
              <w:rPr>
                <w:rFonts w:ascii="宋体" w:hAnsi="宋体" w:cs="宋体" w:eastAsia="宋体" w:hint="default"/>
                <w:sz w:val="21"/>
                <w:szCs w:val="21"/>
              </w:rPr>
            </w:pPr>
            <w:r>
              <w:rPr>
                <w:rFonts w:ascii="宋体" w:hAnsi="宋体" w:cs="宋体" w:eastAsia="宋体" w:hint="default"/>
                <w:sz w:val="21"/>
                <w:szCs w:val="21"/>
              </w:rPr>
              <w:t>本期公允</w:t>
            </w:r>
          </w:p>
          <w:p>
            <w:pPr>
              <w:pStyle w:val="TableParagraph"/>
              <w:spacing w:line="268" w:lineRule="exact" w:before="30"/>
              <w:ind w:left="302" w:right="89" w:hanging="207"/>
              <w:jc w:val="left"/>
              <w:rPr>
                <w:rFonts w:ascii="宋体" w:hAnsi="宋体" w:cs="宋体" w:eastAsia="宋体" w:hint="default"/>
                <w:sz w:val="21"/>
                <w:szCs w:val="21"/>
              </w:rPr>
            </w:pPr>
            <w:r>
              <w:rPr>
                <w:rFonts w:ascii="宋体" w:hAnsi="宋体" w:cs="宋体" w:eastAsia="宋体" w:hint="default"/>
                <w:sz w:val="21"/>
                <w:szCs w:val="21"/>
              </w:rPr>
              <w:t>价值变动</w:t>
            </w:r>
            <w:r>
              <w:rPr>
                <w:rFonts w:ascii="宋体" w:hAnsi="宋体" w:cs="宋体" w:eastAsia="宋体" w:hint="default"/>
                <w:spacing w:val="-101"/>
                <w:sz w:val="21"/>
                <w:szCs w:val="21"/>
              </w:rPr>
              <w:t> </w:t>
            </w:r>
            <w:r>
              <w:rPr>
                <w:rFonts w:ascii="宋体" w:hAnsi="宋体" w:cs="宋体" w:eastAsia="宋体" w:hint="default"/>
                <w:sz w:val="21"/>
                <w:szCs w:val="21"/>
              </w:rPr>
              <w:t>损益</w:t>
            </w:r>
          </w:p>
        </w:tc>
        <w:tc>
          <w:tcPr>
            <w:tcW w:w="1378" w:type="dxa"/>
            <w:vMerge w:val="restart"/>
            <w:tcBorders>
              <w:top w:val="nil" w:sz="6" w:space="0" w:color="auto"/>
              <w:left w:val="single" w:sz="4" w:space="0" w:color="000000"/>
              <w:right w:val="single" w:sz="4" w:space="0" w:color="000000"/>
            </w:tcBorders>
            <w:shd w:val="clear" w:color="auto" w:fill="D2D2D2"/>
          </w:tcPr>
          <w:p>
            <w:pPr>
              <w:pStyle w:val="TableParagraph"/>
              <w:spacing w:line="235" w:lineRule="exact"/>
              <w:ind w:left="52" w:right="0"/>
              <w:jc w:val="left"/>
              <w:rPr>
                <w:rFonts w:ascii="宋体" w:hAnsi="宋体" w:cs="宋体" w:eastAsia="宋体" w:hint="default"/>
                <w:sz w:val="21"/>
                <w:szCs w:val="21"/>
              </w:rPr>
            </w:pPr>
            <w:r>
              <w:rPr>
                <w:rFonts w:ascii="宋体" w:hAnsi="宋体" w:cs="宋体" w:eastAsia="宋体" w:hint="default"/>
                <w:sz w:val="21"/>
                <w:szCs w:val="21"/>
              </w:rPr>
              <w:t>计入权益的累</w:t>
            </w:r>
          </w:p>
          <w:p>
            <w:pPr>
              <w:pStyle w:val="TableParagraph"/>
              <w:spacing w:line="268" w:lineRule="exact" w:before="30"/>
              <w:ind w:left="576" w:right="50" w:hanging="524"/>
              <w:jc w:val="left"/>
              <w:rPr>
                <w:rFonts w:ascii="宋体" w:hAnsi="宋体" w:cs="宋体" w:eastAsia="宋体" w:hint="default"/>
                <w:sz w:val="21"/>
                <w:szCs w:val="21"/>
              </w:rPr>
            </w:pPr>
            <w:r>
              <w:rPr>
                <w:rFonts w:ascii="宋体" w:hAnsi="宋体" w:cs="宋体" w:eastAsia="宋体" w:hint="default"/>
                <w:sz w:val="21"/>
                <w:szCs w:val="21"/>
              </w:rPr>
              <w:t>计公允价值变</w:t>
            </w:r>
            <w:r>
              <w:rPr>
                <w:rFonts w:ascii="宋体" w:hAnsi="宋体" w:cs="宋体" w:eastAsia="宋体" w:hint="default"/>
                <w:w w:val="100"/>
                <w:sz w:val="21"/>
                <w:szCs w:val="21"/>
              </w:rPr>
              <w:t> </w:t>
            </w:r>
            <w:r>
              <w:rPr>
                <w:rFonts w:ascii="宋体" w:hAnsi="宋体" w:cs="宋体" w:eastAsia="宋体" w:hint="default"/>
                <w:sz w:val="21"/>
                <w:szCs w:val="21"/>
              </w:rPr>
              <w:t>动</w:t>
            </w:r>
          </w:p>
        </w:tc>
        <w:tc>
          <w:tcPr>
            <w:tcW w:w="1022" w:type="dxa"/>
            <w:vMerge/>
            <w:tcBorders>
              <w:left w:val="single" w:sz="4" w:space="0" w:color="000000"/>
              <w:bottom w:val="nil" w:sz="6" w:space="0" w:color="auto"/>
              <w:right w:val="single" w:sz="4" w:space="0" w:color="000000"/>
            </w:tcBorders>
            <w:shd w:val="clear" w:color="auto" w:fill="D2D2D2"/>
          </w:tcPr>
          <w:p>
            <w:pPr/>
          </w:p>
        </w:tc>
        <w:tc>
          <w:tcPr>
            <w:tcW w:w="1200" w:type="dxa"/>
            <w:vMerge/>
            <w:tcBorders>
              <w:left w:val="single" w:sz="4" w:space="0" w:color="000000"/>
              <w:bottom w:val="nil" w:sz="6" w:space="0" w:color="auto"/>
              <w:right w:val="single" w:sz="4" w:space="0" w:color="000000"/>
            </w:tcBorders>
            <w:shd w:val="clear" w:color="auto" w:fill="D2D2D2"/>
          </w:tcPr>
          <w:p>
            <w:pPr/>
          </w:p>
        </w:tc>
        <w:tc>
          <w:tcPr>
            <w:tcW w:w="1200" w:type="dxa"/>
            <w:vMerge/>
            <w:tcBorders>
              <w:left w:val="single" w:sz="4" w:space="0" w:color="000000"/>
              <w:bottom w:val="nil" w:sz="6" w:space="0" w:color="auto"/>
              <w:right w:val="single" w:sz="4" w:space="0" w:color="000000"/>
            </w:tcBorders>
            <w:shd w:val="clear" w:color="auto" w:fill="D2D2D2"/>
          </w:tcPr>
          <w:p>
            <w:pPr/>
          </w:p>
        </w:tc>
        <w:tc>
          <w:tcPr>
            <w:tcW w:w="1272" w:type="dxa"/>
            <w:vMerge/>
            <w:tcBorders>
              <w:left w:val="single" w:sz="4" w:space="0" w:color="000000"/>
              <w:right w:val="single" w:sz="4" w:space="0" w:color="000000"/>
            </w:tcBorders>
            <w:shd w:val="clear" w:color="auto" w:fill="D2D2D2"/>
          </w:tcPr>
          <w:p>
            <w:pPr/>
          </w:p>
        </w:tc>
      </w:tr>
      <w:tr>
        <w:trPr>
          <w:trHeight w:val="135" w:hRule="exact"/>
        </w:trPr>
        <w:tc>
          <w:tcPr>
            <w:tcW w:w="1200" w:type="dxa"/>
            <w:vMerge/>
            <w:tcBorders>
              <w:left w:val="single" w:sz="4" w:space="0" w:color="000000"/>
              <w:bottom w:val="nil" w:sz="6" w:space="0" w:color="auto"/>
              <w:right w:val="single" w:sz="4" w:space="0" w:color="000000"/>
            </w:tcBorders>
            <w:shd w:val="clear" w:color="auto" w:fill="D2D2D2"/>
          </w:tcPr>
          <w:p>
            <w:pPr/>
          </w:p>
        </w:tc>
        <w:tc>
          <w:tcPr>
            <w:tcW w:w="1358" w:type="dxa"/>
            <w:vMerge/>
            <w:tcBorders>
              <w:left w:val="single" w:sz="4" w:space="0" w:color="000000"/>
              <w:bottom w:val="nil" w:sz="6" w:space="0" w:color="auto"/>
              <w:right w:val="single" w:sz="4" w:space="0" w:color="000000"/>
            </w:tcBorders>
            <w:shd w:val="clear" w:color="auto" w:fill="D2D2D2"/>
          </w:tcPr>
          <w:p>
            <w:pPr/>
          </w:p>
        </w:tc>
        <w:tc>
          <w:tcPr>
            <w:tcW w:w="1042" w:type="dxa"/>
            <w:vMerge/>
            <w:tcBorders>
              <w:left w:val="single" w:sz="4" w:space="0" w:color="000000"/>
              <w:right w:val="single" w:sz="4" w:space="0" w:color="000000"/>
            </w:tcBorders>
            <w:shd w:val="clear" w:color="auto" w:fill="D2D2D2"/>
          </w:tcPr>
          <w:p>
            <w:pPr/>
          </w:p>
        </w:tc>
        <w:tc>
          <w:tcPr>
            <w:tcW w:w="1378" w:type="dxa"/>
            <w:vMerge/>
            <w:tcBorders>
              <w:left w:val="single" w:sz="4" w:space="0" w:color="000000"/>
              <w:right w:val="single" w:sz="4" w:space="0" w:color="000000"/>
            </w:tcBorders>
            <w:shd w:val="clear" w:color="auto" w:fill="D2D2D2"/>
          </w:tcPr>
          <w:p>
            <w:pPr/>
          </w:p>
        </w:tc>
        <w:tc>
          <w:tcPr>
            <w:tcW w:w="1022" w:type="dxa"/>
            <w:vMerge w:val="restart"/>
            <w:tcBorders>
              <w:top w:val="nil" w:sz="6" w:space="0" w:color="auto"/>
              <w:left w:val="single" w:sz="4" w:space="0" w:color="000000"/>
              <w:right w:val="single" w:sz="4" w:space="0" w:color="000000"/>
            </w:tcBorders>
            <w:shd w:val="clear" w:color="auto" w:fill="D2D2D2"/>
          </w:tcPr>
          <w:p>
            <w:pPr>
              <w:pStyle w:val="TableParagraph"/>
              <w:spacing w:line="235" w:lineRule="exact"/>
              <w:ind w:left="4" w:right="0"/>
              <w:jc w:val="center"/>
              <w:rPr>
                <w:rFonts w:ascii="宋体" w:hAnsi="宋体" w:cs="宋体" w:eastAsia="宋体" w:hint="default"/>
                <w:sz w:val="21"/>
                <w:szCs w:val="21"/>
              </w:rPr>
            </w:pPr>
            <w:r>
              <w:rPr>
                <w:rFonts w:ascii="宋体" w:hAnsi="宋体" w:cs="宋体" w:eastAsia="宋体" w:hint="default"/>
                <w:sz w:val="21"/>
                <w:szCs w:val="21"/>
              </w:rPr>
              <w:t>本期计提</w:t>
            </w:r>
          </w:p>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的减值</w:t>
            </w:r>
          </w:p>
        </w:tc>
        <w:tc>
          <w:tcPr>
            <w:tcW w:w="1200" w:type="dxa"/>
            <w:vMerge w:val="restart"/>
            <w:tcBorders>
              <w:top w:val="nil" w:sz="6" w:space="0" w:color="auto"/>
              <w:left w:val="single" w:sz="4" w:space="0" w:color="000000"/>
              <w:right w:val="single" w:sz="4" w:space="0" w:color="000000"/>
            </w:tcBorders>
            <w:shd w:val="clear" w:color="auto" w:fill="D2D2D2"/>
          </w:tcPr>
          <w:p>
            <w:pPr>
              <w:pStyle w:val="TableParagraph"/>
              <w:spacing w:line="235" w:lineRule="exact"/>
              <w:ind w:right="0"/>
              <w:jc w:val="center"/>
              <w:rPr>
                <w:rFonts w:ascii="宋体" w:hAnsi="宋体" w:cs="宋体" w:eastAsia="宋体" w:hint="default"/>
                <w:sz w:val="21"/>
                <w:szCs w:val="21"/>
              </w:rPr>
            </w:pPr>
            <w:r>
              <w:rPr>
                <w:rFonts w:ascii="宋体" w:hAnsi="宋体" w:cs="宋体" w:eastAsia="宋体" w:hint="default"/>
                <w:sz w:val="21"/>
                <w:szCs w:val="21"/>
              </w:rPr>
              <w:t>本期购买金</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1200" w:type="dxa"/>
            <w:vMerge w:val="restart"/>
            <w:tcBorders>
              <w:top w:val="nil" w:sz="6" w:space="0" w:color="auto"/>
              <w:left w:val="single" w:sz="4" w:space="0" w:color="000000"/>
              <w:right w:val="single" w:sz="4" w:space="0" w:color="000000"/>
            </w:tcBorders>
            <w:shd w:val="clear" w:color="auto" w:fill="D2D2D2"/>
          </w:tcPr>
          <w:p>
            <w:pPr>
              <w:pStyle w:val="TableParagraph"/>
              <w:spacing w:line="235" w:lineRule="exact"/>
              <w:ind w:right="0"/>
              <w:jc w:val="center"/>
              <w:rPr>
                <w:rFonts w:ascii="宋体" w:hAnsi="宋体" w:cs="宋体" w:eastAsia="宋体" w:hint="default"/>
                <w:sz w:val="21"/>
                <w:szCs w:val="21"/>
              </w:rPr>
            </w:pPr>
            <w:r>
              <w:rPr>
                <w:rFonts w:ascii="宋体" w:hAnsi="宋体" w:cs="宋体" w:eastAsia="宋体" w:hint="default"/>
                <w:sz w:val="21"/>
                <w:szCs w:val="21"/>
              </w:rPr>
              <w:t>本期出售金</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w w:val="100"/>
                <w:sz w:val="21"/>
                <w:szCs w:val="21"/>
              </w:rPr>
              <w:t>额</w:t>
            </w:r>
          </w:p>
        </w:tc>
        <w:tc>
          <w:tcPr>
            <w:tcW w:w="1272" w:type="dxa"/>
            <w:vMerge/>
            <w:tcBorders>
              <w:left w:val="single" w:sz="4" w:space="0" w:color="000000"/>
              <w:bottom w:val="nil" w:sz="6" w:space="0" w:color="auto"/>
              <w:right w:val="single" w:sz="4" w:space="0" w:color="000000"/>
            </w:tcBorders>
            <w:shd w:val="clear" w:color="auto" w:fill="D2D2D2"/>
          </w:tcPr>
          <w:p>
            <w:pPr/>
          </w:p>
        </w:tc>
      </w:tr>
      <w:tr>
        <w:trPr>
          <w:trHeight w:val="272" w:hRule="exact"/>
        </w:trPr>
        <w:tc>
          <w:tcPr>
            <w:tcW w:w="120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left="2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3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right="2"/>
              <w:jc w:val="center"/>
              <w:rPr>
                <w:rFonts w:ascii="宋体" w:hAnsi="宋体" w:cs="宋体" w:eastAsia="宋体" w:hint="default"/>
                <w:sz w:val="21"/>
                <w:szCs w:val="21"/>
              </w:rPr>
            </w:pPr>
            <w:r>
              <w:rPr>
                <w:rFonts w:ascii="宋体" w:hAnsi="宋体" w:cs="宋体" w:eastAsia="宋体" w:hint="default"/>
                <w:sz w:val="21"/>
                <w:szCs w:val="21"/>
              </w:rPr>
              <w:t>期初数</w:t>
            </w:r>
          </w:p>
        </w:tc>
        <w:tc>
          <w:tcPr>
            <w:tcW w:w="1042" w:type="dxa"/>
            <w:vMerge/>
            <w:tcBorders>
              <w:left w:val="single" w:sz="4" w:space="0" w:color="000000"/>
              <w:right w:val="single" w:sz="4" w:space="0" w:color="000000"/>
            </w:tcBorders>
            <w:shd w:val="clear" w:color="auto" w:fill="D2D2D2"/>
          </w:tcPr>
          <w:p>
            <w:pPr/>
          </w:p>
        </w:tc>
        <w:tc>
          <w:tcPr>
            <w:tcW w:w="1378" w:type="dxa"/>
            <w:vMerge/>
            <w:tcBorders>
              <w:left w:val="single" w:sz="4" w:space="0" w:color="000000"/>
              <w:right w:val="single" w:sz="4" w:space="0" w:color="000000"/>
            </w:tcBorders>
            <w:shd w:val="clear" w:color="auto" w:fill="D2D2D2"/>
          </w:tcPr>
          <w:p>
            <w:pPr/>
          </w:p>
        </w:tc>
        <w:tc>
          <w:tcPr>
            <w:tcW w:w="1022" w:type="dxa"/>
            <w:vMerge/>
            <w:tcBorders>
              <w:left w:val="single" w:sz="4" w:space="0" w:color="000000"/>
              <w:right w:val="single" w:sz="4" w:space="0" w:color="000000"/>
            </w:tcBorders>
            <w:shd w:val="clear" w:color="auto" w:fill="D2D2D2"/>
          </w:tcPr>
          <w:p>
            <w:pPr/>
          </w:p>
        </w:tc>
        <w:tc>
          <w:tcPr>
            <w:tcW w:w="1200" w:type="dxa"/>
            <w:vMerge/>
            <w:tcBorders>
              <w:left w:val="single" w:sz="4" w:space="0" w:color="000000"/>
              <w:right w:val="single" w:sz="4" w:space="0" w:color="000000"/>
            </w:tcBorders>
            <w:shd w:val="clear" w:color="auto" w:fill="D2D2D2"/>
          </w:tcPr>
          <w:p>
            <w:pPr/>
          </w:p>
        </w:tc>
        <w:tc>
          <w:tcPr>
            <w:tcW w:w="1200" w:type="dxa"/>
            <w:vMerge/>
            <w:tcBorders>
              <w:left w:val="single" w:sz="4" w:space="0" w:color="000000"/>
              <w:right w:val="single" w:sz="4" w:space="0" w:color="000000"/>
            </w:tcBorders>
            <w:shd w:val="clear" w:color="auto" w:fill="D2D2D2"/>
          </w:tcPr>
          <w:p>
            <w:pPr/>
          </w:p>
        </w:tc>
        <w:tc>
          <w:tcPr>
            <w:tcW w:w="12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5" w:lineRule="exact"/>
              <w:ind w:right="2"/>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136" w:hRule="exact"/>
        </w:trPr>
        <w:tc>
          <w:tcPr>
            <w:tcW w:w="1200" w:type="dxa"/>
            <w:vMerge w:val="restart"/>
            <w:tcBorders>
              <w:top w:val="nil" w:sz="6" w:space="0" w:color="auto"/>
              <w:left w:val="single" w:sz="4" w:space="0" w:color="000000"/>
              <w:right w:val="single" w:sz="4" w:space="0" w:color="000000"/>
            </w:tcBorders>
            <w:shd w:val="clear" w:color="auto" w:fill="D2D2D2"/>
          </w:tcPr>
          <w:p>
            <w:pPr/>
          </w:p>
        </w:tc>
        <w:tc>
          <w:tcPr>
            <w:tcW w:w="1358" w:type="dxa"/>
            <w:vMerge w:val="restart"/>
            <w:tcBorders>
              <w:top w:val="nil" w:sz="6" w:space="0" w:color="auto"/>
              <w:left w:val="single" w:sz="4" w:space="0" w:color="000000"/>
              <w:right w:val="single" w:sz="4" w:space="0" w:color="000000"/>
            </w:tcBorders>
            <w:shd w:val="clear" w:color="auto" w:fill="D2D2D2"/>
          </w:tcPr>
          <w:p>
            <w:pPr/>
          </w:p>
        </w:tc>
        <w:tc>
          <w:tcPr>
            <w:tcW w:w="1042" w:type="dxa"/>
            <w:vMerge/>
            <w:tcBorders>
              <w:left w:val="single" w:sz="4" w:space="0" w:color="000000"/>
              <w:right w:val="single" w:sz="4" w:space="0" w:color="000000"/>
            </w:tcBorders>
            <w:shd w:val="clear" w:color="auto" w:fill="D2D2D2"/>
          </w:tcPr>
          <w:p>
            <w:pPr/>
          </w:p>
        </w:tc>
        <w:tc>
          <w:tcPr>
            <w:tcW w:w="1378" w:type="dxa"/>
            <w:vMerge/>
            <w:tcBorders>
              <w:left w:val="single" w:sz="4" w:space="0" w:color="000000"/>
              <w:right w:val="single" w:sz="4" w:space="0" w:color="000000"/>
            </w:tcBorders>
            <w:shd w:val="clear" w:color="auto" w:fill="D2D2D2"/>
          </w:tcPr>
          <w:p>
            <w:pPr/>
          </w:p>
        </w:tc>
        <w:tc>
          <w:tcPr>
            <w:tcW w:w="1022" w:type="dxa"/>
            <w:vMerge/>
            <w:tcBorders>
              <w:left w:val="single" w:sz="4" w:space="0" w:color="000000"/>
              <w:bottom w:val="nil" w:sz="6" w:space="0" w:color="auto"/>
              <w:right w:val="single" w:sz="4" w:space="0" w:color="000000"/>
            </w:tcBorders>
            <w:shd w:val="clear" w:color="auto" w:fill="D2D2D2"/>
          </w:tcPr>
          <w:p>
            <w:pPr/>
          </w:p>
        </w:tc>
        <w:tc>
          <w:tcPr>
            <w:tcW w:w="1200" w:type="dxa"/>
            <w:vMerge/>
            <w:tcBorders>
              <w:left w:val="single" w:sz="4" w:space="0" w:color="000000"/>
              <w:bottom w:val="nil" w:sz="6" w:space="0" w:color="auto"/>
              <w:right w:val="single" w:sz="4" w:space="0" w:color="000000"/>
            </w:tcBorders>
            <w:shd w:val="clear" w:color="auto" w:fill="D2D2D2"/>
          </w:tcPr>
          <w:p>
            <w:pPr/>
          </w:p>
        </w:tc>
        <w:tc>
          <w:tcPr>
            <w:tcW w:w="1200" w:type="dxa"/>
            <w:vMerge/>
            <w:tcBorders>
              <w:left w:val="single" w:sz="4" w:space="0" w:color="000000"/>
              <w:bottom w:val="nil" w:sz="6" w:space="0" w:color="auto"/>
              <w:right w:val="single" w:sz="4" w:space="0" w:color="000000"/>
            </w:tcBorders>
            <w:shd w:val="clear" w:color="auto" w:fill="D2D2D2"/>
          </w:tcPr>
          <w:p>
            <w:pPr/>
          </w:p>
        </w:tc>
        <w:tc>
          <w:tcPr>
            <w:tcW w:w="1272" w:type="dxa"/>
            <w:vMerge w:val="restart"/>
            <w:tcBorders>
              <w:top w:val="nil" w:sz="6" w:space="0" w:color="auto"/>
              <w:left w:val="single" w:sz="4" w:space="0" w:color="000000"/>
              <w:right w:val="single" w:sz="4" w:space="0" w:color="000000"/>
            </w:tcBorders>
            <w:shd w:val="clear" w:color="auto" w:fill="D2D2D2"/>
          </w:tcPr>
          <w:p>
            <w:pPr/>
          </w:p>
        </w:tc>
      </w:tr>
      <w:tr>
        <w:trPr>
          <w:trHeight w:val="306" w:hRule="exact"/>
        </w:trPr>
        <w:tc>
          <w:tcPr>
            <w:tcW w:w="1200" w:type="dxa"/>
            <w:vMerge/>
            <w:tcBorders>
              <w:left w:val="single" w:sz="4" w:space="0" w:color="000000"/>
              <w:bottom w:val="single" w:sz="4" w:space="0" w:color="000000"/>
              <w:right w:val="single" w:sz="4" w:space="0" w:color="000000"/>
            </w:tcBorders>
            <w:shd w:val="clear" w:color="auto" w:fill="D2D2D2"/>
          </w:tcPr>
          <w:p>
            <w:pPr/>
          </w:p>
        </w:tc>
        <w:tc>
          <w:tcPr>
            <w:tcW w:w="1358" w:type="dxa"/>
            <w:vMerge/>
            <w:tcBorders>
              <w:left w:val="single" w:sz="4" w:space="0" w:color="000000"/>
              <w:bottom w:val="single" w:sz="4" w:space="0" w:color="000000"/>
              <w:right w:val="single" w:sz="4" w:space="0" w:color="000000"/>
            </w:tcBorders>
            <w:shd w:val="clear" w:color="auto" w:fill="D2D2D2"/>
          </w:tcPr>
          <w:p>
            <w:pPr/>
          </w:p>
        </w:tc>
        <w:tc>
          <w:tcPr>
            <w:tcW w:w="1042" w:type="dxa"/>
            <w:vMerge/>
            <w:tcBorders>
              <w:left w:val="single" w:sz="4" w:space="0" w:color="000000"/>
              <w:bottom w:val="single" w:sz="4" w:space="0" w:color="000000"/>
              <w:right w:val="single" w:sz="4" w:space="0" w:color="000000"/>
            </w:tcBorders>
            <w:shd w:val="clear" w:color="auto" w:fill="D2D2D2"/>
          </w:tcPr>
          <w:p>
            <w:pPr/>
          </w:p>
        </w:tc>
        <w:tc>
          <w:tcPr>
            <w:tcW w:w="1378" w:type="dxa"/>
            <w:vMerge/>
            <w:tcBorders>
              <w:left w:val="single" w:sz="4" w:space="0" w:color="000000"/>
              <w:bottom w:val="single" w:sz="4" w:space="0" w:color="000000"/>
              <w:right w:val="single" w:sz="4" w:space="0" w:color="000000"/>
            </w:tcBorders>
            <w:shd w:val="clear" w:color="auto" w:fill="D2D2D2"/>
          </w:tcPr>
          <w:p>
            <w:pPr/>
          </w:p>
        </w:tc>
        <w:tc>
          <w:tcPr>
            <w:tcW w:w="1022"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2"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left="24" w:right="108"/>
              <w:jc w:val="left"/>
              <w:rPr>
                <w:rFonts w:ascii="宋体" w:hAnsi="宋体" w:cs="宋体" w:eastAsia="宋体" w:hint="default"/>
                <w:sz w:val="21"/>
                <w:szCs w:val="21"/>
              </w:rPr>
            </w:pPr>
            <w:r>
              <w:rPr>
                <w:rFonts w:ascii="宋体" w:hAnsi="宋体" w:cs="宋体" w:eastAsia="宋体" w:hint="default"/>
                <w:sz w:val="21"/>
                <w:szCs w:val="21"/>
              </w:rPr>
              <w:t>可供出售金</w:t>
            </w:r>
            <w:r>
              <w:rPr>
                <w:rFonts w:ascii="宋体" w:hAnsi="宋体" w:cs="宋体" w:eastAsia="宋体" w:hint="default"/>
                <w:spacing w:val="-100"/>
                <w:sz w:val="21"/>
                <w:szCs w:val="21"/>
              </w:rPr>
              <w:t> </w:t>
            </w:r>
            <w:r>
              <w:rPr>
                <w:rFonts w:ascii="宋体" w:hAnsi="宋体" w:cs="宋体" w:eastAsia="宋体" w:hint="default"/>
                <w:sz w:val="21"/>
                <w:szCs w:val="21"/>
              </w:rPr>
              <w:t>融资产</w:t>
            </w:r>
          </w:p>
        </w:tc>
        <w:tc>
          <w:tcPr>
            <w:tcW w:w="13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78"/>
              <w:ind w:left="76" w:right="0"/>
              <w:jc w:val="center"/>
              <w:rPr>
                <w:rFonts w:ascii="Times New Roman" w:hAnsi="Times New Roman" w:cs="Times New Roman" w:eastAsia="Times New Roman" w:hint="default"/>
                <w:sz w:val="21"/>
                <w:szCs w:val="21"/>
              </w:rPr>
            </w:pPr>
            <w:r>
              <w:rPr>
                <w:rFonts w:ascii="Times New Roman"/>
                <w:sz w:val="21"/>
              </w:rPr>
              <w:t>33,437,762.52</w:t>
            </w:r>
          </w:p>
        </w:tc>
        <w:tc>
          <w:tcPr>
            <w:tcW w:w="1042" w:type="dxa"/>
            <w:tcBorders>
              <w:top w:val="single" w:sz="52" w:space="0" w:color="D2D2D2"/>
              <w:left w:val="single" w:sz="4" w:space="0" w:color="000000"/>
              <w:bottom w:val="single" w:sz="4" w:space="0" w:color="000000"/>
              <w:right w:val="single" w:sz="4" w:space="0" w:color="000000"/>
            </w:tcBorders>
          </w:tcPr>
          <w:p>
            <w:pPr/>
          </w:p>
        </w:tc>
        <w:tc>
          <w:tcPr>
            <w:tcW w:w="1378" w:type="dxa"/>
            <w:tcBorders>
              <w:top w:val="single" w:sz="52" w:space="0" w:color="D2D2D2"/>
              <w:left w:val="single" w:sz="4" w:space="0" w:color="000000"/>
              <w:bottom w:val="single" w:sz="4" w:space="0" w:color="000000"/>
              <w:right w:val="single" w:sz="4" w:space="0" w:color="000000"/>
            </w:tcBorders>
          </w:tcPr>
          <w:p>
            <w:pPr>
              <w:pStyle w:val="TableParagraph"/>
              <w:spacing w:line="240" w:lineRule="auto" w:before="118"/>
              <w:ind w:right="22"/>
              <w:jc w:val="right"/>
              <w:rPr>
                <w:rFonts w:ascii="Times New Roman" w:hAnsi="Times New Roman" w:cs="Times New Roman" w:eastAsia="Times New Roman" w:hint="default"/>
                <w:sz w:val="21"/>
                <w:szCs w:val="21"/>
              </w:rPr>
            </w:pPr>
            <w:r>
              <w:rPr>
                <w:rFonts w:ascii="Times New Roman"/>
                <w:sz w:val="21"/>
              </w:rPr>
              <w:t>21,628,610.33</w:t>
            </w:r>
          </w:p>
        </w:tc>
        <w:tc>
          <w:tcPr>
            <w:tcW w:w="1022"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z w:val="21"/>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Times New Roman" w:hAnsi="Times New Roman" w:cs="Times New Roman" w:eastAsia="Times New Roman" w:hint="default"/>
                <w:sz w:val="21"/>
                <w:szCs w:val="21"/>
              </w:rPr>
            </w:pPr>
            <w:r>
              <w:rPr>
                <w:rFonts w:ascii="Times New Roman"/>
                <w:sz w:val="21"/>
              </w:rPr>
              <w:t>32,276,398.62</w:t>
            </w:r>
          </w:p>
        </w:tc>
      </w:tr>
      <w:tr>
        <w:trPr>
          <w:trHeight w:val="672"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left="24" w:right="108"/>
              <w:jc w:val="left"/>
              <w:rPr>
                <w:rFonts w:ascii="宋体" w:hAnsi="宋体" w:cs="宋体" w:eastAsia="宋体" w:hint="default"/>
                <w:sz w:val="21"/>
                <w:szCs w:val="21"/>
              </w:rPr>
            </w:pPr>
            <w:r>
              <w:rPr>
                <w:rFonts w:ascii="宋体" w:hAnsi="宋体" w:cs="宋体" w:eastAsia="宋体" w:hint="default"/>
                <w:sz w:val="21"/>
                <w:szCs w:val="21"/>
              </w:rPr>
              <w:t>金融资产小</w:t>
            </w:r>
            <w:r>
              <w:rPr>
                <w:rFonts w:ascii="宋体" w:hAnsi="宋体" w:cs="宋体" w:eastAsia="宋体" w:hint="default"/>
                <w:spacing w:val="-100"/>
                <w:sz w:val="21"/>
                <w:szCs w:val="21"/>
              </w:rPr>
              <w:t> </w:t>
            </w:r>
            <w:r>
              <w:rPr>
                <w:rFonts w:ascii="宋体" w:hAnsi="宋体" w:cs="宋体" w:eastAsia="宋体" w:hint="default"/>
                <w:sz w:val="21"/>
                <w:szCs w:val="21"/>
              </w:rPr>
              <w:t>计</w:t>
            </w:r>
          </w:p>
        </w:tc>
        <w:tc>
          <w:tcPr>
            <w:tcW w:w="13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78"/>
              <w:ind w:left="76" w:right="0"/>
              <w:jc w:val="center"/>
              <w:rPr>
                <w:rFonts w:ascii="Times New Roman" w:hAnsi="Times New Roman" w:cs="Times New Roman" w:eastAsia="Times New Roman" w:hint="default"/>
                <w:sz w:val="21"/>
                <w:szCs w:val="21"/>
              </w:rPr>
            </w:pPr>
            <w:r>
              <w:rPr>
                <w:rFonts w:ascii="Times New Roman"/>
                <w:sz w:val="21"/>
              </w:rPr>
              <w:t>33,437,762.52</w:t>
            </w:r>
          </w:p>
        </w:tc>
        <w:tc>
          <w:tcPr>
            <w:tcW w:w="1042"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z w:val="21"/>
              </w:rPr>
              <w:t>21,628,610.33</w:t>
            </w:r>
          </w:p>
        </w:tc>
        <w:tc>
          <w:tcPr>
            <w:tcW w:w="1022"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22"/>
              <w:jc w:val="right"/>
              <w:rPr>
                <w:rFonts w:ascii="Times New Roman" w:hAnsi="Times New Roman" w:cs="Times New Roman" w:eastAsia="Times New Roman" w:hint="default"/>
                <w:sz w:val="21"/>
                <w:szCs w:val="21"/>
              </w:rPr>
            </w:pPr>
            <w:r>
              <w:rPr>
                <w:rFonts w:ascii="Times New Roman"/>
                <w:sz w:val="21"/>
              </w:rPr>
              <w:t>0.00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Times New Roman" w:hAnsi="Times New Roman" w:cs="Times New Roman" w:eastAsia="Times New Roman" w:hint="default"/>
                <w:sz w:val="21"/>
                <w:szCs w:val="21"/>
              </w:rPr>
            </w:pPr>
            <w:r>
              <w:rPr>
                <w:rFonts w:ascii="Times New Roman"/>
                <w:sz w:val="21"/>
              </w:rPr>
              <w:t>32,276,398.62</w:t>
            </w:r>
          </w:p>
        </w:tc>
      </w:tr>
      <w:tr>
        <w:trPr>
          <w:trHeight w:val="384"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上述合计</w:t>
            </w:r>
          </w:p>
        </w:tc>
        <w:tc>
          <w:tcPr>
            <w:tcW w:w="1358"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58"/>
              <w:ind w:left="76" w:right="0"/>
              <w:jc w:val="center"/>
              <w:rPr>
                <w:rFonts w:ascii="Times New Roman" w:hAnsi="Times New Roman" w:cs="Times New Roman" w:eastAsia="Times New Roman" w:hint="default"/>
                <w:sz w:val="21"/>
                <w:szCs w:val="21"/>
              </w:rPr>
            </w:pPr>
            <w:r>
              <w:rPr>
                <w:rFonts w:ascii="Times New Roman"/>
                <w:sz w:val="21"/>
              </w:rPr>
              <w:t>33,437,762.52</w:t>
            </w:r>
          </w:p>
        </w:tc>
        <w:tc>
          <w:tcPr>
            <w:tcW w:w="1042" w:type="dxa"/>
            <w:tcBorders>
              <w:top w:val="single" w:sz="4" w:space="0" w:color="000000"/>
              <w:left w:val="single" w:sz="4" w:space="0" w:color="000000"/>
              <w:bottom w:val="single" w:sz="4" w:space="0" w:color="000000"/>
              <w:right w:val="single" w:sz="4" w:space="0" w:color="000000"/>
            </w:tcBorders>
          </w:tcPr>
          <w:p>
            <w:pP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2"/>
              <w:jc w:val="right"/>
              <w:rPr>
                <w:rFonts w:ascii="Times New Roman" w:hAnsi="Times New Roman" w:cs="Times New Roman" w:eastAsia="Times New Roman" w:hint="default"/>
                <w:sz w:val="21"/>
                <w:szCs w:val="21"/>
              </w:rPr>
            </w:pPr>
            <w:r>
              <w:rPr>
                <w:rFonts w:ascii="Times New Roman"/>
                <w:sz w:val="21"/>
              </w:rPr>
              <w:t>21,628,610.33</w:t>
            </w:r>
          </w:p>
        </w:tc>
        <w:tc>
          <w:tcPr>
            <w:tcW w:w="1022"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200"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32,276,398.62</w:t>
            </w:r>
          </w:p>
        </w:tc>
      </w:tr>
    </w:tbl>
    <w:p>
      <w:pPr>
        <w:pStyle w:val="BodyText"/>
        <w:spacing w:line="241" w:lineRule="exact"/>
        <w:ind w:right="0"/>
        <w:jc w:val="left"/>
      </w:pPr>
      <w:r>
        <w:rPr/>
        <w:t>报告期内公司主要资产计量属性是否发生重大变化</w:t>
      </w:r>
    </w:p>
    <w:p>
      <w:pPr>
        <w:pStyle w:val="BodyText"/>
        <w:tabs>
          <w:tab w:pos="805" w:val="left" w:leader="none"/>
        </w:tabs>
        <w:spacing w:line="240" w:lineRule="auto" w:before="133"/>
        <w:ind w:right="0"/>
        <w:jc w:val="left"/>
      </w:pP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是</w:t>
        <w:tab/>
      </w:r>
      <w:r>
        <w:rPr>
          <w:rFonts w:ascii="Times New Roman" w:hAnsi="Times New Roman" w:cs="Times New Roman" w:eastAsia="Times New Roman" w:hint="default"/>
        </w:rPr>
        <w:t>√  </w:t>
      </w:r>
      <w:r>
        <w:rPr/>
        <w:t>否</w:t>
      </w:r>
    </w:p>
    <w:p>
      <w:pPr>
        <w:spacing w:line="240" w:lineRule="auto" w:before="5"/>
        <w:rPr>
          <w:rFonts w:ascii="宋体" w:hAnsi="宋体" w:cs="宋体" w:eastAsia="宋体" w:hint="default"/>
          <w:sz w:val="25"/>
          <w:szCs w:val="25"/>
        </w:rPr>
      </w:pPr>
    </w:p>
    <w:p>
      <w:pPr>
        <w:pStyle w:val="Heading4"/>
        <w:spacing w:line="240" w:lineRule="auto"/>
        <w:ind w:right="0"/>
        <w:jc w:val="left"/>
        <w:rPr>
          <w:b w:val="0"/>
          <w:bCs w:val="0"/>
        </w:rPr>
      </w:pPr>
      <w:r>
        <w:rPr/>
        <w:t>五、投资状况分析</w:t>
      </w:r>
      <w:r>
        <w:rPr>
          <w:b w:val="0"/>
          <w:bCs w:val="0"/>
        </w:rPr>
      </w:r>
    </w:p>
    <w:p>
      <w:pPr>
        <w:pStyle w:val="Heading6"/>
        <w:spacing w:line="240" w:lineRule="auto" w:before="212"/>
        <w:ind w:left="152" w:right="0"/>
        <w:jc w:val="left"/>
        <w:rPr>
          <w:b w:val="0"/>
          <w:bCs w:val="0"/>
        </w:rPr>
      </w:pPr>
      <w:r>
        <w:rPr>
          <w:rFonts w:ascii="Times New Roman" w:hAnsi="Times New Roman" w:cs="Times New Roman" w:eastAsia="Times New Roman" w:hint="default"/>
        </w:rPr>
        <w:t>1</w:t>
      </w:r>
      <w:r>
        <w:rPr/>
        <w:t>、对外股权投资情况</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Heading6"/>
        <w:spacing w:line="240" w:lineRule="auto"/>
        <w:ind w:left="152" w:right="0"/>
        <w:jc w:val="left"/>
        <w:rPr>
          <w:b w:val="0"/>
          <w:bCs w:val="0"/>
        </w:rPr>
      </w:pPr>
      <w:r>
        <w:rPr/>
        <w:t>（</w:t>
      </w:r>
      <w:r>
        <w:rPr>
          <w:rFonts w:ascii="Times New Roman" w:hAnsi="Times New Roman" w:cs="Times New Roman" w:eastAsia="Times New Roman" w:hint="default"/>
        </w:rPr>
        <w:t>1</w:t>
      </w:r>
      <w:r>
        <w:rPr/>
        <w:t>）对外投资情况</w:t>
      </w:r>
      <w:r>
        <w:rPr>
          <w:b w:val="0"/>
          <w:bCs w:val="0"/>
        </w:rPr>
      </w:r>
    </w:p>
    <w:p>
      <w:pPr>
        <w:spacing w:line="240" w:lineRule="auto" w:before="3"/>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3542"/>
        <w:gridCol w:w="2837"/>
        <w:gridCol w:w="3192"/>
      </w:tblGrid>
      <w:tr>
        <w:trPr>
          <w:trHeight w:val="278" w:hRule="exact"/>
        </w:trPr>
        <w:tc>
          <w:tcPr>
            <w:tcW w:w="957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对外投资情况</w:t>
            </w:r>
          </w:p>
        </w:tc>
      </w:tr>
      <w:tr>
        <w:trPr>
          <w:trHeight w:val="283" w:hRule="exact"/>
        </w:trPr>
        <w:tc>
          <w:tcPr>
            <w:tcW w:w="35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2" w:lineRule="exact"/>
              <w:ind w:left="79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年投资额（元）</w:t>
            </w:r>
          </w:p>
        </w:tc>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2" w:lineRule="exact"/>
              <w:ind w:left="441"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变动幅度</w:t>
            </w:r>
          </w:p>
        </w:tc>
      </w:tr>
      <w:tr>
        <w:trPr>
          <w:trHeight w:val="254"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198" w:right="0"/>
              <w:jc w:val="left"/>
              <w:rPr>
                <w:rFonts w:ascii="Times New Roman" w:hAnsi="Times New Roman" w:cs="Times New Roman" w:eastAsia="Times New Roman" w:hint="default"/>
                <w:sz w:val="21"/>
                <w:szCs w:val="21"/>
              </w:rPr>
            </w:pPr>
            <w:r>
              <w:rPr>
                <w:rFonts w:ascii="Times New Roman"/>
                <w:sz w:val="21"/>
              </w:rPr>
              <w:t>170,000,000.00</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1588" w:right="0"/>
              <w:jc w:val="left"/>
              <w:rPr>
                <w:rFonts w:ascii="Times New Roman" w:hAnsi="Times New Roman" w:cs="Times New Roman" w:eastAsia="Times New Roman" w:hint="default"/>
                <w:sz w:val="21"/>
                <w:szCs w:val="21"/>
              </w:rPr>
            </w:pPr>
            <w:r>
              <w:rPr>
                <w:rFonts w:ascii="Times New Roman"/>
                <w:sz w:val="21"/>
              </w:rPr>
              <w:t>81,000,000.00</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right="23"/>
              <w:jc w:val="right"/>
              <w:rPr>
                <w:rFonts w:ascii="Times New Roman" w:hAnsi="Times New Roman" w:cs="Times New Roman" w:eastAsia="Times New Roman" w:hint="default"/>
                <w:sz w:val="21"/>
                <w:szCs w:val="21"/>
              </w:rPr>
            </w:pPr>
            <w:r>
              <w:rPr>
                <w:rFonts w:ascii="Times New Roman"/>
                <w:sz w:val="21"/>
              </w:rPr>
              <w:t>109.88%</w:t>
            </w:r>
          </w:p>
        </w:tc>
      </w:tr>
      <w:tr>
        <w:trPr>
          <w:trHeight w:val="278" w:hRule="exact"/>
        </w:trPr>
        <w:tc>
          <w:tcPr>
            <w:tcW w:w="957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被投资公司情况</w:t>
            </w:r>
          </w:p>
        </w:tc>
      </w:tr>
      <w:tr>
        <w:trPr>
          <w:trHeight w:val="557" w:hRule="exact"/>
        </w:trPr>
        <w:tc>
          <w:tcPr>
            <w:tcW w:w="35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2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right="2"/>
              <w:jc w:val="center"/>
              <w:rPr>
                <w:rFonts w:ascii="宋体" w:hAnsi="宋体" w:cs="宋体" w:eastAsia="宋体" w:hint="default"/>
                <w:sz w:val="21"/>
                <w:szCs w:val="21"/>
              </w:rPr>
            </w:pPr>
            <w:r>
              <w:rPr>
                <w:rFonts w:ascii="宋体" w:hAnsi="宋体" w:cs="宋体" w:eastAsia="宋体" w:hint="default"/>
                <w:sz w:val="21"/>
                <w:szCs w:val="21"/>
              </w:rPr>
              <w:t>主要业务</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right="0"/>
              <w:jc w:val="center"/>
              <w:rPr>
                <w:rFonts w:ascii="宋体" w:hAnsi="宋体" w:cs="宋体" w:eastAsia="宋体" w:hint="default"/>
                <w:sz w:val="21"/>
                <w:szCs w:val="21"/>
              </w:rPr>
            </w:pPr>
            <w:r>
              <w:rPr>
                <w:rFonts w:ascii="宋体" w:hAnsi="宋体" w:cs="宋体" w:eastAsia="宋体" w:hint="default"/>
                <w:sz w:val="21"/>
                <w:szCs w:val="21"/>
              </w:rPr>
              <w:t>上市公司占被投资公司权益比例</w:t>
            </w:r>
          </w:p>
          <w:p>
            <w:pPr>
              <w:pStyle w:val="TableParagraph"/>
              <w:spacing w:line="290" w:lineRule="exact"/>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28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惠州市宝安房地产开发有限公司</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房地产开发销售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
              <w:jc w:val="right"/>
              <w:rPr>
                <w:rFonts w:ascii="Times New Roman" w:hAnsi="Times New Roman" w:cs="Times New Roman" w:eastAsia="Times New Roman" w:hint="default"/>
                <w:sz w:val="21"/>
                <w:szCs w:val="21"/>
              </w:rPr>
            </w:pPr>
            <w:r>
              <w:rPr>
                <w:rFonts w:ascii="Times New Roman"/>
                <w:sz w:val="21"/>
              </w:rPr>
              <w:t>100%</w:t>
            </w:r>
          </w:p>
        </w:tc>
      </w:tr>
      <w:tr>
        <w:trPr>
          <w:trHeight w:val="28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东莞市宜久房地产开发有限公司</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房地产开发销售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
              <w:jc w:val="right"/>
              <w:rPr>
                <w:rFonts w:ascii="Times New Roman" w:hAnsi="Times New Roman" w:cs="Times New Roman" w:eastAsia="Times New Roman" w:hint="default"/>
                <w:sz w:val="21"/>
                <w:szCs w:val="21"/>
              </w:rPr>
            </w:pPr>
            <w:r>
              <w:rPr>
                <w:rFonts w:ascii="Times New Roman"/>
                <w:sz w:val="21"/>
              </w:rPr>
              <w:t>100%</w:t>
            </w:r>
          </w:p>
        </w:tc>
      </w:tr>
      <w:tr>
        <w:trPr>
          <w:trHeight w:val="278"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东莞宝安鸿基房地产开发有限公司</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房地产开发销售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
              <w:jc w:val="right"/>
              <w:rPr>
                <w:rFonts w:ascii="Times New Roman" w:hAnsi="Times New Roman" w:cs="Times New Roman" w:eastAsia="Times New Roman" w:hint="default"/>
                <w:sz w:val="21"/>
                <w:szCs w:val="21"/>
              </w:rPr>
            </w:pPr>
            <w:r>
              <w:rPr>
                <w:rFonts w:ascii="Times New Roman"/>
                <w:sz w:val="21"/>
              </w:rPr>
              <w:t>100%</w:t>
            </w:r>
          </w:p>
        </w:tc>
      </w:tr>
      <w:tr>
        <w:trPr>
          <w:trHeight w:val="28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湖南宝安鸿基房地产开发有限公司</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房地产开发销售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
              <w:jc w:val="right"/>
              <w:rPr>
                <w:rFonts w:ascii="Times New Roman" w:hAnsi="Times New Roman" w:cs="Times New Roman" w:eastAsia="Times New Roman" w:hint="default"/>
                <w:sz w:val="21"/>
                <w:szCs w:val="21"/>
              </w:rPr>
            </w:pPr>
            <w:r>
              <w:rPr>
                <w:rFonts w:ascii="Times New Roman"/>
                <w:sz w:val="21"/>
              </w:rPr>
              <w:t>100%</w:t>
            </w:r>
          </w:p>
        </w:tc>
      </w:tr>
      <w:tr>
        <w:trPr>
          <w:trHeight w:val="283" w:hRule="exact"/>
        </w:trPr>
        <w:tc>
          <w:tcPr>
            <w:tcW w:w="3542"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惠东县宝安鸿基房地产开发有限公司</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房地产开发销售</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3"/>
              <w:jc w:val="right"/>
              <w:rPr>
                <w:rFonts w:ascii="Times New Roman" w:hAnsi="Times New Roman" w:cs="Times New Roman" w:eastAsia="Times New Roman" w:hint="default"/>
                <w:sz w:val="21"/>
                <w:szCs w:val="21"/>
              </w:rPr>
            </w:pPr>
            <w:r>
              <w:rPr>
                <w:rFonts w:ascii="Times New Roman"/>
                <w:sz w:val="21"/>
              </w:rPr>
              <w:t>100%</w:t>
            </w:r>
          </w:p>
        </w:tc>
      </w:tr>
    </w:tbl>
    <w:p>
      <w:pPr>
        <w:spacing w:after="0" w:line="240" w:lineRule="auto"/>
        <w:jc w:val="right"/>
        <w:rPr>
          <w:rFonts w:ascii="Times New Roman" w:hAnsi="Times New Roman" w:cs="Times New Roman" w:eastAsia="Times New Roman" w:hint="default"/>
          <w:sz w:val="21"/>
          <w:szCs w:val="21"/>
        </w:rPr>
        <w:sectPr>
          <w:pgSz w:w="11900" w:h="16840"/>
          <w:pgMar w:header="872" w:footer="957" w:top="1120" w:bottom="1180" w:left="980" w:right="980"/>
        </w:sectPr>
      </w:pPr>
    </w:p>
    <w:p>
      <w:pPr>
        <w:spacing w:line="240" w:lineRule="auto" w:before="3"/>
        <w:rPr>
          <w:rFonts w:ascii="Microsoft JhengHei" w:hAnsi="Microsoft JhengHei" w:cs="Microsoft JhengHei" w:eastAsia="Microsoft JhengHei" w:hint="default"/>
          <w:b/>
          <w:bCs/>
          <w:sz w:val="14"/>
          <w:szCs w:val="14"/>
        </w:rPr>
      </w:pPr>
    </w:p>
    <w:p>
      <w:pPr>
        <w:pStyle w:val="Heading6"/>
        <w:spacing w:line="335" w:lineRule="exact"/>
        <w:ind w:left="872" w:right="0"/>
        <w:jc w:val="left"/>
        <w:rPr>
          <w:b w:val="0"/>
          <w:bCs w:val="0"/>
        </w:rPr>
      </w:pPr>
      <w:r>
        <w:rPr/>
        <w:t>（</w:t>
      </w:r>
      <w:r>
        <w:rPr>
          <w:rFonts w:ascii="Times New Roman" w:hAnsi="Times New Roman" w:cs="Times New Roman" w:eastAsia="Times New Roman" w:hint="default"/>
        </w:rPr>
        <w:t>2</w:t>
      </w:r>
      <w:r>
        <w:rPr/>
        <w:t>）持有金融企业股权情况</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09" w:type="dxa"/>
        <w:tblLayout w:type="fixed"/>
        <w:tblCellMar>
          <w:top w:w="0" w:type="dxa"/>
          <w:left w:w="0" w:type="dxa"/>
          <w:bottom w:w="0" w:type="dxa"/>
          <w:right w:w="0" w:type="dxa"/>
        </w:tblCellMar>
        <w:tblLook w:val="01E0"/>
      </w:tblPr>
      <w:tblGrid>
        <w:gridCol w:w="902"/>
        <w:gridCol w:w="869"/>
        <w:gridCol w:w="1128"/>
        <w:gridCol w:w="840"/>
        <w:gridCol w:w="782"/>
        <w:gridCol w:w="806"/>
        <w:gridCol w:w="821"/>
        <w:gridCol w:w="1157"/>
        <w:gridCol w:w="979"/>
        <w:gridCol w:w="1080"/>
        <w:gridCol w:w="898"/>
        <w:gridCol w:w="893"/>
      </w:tblGrid>
      <w:tr>
        <w:trPr>
          <w:trHeight w:val="2882" w:hRule="exact"/>
        </w:trPr>
        <w:tc>
          <w:tcPr>
            <w:tcW w:w="9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公司名称</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6"/>
              <w:ind w:right="0"/>
              <w:jc w:val="left"/>
              <w:rPr>
                <w:rFonts w:ascii="Microsoft JhengHei" w:hAnsi="Microsoft JhengHei" w:cs="Microsoft JhengHei" w:eastAsia="Microsoft JhengHei" w:hint="default"/>
                <w:b/>
                <w:bCs/>
                <w:sz w:val="24"/>
                <w:szCs w:val="24"/>
              </w:rPr>
            </w:pPr>
          </w:p>
          <w:p>
            <w:pPr>
              <w:pStyle w:val="TableParagraph"/>
              <w:spacing w:line="240" w:lineRule="auto"/>
              <w:ind w:left="321" w:right="108" w:hanging="207"/>
              <w:jc w:val="left"/>
              <w:rPr>
                <w:rFonts w:ascii="宋体" w:hAnsi="宋体" w:cs="宋体" w:eastAsia="宋体" w:hint="default"/>
                <w:sz w:val="21"/>
                <w:szCs w:val="21"/>
              </w:rPr>
            </w:pPr>
            <w:r>
              <w:rPr>
                <w:rFonts w:ascii="宋体" w:hAnsi="宋体" w:cs="宋体" w:eastAsia="宋体" w:hint="default"/>
                <w:sz w:val="21"/>
                <w:szCs w:val="21"/>
              </w:rPr>
              <w:t>公司类</w:t>
            </w:r>
            <w:r>
              <w:rPr>
                <w:rFonts w:ascii="宋体" w:hAnsi="宋体" w:cs="宋体" w:eastAsia="宋体" w:hint="default"/>
                <w:spacing w:val="-102"/>
                <w:sz w:val="21"/>
                <w:szCs w:val="21"/>
              </w:rPr>
              <w:t> </w:t>
            </w:r>
            <w:r>
              <w:rPr>
                <w:rFonts w:ascii="宋体" w:hAnsi="宋体" w:cs="宋体" w:eastAsia="宋体" w:hint="default"/>
                <w:sz w:val="21"/>
                <w:szCs w:val="21"/>
              </w:rPr>
              <w:t>别</w:t>
            </w:r>
          </w:p>
        </w:tc>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6"/>
              <w:ind w:right="0"/>
              <w:jc w:val="left"/>
              <w:rPr>
                <w:rFonts w:ascii="Microsoft JhengHei" w:hAnsi="Microsoft JhengHei" w:cs="Microsoft JhengHei" w:eastAsia="Microsoft JhengHei" w:hint="default"/>
                <w:b/>
                <w:bCs/>
                <w:sz w:val="24"/>
                <w:szCs w:val="24"/>
              </w:rPr>
            </w:pPr>
          </w:p>
          <w:p>
            <w:pPr>
              <w:pStyle w:val="TableParagraph"/>
              <w:spacing w:line="240" w:lineRule="auto"/>
              <w:ind w:left="134" w:right="31" w:hanging="106"/>
              <w:jc w:val="left"/>
              <w:rPr>
                <w:rFonts w:ascii="宋体" w:hAnsi="宋体" w:cs="宋体" w:eastAsia="宋体" w:hint="default"/>
                <w:sz w:val="21"/>
                <w:szCs w:val="21"/>
              </w:rPr>
            </w:pPr>
            <w:r>
              <w:rPr>
                <w:rFonts w:ascii="宋体" w:hAnsi="宋体" w:cs="宋体" w:eastAsia="宋体" w:hint="default"/>
                <w:sz w:val="21"/>
                <w:szCs w:val="21"/>
              </w:rPr>
              <w:t>最初投资成</w:t>
            </w:r>
            <w:r>
              <w:rPr>
                <w:rFonts w:ascii="宋体" w:hAnsi="宋体" w:cs="宋体" w:eastAsia="宋体" w:hint="default"/>
                <w:spacing w:val="-100"/>
                <w:sz w:val="21"/>
                <w:szCs w:val="21"/>
              </w:rPr>
              <w:t> </w:t>
            </w:r>
            <w:r>
              <w:rPr>
                <w:rFonts w:ascii="宋体" w:hAnsi="宋体" w:cs="宋体" w:eastAsia="宋体" w:hint="default"/>
                <w:sz w:val="21"/>
                <w:szCs w:val="21"/>
              </w:rPr>
              <w:t>本（元）</w:t>
            </w:r>
          </w:p>
        </w:tc>
        <w:tc>
          <w:tcPr>
            <w:tcW w:w="8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left="100" w:right="94"/>
              <w:jc w:val="left"/>
              <w:rPr>
                <w:rFonts w:ascii="宋体" w:hAnsi="宋体" w:cs="宋体" w:eastAsia="宋体" w:hint="default"/>
                <w:sz w:val="21"/>
                <w:szCs w:val="21"/>
              </w:rPr>
            </w:pPr>
            <w:r>
              <w:rPr>
                <w:rFonts w:ascii="宋体" w:hAnsi="宋体" w:cs="宋体" w:eastAsia="宋体" w:hint="default"/>
                <w:sz w:val="21"/>
                <w:szCs w:val="21"/>
              </w:rPr>
              <w:t>期初持</w:t>
            </w:r>
            <w:r>
              <w:rPr>
                <w:rFonts w:ascii="宋体" w:hAnsi="宋体" w:cs="宋体" w:eastAsia="宋体" w:hint="default"/>
                <w:spacing w:val="-102"/>
                <w:sz w:val="21"/>
                <w:szCs w:val="21"/>
              </w:rPr>
              <w:t> </w:t>
            </w:r>
            <w:r>
              <w:rPr>
                <w:rFonts w:ascii="宋体" w:hAnsi="宋体" w:cs="宋体" w:eastAsia="宋体" w:hint="default"/>
                <w:sz w:val="21"/>
                <w:szCs w:val="21"/>
              </w:rPr>
              <w:t>股数量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left="71" w:right="65"/>
              <w:jc w:val="left"/>
              <w:rPr>
                <w:rFonts w:ascii="宋体" w:hAnsi="宋体" w:cs="宋体" w:eastAsia="宋体" w:hint="default"/>
                <w:sz w:val="21"/>
                <w:szCs w:val="21"/>
              </w:rPr>
            </w:pPr>
            <w:r>
              <w:rPr>
                <w:rFonts w:ascii="宋体" w:hAnsi="宋体" w:cs="宋体" w:eastAsia="宋体" w:hint="default"/>
                <w:sz w:val="21"/>
                <w:szCs w:val="21"/>
              </w:rPr>
              <w:t>期初持</w:t>
            </w:r>
            <w:r>
              <w:rPr>
                <w:rFonts w:ascii="宋体" w:hAnsi="宋体" w:cs="宋体" w:eastAsia="宋体" w:hint="default"/>
                <w:spacing w:val="-102"/>
                <w:sz w:val="21"/>
                <w:szCs w:val="21"/>
              </w:rPr>
              <w:t> </w:t>
            </w:r>
            <w:r>
              <w:rPr>
                <w:rFonts w:ascii="宋体" w:hAnsi="宋体" w:cs="宋体" w:eastAsia="宋体" w:hint="default"/>
                <w:sz w:val="21"/>
                <w:szCs w:val="21"/>
              </w:rPr>
              <w:t>股比例</w:t>
            </w:r>
          </w:p>
          <w:p>
            <w:pPr>
              <w:pStyle w:val="TableParagraph"/>
              <w:spacing w:line="289" w:lineRule="exact"/>
              <w:ind w:left="86"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left="81" w:right="79"/>
              <w:jc w:val="left"/>
              <w:rPr>
                <w:rFonts w:ascii="宋体" w:hAnsi="宋体" w:cs="宋体" w:eastAsia="宋体" w:hint="default"/>
                <w:sz w:val="21"/>
                <w:szCs w:val="21"/>
              </w:rPr>
            </w:pPr>
            <w:r>
              <w:rPr>
                <w:rFonts w:ascii="宋体" w:hAnsi="宋体" w:cs="宋体" w:eastAsia="宋体" w:hint="default"/>
                <w:sz w:val="21"/>
                <w:szCs w:val="21"/>
              </w:rPr>
              <w:t>期末持</w:t>
            </w:r>
            <w:r>
              <w:rPr>
                <w:rFonts w:ascii="宋体" w:hAnsi="宋体" w:cs="宋体" w:eastAsia="宋体" w:hint="default"/>
                <w:spacing w:val="-102"/>
                <w:sz w:val="21"/>
                <w:szCs w:val="21"/>
              </w:rPr>
              <w:t> </w:t>
            </w:r>
            <w:r>
              <w:rPr>
                <w:rFonts w:ascii="宋体" w:hAnsi="宋体" w:cs="宋体" w:eastAsia="宋体" w:hint="default"/>
                <w:sz w:val="21"/>
                <w:szCs w:val="21"/>
              </w:rPr>
              <w:t>股数量</w:t>
            </w:r>
          </w:p>
          <w:p>
            <w:pPr>
              <w:pStyle w:val="TableParagraph"/>
              <w:spacing w:line="274" w:lineRule="exact"/>
              <w:ind w:left="81" w:right="0"/>
              <w:jc w:val="left"/>
              <w:rPr>
                <w:rFonts w:ascii="宋体" w:hAnsi="宋体" w:cs="宋体" w:eastAsia="宋体" w:hint="default"/>
                <w:sz w:val="21"/>
                <w:szCs w:val="21"/>
              </w:rPr>
            </w:pPr>
            <w:r>
              <w:rPr>
                <w:rFonts w:ascii="宋体" w:hAnsi="宋体" w:cs="宋体" w:eastAsia="宋体" w:hint="default"/>
                <w:sz w:val="21"/>
                <w:szCs w:val="21"/>
              </w:rPr>
              <w:t>（股）</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left="91" w:right="84"/>
              <w:jc w:val="left"/>
              <w:rPr>
                <w:rFonts w:ascii="宋体" w:hAnsi="宋体" w:cs="宋体" w:eastAsia="宋体" w:hint="default"/>
                <w:sz w:val="21"/>
                <w:szCs w:val="21"/>
              </w:rPr>
            </w:pPr>
            <w:r>
              <w:rPr>
                <w:rFonts w:ascii="宋体" w:hAnsi="宋体" w:cs="宋体" w:eastAsia="宋体" w:hint="default"/>
                <w:sz w:val="21"/>
                <w:szCs w:val="21"/>
              </w:rPr>
              <w:t>期末持</w:t>
            </w:r>
            <w:r>
              <w:rPr>
                <w:rFonts w:ascii="宋体" w:hAnsi="宋体" w:cs="宋体" w:eastAsia="宋体" w:hint="default"/>
                <w:spacing w:val="-102"/>
                <w:sz w:val="21"/>
                <w:szCs w:val="21"/>
              </w:rPr>
              <w:t> </w:t>
            </w:r>
            <w:r>
              <w:rPr>
                <w:rFonts w:ascii="宋体" w:hAnsi="宋体" w:cs="宋体" w:eastAsia="宋体" w:hint="default"/>
                <w:sz w:val="21"/>
                <w:szCs w:val="21"/>
              </w:rPr>
              <w:t>股比例</w:t>
            </w:r>
          </w:p>
          <w:p>
            <w:pPr>
              <w:pStyle w:val="TableParagraph"/>
              <w:spacing w:line="289" w:lineRule="exact"/>
              <w:ind w:left="105"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6"/>
              <w:ind w:right="0"/>
              <w:jc w:val="left"/>
              <w:rPr>
                <w:rFonts w:ascii="Microsoft JhengHei" w:hAnsi="Microsoft JhengHei" w:cs="Microsoft JhengHei" w:eastAsia="Microsoft JhengHei" w:hint="default"/>
                <w:b/>
                <w:bCs/>
                <w:sz w:val="24"/>
                <w:szCs w:val="24"/>
              </w:rPr>
            </w:pPr>
          </w:p>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期末账面值</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（元）</w:t>
            </w:r>
          </w:p>
        </w:tc>
        <w:tc>
          <w:tcPr>
            <w:tcW w:w="9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6"/>
              <w:ind w:right="0"/>
              <w:jc w:val="left"/>
              <w:rPr>
                <w:rFonts w:ascii="Microsoft JhengHei" w:hAnsi="Microsoft JhengHei" w:cs="Microsoft JhengHei" w:eastAsia="Microsoft JhengHei" w:hint="default"/>
                <w:b/>
                <w:bCs/>
                <w:sz w:val="24"/>
                <w:szCs w:val="24"/>
              </w:rPr>
            </w:pPr>
          </w:p>
          <w:p>
            <w:pPr>
              <w:pStyle w:val="TableParagraph"/>
              <w:spacing w:line="240" w:lineRule="auto"/>
              <w:ind w:left="62" w:right="60"/>
              <w:jc w:val="left"/>
              <w:rPr>
                <w:rFonts w:ascii="宋体" w:hAnsi="宋体" w:cs="宋体" w:eastAsia="宋体" w:hint="default"/>
                <w:sz w:val="21"/>
                <w:szCs w:val="21"/>
              </w:rPr>
            </w:pPr>
            <w:r>
              <w:rPr>
                <w:rFonts w:ascii="宋体" w:hAnsi="宋体" w:cs="宋体" w:eastAsia="宋体" w:hint="default"/>
                <w:sz w:val="21"/>
                <w:szCs w:val="21"/>
              </w:rPr>
              <w:t>报告期损</w:t>
            </w:r>
            <w:r>
              <w:rPr>
                <w:rFonts w:ascii="宋体" w:hAnsi="宋体" w:cs="宋体" w:eastAsia="宋体" w:hint="default"/>
                <w:spacing w:val="-101"/>
                <w:sz w:val="21"/>
                <w:szCs w:val="21"/>
              </w:rPr>
              <w:t> </w:t>
            </w:r>
            <w:r>
              <w:rPr>
                <w:rFonts w:ascii="宋体" w:hAnsi="宋体" w:cs="宋体" w:eastAsia="宋体" w:hint="default"/>
                <w:sz w:val="21"/>
                <w:szCs w:val="21"/>
              </w:rPr>
              <w:t>益（元）</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1"/>
              <w:ind w:right="0"/>
              <w:jc w:val="left"/>
              <w:rPr>
                <w:rFonts w:ascii="Microsoft JhengHei" w:hAnsi="Microsoft JhengHei" w:cs="Microsoft JhengHei" w:eastAsia="Microsoft JhengHei" w:hint="default"/>
                <w:b/>
                <w:bCs/>
                <w:sz w:val="16"/>
                <w:szCs w:val="16"/>
              </w:rPr>
            </w:pPr>
          </w:p>
          <w:p>
            <w:pPr>
              <w:pStyle w:val="TableParagraph"/>
              <w:spacing w:line="240" w:lineRule="auto"/>
              <w:ind w:left="19" w:right="0" w:firstLine="91"/>
              <w:jc w:val="both"/>
              <w:rPr>
                <w:rFonts w:ascii="宋体" w:hAnsi="宋体" w:cs="宋体" w:eastAsia="宋体" w:hint="default"/>
                <w:sz w:val="21"/>
                <w:szCs w:val="21"/>
              </w:rPr>
            </w:pPr>
            <w:r>
              <w:rPr>
                <w:rFonts w:ascii="宋体" w:hAnsi="宋体" w:cs="宋体" w:eastAsia="宋体" w:hint="default"/>
                <w:sz w:val="21"/>
                <w:szCs w:val="21"/>
              </w:rPr>
              <w:t>报告期所</w:t>
            </w:r>
            <w:r>
              <w:rPr>
                <w:rFonts w:ascii="宋体" w:hAnsi="宋体" w:cs="宋体" w:eastAsia="宋体" w:hint="default"/>
                <w:w w:val="100"/>
                <w:sz w:val="21"/>
                <w:szCs w:val="21"/>
              </w:rPr>
              <w:t> </w:t>
            </w:r>
            <w:r>
              <w:rPr>
                <w:rFonts w:ascii="宋体" w:hAnsi="宋体" w:cs="宋体" w:eastAsia="宋体" w:hint="default"/>
                <w:sz w:val="21"/>
                <w:szCs w:val="21"/>
              </w:rPr>
              <w:t>有者权益</w:t>
            </w:r>
            <w:r>
              <w:rPr>
                <w:rFonts w:ascii="宋体" w:hAnsi="宋体" w:cs="宋体" w:eastAsia="宋体" w:hint="default"/>
                <w:spacing w:val="-101"/>
                <w:sz w:val="21"/>
                <w:szCs w:val="21"/>
              </w:rPr>
              <w:t> </w:t>
            </w:r>
            <w:r>
              <w:rPr>
                <w:rFonts w:ascii="宋体" w:hAnsi="宋体" w:cs="宋体" w:eastAsia="宋体" w:hint="default"/>
                <w:sz w:val="21"/>
                <w:szCs w:val="21"/>
              </w:rPr>
              <w:t>变动（元）</w:t>
            </w:r>
          </w:p>
        </w:tc>
        <w:tc>
          <w:tcPr>
            <w:tcW w:w="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6"/>
              <w:ind w:right="0"/>
              <w:jc w:val="left"/>
              <w:rPr>
                <w:rFonts w:ascii="Microsoft JhengHei" w:hAnsi="Microsoft JhengHei" w:cs="Microsoft JhengHei" w:eastAsia="Microsoft JhengHei" w:hint="default"/>
                <w:b/>
                <w:bCs/>
                <w:sz w:val="24"/>
                <w:szCs w:val="24"/>
              </w:rPr>
            </w:pPr>
          </w:p>
          <w:p>
            <w:pPr>
              <w:pStyle w:val="TableParagraph"/>
              <w:spacing w:line="240" w:lineRule="auto"/>
              <w:ind w:left="230" w:right="22" w:hanging="212"/>
              <w:jc w:val="left"/>
              <w:rPr>
                <w:rFonts w:ascii="宋体" w:hAnsi="宋体" w:cs="宋体" w:eastAsia="宋体" w:hint="default"/>
                <w:sz w:val="21"/>
                <w:szCs w:val="21"/>
              </w:rPr>
            </w:pPr>
            <w:r>
              <w:rPr>
                <w:rFonts w:ascii="宋体" w:hAnsi="宋体" w:cs="宋体" w:eastAsia="宋体" w:hint="default"/>
                <w:sz w:val="21"/>
                <w:szCs w:val="21"/>
              </w:rPr>
              <w:t>会计核算</w:t>
            </w:r>
            <w:r>
              <w:rPr>
                <w:rFonts w:ascii="宋体" w:hAnsi="宋体" w:cs="宋体" w:eastAsia="宋体" w:hint="default"/>
                <w:spacing w:val="-101"/>
                <w:sz w:val="21"/>
                <w:szCs w:val="21"/>
              </w:rPr>
              <w:t> </w:t>
            </w:r>
            <w:r>
              <w:rPr>
                <w:rFonts w:ascii="宋体" w:hAnsi="宋体" w:cs="宋体" w:eastAsia="宋体" w:hint="default"/>
                <w:sz w:val="21"/>
                <w:szCs w:val="21"/>
              </w:rPr>
              <w:t>科目</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6"/>
              <w:ind w:right="0"/>
              <w:jc w:val="left"/>
              <w:rPr>
                <w:rFonts w:ascii="Microsoft JhengHei" w:hAnsi="Microsoft JhengHei" w:cs="Microsoft JhengHei" w:eastAsia="Microsoft JhengHei" w:hint="default"/>
                <w:b/>
                <w:bCs/>
                <w:sz w:val="24"/>
                <w:szCs w:val="24"/>
              </w:rPr>
            </w:pPr>
          </w:p>
          <w:p>
            <w:pPr>
              <w:pStyle w:val="TableParagraph"/>
              <w:spacing w:line="240" w:lineRule="auto"/>
              <w:ind w:left="335" w:right="122" w:hanging="212"/>
              <w:jc w:val="left"/>
              <w:rPr>
                <w:rFonts w:ascii="宋体" w:hAnsi="宋体" w:cs="宋体" w:eastAsia="宋体" w:hint="default"/>
                <w:sz w:val="21"/>
                <w:szCs w:val="21"/>
              </w:rPr>
            </w:pPr>
            <w:r>
              <w:rPr>
                <w:rFonts w:ascii="宋体" w:hAnsi="宋体" w:cs="宋体" w:eastAsia="宋体" w:hint="default"/>
                <w:sz w:val="21"/>
                <w:szCs w:val="21"/>
              </w:rPr>
              <w:t>股份来</w:t>
            </w:r>
            <w:r>
              <w:rPr>
                <w:rFonts w:ascii="宋体" w:hAnsi="宋体" w:cs="宋体" w:eastAsia="宋体" w:hint="default"/>
                <w:spacing w:val="-102"/>
                <w:sz w:val="21"/>
                <w:szCs w:val="21"/>
              </w:rPr>
              <w:t> </w:t>
            </w:r>
            <w:r>
              <w:rPr>
                <w:rFonts w:ascii="宋体" w:hAnsi="宋体" w:cs="宋体" w:eastAsia="宋体" w:hint="default"/>
                <w:sz w:val="21"/>
                <w:szCs w:val="21"/>
              </w:rPr>
              <w:t>源</w:t>
            </w:r>
          </w:p>
        </w:tc>
      </w:tr>
      <w:tr>
        <w:trPr>
          <w:trHeight w:val="1325" w:hRule="exact"/>
        </w:trPr>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7"/>
                <w:szCs w:val="2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招商证券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7"/>
                <w:szCs w:val="27"/>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sz w:val="21"/>
              </w:rPr>
              <w:t>1,938,251.5</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1" w:lineRule="exact"/>
              <w:ind w:right="12"/>
              <w:jc w:val="right"/>
              <w:rPr>
                <w:rFonts w:ascii="Times New Roman" w:hAnsi="Times New Roman" w:cs="Times New Roman" w:eastAsia="Times New Roman" w:hint="default"/>
                <w:sz w:val="21"/>
                <w:szCs w:val="21"/>
              </w:rPr>
            </w:pPr>
            <w:r>
              <w:rPr>
                <w:rFonts w:ascii="Times New Roman"/>
                <w:sz w:val="21"/>
              </w:rPr>
              <w:t>1,726,60</w:t>
            </w: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w w:val="100"/>
                <w:sz w:val="21"/>
              </w:rPr>
              <w:t>2</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left="201" w:right="0"/>
              <w:jc w:val="left"/>
              <w:rPr>
                <w:rFonts w:ascii="Times New Roman" w:hAnsi="Times New Roman" w:cs="Times New Roman" w:eastAsia="Times New Roman" w:hint="default"/>
                <w:sz w:val="21"/>
                <w:szCs w:val="21"/>
              </w:rPr>
            </w:pPr>
            <w:r>
              <w:rPr>
                <w:rFonts w:ascii="Times New Roman"/>
                <w:sz w:val="21"/>
              </w:rPr>
              <w:t>0.04%</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sz w:val="21"/>
              </w:rPr>
              <w:t>1,726,60</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2</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left="244" w:right="0"/>
              <w:jc w:val="left"/>
              <w:rPr>
                <w:rFonts w:ascii="Times New Roman" w:hAnsi="Times New Roman" w:cs="Times New Roman" w:eastAsia="Times New Roman" w:hint="default"/>
                <w:sz w:val="21"/>
                <w:szCs w:val="21"/>
              </w:rPr>
            </w:pPr>
            <w:r>
              <w:rPr>
                <w:rFonts w:ascii="Times New Roman"/>
                <w:sz w:val="21"/>
              </w:rPr>
              <w:t>0.04%</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23"/>
                <w:szCs w:val="23"/>
              </w:rPr>
            </w:pP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sz w:val="21"/>
              </w:rPr>
              <w:t>18,215,651.</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10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0" w:lineRule="auto"/>
              <w:ind w:left="62" w:right="0"/>
              <w:jc w:val="center"/>
              <w:rPr>
                <w:rFonts w:ascii="Times New Roman" w:hAnsi="Times New Roman" w:cs="Times New Roman" w:eastAsia="Times New Roman" w:hint="default"/>
                <w:sz w:val="21"/>
                <w:szCs w:val="21"/>
              </w:rPr>
            </w:pPr>
            <w:r>
              <w:rPr>
                <w:rFonts w:ascii="Times New Roman"/>
                <w:sz w:val="21"/>
              </w:rPr>
              <w:t>479,132.06</w:t>
            </w:r>
          </w:p>
        </w:tc>
        <w:tc>
          <w:tcPr>
            <w:tcW w:w="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68" w:lineRule="exact"/>
              <w:ind w:left="19" w:right="22"/>
              <w:jc w:val="left"/>
              <w:rPr>
                <w:rFonts w:ascii="宋体" w:hAnsi="宋体" w:cs="宋体" w:eastAsia="宋体" w:hint="default"/>
                <w:sz w:val="21"/>
                <w:szCs w:val="21"/>
              </w:rPr>
            </w:pPr>
            <w:r>
              <w:rPr>
                <w:rFonts w:ascii="宋体" w:hAnsi="宋体" w:cs="宋体" w:eastAsia="宋体" w:hint="default"/>
                <w:sz w:val="21"/>
                <w:szCs w:val="21"/>
              </w:rPr>
              <w:t>可供出售</w:t>
            </w:r>
            <w:r>
              <w:rPr>
                <w:rFonts w:ascii="宋体" w:hAnsi="宋体" w:cs="宋体" w:eastAsia="宋体" w:hint="default"/>
                <w:spacing w:val="-101"/>
                <w:sz w:val="21"/>
                <w:szCs w:val="21"/>
              </w:rPr>
              <w:t> </w:t>
            </w:r>
            <w:r>
              <w:rPr>
                <w:rFonts w:ascii="宋体" w:hAnsi="宋体" w:cs="宋体" w:eastAsia="宋体" w:hint="default"/>
                <w:sz w:val="21"/>
                <w:szCs w:val="21"/>
              </w:rPr>
              <w:t>金融资产</w:t>
            </w:r>
          </w:p>
        </w:tc>
        <w:tc>
          <w:tcPr>
            <w:tcW w:w="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68" w:lineRule="exact"/>
              <w:ind w:left="23" w:right="223"/>
              <w:jc w:val="left"/>
              <w:rPr>
                <w:rFonts w:ascii="宋体" w:hAnsi="宋体" w:cs="宋体" w:eastAsia="宋体" w:hint="default"/>
                <w:sz w:val="21"/>
                <w:szCs w:val="21"/>
              </w:rPr>
            </w:pPr>
            <w:r>
              <w:rPr>
                <w:rFonts w:ascii="宋体" w:hAnsi="宋体" w:cs="宋体" w:eastAsia="宋体" w:hint="default"/>
                <w:sz w:val="21"/>
                <w:szCs w:val="21"/>
              </w:rPr>
              <w:t>社会法</w:t>
            </w:r>
            <w:r>
              <w:rPr>
                <w:rFonts w:ascii="宋体" w:hAnsi="宋体" w:cs="宋体" w:eastAsia="宋体" w:hint="default"/>
                <w:spacing w:val="-102"/>
                <w:sz w:val="21"/>
                <w:szCs w:val="21"/>
              </w:rPr>
              <w:t> </w:t>
            </w:r>
            <w:r>
              <w:rPr>
                <w:rFonts w:ascii="宋体" w:hAnsi="宋体" w:cs="宋体" w:eastAsia="宋体" w:hint="default"/>
                <w:sz w:val="21"/>
                <w:szCs w:val="21"/>
              </w:rPr>
              <w:t>人股</w:t>
            </w:r>
          </w:p>
        </w:tc>
      </w:tr>
      <w:tr>
        <w:trPr>
          <w:trHeight w:val="715" w:hRule="exact"/>
        </w:trPr>
        <w:tc>
          <w:tcPr>
            <w:tcW w:w="17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7"/>
              <w:ind w:left="2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1"/>
              <w:ind w:right="17"/>
              <w:jc w:val="right"/>
              <w:rPr>
                <w:rFonts w:ascii="Times New Roman" w:hAnsi="Times New Roman" w:cs="Times New Roman" w:eastAsia="Times New Roman" w:hint="default"/>
                <w:sz w:val="21"/>
                <w:szCs w:val="21"/>
              </w:rPr>
            </w:pPr>
            <w:r>
              <w:rPr>
                <w:rFonts w:ascii="Times New Roman"/>
                <w:sz w:val="21"/>
              </w:rPr>
              <w:t>1,938,251.5</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1"/>
              <w:ind w:right="12"/>
              <w:jc w:val="right"/>
              <w:rPr>
                <w:rFonts w:ascii="Times New Roman" w:hAnsi="Times New Roman" w:cs="Times New Roman" w:eastAsia="Times New Roman" w:hint="default"/>
                <w:sz w:val="21"/>
                <w:szCs w:val="21"/>
              </w:rPr>
            </w:pPr>
            <w:r>
              <w:rPr>
                <w:rFonts w:ascii="Times New Roman"/>
                <w:sz w:val="21"/>
              </w:rPr>
              <w:t>1,726,60</w:t>
            </w: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w w:val="100"/>
                <w:sz w:val="21"/>
              </w:rPr>
              <w:t>2</w:t>
            </w:r>
          </w:p>
        </w:tc>
        <w:tc>
          <w:tcPr>
            <w:tcW w:w="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1"/>
              <w:ind w:right="17"/>
              <w:jc w:val="right"/>
              <w:rPr>
                <w:rFonts w:ascii="Times New Roman" w:hAnsi="Times New Roman" w:cs="Times New Roman" w:eastAsia="Times New Roman" w:hint="default"/>
                <w:sz w:val="21"/>
                <w:szCs w:val="21"/>
              </w:rPr>
            </w:pPr>
            <w:r>
              <w:rPr>
                <w:rFonts w:ascii="Times New Roman"/>
                <w:sz w:val="21"/>
              </w:rPr>
              <w:t>1,726,60</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2</w:t>
            </w:r>
          </w:p>
        </w:tc>
        <w:tc>
          <w:tcPr>
            <w:tcW w:w="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1"/>
              <w:ind w:right="17"/>
              <w:jc w:val="right"/>
              <w:rPr>
                <w:rFonts w:ascii="Times New Roman" w:hAnsi="Times New Roman" w:cs="Times New Roman" w:eastAsia="Times New Roman" w:hint="default"/>
                <w:sz w:val="21"/>
                <w:szCs w:val="21"/>
              </w:rPr>
            </w:pPr>
            <w:r>
              <w:rPr>
                <w:rFonts w:ascii="Times New Roman"/>
                <w:sz w:val="21"/>
              </w:rPr>
              <w:t>18,215,651.</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10</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0" w:lineRule="auto"/>
              <w:ind w:left="62" w:right="0"/>
              <w:jc w:val="center"/>
              <w:rPr>
                <w:rFonts w:ascii="Times New Roman" w:hAnsi="Times New Roman" w:cs="Times New Roman" w:eastAsia="Times New Roman" w:hint="default"/>
                <w:sz w:val="21"/>
                <w:szCs w:val="21"/>
              </w:rPr>
            </w:pPr>
            <w:r>
              <w:rPr>
                <w:rFonts w:ascii="Times New Roman"/>
                <w:sz w:val="21"/>
              </w:rPr>
              <w:t>479,132.06</w:t>
            </w:r>
          </w:p>
        </w:tc>
        <w:tc>
          <w:tcPr>
            <w:tcW w:w="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14"/>
        <w:rPr>
          <w:rFonts w:ascii="Microsoft JhengHei" w:hAnsi="Microsoft JhengHei" w:cs="Microsoft JhengHei" w:eastAsia="Microsoft JhengHei" w:hint="default"/>
          <w:b/>
          <w:bCs/>
          <w:sz w:val="12"/>
          <w:szCs w:val="12"/>
        </w:rPr>
      </w:pPr>
    </w:p>
    <w:p>
      <w:pPr>
        <w:pStyle w:val="Heading6"/>
        <w:spacing w:line="335" w:lineRule="exact"/>
        <w:ind w:left="872" w:right="0"/>
        <w:jc w:val="left"/>
        <w:rPr>
          <w:b w:val="0"/>
          <w:bCs w:val="0"/>
        </w:rPr>
      </w:pPr>
      <w:r>
        <w:rPr>
          <w:rFonts w:ascii="Times New Roman" w:hAnsi="Times New Roman" w:cs="Times New Roman" w:eastAsia="Times New Roman" w:hint="default"/>
        </w:rPr>
        <w:t>2</w:t>
      </w:r>
      <w:r>
        <w:rPr/>
        <w:t>、主要子公司、参股公司分析</w:t>
      </w:r>
      <w:r>
        <w:rPr>
          <w:b w:val="0"/>
          <w:bCs w:val="0"/>
        </w:rPr>
      </w:r>
    </w:p>
    <w:p>
      <w:pPr>
        <w:spacing w:line="240" w:lineRule="auto" w:before="7"/>
        <w:rPr>
          <w:rFonts w:ascii="Microsoft JhengHei" w:hAnsi="Microsoft JhengHei" w:cs="Microsoft JhengHei" w:eastAsia="Microsoft JhengHei" w:hint="default"/>
          <w:b/>
          <w:bCs/>
          <w:sz w:val="14"/>
          <w:szCs w:val="14"/>
        </w:rPr>
      </w:pPr>
    </w:p>
    <w:p>
      <w:pPr>
        <w:pStyle w:val="BodyText"/>
        <w:spacing w:line="240" w:lineRule="auto" w:before="170"/>
        <w:ind w:left="0" w:right="180"/>
        <w:jc w:val="right"/>
      </w:pPr>
      <w:r>
        <w:rPr/>
        <w:pict>
          <v:shape style="position:absolute;margin-left:26.16pt;margin-top:3.243674pt;width:543.15pt;height:355pt;mso-position-horizontal-relative:page;mso-position-vertical-relative:paragraph;z-index:18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66"/>
                    <w:gridCol w:w="931"/>
                    <w:gridCol w:w="902"/>
                    <w:gridCol w:w="898"/>
                    <w:gridCol w:w="902"/>
                    <w:gridCol w:w="1258"/>
                    <w:gridCol w:w="1262"/>
                    <w:gridCol w:w="1258"/>
                    <w:gridCol w:w="1262"/>
                    <w:gridCol w:w="1109"/>
                  </w:tblGrid>
                  <w:tr>
                    <w:trPr>
                      <w:trHeight w:val="552"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00" w:right="0"/>
                          <w:jc w:val="left"/>
                          <w:rPr>
                            <w:rFonts w:ascii="宋体" w:hAnsi="宋体" w:cs="宋体" w:eastAsia="宋体" w:hint="default"/>
                            <w:sz w:val="21"/>
                            <w:szCs w:val="21"/>
                          </w:rPr>
                        </w:pPr>
                        <w:r>
                          <w:rPr>
                            <w:rFonts w:ascii="宋体" w:hAnsi="宋体" w:cs="宋体" w:eastAsia="宋体" w:hint="default"/>
                            <w:sz w:val="21"/>
                            <w:szCs w:val="21"/>
                          </w:rPr>
                          <w:t>公司名称</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38" w:right="0"/>
                          <w:jc w:val="left"/>
                          <w:rPr>
                            <w:rFonts w:ascii="宋体" w:hAnsi="宋体" w:cs="宋体" w:eastAsia="宋体" w:hint="default"/>
                            <w:sz w:val="21"/>
                            <w:szCs w:val="21"/>
                          </w:rPr>
                        </w:pPr>
                        <w:r>
                          <w:rPr>
                            <w:rFonts w:ascii="宋体" w:hAnsi="宋体" w:cs="宋体" w:eastAsia="宋体" w:hint="default"/>
                            <w:sz w:val="21"/>
                            <w:szCs w:val="21"/>
                          </w:rPr>
                          <w:t>公司类型</w:t>
                        </w:r>
                      </w:p>
                    </w:tc>
                    <w:tc>
                      <w:tcPr>
                        <w:tcW w:w="9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所处行业</w:t>
                        </w:r>
                      </w:p>
                    </w:tc>
                    <w:tc>
                      <w:tcPr>
                        <w:tcW w:w="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right="2"/>
                          <w:jc w:val="center"/>
                          <w:rPr>
                            <w:rFonts w:ascii="宋体" w:hAnsi="宋体" w:cs="宋体" w:eastAsia="宋体" w:hint="default"/>
                            <w:sz w:val="21"/>
                            <w:szCs w:val="21"/>
                          </w:rPr>
                        </w:pPr>
                        <w:r>
                          <w:rPr>
                            <w:rFonts w:ascii="宋体" w:hAnsi="宋体" w:cs="宋体" w:eastAsia="宋体" w:hint="default"/>
                            <w:sz w:val="21"/>
                            <w:szCs w:val="21"/>
                          </w:rPr>
                          <w:t>主要产品</w:t>
                        </w:r>
                      </w:p>
                      <w:p>
                        <w:pPr>
                          <w:pStyle w:val="TableParagraph"/>
                          <w:spacing w:line="272" w:lineRule="exact"/>
                          <w:ind w:right="2"/>
                          <w:jc w:val="center"/>
                          <w:rPr>
                            <w:rFonts w:ascii="宋体" w:hAnsi="宋体" w:cs="宋体" w:eastAsia="宋体" w:hint="default"/>
                            <w:sz w:val="21"/>
                            <w:szCs w:val="21"/>
                          </w:rPr>
                        </w:pPr>
                        <w:r>
                          <w:rPr>
                            <w:rFonts w:ascii="宋体" w:hAnsi="宋体" w:cs="宋体" w:eastAsia="宋体" w:hint="default"/>
                            <w:sz w:val="21"/>
                            <w:szCs w:val="21"/>
                          </w:rPr>
                          <w:t>或服务</w:t>
                        </w:r>
                      </w:p>
                    </w:tc>
                    <w:tc>
                      <w:tcPr>
                        <w:tcW w:w="9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3"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sz w:val="21"/>
                            <w:szCs w:val="21"/>
                          </w:rPr>
                          <w:t>总资产（元</w:t>
                        </w:r>
                      </w:p>
                    </w:tc>
                    <w:tc>
                      <w:tcPr>
                        <w:tcW w:w="1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83" w:right="0"/>
                          <w:jc w:val="left"/>
                          <w:rPr>
                            <w:rFonts w:ascii="宋体" w:hAnsi="宋体" w:cs="宋体" w:eastAsia="宋体" w:hint="default"/>
                            <w:sz w:val="21"/>
                            <w:szCs w:val="21"/>
                          </w:rPr>
                        </w:pPr>
                        <w:r>
                          <w:rPr>
                            <w:rFonts w:ascii="宋体" w:hAnsi="宋体" w:cs="宋体" w:eastAsia="宋体" w:hint="default"/>
                            <w:sz w:val="21"/>
                            <w:szCs w:val="21"/>
                          </w:rPr>
                          <w:t>）净资产（元</w:t>
                        </w:r>
                      </w:p>
                    </w:tc>
                    <w:tc>
                      <w:tcPr>
                        <w:tcW w:w="1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83" w:right="28"/>
                          <w:jc w:val="right"/>
                          <w:rPr>
                            <w:rFonts w:ascii="Times New Roman" w:hAnsi="Times New Roman" w:cs="Times New Roman" w:eastAsia="Times New Roman" w:hint="default"/>
                            <w:sz w:val="21"/>
                            <w:szCs w:val="21"/>
                          </w:rPr>
                        </w:pPr>
                        <w:r>
                          <w:rPr>
                            <w:rFonts w:ascii="宋体" w:hAnsi="宋体" w:cs="宋体" w:eastAsia="宋体" w:hint="default"/>
                            <w:spacing w:val="-2"/>
                            <w:sz w:val="21"/>
                            <w:szCs w:val="21"/>
                          </w:rPr>
                          <w:t>）营业收入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元</w:t>
                        </w:r>
                        <w:r>
                          <w:rPr>
                            <w:rFonts w:ascii="Times New Roman" w:hAnsi="Times New Roman" w:cs="Times New Roman" w:eastAsia="Times New Roman" w:hint="default"/>
                            <w:spacing w:val="-2"/>
                            <w:sz w:val="21"/>
                            <w:szCs w:val="21"/>
                          </w:rPr>
                          <w:t>)</w:t>
                        </w:r>
                      </w:p>
                    </w:tc>
                    <w:tc>
                      <w:tcPr>
                        <w:tcW w:w="1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营业利润</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1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w w:val="100"/>
                            <w:sz w:val="21"/>
                            <w:szCs w:val="21"/>
                          </w:rPr>
                          <w:t>净利</w:t>
                        </w:r>
                        <w:r>
                          <w:rPr>
                            <w:rFonts w:ascii="宋体" w:hAnsi="宋体" w:cs="宋体" w:eastAsia="宋体" w:hint="default"/>
                            <w:spacing w:val="-101"/>
                            <w:w w:val="100"/>
                            <w:sz w:val="21"/>
                            <w:szCs w:val="21"/>
                          </w:rPr>
                          <w:t>润</w:t>
                        </w:r>
                        <w:r>
                          <w:rPr>
                            <w:rFonts w:ascii="宋体" w:hAnsi="宋体" w:cs="宋体" w:eastAsia="宋体" w:hint="default"/>
                            <w:w w:val="100"/>
                            <w:sz w:val="21"/>
                            <w:szCs w:val="21"/>
                          </w:rPr>
                          <w:t>（元</w:t>
                        </w:r>
                      </w:p>
                    </w:tc>
                  </w:tr>
                  <w:tr>
                    <w:trPr>
                      <w:trHeight w:val="402"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9" w:right="0"/>
                          <w:jc w:val="left"/>
                          <w:rPr>
                            <w:rFonts w:ascii="宋体" w:hAnsi="宋体" w:cs="宋体" w:eastAsia="宋体" w:hint="default"/>
                            <w:sz w:val="21"/>
                            <w:szCs w:val="21"/>
                          </w:rPr>
                        </w:pPr>
                        <w:r>
                          <w:rPr>
                            <w:rFonts w:ascii="宋体" w:hAnsi="宋体" w:cs="宋体" w:eastAsia="宋体" w:hint="default"/>
                            <w:sz w:val="21"/>
                            <w:szCs w:val="21"/>
                          </w:rPr>
                          <w:t>西安深鸿</w:t>
                        </w:r>
                      </w:p>
                    </w:tc>
                    <w:tc>
                      <w:tcPr>
                        <w:tcW w:w="931"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
                    </w:tc>
                  </w:tr>
                  <w:tr>
                    <w:trPr>
                      <w:trHeight w:val="545"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基房地产</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开发有限</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子公司</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房地产</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房地产开</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发销售</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23" w:right="0"/>
                          <w:jc w:val="left"/>
                          <w:rPr>
                            <w:rFonts w:ascii="Times New Roman" w:hAnsi="Times New Roman" w:cs="Times New Roman" w:eastAsia="Times New Roman" w:hint="default"/>
                            <w:sz w:val="21"/>
                            <w:szCs w:val="21"/>
                          </w:rPr>
                        </w:pPr>
                        <w:r>
                          <w:rPr>
                            <w:rFonts w:ascii="Times New Roman"/>
                            <w:sz w:val="21"/>
                          </w:rPr>
                          <w:t>15000</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1" w:lineRule="exact" w:before="26"/>
                          <w:ind w:right="17"/>
                          <w:jc w:val="right"/>
                          <w:rPr>
                            <w:rFonts w:ascii="Times New Roman" w:hAnsi="Times New Roman" w:cs="Times New Roman" w:eastAsia="Times New Roman" w:hint="default"/>
                            <w:sz w:val="21"/>
                            <w:szCs w:val="21"/>
                          </w:rPr>
                        </w:pPr>
                        <w:r>
                          <w:rPr>
                            <w:rFonts w:ascii="Times New Roman"/>
                            <w:sz w:val="21"/>
                          </w:rPr>
                          <w:t>790,072,724.</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68</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1" w:lineRule="exact" w:before="26"/>
                          <w:ind w:right="17"/>
                          <w:jc w:val="right"/>
                          <w:rPr>
                            <w:rFonts w:ascii="Times New Roman" w:hAnsi="Times New Roman" w:cs="Times New Roman" w:eastAsia="Times New Roman" w:hint="default"/>
                            <w:sz w:val="21"/>
                            <w:szCs w:val="21"/>
                          </w:rPr>
                        </w:pPr>
                        <w:r>
                          <w:rPr>
                            <w:rFonts w:ascii="Times New Roman"/>
                            <w:sz w:val="21"/>
                          </w:rPr>
                          <w:t>373,369,979.</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23</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1" w:lineRule="exact" w:before="26"/>
                          <w:ind w:right="17"/>
                          <w:jc w:val="right"/>
                          <w:rPr>
                            <w:rFonts w:ascii="Times New Roman" w:hAnsi="Times New Roman" w:cs="Times New Roman" w:eastAsia="Times New Roman" w:hint="default"/>
                            <w:sz w:val="21"/>
                            <w:szCs w:val="21"/>
                          </w:rPr>
                        </w:pPr>
                        <w:r>
                          <w:rPr>
                            <w:rFonts w:ascii="Times New Roman"/>
                            <w:sz w:val="21"/>
                          </w:rPr>
                          <w:t>464,582,001.</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00</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1" w:lineRule="exact" w:before="26"/>
                          <w:ind w:right="17"/>
                          <w:jc w:val="right"/>
                          <w:rPr>
                            <w:rFonts w:ascii="Times New Roman" w:hAnsi="Times New Roman" w:cs="Times New Roman" w:eastAsia="Times New Roman" w:hint="default"/>
                            <w:sz w:val="21"/>
                            <w:szCs w:val="21"/>
                          </w:rPr>
                        </w:pPr>
                        <w:r>
                          <w:rPr>
                            <w:rFonts w:ascii="Times New Roman"/>
                            <w:sz w:val="21"/>
                          </w:rPr>
                          <w:t>96,686,690.1</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5</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1" w:lineRule="exact" w:before="26"/>
                          <w:ind w:right="17"/>
                          <w:jc w:val="right"/>
                          <w:rPr>
                            <w:rFonts w:ascii="Times New Roman" w:hAnsi="Times New Roman" w:cs="Times New Roman" w:eastAsia="Times New Roman" w:hint="default"/>
                            <w:sz w:val="21"/>
                            <w:szCs w:val="21"/>
                          </w:rPr>
                        </w:pPr>
                        <w:r>
                          <w:rPr>
                            <w:rFonts w:ascii="Times New Roman"/>
                            <w:spacing w:val="-1"/>
                            <w:sz w:val="21"/>
                          </w:rPr>
                          <w:t>65,846,119.</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29</w:t>
                        </w:r>
                      </w:p>
                    </w:tc>
                  </w:tr>
                  <w:tr>
                    <w:trPr>
                      <w:trHeight w:val="417"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931"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9" w:right="0"/>
                          <w:jc w:val="left"/>
                          <w:rPr>
                            <w:rFonts w:ascii="宋体" w:hAnsi="宋体" w:cs="宋体" w:eastAsia="宋体" w:hint="default"/>
                            <w:sz w:val="21"/>
                            <w:szCs w:val="21"/>
                          </w:rPr>
                        </w:pPr>
                        <w:r>
                          <w:rPr>
                            <w:rFonts w:ascii="宋体" w:hAnsi="宋体" w:cs="宋体" w:eastAsia="宋体" w:hint="default"/>
                            <w:sz w:val="21"/>
                            <w:szCs w:val="21"/>
                          </w:rPr>
                          <w:t>东莞市宜</w:t>
                        </w:r>
                      </w:p>
                    </w:tc>
                    <w:tc>
                      <w:tcPr>
                        <w:tcW w:w="931"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
                    </w:tc>
                  </w:tr>
                  <w:tr>
                    <w:trPr>
                      <w:trHeight w:val="545"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久房地产</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开发有限</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子公司</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房地产</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房地产开</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发销售</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left="23" w:right="0"/>
                          <w:jc w:val="left"/>
                          <w:rPr>
                            <w:rFonts w:ascii="Times New Roman" w:hAnsi="Times New Roman" w:cs="Times New Roman" w:eastAsia="Times New Roman" w:hint="default"/>
                            <w:sz w:val="21"/>
                            <w:szCs w:val="21"/>
                          </w:rPr>
                        </w:pPr>
                        <w:r>
                          <w:rPr>
                            <w:rFonts w:ascii="Times New Roman"/>
                            <w:sz w:val="21"/>
                          </w:rPr>
                          <w:t>100</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z w:val="21"/>
                          </w:rPr>
                          <w:t>437,186,331.</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sz w:val="21"/>
                          </w:rPr>
                          <w:t>46</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pacing w:val="-1"/>
                            <w:sz w:val="21"/>
                          </w:rPr>
                          <w:t>-12,713,987.7</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w w:val="100"/>
                            <w:sz w:val="21"/>
                          </w:rPr>
                          <w:t>3</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22"/>
                          <w:jc w:val="right"/>
                          <w:rPr>
                            <w:rFonts w:ascii="Times New Roman" w:hAnsi="Times New Roman" w:cs="Times New Roman" w:eastAsia="Times New Roman" w:hint="default"/>
                            <w:sz w:val="21"/>
                            <w:szCs w:val="21"/>
                          </w:rPr>
                        </w:pPr>
                        <w:r>
                          <w:rPr>
                            <w:rFonts w:ascii="Times New Roman"/>
                            <w:sz w:val="21"/>
                          </w:rPr>
                          <w:t>0.00</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pacing w:val="-1"/>
                            <w:sz w:val="21"/>
                          </w:rPr>
                          <w:t>-10,329,249.4</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w w:val="100"/>
                            <w:sz w:val="21"/>
                          </w:rPr>
                          <w:t>4</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pacing w:val="-1"/>
                            <w:sz w:val="21"/>
                          </w:rPr>
                          <w:t>-10,407,449</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sz w:val="21"/>
                          </w:rPr>
                          <w:t>.44</w:t>
                        </w:r>
                      </w:p>
                    </w:tc>
                  </w:tr>
                  <w:tr>
                    <w:trPr>
                      <w:trHeight w:val="417"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931"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
                    </w:tc>
                  </w:tr>
                  <w:tr>
                    <w:trPr>
                      <w:trHeight w:val="411"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0"/>
                          <w:ind w:left="19" w:right="0"/>
                          <w:jc w:val="left"/>
                          <w:rPr>
                            <w:rFonts w:ascii="宋体" w:hAnsi="宋体" w:cs="宋体" w:eastAsia="宋体" w:hint="default"/>
                            <w:sz w:val="21"/>
                            <w:szCs w:val="21"/>
                          </w:rPr>
                        </w:pPr>
                        <w:r>
                          <w:rPr>
                            <w:rFonts w:ascii="宋体" w:hAnsi="宋体" w:cs="宋体" w:eastAsia="宋体" w:hint="default"/>
                            <w:sz w:val="21"/>
                            <w:szCs w:val="21"/>
                          </w:rPr>
                          <w:t>湖南宝安</w:t>
                        </w:r>
                      </w:p>
                    </w:tc>
                    <w:tc>
                      <w:tcPr>
                        <w:tcW w:w="931"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
                    </w:tc>
                  </w:tr>
                  <w:tr>
                    <w:trPr>
                      <w:trHeight w:val="547"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鸿基房地</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产开发有</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子公司</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房地产</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房地产开</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发销售</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left="23" w:right="0"/>
                          <w:jc w:val="left"/>
                          <w:rPr>
                            <w:rFonts w:ascii="Times New Roman" w:hAnsi="Times New Roman" w:cs="Times New Roman" w:eastAsia="Times New Roman" w:hint="default"/>
                            <w:sz w:val="21"/>
                            <w:szCs w:val="21"/>
                          </w:rPr>
                        </w:pPr>
                        <w:r>
                          <w:rPr>
                            <w:rFonts w:ascii="Times New Roman"/>
                            <w:sz w:val="21"/>
                          </w:rPr>
                          <w:t>5000</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z w:val="21"/>
                          </w:rPr>
                          <w:t>313,123,309.</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sz w:val="21"/>
                          </w:rPr>
                          <w:t>50</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z w:val="21"/>
                          </w:rPr>
                          <w:t>44,278,897.1</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w w:val="100"/>
                            <w:sz w:val="21"/>
                          </w:rPr>
                          <w:t>3</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right="22"/>
                          <w:jc w:val="right"/>
                          <w:rPr>
                            <w:rFonts w:ascii="Times New Roman" w:hAnsi="Times New Roman" w:cs="Times New Roman" w:eastAsia="Times New Roman" w:hint="default"/>
                            <w:sz w:val="21"/>
                            <w:szCs w:val="21"/>
                          </w:rPr>
                        </w:pPr>
                        <w:r>
                          <w:rPr>
                            <w:rFonts w:ascii="Times New Roman"/>
                            <w:sz w:val="21"/>
                          </w:rPr>
                          <w:t>0.00</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6"/>
                          <w:ind w:left="28" w:right="0"/>
                          <w:jc w:val="center"/>
                          <w:rPr>
                            <w:rFonts w:ascii="Times New Roman" w:hAnsi="Times New Roman" w:cs="Times New Roman" w:eastAsia="Times New Roman" w:hint="default"/>
                            <w:sz w:val="21"/>
                            <w:szCs w:val="21"/>
                          </w:rPr>
                        </w:pPr>
                        <w:r>
                          <w:rPr>
                            <w:rFonts w:ascii="Times New Roman"/>
                            <w:sz w:val="21"/>
                          </w:rPr>
                          <w:t>-5,256,750.09</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17"/>
                          <w:jc w:val="right"/>
                          <w:rPr>
                            <w:rFonts w:ascii="Times New Roman" w:hAnsi="Times New Roman" w:cs="Times New Roman" w:eastAsia="Times New Roman" w:hint="default"/>
                            <w:sz w:val="21"/>
                            <w:szCs w:val="21"/>
                          </w:rPr>
                        </w:pPr>
                        <w:r>
                          <w:rPr>
                            <w:rFonts w:ascii="Times New Roman"/>
                            <w:spacing w:val="-1"/>
                            <w:sz w:val="21"/>
                          </w:rPr>
                          <w:t>-5,264,456.</w:t>
                        </w:r>
                      </w:p>
                      <w:p>
                        <w:pPr>
                          <w:pStyle w:val="TableParagraph"/>
                          <w:spacing w:line="240" w:lineRule="auto" w:before="3"/>
                          <w:ind w:right="22"/>
                          <w:jc w:val="right"/>
                          <w:rPr>
                            <w:rFonts w:ascii="Times New Roman" w:hAnsi="Times New Roman" w:cs="Times New Roman" w:eastAsia="Times New Roman" w:hint="default"/>
                            <w:sz w:val="21"/>
                            <w:szCs w:val="21"/>
                          </w:rPr>
                        </w:pPr>
                        <w:r>
                          <w:rPr>
                            <w:rFonts w:ascii="Times New Roman"/>
                            <w:sz w:val="21"/>
                          </w:rPr>
                          <w:t>09</w:t>
                        </w:r>
                      </w:p>
                    </w:tc>
                  </w:tr>
                  <w:tr>
                    <w:trPr>
                      <w:trHeight w:val="424"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931"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
                    </w:tc>
                  </w:tr>
                  <w:tr>
                    <w:trPr>
                      <w:trHeight w:val="270"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惠州市宝</w:t>
                        </w:r>
                      </w:p>
                    </w:tc>
                    <w:tc>
                      <w:tcPr>
                        <w:tcW w:w="931"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
                    </w:tc>
                  </w:tr>
                  <w:tr>
                    <w:trPr>
                      <w:trHeight w:val="545"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19" w:right="0"/>
                          <w:jc w:val="left"/>
                          <w:rPr>
                            <w:rFonts w:ascii="宋体" w:hAnsi="宋体" w:cs="宋体" w:eastAsia="宋体" w:hint="default"/>
                            <w:sz w:val="21"/>
                            <w:szCs w:val="21"/>
                          </w:rPr>
                        </w:pPr>
                        <w:r>
                          <w:rPr>
                            <w:rFonts w:ascii="宋体" w:hAnsi="宋体" w:cs="宋体" w:eastAsia="宋体" w:hint="default"/>
                            <w:sz w:val="21"/>
                            <w:szCs w:val="21"/>
                          </w:rPr>
                          <w:t>安房地产</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开发有限</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3" w:right="0"/>
                          <w:jc w:val="left"/>
                          <w:rPr>
                            <w:rFonts w:ascii="宋体" w:hAnsi="宋体" w:cs="宋体" w:eastAsia="宋体" w:hint="default"/>
                            <w:sz w:val="21"/>
                            <w:szCs w:val="21"/>
                          </w:rPr>
                        </w:pPr>
                        <w:r>
                          <w:rPr>
                            <w:rFonts w:ascii="宋体" w:hAnsi="宋体" w:cs="宋体" w:eastAsia="宋体" w:hint="default"/>
                            <w:sz w:val="21"/>
                            <w:szCs w:val="21"/>
                          </w:rPr>
                          <w:t>子公司</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3" w:right="0"/>
                          <w:jc w:val="left"/>
                          <w:rPr>
                            <w:rFonts w:ascii="宋体" w:hAnsi="宋体" w:cs="宋体" w:eastAsia="宋体" w:hint="default"/>
                            <w:sz w:val="21"/>
                            <w:szCs w:val="21"/>
                          </w:rPr>
                        </w:pPr>
                        <w:r>
                          <w:rPr>
                            <w:rFonts w:ascii="宋体" w:hAnsi="宋体" w:cs="宋体" w:eastAsia="宋体" w:hint="default"/>
                            <w:sz w:val="21"/>
                            <w:szCs w:val="21"/>
                          </w:rPr>
                          <w:t>房地产</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19" w:right="22"/>
                          <w:jc w:val="left"/>
                          <w:rPr>
                            <w:rFonts w:ascii="宋体" w:hAnsi="宋体" w:cs="宋体" w:eastAsia="宋体" w:hint="default"/>
                            <w:sz w:val="21"/>
                            <w:szCs w:val="21"/>
                          </w:rPr>
                        </w:pPr>
                        <w:r>
                          <w:rPr>
                            <w:rFonts w:ascii="宋体" w:hAnsi="宋体" w:cs="宋体" w:eastAsia="宋体" w:hint="default"/>
                            <w:sz w:val="21"/>
                            <w:szCs w:val="21"/>
                          </w:rPr>
                          <w:t>房地产开</w:t>
                        </w:r>
                        <w:r>
                          <w:rPr>
                            <w:rFonts w:ascii="宋体" w:hAnsi="宋体" w:cs="宋体" w:eastAsia="宋体" w:hint="default"/>
                            <w:spacing w:val="-101"/>
                            <w:sz w:val="21"/>
                            <w:szCs w:val="21"/>
                          </w:rPr>
                          <w:t> </w:t>
                        </w:r>
                        <w:r>
                          <w:rPr>
                            <w:rFonts w:ascii="宋体" w:hAnsi="宋体" w:cs="宋体" w:eastAsia="宋体" w:hint="default"/>
                            <w:sz w:val="21"/>
                            <w:szCs w:val="21"/>
                          </w:rPr>
                          <w:t>发销售</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23" w:right="0"/>
                          <w:jc w:val="left"/>
                          <w:rPr>
                            <w:rFonts w:ascii="Times New Roman" w:hAnsi="Times New Roman" w:cs="Times New Roman" w:eastAsia="Times New Roman" w:hint="default"/>
                            <w:sz w:val="21"/>
                            <w:szCs w:val="21"/>
                          </w:rPr>
                        </w:pPr>
                        <w:r>
                          <w:rPr>
                            <w:rFonts w:ascii="Times New Roman"/>
                            <w:sz w:val="21"/>
                          </w:rPr>
                          <w:t>10000</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1" w:lineRule="exact" w:before="28"/>
                          <w:ind w:right="17"/>
                          <w:jc w:val="right"/>
                          <w:rPr>
                            <w:rFonts w:ascii="Times New Roman" w:hAnsi="Times New Roman" w:cs="Times New Roman" w:eastAsia="Times New Roman" w:hint="default"/>
                            <w:sz w:val="21"/>
                            <w:szCs w:val="21"/>
                          </w:rPr>
                        </w:pPr>
                        <w:r>
                          <w:rPr>
                            <w:rFonts w:ascii="Times New Roman"/>
                            <w:sz w:val="21"/>
                          </w:rPr>
                          <w:t>980,980,062.</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28</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1" w:lineRule="exact" w:before="28"/>
                          <w:ind w:right="17"/>
                          <w:jc w:val="right"/>
                          <w:rPr>
                            <w:rFonts w:ascii="Times New Roman" w:hAnsi="Times New Roman" w:cs="Times New Roman" w:eastAsia="Times New Roman" w:hint="default"/>
                            <w:sz w:val="21"/>
                            <w:szCs w:val="21"/>
                          </w:rPr>
                        </w:pPr>
                        <w:r>
                          <w:rPr>
                            <w:rFonts w:ascii="Times New Roman"/>
                            <w:sz w:val="21"/>
                          </w:rPr>
                          <w:t>162,768,422.</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70</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1" w:lineRule="exact" w:before="28"/>
                          <w:ind w:right="17"/>
                          <w:jc w:val="right"/>
                          <w:rPr>
                            <w:rFonts w:ascii="Times New Roman" w:hAnsi="Times New Roman" w:cs="Times New Roman" w:eastAsia="Times New Roman" w:hint="default"/>
                            <w:sz w:val="21"/>
                            <w:szCs w:val="21"/>
                          </w:rPr>
                        </w:pPr>
                        <w:r>
                          <w:rPr>
                            <w:rFonts w:ascii="Times New Roman"/>
                            <w:sz w:val="21"/>
                          </w:rPr>
                          <w:t>15,540,531.0</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0</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28" w:right="0"/>
                          <w:jc w:val="center"/>
                          <w:rPr>
                            <w:rFonts w:ascii="Times New Roman" w:hAnsi="Times New Roman" w:cs="Times New Roman" w:eastAsia="Times New Roman" w:hint="default"/>
                            <w:sz w:val="21"/>
                            <w:szCs w:val="21"/>
                          </w:rPr>
                        </w:pPr>
                        <w:r>
                          <w:rPr>
                            <w:rFonts w:ascii="Times New Roman"/>
                            <w:sz w:val="21"/>
                          </w:rPr>
                          <w:t>-7,232,577.30</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1" w:lineRule="exact" w:before="28"/>
                          <w:ind w:right="17"/>
                          <w:jc w:val="right"/>
                          <w:rPr>
                            <w:rFonts w:ascii="Times New Roman" w:hAnsi="Times New Roman" w:cs="Times New Roman" w:eastAsia="Times New Roman" w:hint="default"/>
                            <w:sz w:val="21"/>
                            <w:szCs w:val="21"/>
                          </w:rPr>
                        </w:pPr>
                        <w:r>
                          <w:rPr>
                            <w:rFonts w:ascii="Times New Roman"/>
                            <w:spacing w:val="-1"/>
                            <w:sz w:val="21"/>
                          </w:rPr>
                          <w:t>-7,231,577.</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30</w:t>
                        </w:r>
                      </w:p>
                    </w:tc>
                  </w:tr>
                  <w:tr>
                    <w:trPr>
                      <w:trHeight w:val="285"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931"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
                    </w:tc>
                  </w:tr>
                  <w:tr>
                    <w:trPr>
                      <w:trHeight w:val="385" w:hRule="exact"/>
                    </w:trPr>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6"/>
                          <w:ind w:left="19" w:right="0"/>
                          <w:jc w:val="left"/>
                          <w:rPr>
                            <w:rFonts w:ascii="宋体" w:hAnsi="宋体" w:cs="宋体" w:eastAsia="宋体" w:hint="default"/>
                            <w:sz w:val="21"/>
                            <w:szCs w:val="21"/>
                          </w:rPr>
                        </w:pPr>
                        <w:r>
                          <w:rPr>
                            <w:rFonts w:ascii="宋体" w:hAnsi="宋体" w:cs="宋体" w:eastAsia="宋体" w:hint="default"/>
                            <w:sz w:val="21"/>
                            <w:szCs w:val="21"/>
                          </w:rPr>
                          <w:t>惠东县宝</w:t>
                        </w:r>
                      </w:p>
                    </w:tc>
                    <w:tc>
                      <w:tcPr>
                        <w:tcW w:w="931"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
                    </w:tc>
                  </w:tr>
                  <w:tr>
                    <w:trPr>
                      <w:trHeight w:val="545"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19" w:right="0"/>
                          <w:jc w:val="left"/>
                          <w:rPr>
                            <w:rFonts w:ascii="宋体" w:hAnsi="宋体" w:cs="宋体" w:eastAsia="宋体" w:hint="default"/>
                            <w:sz w:val="21"/>
                            <w:szCs w:val="21"/>
                          </w:rPr>
                        </w:pPr>
                        <w:r>
                          <w:rPr>
                            <w:rFonts w:ascii="宋体" w:hAnsi="宋体" w:cs="宋体" w:eastAsia="宋体" w:hint="default"/>
                            <w:sz w:val="21"/>
                            <w:szCs w:val="21"/>
                          </w:rPr>
                          <w:t>安鸿基房</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z w:val="21"/>
                            <w:szCs w:val="21"/>
                          </w:rPr>
                          <w:t>地产开发</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3" w:right="0"/>
                          <w:jc w:val="left"/>
                          <w:rPr>
                            <w:rFonts w:ascii="宋体" w:hAnsi="宋体" w:cs="宋体" w:eastAsia="宋体" w:hint="default"/>
                            <w:sz w:val="21"/>
                            <w:szCs w:val="21"/>
                          </w:rPr>
                        </w:pPr>
                        <w:r>
                          <w:rPr>
                            <w:rFonts w:ascii="宋体" w:hAnsi="宋体" w:cs="宋体" w:eastAsia="宋体" w:hint="default"/>
                            <w:sz w:val="21"/>
                            <w:szCs w:val="21"/>
                          </w:rPr>
                          <w:t>子公司</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3" w:right="0"/>
                          <w:jc w:val="left"/>
                          <w:rPr>
                            <w:rFonts w:ascii="宋体" w:hAnsi="宋体" w:cs="宋体" w:eastAsia="宋体" w:hint="default"/>
                            <w:sz w:val="21"/>
                            <w:szCs w:val="21"/>
                          </w:rPr>
                        </w:pPr>
                        <w:r>
                          <w:rPr>
                            <w:rFonts w:ascii="宋体" w:hAnsi="宋体" w:cs="宋体" w:eastAsia="宋体" w:hint="default"/>
                            <w:sz w:val="21"/>
                            <w:szCs w:val="21"/>
                          </w:rPr>
                          <w:t>房地产</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19" w:right="22"/>
                          <w:jc w:val="left"/>
                          <w:rPr>
                            <w:rFonts w:ascii="宋体" w:hAnsi="宋体" w:cs="宋体" w:eastAsia="宋体" w:hint="default"/>
                            <w:sz w:val="21"/>
                            <w:szCs w:val="21"/>
                          </w:rPr>
                        </w:pPr>
                        <w:r>
                          <w:rPr>
                            <w:rFonts w:ascii="宋体" w:hAnsi="宋体" w:cs="宋体" w:eastAsia="宋体" w:hint="default"/>
                            <w:sz w:val="21"/>
                            <w:szCs w:val="21"/>
                          </w:rPr>
                          <w:t>房地产开</w:t>
                        </w:r>
                        <w:r>
                          <w:rPr>
                            <w:rFonts w:ascii="宋体" w:hAnsi="宋体" w:cs="宋体" w:eastAsia="宋体" w:hint="default"/>
                            <w:spacing w:val="-101"/>
                            <w:sz w:val="21"/>
                            <w:szCs w:val="21"/>
                          </w:rPr>
                          <w:t> </w:t>
                        </w:r>
                        <w:r>
                          <w:rPr>
                            <w:rFonts w:ascii="宋体" w:hAnsi="宋体" w:cs="宋体" w:eastAsia="宋体" w:hint="default"/>
                            <w:sz w:val="21"/>
                            <w:szCs w:val="21"/>
                          </w:rPr>
                          <w:t>发销售</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23" w:right="0"/>
                          <w:jc w:val="left"/>
                          <w:rPr>
                            <w:rFonts w:ascii="Times New Roman" w:hAnsi="Times New Roman" w:cs="Times New Roman" w:eastAsia="Times New Roman" w:hint="default"/>
                            <w:sz w:val="21"/>
                            <w:szCs w:val="21"/>
                          </w:rPr>
                        </w:pPr>
                        <w:r>
                          <w:rPr>
                            <w:rFonts w:ascii="Times New Roman"/>
                            <w:sz w:val="21"/>
                          </w:rPr>
                          <w:t>1000</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1" w:lineRule="exact" w:before="28"/>
                          <w:ind w:right="17"/>
                          <w:jc w:val="right"/>
                          <w:rPr>
                            <w:rFonts w:ascii="Times New Roman" w:hAnsi="Times New Roman" w:cs="Times New Roman" w:eastAsia="Times New Roman" w:hint="default"/>
                            <w:sz w:val="21"/>
                            <w:szCs w:val="21"/>
                          </w:rPr>
                        </w:pPr>
                        <w:r>
                          <w:rPr>
                            <w:rFonts w:ascii="Times New Roman"/>
                            <w:sz w:val="21"/>
                          </w:rPr>
                          <w:t>126,302,560.</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92</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120" w:right="0"/>
                          <w:jc w:val="left"/>
                          <w:rPr>
                            <w:rFonts w:ascii="Times New Roman" w:hAnsi="Times New Roman" w:cs="Times New Roman" w:eastAsia="Times New Roman" w:hint="default"/>
                            <w:sz w:val="21"/>
                            <w:szCs w:val="21"/>
                          </w:rPr>
                        </w:pPr>
                        <w:r>
                          <w:rPr>
                            <w:rFonts w:ascii="Times New Roman"/>
                            <w:sz w:val="21"/>
                          </w:rPr>
                          <w:t>7,699,553.69</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right="22"/>
                          <w:jc w:val="right"/>
                          <w:rPr>
                            <w:rFonts w:ascii="Times New Roman" w:hAnsi="Times New Roman" w:cs="Times New Roman" w:eastAsia="Times New Roman" w:hint="default"/>
                            <w:sz w:val="21"/>
                            <w:szCs w:val="21"/>
                          </w:rPr>
                        </w:pPr>
                        <w:r>
                          <w:rPr>
                            <w:rFonts w:ascii="Times New Roman"/>
                            <w:sz w:val="21"/>
                          </w:rPr>
                          <w:t>0.00</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148"/>
                          <w:ind w:left="28" w:right="0"/>
                          <w:jc w:val="center"/>
                          <w:rPr>
                            <w:rFonts w:ascii="Times New Roman" w:hAnsi="Times New Roman" w:cs="Times New Roman" w:eastAsia="Times New Roman" w:hint="default"/>
                            <w:sz w:val="21"/>
                            <w:szCs w:val="21"/>
                          </w:rPr>
                        </w:pPr>
                        <w:r>
                          <w:rPr>
                            <w:rFonts w:ascii="Times New Roman"/>
                            <w:sz w:val="21"/>
                          </w:rPr>
                          <w:t>-2,202,250.87</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1" w:lineRule="exact" w:before="28"/>
                          <w:ind w:right="17"/>
                          <w:jc w:val="right"/>
                          <w:rPr>
                            <w:rFonts w:ascii="Times New Roman" w:hAnsi="Times New Roman" w:cs="Times New Roman" w:eastAsia="Times New Roman" w:hint="default"/>
                            <w:sz w:val="21"/>
                            <w:szCs w:val="21"/>
                          </w:rPr>
                        </w:pPr>
                        <w:r>
                          <w:rPr>
                            <w:rFonts w:ascii="Times New Roman"/>
                            <w:spacing w:val="-1"/>
                            <w:sz w:val="21"/>
                          </w:rPr>
                          <w:t>-2,202,250.</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87</w:t>
                        </w:r>
                      </w:p>
                    </w:tc>
                  </w:tr>
                  <w:tr>
                    <w:trPr>
                      <w:trHeight w:val="400" w:hRule="exact"/>
                    </w:trPr>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931"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r>
        <w:rPr>
          <w:w w:val="100"/>
        </w:rPr>
        <w:t>）</w:t>
      </w:r>
    </w:p>
    <w:p>
      <w:pPr>
        <w:spacing w:after="0" w:line="240" w:lineRule="auto"/>
        <w:jc w:val="right"/>
        <w:sectPr>
          <w:pgSz w:w="11900" w:h="16840"/>
          <w:pgMar w:header="872" w:footer="957" w:top="1120" w:bottom="1180" w:left="260" w:right="260"/>
        </w:sectPr>
      </w:pPr>
    </w:p>
    <w:p>
      <w:pPr>
        <w:spacing w:line="240" w:lineRule="auto" w:before="8"/>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1066"/>
        <w:gridCol w:w="931"/>
        <w:gridCol w:w="902"/>
        <w:gridCol w:w="898"/>
        <w:gridCol w:w="902"/>
        <w:gridCol w:w="1258"/>
        <w:gridCol w:w="1262"/>
        <w:gridCol w:w="1258"/>
        <w:gridCol w:w="1262"/>
        <w:gridCol w:w="1109"/>
      </w:tblGrid>
      <w:tr>
        <w:trPr>
          <w:trHeight w:val="272" w:hRule="exact"/>
        </w:trPr>
        <w:tc>
          <w:tcPr>
            <w:tcW w:w="1066" w:type="dxa"/>
            <w:tcBorders>
              <w:top w:val="single" w:sz="4" w:space="0" w:color="000000"/>
              <w:left w:val="single" w:sz="4" w:space="0" w:color="000000"/>
              <w:bottom w:val="nil" w:sz="6" w:space="0" w:color="auto"/>
              <w:right w:val="single" w:sz="4" w:space="0" w:color="000000"/>
            </w:tcBorders>
          </w:tcPr>
          <w:p>
            <w:pPr/>
          </w:p>
        </w:tc>
        <w:tc>
          <w:tcPr>
            <w:tcW w:w="931" w:type="dxa"/>
            <w:tcBorders>
              <w:top w:val="single" w:sz="4" w:space="0" w:color="000000"/>
              <w:left w:val="single" w:sz="4" w:space="0" w:color="000000"/>
              <w:bottom w:val="nil" w:sz="6" w:space="0" w:color="auto"/>
              <w:right w:val="single" w:sz="4" w:space="0" w:color="000000"/>
            </w:tcBorders>
          </w:tcPr>
          <w:p>
            <w:pPr/>
          </w:p>
        </w:tc>
        <w:tc>
          <w:tcPr>
            <w:tcW w:w="902" w:type="dxa"/>
            <w:tcBorders>
              <w:top w:val="single" w:sz="4" w:space="0" w:color="000000"/>
              <w:left w:val="single" w:sz="4" w:space="0" w:color="000000"/>
              <w:bottom w:val="nil" w:sz="6" w:space="0" w:color="auto"/>
              <w:right w:val="single" w:sz="4" w:space="0" w:color="000000"/>
            </w:tcBorders>
          </w:tcPr>
          <w:p>
            <w:pPr/>
          </w:p>
        </w:tc>
        <w:tc>
          <w:tcPr>
            <w:tcW w:w="898"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有线电视</w:t>
            </w:r>
          </w:p>
        </w:tc>
        <w:tc>
          <w:tcPr>
            <w:tcW w:w="90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258"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1066" w:type="dxa"/>
            <w:tcBorders>
              <w:top w:val="nil" w:sz="6" w:space="0" w:color="auto"/>
              <w:left w:val="single" w:sz="4" w:space="0" w:color="000000"/>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single" w:sz="4" w:space="0" w:color="000000"/>
            </w:tcBorders>
          </w:tcPr>
          <w:p>
            <w:pPr/>
          </w:p>
        </w:tc>
        <w:tc>
          <w:tcPr>
            <w:tcW w:w="902"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网络规</w:t>
            </w:r>
          </w:p>
        </w:tc>
        <w:tc>
          <w:tcPr>
            <w:tcW w:w="902"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r>
      <w:tr>
        <w:trPr>
          <w:trHeight w:val="1361" w:hRule="exact"/>
        </w:trPr>
        <w:tc>
          <w:tcPr>
            <w:tcW w:w="1066" w:type="dxa"/>
            <w:tcBorders>
              <w:top w:val="nil" w:sz="6" w:space="0" w:color="auto"/>
              <w:left w:val="single" w:sz="4" w:space="0" w:color="000000"/>
              <w:bottom w:val="nil" w:sz="6" w:space="0" w:color="auto"/>
              <w:right w:val="single" w:sz="4" w:space="0" w:color="000000"/>
            </w:tcBorders>
          </w:tcPr>
          <w:p>
            <w:pPr>
              <w:pStyle w:val="TableParagraph"/>
              <w:spacing w:line="237" w:lineRule="auto" w:before="106"/>
              <w:ind w:left="19" w:right="190"/>
              <w:jc w:val="both"/>
              <w:rPr>
                <w:rFonts w:ascii="宋体" w:hAnsi="宋体" w:cs="宋体" w:eastAsia="宋体" w:hint="default"/>
                <w:sz w:val="21"/>
                <w:szCs w:val="21"/>
              </w:rPr>
            </w:pPr>
            <w:r>
              <w:rPr>
                <w:rFonts w:ascii="宋体" w:hAnsi="宋体" w:cs="宋体" w:eastAsia="宋体" w:hint="default"/>
                <w:sz w:val="21"/>
                <w:szCs w:val="21"/>
              </w:rPr>
              <w:t>福建东南</w:t>
            </w:r>
            <w:r>
              <w:rPr>
                <w:rFonts w:ascii="宋体" w:hAnsi="宋体" w:cs="宋体" w:eastAsia="宋体" w:hint="default"/>
                <w:spacing w:val="-101"/>
                <w:sz w:val="21"/>
                <w:szCs w:val="21"/>
              </w:rPr>
              <w:t> </w:t>
            </w:r>
            <w:r>
              <w:rPr>
                <w:rFonts w:ascii="宋体" w:hAnsi="宋体" w:cs="宋体" w:eastAsia="宋体" w:hint="default"/>
                <w:sz w:val="21"/>
                <w:szCs w:val="21"/>
              </w:rPr>
              <w:t>广播电视</w:t>
            </w:r>
            <w:r>
              <w:rPr>
                <w:rFonts w:ascii="宋体" w:hAnsi="宋体" w:cs="宋体" w:eastAsia="宋体" w:hint="default"/>
                <w:spacing w:val="-101"/>
                <w:sz w:val="21"/>
                <w:szCs w:val="21"/>
              </w:rPr>
              <w:t> </w:t>
            </w:r>
            <w:r>
              <w:rPr>
                <w:rFonts w:ascii="宋体" w:hAnsi="宋体" w:cs="宋体" w:eastAsia="宋体" w:hint="default"/>
                <w:sz w:val="21"/>
                <w:szCs w:val="21"/>
              </w:rPr>
              <w:t>网络有限</w:t>
            </w:r>
            <w:r>
              <w:rPr>
                <w:rFonts w:ascii="宋体" w:hAnsi="宋体" w:cs="宋体" w:eastAsia="宋体" w:hint="default"/>
                <w:spacing w:val="-101"/>
                <w:sz w:val="21"/>
                <w:szCs w:val="21"/>
              </w:rPr>
              <w:t> </w:t>
            </w:r>
            <w:r>
              <w:rPr>
                <w:rFonts w:ascii="宋体" w:hAnsi="宋体" w:cs="宋体" w:eastAsia="宋体" w:hint="default"/>
                <w:sz w:val="21"/>
                <w:szCs w:val="21"/>
              </w:rPr>
              <w:t>公司</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参股公司</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23" w:right="22"/>
              <w:jc w:val="left"/>
              <w:rPr>
                <w:rFonts w:ascii="宋体" w:hAnsi="宋体" w:cs="宋体" w:eastAsia="宋体" w:hint="default"/>
                <w:sz w:val="21"/>
                <w:szCs w:val="21"/>
              </w:rPr>
            </w:pPr>
            <w:r>
              <w:rPr>
                <w:rFonts w:ascii="宋体" w:hAnsi="宋体" w:cs="宋体" w:eastAsia="宋体" w:hint="default"/>
                <w:sz w:val="21"/>
                <w:szCs w:val="21"/>
              </w:rPr>
              <w:t>广播电视</w:t>
            </w:r>
            <w:r>
              <w:rPr>
                <w:rFonts w:ascii="宋体" w:hAnsi="宋体" w:cs="宋体" w:eastAsia="宋体" w:hint="default"/>
                <w:spacing w:val="-101"/>
                <w:sz w:val="21"/>
                <w:szCs w:val="21"/>
              </w:rPr>
              <w:t> </w:t>
            </w:r>
            <w:r>
              <w:rPr>
                <w:rFonts w:ascii="宋体" w:hAnsi="宋体" w:cs="宋体" w:eastAsia="宋体" w:hint="default"/>
                <w:sz w:val="21"/>
                <w:szCs w:val="21"/>
              </w:rPr>
              <w:t>网络业</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划</w:t>
            </w:r>
            <w:r>
              <w:rPr>
                <w:rFonts w:ascii="宋体" w:hAnsi="宋体" w:cs="宋体" w:eastAsia="宋体" w:hint="default"/>
                <w:spacing w:val="-101"/>
                <w:w w:val="100"/>
                <w:sz w:val="21"/>
                <w:szCs w:val="21"/>
              </w:rPr>
              <w:t>、</w:t>
            </w:r>
            <w:r>
              <w:rPr>
                <w:rFonts w:ascii="宋体" w:hAnsi="宋体" w:cs="宋体" w:eastAsia="宋体" w:hint="default"/>
                <w:w w:val="100"/>
                <w:sz w:val="21"/>
                <w:szCs w:val="21"/>
              </w:rPr>
              <w:t>建设</w:t>
            </w:r>
          </w:p>
          <w:p>
            <w:pPr>
              <w:pStyle w:val="TableParagraph"/>
              <w:spacing w:line="237" w:lineRule="auto" w:before="2"/>
              <w:ind w:left="19" w:right="22"/>
              <w:jc w:val="left"/>
              <w:rPr>
                <w:rFonts w:ascii="宋体" w:hAnsi="宋体" w:cs="宋体" w:eastAsia="宋体" w:hint="default"/>
                <w:sz w:val="21"/>
                <w:szCs w:val="21"/>
              </w:rPr>
            </w:pPr>
            <w:r>
              <w:rPr>
                <w:rFonts w:ascii="宋体" w:hAnsi="宋体" w:cs="宋体" w:eastAsia="宋体" w:hint="default"/>
                <w:sz w:val="21"/>
                <w:szCs w:val="21"/>
              </w:rPr>
              <w:t>维护营</w:t>
            </w:r>
            <w:r>
              <w:rPr>
                <w:rFonts w:ascii="宋体" w:hAnsi="宋体" w:cs="宋体" w:eastAsia="宋体" w:hint="default"/>
                <w:spacing w:val="-102"/>
                <w:sz w:val="21"/>
                <w:szCs w:val="21"/>
              </w:rPr>
              <w:t> </w:t>
            </w:r>
            <w:r>
              <w:rPr>
                <w:rFonts w:ascii="宋体" w:hAnsi="宋体" w:cs="宋体" w:eastAsia="宋体" w:hint="default"/>
                <w:sz w:val="21"/>
                <w:szCs w:val="21"/>
              </w:rPr>
              <w:t>运；电视</w:t>
            </w:r>
            <w:r>
              <w:rPr>
                <w:rFonts w:ascii="宋体" w:hAnsi="宋体" w:cs="宋体" w:eastAsia="宋体" w:hint="default"/>
                <w:spacing w:val="-101"/>
                <w:sz w:val="21"/>
                <w:szCs w:val="21"/>
              </w:rPr>
              <w:t> </w:t>
            </w:r>
            <w:r>
              <w:rPr>
                <w:rFonts w:ascii="宋体" w:hAnsi="宋体" w:cs="宋体" w:eastAsia="宋体" w:hint="default"/>
                <w:sz w:val="21"/>
                <w:szCs w:val="21"/>
              </w:rPr>
              <w:t>节目、信</w:t>
            </w:r>
            <w:r>
              <w:rPr>
                <w:rFonts w:ascii="宋体" w:hAnsi="宋体" w:cs="宋体" w:eastAsia="宋体" w:hint="default"/>
                <w:spacing w:val="-101"/>
                <w:sz w:val="21"/>
                <w:szCs w:val="21"/>
              </w:rPr>
              <w:t> </w:t>
            </w:r>
            <w:r>
              <w:rPr>
                <w:rFonts w:ascii="宋体" w:hAnsi="宋体" w:cs="宋体" w:eastAsia="宋体" w:hint="default"/>
                <w:sz w:val="21"/>
                <w:szCs w:val="21"/>
              </w:rPr>
              <w:t>息、网络</w:t>
            </w: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35"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9396</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1" w:lineRule="exact" w:before="175"/>
              <w:ind w:right="17"/>
              <w:jc w:val="right"/>
              <w:rPr>
                <w:rFonts w:ascii="Times New Roman" w:hAnsi="Times New Roman" w:cs="Times New Roman" w:eastAsia="Times New Roman" w:hint="default"/>
                <w:sz w:val="21"/>
                <w:szCs w:val="21"/>
              </w:rPr>
            </w:pPr>
            <w:r>
              <w:rPr>
                <w:rFonts w:ascii="Times New Roman"/>
                <w:sz w:val="21"/>
              </w:rPr>
              <w:t>130,471,393.</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04</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1" w:lineRule="exact" w:before="175"/>
              <w:ind w:right="17"/>
              <w:jc w:val="right"/>
              <w:rPr>
                <w:rFonts w:ascii="Times New Roman" w:hAnsi="Times New Roman" w:cs="Times New Roman" w:eastAsia="Times New Roman" w:hint="default"/>
                <w:sz w:val="21"/>
                <w:szCs w:val="21"/>
              </w:rPr>
            </w:pPr>
            <w:r>
              <w:rPr>
                <w:rFonts w:ascii="Times New Roman"/>
                <w:sz w:val="21"/>
              </w:rPr>
              <w:t>41,839,853.6</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6</w:t>
            </w:r>
          </w:p>
        </w:tc>
        <w:tc>
          <w:tcPr>
            <w:tcW w:w="12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1" w:lineRule="exact" w:before="175"/>
              <w:ind w:right="17"/>
              <w:jc w:val="right"/>
              <w:rPr>
                <w:rFonts w:ascii="Times New Roman" w:hAnsi="Times New Roman" w:cs="Times New Roman" w:eastAsia="Times New Roman" w:hint="default"/>
                <w:sz w:val="21"/>
                <w:szCs w:val="21"/>
              </w:rPr>
            </w:pPr>
            <w:r>
              <w:rPr>
                <w:rFonts w:ascii="Times New Roman"/>
                <w:sz w:val="21"/>
              </w:rPr>
              <w:t>51,496,048.1</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3</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52" w:right="0"/>
              <w:jc w:val="left"/>
              <w:rPr>
                <w:rFonts w:ascii="Times New Roman" w:hAnsi="Times New Roman" w:cs="Times New Roman" w:eastAsia="Times New Roman" w:hint="default"/>
                <w:sz w:val="21"/>
                <w:szCs w:val="21"/>
              </w:rPr>
            </w:pPr>
            <w:r>
              <w:rPr>
                <w:rFonts w:ascii="Times New Roman"/>
                <w:sz w:val="21"/>
              </w:rPr>
              <w:t>-4,426,847.50</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1" w:lineRule="exact" w:before="175"/>
              <w:ind w:right="17"/>
              <w:jc w:val="right"/>
              <w:rPr>
                <w:rFonts w:ascii="Times New Roman" w:hAnsi="Times New Roman" w:cs="Times New Roman" w:eastAsia="Times New Roman" w:hint="default"/>
                <w:sz w:val="21"/>
                <w:szCs w:val="21"/>
              </w:rPr>
            </w:pPr>
            <w:r>
              <w:rPr>
                <w:rFonts w:ascii="Times New Roman"/>
                <w:spacing w:val="-1"/>
                <w:sz w:val="21"/>
              </w:rPr>
              <w:t>-4,302,146.</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50</w:t>
            </w:r>
          </w:p>
        </w:tc>
      </w:tr>
      <w:tr>
        <w:trPr>
          <w:trHeight w:val="274" w:hRule="exact"/>
        </w:trPr>
        <w:tc>
          <w:tcPr>
            <w:tcW w:w="1066" w:type="dxa"/>
            <w:tcBorders>
              <w:top w:val="nil" w:sz="6" w:space="0" w:color="auto"/>
              <w:left w:val="single" w:sz="4" w:space="0" w:color="000000"/>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single" w:sz="4" w:space="0" w:color="000000"/>
            </w:tcBorders>
          </w:tcPr>
          <w:p>
            <w:pPr/>
          </w:p>
        </w:tc>
        <w:tc>
          <w:tcPr>
            <w:tcW w:w="902"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多媒体传</w:t>
            </w:r>
          </w:p>
        </w:tc>
        <w:tc>
          <w:tcPr>
            <w:tcW w:w="902"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258"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
        </w:tc>
      </w:tr>
      <w:tr>
        <w:trPr>
          <w:trHeight w:val="285" w:hRule="exact"/>
        </w:trPr>
        <w:tc>
          <w:tcPr>
            <w:tcW w:w="1066" w:type="dxa"/>
            <w:tcBorders>
              <w:top w:val="nil" w:sz="6" w:space="0" w:color="auto"/>
              <w:left w:val="single" w:sz="4" w:space="0" w:color="000000"/>
              <w:bottom w:val="single" w:sz="4" w:space="0" w:color="000000"/>
              <w:right w:val="single" w:sz="4" w:space="0" w:color="000000"/>
            </w:tcBorders>
          </w:tcPr>
          <w:p>
            <w:pPr/>
          </w:p>
        </w:tc>
        <w:tc>
          <w:tcPr>
            <w:tcW w:w="931"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
        </w:tc>
        <w:tc>
          <w:tcPr>
            <w:tcW w:w="898"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输等</w:t>
            </w:r>
          </w:p>
        </w:tc>
        <w:tc>
          <w:tcPr>
            <w:tcW w:w="90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258"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
        </w:tc>
      </w:tr>
    </w:tbl>
    <w:p>
      <w:pPr>
        <w:pStyle w:val="BodyText"/>
        <w:spacing w:line="241" w:lineRule="exact"/>
        <w:ind w:left="712" w:right="0"/>
        <w:jc w:val="left"/>
      </w:pPr>
      <w:r>
        <w:rPr/>
        <w:pict>
          <v:group style="position:absolute;margin-left:216.479996pt;margin-top:-123.080002pt;width:44.65pt;height:55.2pt;mso-position-horizontal-relative:page;mso-position-vertical-relative:paragraph;z-index:-1000024" coordorigin="4330,-2462" coordsize="893,1104">
            <v:shape style="position:absolute;left:4330;top:-2462;width:893;height:1104" coordorigin="4330,-2462" coordsize="893,1104" path="m4330,-1358l5222,-1358,5222,-2462,4330,-2462,4330,-1358xe" filled="true" fillcolor="#ffffff" stroked="false">
              <v:path arrowok="t"/>
              <v:fill type="solid"/>
            </v:shape>
            <w10:wrap type="none"/>
          </v:group>
        </w:pict>
      </w:r>
      <w:r>
        <w:rPr/>
        <w:t>报告期内取得和处置子公司的情况</w:t>
      </w:r>
    </w:p>
    <w:p>
      <w:pPr>
        <w:pStyle w:val="BodyText"/>
        <w:spacing w:line="240" w:lineRule="auto" w:before="133"/>
        <w:ind w:left="712" w:right="0"/>
        <w:jc w:val="left"/>
      </w:pPr>
      <w:r>
        <w:rPr/>
        <w:t>√ 适用 □</w:t>
      </w:r>
      <w:r>
        <w:rPr>
          <w:spacing w:val="3"/>
        </w:rPr>
        <w:t> </w:t>
      </w:r>
      <w:r>
        <w:rPr/>
        <w:t>不适用</w:t>
      </w:r>
    </w:p>
    <w:p>
      <w:pPr>
        <w:spacing w:line="240" w:lineRule="auto" w:before="10"/>
        <w:rPr>
          <w:rFonts w:ascii="宋体" w:hAnsi="宋体" w:cs="宋体" w:eastAsia="宋体" w:hint="default"/>
          <w:sz w:val="12"/>
          <w:szCs w:val="12"/>
        </w:rPr>
      </w:pPr>
    </w:p>
    <w:tbl>
      <w:tblPr>
        <w:tblW w:w="0" w:type="auto"/>
        <w:jc w:val="left"/>
        <w:tblInd w:w="708" w:type="dxa"/>
        <w:tblLayout w:type="fixed"/>
        <w:tblCellMar>
          <w:top w:w="0" w:type="dxa"/>
          <w:left w:w="0" w:type="dxa"/>
          <w:bottom w:w="0" w:type="dxa"/>
          <w:right w:w="0" w:type="dxa"/>
        </w:tblCellMar>
        <w:tblLook w:val="01E0"/>
      </w:tblPr>
      <w:tblGrid>
        <w:gridCol w:w="2400"/>
        <w:gridCol w:w="2400"/>
        <w:gridCol w:w="2400"/>
        <w:gridCol w:w="2400"/>
      </w:tblGrid>
      <w:tr>
        <w:trPr>
          <w:trHeight w:val="720"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7"/>
              <w:ind w:left="772" w:right="0"/>
              <w:jc w:val="left"/>
              <w:rPr>
                <w:rFonts w:ascii="宋体" w:hAnsi="宋体" w:cs="宋体" w:eastAsia="宋体" w:hint="default"/>
                <w:sz w:val="21"/>
                <w:szCs w:val="21"/>
              </w:rPr>
            </w:pPr>
            <w:r>
              <w:rPr>
                <w:rFonts w:ascii="宋体" w:hAnsi="宋体" w:cs="宋体" w:eastAsia="宋体" w:hint="default"/>
                <w:sz w:val="21"/>
                <w:szCs w:val="21"/>
              </w:rPr>
              <w:t>公司名称</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left="878" w:right="36" w:hanging="840"/>
              <w:jc w:val="left"/>
              <w:rPr>
                <w:rFonts w:ascii="宋体" w:hAnsi="宋体" w:cs="宋体" w:eastAsia="宋体" w:hint="default"/>
                <w:sz w:val="21"/>
                <w:szCs w:val="21"/>
              </w:rPr>
            </w:pPr>
            <w:r>
              <w:rPr>
                <w:rFonts w:ascii="宋体" w:hAnsi="宋体" w:cs="宋体" w:eastAsia="宋体" w:hint="default"/>
                <w:spacing w:val="-1"/>
                <w:sz w:val="21"/>
                <w:szCs w:val="21"/>
              </w:rPr>
              <w:t>报告期内取得和处置子公</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司目的</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left="878" w:right="36" w:hanging="840"/>
              <w:jc w:val="left"/>
              <w:rPr>
                <w:rFonts w:ascii="宋体" w:hAnsi="宋体" w:cs="宋体" w:eastAsia="宋体" w:hint="default"/>
                <w:sz w:val="21"/>
                <w:szCs w:val="21"/>
              </w:rPr>
            </w:pPr>
            <w:r>
              <w:rPr>
                <w:rFonts w:ascii="宋体" w:hAnsi="宋体" w:cs="宋体" w:eastAsia="宋体" w:hint="default"/>
                <w:spacing w:val="-1"/>
                <w:sz w:val="21"/>
                <w:szCs w:val="21"/>
              </w:rPr>
              <w:t>报告期内取得和处置子公</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司方式</w:t>
            </w:r>
          </w:p>
        </w:tc>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7"/>
              <w:ind w:right="0"/>
              <w:jc w:val="center"/>
              <w:rPr>
                <w:rFonts w:ascii="宋体" w:hAnsi="宋体" w:cs="宋体" w:eastAsia="宋体" w:hint="default"/>
                <w:sz w:val="21"/>
                <w:szCs w:val="21"/>
              </w:rPr>
            </w:pPr>
            <w:r>
              <w:rPr>
                <w:rFonts w:ascii="宋体" w:hAnsi="宋体" w:cs="宋体" w:eastAsia="宋体" w:hint="default"/>
                <w:sz w:val="21"/>
                <w:szCs w:val="21"/>
              </w:rPr>
              <w:t>对整体生产和业绩的影响</w:t>
            </w:r>
          </w:p>
        </w:tc>
      </w:tr>
      <w:tr>
        <w:trPr>
          <w:trHeight w:val="344" w:hRule="exact"/>
        </w:trPr>
        <w:tc>
          <w:tcPr>
            <w:tcW w:w="2400" w:type="dxa"/>
            <w:tcBorders>
              <w:top w:val="single" w:sz="4" w:space="0" w:color="000000"/>
              <w:left w:val="single" w:sz="4" w:space="0" w:color="000000"/>
              <w:bottom w:val="nil" w:sz="6" w:space="0" w:color="auto"/>
              <w:right w:val="single" w:sz="4" w:space="0" w:color="000000"/>
            </w:tcBorders>
          </w:tcPr>
          <w:p>
            <w:pPr/>
          </w:p>
        </w:tc>
        <w:tc>
          <w:tcPr>
            <w:tcW w:w="2400"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为推进公司在深莞惠区域</w:t>
            </w:r>
          </w:p>
        </w:tc>
        <w:tc>
          <w:tcPr>
            <w:tcW w:w="2400" w:type="dxa"/>
            <w:tcBorders>
              <w:top w:val="single" w:sz="4" w:space="0" w:color="000000"/>
              <w:left w:val="single" w:sz="4" w:space="0" w:color="000000"/>
              <w:bottom w:val="nil" w:sz="6" w:space="0" w:color="auto"/>
              <w:right w:val="single" w:sz="4" w:space="0" w:color="000000"/>
            </w:tcBorders>
          </w:tcPr>
          <w:p>
            <w:pPr/>
          </w:p>
        </w:tc>
        <w:tc>
          <w:tcPr>
            <w:tcW w:w="2400" w:type="dxa"/>
            <w:tcBorders>
              <w:top w:val="single" w:sz="4" w:space="0" w:color="000000"/>
              <w:left w:val="single" w:sz="4" w:space="0" w:color="000000"/>
              <w:bottom w:val="nil" w:sz="6" w:space="0" w:color="auto"/>
              <w:right w:val="single" w:sz="4" w:space="0" w:color="000000"/>
            </w:tcBorders>
          </w:tcPr>
          <w:p>
            <w:pPr/>
          </w:p>
        </w:tc>
      </w:tr>
      <w:tr>
        <w:trPr>
          <w:trHeight w:val="408" w:hRule="exact"/>
        </w:trPr>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宋体" w:hAnsi="宋体" w:cs="宋体" w:eastAsia="宋体" w:hint="default"/>
                <w:sz w:val="21"/>
                <w:szCs w:val="21"/>
              </w:rPr>
              <w:t>内的房地产项目战略布</w:t>
            </w:r>
          </w:p>
        </w:tc>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
        </w:tc>
      </w:tr>
      <w:tr>
        <w:trPr>
          <w:trHeight w:val="408" w:hRule="exact"/>
        </w:trPr>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宋体" w:hAnsi="宋体" w:cs="宋体" w:eastAsia="宋体" w:hint="default"/>
                <w:sz w:val="21"/>
                <w:szCs w:val="21"/>
              </w:rPr>
              <w:t>局，同时为解决公司与第</w:t>
            </w:r>
          </w:p>
        </w:tc>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
        </w:tc>
      </w:tr>
      <w:tr>
        <w:trPr>
          <w:trHeight w:val="816" w:hRule="exact"/>
        </w:trPr>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68" w:lineRule="exact"/>
              <w:ind w:left="24" w:right="50"/>
              <w:jc w:val="left"/>
              <w:rPr>
                <w:rFonts w:ascii="宋体" w:hAnsi="宋体" w:cs="宋体" w:eastAsia="宋体" w:hint="default"/>
                <w:sz w:val="21"/>
                <w:szCs w:val="21"/>
              </w:rPr>
            </w:pPr>
            <w:r>
              <w:rPr>
                <w:rFonts w:ascii="宋体" w:hAnsi="宋体" w:cs="宋体" w:eastAsia="宋体" w:hint="default"/>
                <w:spacing w:val="-1"/>
                <w:sz w:val="21"/>
                <w:szCs w:val="21"/>
              </w:rPr>
              <w:t>惠州市宝安房地产开发有</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限公司</w:t>
            </w: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355" w:lineRule="auto" w:before="34"/>
              <w:ind w:left="24" w:right="50"/>
              <w:jc w:val="left"/>
              <w:rPr>
                <w:rFonts w:ascii="宋体" w:hAnsi="宋体" w:cs="宋体" w:eastAsia="宋体" w:hint="default"/>
                <w:sz w:val="21"/>
                <w:szCs w:val="21"/>
              </w:rPr>
            </w:pPr>
            <w:r>
              <w:rPr>
                <w:rFonts w:ascii="宋体" w:hAnsi="宋体" w:cs="宋体" w:eastAsia="宋体" w:hint="default"/>
                <w:spacing w:val="-1"/>
                <w:sz w:val="21"/>
                <w:szCs w:val="21"/>
              </w:rPr>
              <w:t>一大股东中国宝安集团控</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股有限公司之控股股东</w:t>
            </w: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收购股权</w:t>
            </w: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6"/>
              <w:jc w:val="center"/>
              <w:rPr>
                <w:rFonts w:ascii="宋体" w:hAnsi="宋体" w:cs="宋体" w:eastAsia="宋体" w:hint="default"/>
                <w:sz w:val="21"/>
                <w:szCs w:val="21"/>
              </w:rPr>
            </w:pPr>
            <w:r>
              <w:rPr>
                <w:rFonts w:ascii="宋体" w:hAnsi="宋体" w:cs="宋体" w:eastAsia="宋体" w:hint="default"/>
                <w:sz w:val="21"/>
                <w:szCs w:val="21"/>
              </w:rPr>
              <w:t>公司获得项目及土地储备</w:t>
            </w:r>
          </w:p>
        </w:tc>
      </w:tr>
      <w:tr>
        <w:trPr>
          <w:trHeight w:val="414" w:hRule="exact"/>
        </w:trPr>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中国宝安集团股份有</w:t>
            </w:r>
          </w:p>
        </w:tc>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
        </w:tc>
      </w:tr>
      <w:tr>
        <w:trPr>
          <w:trHeight w:val="402" w:hRule="exact"/>
        </w:trPr>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限公司在惠州地区存在的</w:t>
            </w:r>
          </w:p>
        </w:tc>
        <w:tc>
          <w:tcPr>
            <w:tcW w:w="2400" w:type="dxa"/>
            <w:tcBorders>
              <w:top w:val="nil" w:sz="6" w:space="0" w:color="auto"/>
              <w:left w:val="single" w:sz="4" w:space="0" w:color="000000"/>
              <w:bottom w:val="nil" w:sz="6" w:space="0" w:color="auto"/>
              <w:right w:val="single" w:sz="4" w:space="0" w:color="000000"/>
            </w:tcBorders>
          </w:tcPr>
          <w:p>
            <w:pPr/>
          </w:p>
        </w:tc>
        <w:tc>
          <w:tcPr>
            <w:tcW w:w="2400" w:type="dxa"/>
            <w:tcBorders>
              <w:top w:val="nil" w:sz="6" w:space="0" w:color="auto"/>
              <w:left w:val="single" w:sz="4" w:space="0" w:color="000000"/>
              <w:bottom w:val="nil" w:sz="6" w:space="0" w:color="auto"/>
              <w:right w:val="single" w:sz="4" w:space="0" w:color="000000"/>
            </w:tcBorders>
          </w:tcPr>
          <w:p>
            <w:pPr/>
          </w:p>
        </w:tc>
      </w:tr>
      <w:tr>
        <w:trPr>
          <w:trHeight w:val="486" w:hRule="exact"/>
        </w:trPr>
        <w:tc>
          <w:tcPr>
            <w:tcW w:w="2400" w:type="dxa"/>
            <w:tcBorders>
              <w:top w:val="nil" w:sz="6" w:space="0" w:color="auto"/>
              <w:left w:val="single" w:sz="4" w:space="0" w:color="000000"/>
              <w:bottom w:val="single" w:sz="4" w:space="0" w:color="000000"/>
              <w:right w:val="single" w:sz="4" w:space="0" w:color="000000"/>
            </w:tcBorders>
          </w:tcPr>
          <w:p>
            <w:pPr/>
          </w:p>
        </w:tc>
        <w:tc>
          <w:tcPr>
            <w:tcW w:w="24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宋体" w:hAnsi="宋体" w:cs="宋体" w:eastAsia="宋体" w:hint="default"/>
                <w:sz w:val="21"/>
                <w:szCs w:val="21"/>
              </w:rPr>
              <w:t>同城同业竞争</w:t>
            </w:r>
          </w:p>
        </w:tc>
        <w:tc>
          <w:tcPr>
            <w:tcW w:w="2400" w:type="dxa"/>
            <w:tcBorders>
              <w:top w:val="nil" w:sz="6" w:space="0" w:color="auto"/>
              <w:left w:val="single" w:sz="4" w:space="0" w:color="000000"/>
              <w:bottom w:val="single" w:sz="4" w:space="0" w:color="000000"/>
              <w:right w:val="single" w:sz="4" w:space="0" w:color="000000"/>
            </w:tcBorders>
          </w:tcPr>
          <w:p>
            <w:pPr/>
          </w:p>
        </w:tc>
        <w:tc>
          <w:tcPr>
            <w:tcW w:w="2400" w:type="dxa"/>
            <w:tcBorders>
              <w:top w:val="nil" w:sz="6" w:space="0" w:color="auto"/>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17"/>
          <w:szCs w:val="17"/>
        </w:rPr>
      </w:pPr>
    </w:p>
    <w:p>
      <w:pPr>
        <w:pStyle w:val="Heading6"/>
        <w:spacing w:line="335" w:lineRule="exact"/>
        <w:ind w:left="712" w:right="0"/>
        <w:jc w:val="left"/>
        <w:rPr>
          <w:b w:val="0"/>
          <w:bCs w:val="0"/>
        </w:rPr>
      </w:pPr>
      <w:r>
        <w:rPr>
          <w:rFonts w:ascii="Times New Roman" w:hAnsi="Times New Roman" w:cs="Times New Roman" w:eastAsia="Times New Roman" w:hint="default"/>
        </w:rPr>
        <w:t>3</w:t>
      </w:r>
      <w:r>
        <w:rPr/>
        <w:t>、非募集资金投资的重大项目情况</w:t>
      </w:r>
      <w:r>
        <w:rPr>
          <w:b w:val="0"/>
          <w:bCs w:val="0"/>
        </w:rPr>
      </w:r>
    </w:p>
    <w:p>
      <w:pPr>
        <w:spacing w:line="240" w:lineRule="auto" w:before="15"/>
        <w:rPr>
          <w:rFonts w:ascii="Microsoft JhengHei" w:hAnsi="Microsoft JhengHei" w:cs="Microsoft JhengHei" w:eastAsia="Microsoft JhengHei" w:hint="default"/>
          <w:b/>
          <w:bCs/>
          <w:sz w:val="13"/>
          <w:szCs w:val="13"/>
        </w:rPr>
      </w:pPr>
    </w:p>
    <w:p>
      <w:pPr>
        <w:pStyle w:val="BodyText"/>
        <w:spacing w:line="240" w:lineRule="auto" w:before="36"/>
        <w:ind w:left="0" w:right="726"/>
        <w:jc w:val="right"/>
      </w:pPr>
      <w:r>
        <w:rPr/>
        <w:t>单位：万元</w:t>
      </w:r>
    </w:p>
    <w:p>
      <w:pPr>
        <w:spacing w:line="240" w:lineRule="auto" w:before="7"/>
        <w:rPr>
          <w:rFonts w:ascii="宋体" w:hAnsi="宋体" w:cs="宋体" w:eastAsia="宋体" w:hint="default"/>
          <w:sz w:val="2"/>
          <w:szCs w:val="2"/>
        </w:rPr>
      </w:pPr>
    </w:p>
    <w:tbl>
      <w:tblPr>
        <w:tblW w:w="0" w:type="auto"/>
        <w:jc w:val="left"/>
        <w:tblInd w:w="708" w:type="dxa"/>
        <w:tblLayout w:type="fixed"/>
        <w:tblCellMar>
          <w:top w:w="0" w:type="dxa"/>
          <w:left w:w="0" w:type="dxa"/>
          <w:bottom w:w="0" w:type="dxa"/>
          <w:right w:w="0" w:type="dxa"/>
        </w:tblCellMar>
        <w:tblLook w:val="01E0"/>
      </w:tblPr>
      <w:tblGrid>
        <w:gridCol w:w="1603"/>
        <w:gridCol w:w="1598"/>
        <w:gridCol w:w="1598"/>
        <w:gridCol w:w="1603"/>
        <w:gridCol w:w="1598"/>
        <w:gridCol w:w="1598"/>
      </w:tblGrid>
      <w:tr>
        <w:trPr>
          <w:trHeight w:val="840" w:hRule="exact"/>
        </w:trPr>
        <w:tc>
          <w:tcPr>
            <w:tcW w:w="1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21"/>
                <w:szCs w:val="21"/>
              </w:rPr>
            </w:pPr>
            <w:r>
              <w:rPr>
                <w:rFonts w:ascii="宋体" w:hAnsi="宋体" w:cs="宋体" w:eastAsia="宋体" w:hint="default"/>
                <w:sz w:val="21"/>
                <w:szCs w:val="21"/>
              </w:rPr>
              <w:t>投资总额</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55"/>
              <w:jc w:val="right"/>
              <w:rPr>
                <w:rFonts w:ascii="宋体" w:hAnsi="宋体" w:cs="宋体" w:eastAsia="宋体" w:hint="default"/>
                <w:sz w:val="21"/>
                <w:szCs w:val="21"/>
              </w:rPr>
            </w:pPr>
            <w:r>
              <w:rPr>
                <w:rFonts w:ascii="宋体" w:hAnsi="宋体" w:cs="宋体" w:eastAsia="宋体" w:hint="default"/>
                <w:spacing w:val="-1"/>
                <w:sz w:val="21"/>
                <w:szCs w:val="21"/>
              </w:rPr>
              <w:t>本年度投入金额</w:t>
            </w:r>
          </w:p>
        </w:tc>
        <w:tc>
          <w:tcPr>
            <w:tcW w:w="1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5"/>
              <w:ind w:left="268" w:right="55" w:hanging="207"/>
              <w:jc w:val="left"/>
              <w:rPr>
                <w:rFonts w:ascii="宋体" w:hAnsi="宋体" w:cs="宋体" w:eastAsia="宋体" w:hint="default"/>
                <w:sz w:val="21"/>
                <w:szCs w:val="21"/>
              </w:rPr>
            </w:pPr>
            <w:r>
              <w:rPr>
                <w:rFonts w:ascii="宋体" w:hAnsi="宋体" w:cs="宋体" w:eastAsia="宋体" w:hint="default"/>
                <w:sz w:val="21"/>
                <w:szCs w:val="21"/>
              </w:rPr>
              <w:t>截至期末累计实</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际投入金额</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项目进度</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63" w:right="0"/>
              <w:jc w:val="left"/>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705" w:hRule="exact"/>
        </w:trPr>
        <w:tc>
          <w:tcPr>
            <w:tcW w:w="160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鸿基·紫韵</w:t>
            </w:r>
          </w:p>
        </w:tc>
        <w:tc>
          <w:tcPr>
            <w:tcW w:w="15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140,000</w:t>
            </w:r>
          </w:p>
        </w:tc>
        <w:tc>
          <w:tcPr>
            <w:tcW w:w="159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12,503.51</w:t>
            </w:r>
          </w:p>
        </w:tc>
        <w:tc>
          <w:tcPr>
            <w:tcW w:w="160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121,979.68</w:t>
            </w:r>
          </w:p>
        </w:tc>
        <w:tc>
          <w:tcPr>
            <w:tcW w:w="1598" w:type="dxa"/>
            <w:tcBorders>
              <w:top w:val="single" w:sz="4" w:space="0" w:color="000000"/>
              <w:left w:val="single" w:sz="4" w:space="0" w:color="000000"/>
              <w:bottom w:val="nil" w:sz="6" w:space="0" w:color="auto"/>
              <w:right w:val="single" w:sz="4" w:space="0" w:color="000000"/>
            </w:tcBorders>
          </w:tcPr>
          <w:p>
            <w:pPr/>
          </w:p>
        </w:tc>
        <w:tc>
          <w:tcPr>
            <w:tcW w:w="1598" w:type="dxa"/>
            <w:tcBorders>
              <w:top w:val="single" w:sz="4" w:space="0" w:color="000000"/>
              <w:left w:val="single" w:sz="4" w:space="0" w:color="000000"/>
              <w:bottom w:val="nil" w:sz="6" w:space="0" w:color="auto"/>
              <w:right w:val="single" w:sz="4" w:space="0" w:color="000000"/>
            </w:tcBorders>
          </w:tcPr>
          <w:p>
            <w:pPr>
              <w:pStyle w:val="TableParagraph"/>
              <w:spacing w:line="274" w:lineRule="exact" w:before="105"/>
              <w:ind w:left="23" w:right="0"/>
              <w:jc w:val="left"/>
              <w:rPr>
                <w:rFonts w:ascii="宋体" w:hAnsi="宋体" w:cs="宋体" w:eastAsia="宋体" w:hint="default"/>
                <w:sz w:val="21"/>
                <w:szCs w:val="21"/>
              </w:rPr>
            </w:pPr>
            <w:r>
              <w:rPr>
                <w:rFonts w:ascii="宋体" w:hAnsi="宋体" w:cs="宋体" w:eastAsia="宋体" w:hint="default"/>
                <w:sz w:val="21"/>
                <w:szCs w:val="21"/>
              </w:rPr>
              <w:t>本年结转净利润</w:t>
            </w:r>
          </w:p>
          <w:p>
            <w:pPr>
              <w:pStyle w:val="TableParagraph"/>
              <w:spacing w:line="29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6585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w:t>
            </w:r>
          </w:p>
        </w:tc>
      </w:tr>
      <w:tr>
        <w:trPr>
          <w:trHeight w:val="135" w:hRule="exact"/>
        </w:trPr>
        <w:tc>
          <w:tcPr>
            <w:tcW w:w="1603" w:type="dxa"/>
            <w:tcBorders>
              <w:top w:val="nil" w:sz="6" w:space="0" w:color="auto"/>
              <w:left w:val="single" w:sz="4" w:space="0" w:color="000000"/>
              <w:bottom w:val="single" w:sz="4" w:space="0" w:color="000000"/>
              <w:right w:val="single" w:sz="4" w:space="0" w:color="000000"/>
            </w:tcBorders>
          </w:tcPr>
          <w:p>
            <w:pPr/>
          </w:p>
        </w:tc>
        <w:tc>
          <w:tcPr>
            <w:tcW w:w="1598" w:type="dxa"/>
            <w:tcBorders>
              <w:top w:val="nil" w:sz="6" w:space="0" w:color="auto"/>
              <w:left w:val="single" w:sz="4" w:space="0" w:color="000000"/>
              <w:bottom w:val="single" w:sz="4" w:space="0" w:color="000000"/>
              <w:right w:val="single" w:sz="4" w:space="0" w:color="000000"/>
            </w:tcBorders>
          </w:tcPr>
          <w:p>
            <w:pPr/>
          </w:p>
        </w:tc>
        <w:tc>
          <w:tcPr>
            <w:tcW w:w="1598" w:type="dxa"/>
            <w:tcBorders>
              <w:top w:val="nil" w:sz="6" w:space="0" w:color="auto"/>
              <w:left w:val="single" w:sz="4" w:space="0" w:color="000000"/>
              <w:bottom w:val="single" w:sz="4" w:space="0" w:color="000000"/>
              <w:right w:val="single" w:sz="4" w:space="0" w:color="000000"/>
            </w:tcBorders>
          </w:tcPr>
          <w:p>
            <w:pPr/>
          </w:p>
        </w:tc>
        <w:tc>
          <w:tcPr>
            <w:tcW w:w="1603" w:type="dxa"/>
            <w:tcBorders>
              <w:top w:val="nil" w:sz="6" w:space="0" w:color="auto"/>
              <w:left w:val="single" w:sz="4" w:space="0" w:color="000000"/>
              <w:bottom w:val="single" w:sz="4" w:space="0" w:color="000000"/>
              <w:right w:val="single" w:sz="4" w:space="0" w:color="000000"/>
            </w:tcBorders>
          </w:tcPr>
          <w:p>
            <w:pPr/>
          </w:p>
        </w:tc>
        <w:tc>
          <w:tcPr>
            <w:tcW w:w="1598" w:type="dxa"/>
            <w:vMerge w:val="restart"/>
            <w:tcBorders>
              <w:top w:val="nil" w:sz="6" w:space="0" w:color="auto"/>
              <w:left w:val="single" w:sz="4" w:space="0" w:color="000000"/>
              <w:right w:val="single" w:sz="4" w:space="0" w:color="000000"/>
            </w:tcBorders>
          </w:tcPr>
          <w:p>
            <w:pPr>
              <w:pStyle w:val="TableParagraph"/>
              <w:spacing w:line="246" w:lineRule="exact"/>
              <w:ind w:left="23" w:right="0"/>
              <w:jc w:val="left"/>
              <w:rPr>
                <w:rFonts w:ascii="宋体" w:hAnsi="宋体" w:cs="宋体" w:eastAsia="宋体" w:hint="default"/>
                <w:sz w:val="21"/>
                <w:szCs w:val="21"/>
              </w:rPr>
            </w:pPr>
            <w:r>
              <w:rPr>
                <w:rFonts w:ascii="宋体" w:hAnsi="宋体" w:cs="宋体" w:eastAsia="宋体" w:hint="default"/>
                <w:spacing w:val="9"/>
                <w:sz w:val="21"/>
                <w:szCs w:val="21"/>
              </w:rPr>
              <w:t>参见本节二、主</w:t>
            </w:r>
          </w:p>
        </w:tc>
        <w:tc>
          <w:tcPr>
            <w:tcW w:w="1598" w:type="dxa"/>
            <w:tcBorders>
              <w:top w:val="nil" w:sz="6" w:space="0" w:color="auto"/>
              <w:left w:val="single" w:sz="4" w:space="0" w:color="000000"/>
              <w:bottom w:val="single" w:sz="4" w:space="0" w:color="000000"/>
              <w:right w:val="single" w:sz="4" w:space="0" w:color="000000"/>
            </w:tcBorders>
          </w:tcPr>
          <w:p>
            <w:pPr/>
          </w:p>
        </w:tc>
      </w:tr>
      <w:tr>
        <w:trPr>
          <w:trHeight w:val="143" w:hRule="exact"/>
        </w:trPr>
        <w:tc>
          <w:tcPr>
            <w:tcW w:w="1603" w:type="dxa"/>
            <w:vMerge w:val="restart"/>
            <w:tcBorders>
              <w:top w:val="single" w:sz="4" w:space="0" w:color="000000"/>
              <w:left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宝安·山水江南</w:t>
            </w:r>
          </w:p>
        </w:tc>
        <w:tc>
          <w:tcPr>
            <w:tcW w:w="1598" w:type="dxa"/>
            <w:vMerge w:val="restart"/>
            <w:tcBorders>
              <w:top w:val="single" w:sz="4" w:space="0" w:color="000000"/>
              <w:left w:val="single" w:sz="4" w:space="0" w:color="000000"/>
              <w:right w:val="single" w:sz="4" w:space="0" w:color="000000"/>
            </w:tcBorders>
          </w:tcPr>
          <w:p>
            <w:pPr>
              <w:pStyle w:val="TableParagraph"/>
              <w:spacing w:line="240" w:lineRule="auto" w:before="77"/>
              <w:ind w:left="883" w:right="0"/>
              <w:jc w:val="left"/>
              <w:rPr>
                <w:rFonts w:ascii="Times New Roman" w:hAnsi="Times New Roman" w:cs="Times New Roman" w:eastAsia="Times New Roman" w:hint="default"/>
                <w:sz w:val="21"/>
                <w:szCs w:val="21"/>
              </w:rPr>
            </w:pPr>
            <w:r>
              <w:rPr>
                <w:rFonts w:ascii="Times New Roman"/>
                <w:sz w:val="21"/>
              </w:rPr>
              <w:t>143,203</w:t>
            </w:r>
          </w:p>
        </w:tc>
        <w:tc>
          <w:tcPr>
            <w:tcW w:w="1598" w:type="dxa"/>
            <w:vMerge w:val="restart"/>
            <w:tcBorders>
              <w:top w:val="single" w:sz="4" w:space="0" w:color="000000"/>
              <w:left w:val="single" w:sz="4" w:space="0" w:color="000000"/>
              <w:right w:val="single" w:sz="4" w:space="0" w:color="000000"/>
            </w:tcBorders>
          </w:tcPr>
          <w:p>
            <w:pPr>
              <w:pStyle w:val="TableParagraph"/>
              <w:spacing w:line="240" w:lineRule="auto" w:before="77"/>
              <w:ind w:left="724" w:right="0"/>
              <w:jc w:val="left"/>
              <w:rPr>
                <w:rFonts w:ascii="Times New Roman" w:hAnsi="Times New Roman" w:cs="Times New Roman" w:eastAsia="Times New Roman" w:hint="default"/>
                <w:sz w:val="21"/>
                <w:szCs w:val="21"/>
              </w:rPr>
            </w:pPr>
            <w:r>
              <w:rPr>
                <w:rFonts w:ascii="Times New Roman"/>
                <w:sz w:val="21"/>
              </w:rPr>
              <w:t>12,627.44</w:t>
            </w:r>
          </w:p>
        </w:tc>
        <w:tc>
          <w:tcPr>
            <w:tcW w:w="1603" w:type="dxa"/>
            <w:vMerge w:val="restart"/>
            <w:tcBorders>
              <w:top w:val="single" w:sz="4" w:space="0" w:color="000000"/>
              <w:left w:val="single" w:sz="4" w:space="0" w:color="000000"/>
              <w:right w:val="single" w:sz="4" w:space="0" w:color="000000"/>
            </w:tcBorders>
          </w:tcPr>
          <w:p>
            <w:pPr>
              <w:pStyle w:val="TableParagraph"/>
              <w:spacing w:line="240" w:lineRule="auto" w:before="77"/>
              <w:ind w:left="724" w:right="0"/>
              <w:jc w:val="left"/>
              <w:rPr>
                <w:rFonts w:ascii="Times New Roman" w:hAnsi="Times New Roman" w:cs="Times New Roman" w:eastAsia="Times New Roman" w:hint="default"/>
                <w:sz w:val="21"/>
                <w:szCs w:val="21"/>
              </w:rPr>
            </w:pPr>
            <w:r>
              <w:rPr>
                <w:rFonts w:ascii="Times New Roman"/>
                <w:sz w:val="21"/>
              </w:rPr>
              <w:t>40,558.48</w:t>
            </w:r>
          </w:p>
        </w:tc>
        <w:tc>
          <w:tcPr>
            <w:tcW w:w="1598" w:type="dxa"/>
            <w:vMerge/>
            <w:tcBorders>
              <w:left w:val="single" w:sz="4" w:space="0" w:color="000000"/>
              <w:bottom w:val="nil" w:sz="6" w:space="0" w:color="auto"/>
              <w:right w:val="single" w:sz="4" w:space="0" w:color="000000"/>
            </w:tcBorders>
          </w:tcPr>
          <w:p>
            <w:pPr/>
          </w:p>
        </w:tc>
        <w:tc>
          <w:tcPr>
            <w:tcW w:w="1598" w:type="dxa"/>
            <w:vMerge w:val="restart"/>
            <w:tcBorders>
              <w:top w:val="single" w:sz="4" w:space="0" w:color="000000"/>
              <w:left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尚未销售</w:t>
            </w:r>
          </w:p>
        </w:tc>
      </w:tr>
      <w:tr>
        <w:trPr>
          <w:trHeight w:val="280" w:hRule="exact"/>
        </w:trPr>
        <w:tc>
          <w:tcPr>
            <w:tcW w:w="1603" w:type="dxa"/>
            <w:vMerge/>
            <w:tcBorders>
              <w:left w:val="single" w:sz="4" w:space="0" w:color="000000"/>
              <w:bottom w:val="single" w:sz="4" w:space="0" w:color="000000"/>
              <w:right w:val="single" w:sz="4" w:space="0" w:color="000000"/>
            </w:tcBorders>
          </w:tcPr>
          <w:p>
            <w:pPr/>
          </w:p>
        </w:tc>
        <w:tc>
          <w:tcPr>
            <w:tcW w:w="1598" w:type="dxa"/>
            <w:vMerge/>
            <w:tcBorders>
              <w:left w:val="single" w:sz="4" w:space="0" w:color="000000"/>
              <w:bottom w:val="single" w:sz="4" w:space="0" w:color="000000"/>
              <w:right w:val="single" w:sz="4" w:space="0" w:color="000000"/>
            </w:tcBorders>
          </w:tcPr>
          <w:p>
            <w:pPr/>
          </w:p>
        </w:tc>
        <w:tc>
          <w:tcPr>
            <w:tcW w:w="1598" w:type="dxa"/>
            <w:vMerge/>
            <w:tcBorders>
              <w:left w:val="single" w:sz="4" w:space="0" w:color="000000"/>
              <w:bottom w:val="single" w:sz="4" w:space="0" w:color="000000"/>
              <w:right w:val="single" w:sz="4" w:space="0" w:color="000000"/>
            </w:tcBorders>
          </w:tcPr>
          <w:p>
            <w:pPr/>
          </w:p>
        </w:tc>
        <w:tc>
          <w:tcPr>
            <w:tcW w:w="1603" w:type="dxa"/>
            <w:vMerge/>
            <w:tcBorders>
              <w:left w:val="single" w:sz="4" w:space="0" w:color="000000"/>
              <w:bottom w:val="single" w:sz="4" w:space="0" w:color="000000"/>
              <w:right w:val="single" w:sz="4" w:space="0" w:color="000000"/>
            </w:tcBorders>
          </w:tcPr>
          <w:p>
            <w:pP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9" w:right="0"/>
              <w:jc w:val="center"/>
              <w:rPr>
                <w:rFonts w:ascii="宋体" w:hAnsi="宋体" w:cs="宋体" w:eastAsia="宋体" w:hint="default"/>
                <w:sz w:val="21"/>
                <w:szCs w:val="21"/>
              </w:rPr>
            </w:pPr>
            <w:r>
              <w:rPr>
                <w:rFonts w:ascii="宋体" w:hAnsi="宋体" w:cs="宋体" w:eastAsia="宋体" w:hint="default"/>
                <w:sz w:val="21"/>
                <w:szCs w:val="21"/>
              </w:rPr>
              <w:t>营业务概述</w:t>
            </w:r>
            <w:r>
              <w:rPr>
                <w:rFonts w:ascii="宋体" w:hAnsi="宋体" w:cs="宋体" w:eastAsia="宋体" w:hint="default"/>
                <w:spacing w:val="-44"/>
                <w:sz w:val="21"/>
                <w:szCs w:val="21"/>
              </w:rPr>
              <w:t> </w:t>
            </w:r>
            <w:r>
              <w:rPr>
                <w:rFonts w:ascii="Times New Roman" w:hAnsi="Times New Roman" w:cs="Times New Roman" w:eastAsia="Times New Roman" w:hint="default"/>
                <w:spacing w:val="-29"/>
                <w:sz w:val="21"/>
                <w:szCs w:val="21"/>
              </w:rPr>
              <w:t>1</w:t>
            </w:r>
            <w:r>
              <w:rPr>
                <w:rFonts w:ascii="宋体" w:hAnsi="宋体" w:cs="宋体" w:eastAsia="宋体" w:hint="default"/>
                <w:spacing w:val="-29"/>
                <w:sz w:val="21"/>
                <w:szCs w:val="21"/>
              </w:rPr>
              <w:t>、报</w:t>
            </w:r>
          </w:p>
        </w:tc>
        <w:tc>
          <w:tcPr>
            <w:tcW w:w="1598" w:type="dxa"/>
            <w:vMerge/>
            <w:tcBorders>
              <w:left w:val="single" w:sz="4" w:space="0" w:color="000000"/>
              <w:bottom w:val="single" w:sz="4" w:space="0" w:color="000000"/>
              <w:right w:val="single" w:sz="4" w:space="0" w:color="000000"/>
            </w:tcBorders>
          </w:tcPr>
          <w:p>
            <w:pPr/>
          </w:p>
        </w:tc>
      </w:tr>
      <w:tr>
        <w:trPr>
          <w:trHeight w:val="263" w:hRule="exact"/>
        </w:trPr>
        <w:tc>
          <w:tcPr>
            <w:tcW w:w="1603" w:type="dxa"/>
            <w:vMerge w:val="restart"/>
            <w:tcBorders>
              <w:top w:val="single" w:sz="4" w:space="0" w:color="000000"/>
              <w:left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宝安·江南城</w:t>
            </w:r>
          </w:p>
        </w:tc>
        <w:tc>
          <w:tcPr>
            <w:tcW w:w="1598" w:type="dxa"/>
            <w:vMerge w:val="restart"/>
            <w:tcBorders>
              <w:top w:val="single" w:sz="4" w:space="0" w:color="000000"/>
              <w:left w:val="single" w:sz="4" w:space="0" w:color="000000"/>
              <w:right w:val="single" w:sz="4" w:space="0" w:color="000000"/>
            </w:tcBorders>
          </w:tcPr>
          <w:p>
            <w:pPr>
              <w:pStyle w:val="TableParagraph"/>
              <w:spacing w:line="240" w:lineRule="auto" w:before="77"/>
              <w:ind w:left="988" w:right="0"/>
              <w:jc w:val="left"/>
              <w:rPr>
                <w:rFonts w:ascii="Times New Roman" w:hAnsi="Times New Roman" w:cs="Times New Roman" w:eastAsia="Times New Roman" w:hint="default"/>
                <w:sz w:val="21"/>
                <w:szCs w:val="21"/>
              </w:rPr>
            </w:pPr>
            <w:r>
              <w:rPr>
                <w:rFonts w:ascii="Times New Roman"/>
                <w:sz w:val="21"/>
              </w:rPr>
              <w:t>86,300</w:t>
            </w:r>
          </w:p>
        </w:tc>
        <w:tc>
          <w:tcPr>
            <w:tcW w:w="1598" w:type="dxa"/>
            <w:vMerge w:val="restart"/>
            <w:tcBorders>
              <w:top w:val="single" w:sz="4" w:space="0" w:color="000000"/>
              <w:left w:val="single" w:sz="4" w:space="0" w:color="000000"/>
              <w:right w:val="single" w:sz="4" w:space="0" w:color="000000"/>
            </w:tcBorders>
          </w:tcPr>
          <w:p>
            <w:pPr>
              <w:pStyle w:val="TableParagraph"/>
              <w:spacing w:line="240" w:lineRule="auto" w:before="77"/>
              <w:ind w:left="830" w:right="0"/>
              <w:jc w:val="left"/>
              <w:rPr>
                <w:rFonts w:ascii="Times New Roman" w:hAnsi="Times New Roman" w:cs="Times New Roman" w:eastAsia="Times New Roman" w:hint="default"/>
                <w:sz w:val="21"/>
                <w:szCs w:val="21"/>
              </w:rPr>
            </w:pPr>
            <w:r>
              <w:rPr>
                <w:rFonts w:ascii="Times New Roman"/>
                <w:sz w:val="21"/>
              </w:rPr>
              <w:t>9,519.28</w:t>
            </w:r>
          </w:p>
        </w:tc>
        <w:tc>
          <w:tcPr>
            <w:tcW w:w="1603" w:type="dxa"/>
            <w:vMerge w:val="restart"/>
            <w:tcBorders>
              <w:top w:val="single" w:sz="4" w:space="0" w:color="000000"/>
              <w:left w:val="single" w:sz="4" w:space="0" w:color="000000"/>
              <w:right w:val="single" w:sz="4" w:space="0" w:color="000000"/>
            </w:tcBorders>
          </w:tcPr>
          <w:p>
            <w:pPr>
              <w:pStyle w:val="TableParagraph"/>
              <w:spacing w:line="240" w:lineRule="auto" w:before="77"/>
              <w:ind w:left="724" w:right="0"/>
              <w:jc w:val="left"/>
              <w:rPr>
                <w:rFonts w:ascii="Times New Roman" w:hAnsi="Times New Roman" w:cs="Times New Roman" w:eastAsia="Times New Roman" w:hint="default"/>
                <w:sz w:val="21"/>
                <w:szCs w:val="21"/>
              </w:rPr>
            </w:pPr>
            <w:r>
              <w:rPr>
                <w:rFonts w:ascii="Times New Roman"/>
                <w:sz w:val="21"/>
              </w:rPr>
              <w:t>29,976.31</w:t>
            </w:r>
          </w:p>
        </w:tc>
        <w:tc>
          <w:tcPr>
            <w:tcW w:w="1598"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8" w:right="0"/>
              <w:jc w:val="center"/>
              <w:rPr>
                <w:rFonts w:ascii="宋体" w:hAnsi="宋体" w:cs="宋体" w:eastAsia="宋体" w:hint="default"/>
                <w:sz w:val="21"/>
                <w:szCs w:val="21"/>
              </w:rPr>
            </w:pPr>
            <w:r>
              <w:rPr>
                <w:rFonts w:ascii="宋体" w:hAnsi="宋体" w:cs="宋体" w:eastAsia="宋体" w:hint="default"/>
                <w:spacing w:val="9"/>
                <w:sz w:val="21"/>
                <w:szCs w:val="21"/>
              </w:rPr>
              <w:t>告期内房地产项</w:t>
            </w:r>
          </w:p>
        </w:tc>
        <w:tc>
          <w:tcPr>
            <w:tcW w:w="1598" w:type="dxa"/>
            <w:vMerge w:val="restart"/>
            <w:tcBorders>
              <w:top w:val="single" w:sz="4" w:space="0" w:color="000000"/>
              <w:left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尚未销售</w:t>
            </w:r>
          </w:p>
        </w:tc>
      </w:tr>
      <w:tr>
        <w:trPr>
          <w:trHeight w:val="160" w:hRule="exact"/>
        </w:trPr>
        <w:tc>
          <w:tcPr>
            <w:tcW w:w="1603" w:type="dxa"/>
            <w:vMerge/>
            <w:tcBorders>
              <w:left w:val="single" w:sz="4" w:space="0" w:color="000000"/>
              <w:bottom w:val="single" w:sz="4" w:space="0" w:color="000000"/>
              <w:right w:val="single" w:sz="4" w:space="0" w:color="000000"/>
            </w:tcBorders>
          </w:tcPr>
          <w:p>
            <w:pPr/>
          </w:p>
        </w:tc>
        <w:tc>
          <w:tcPr>
            <w:tcW w:w="1598" w:type="dxa"/>
            <w:vMerge/>
            <w:tcBorders>
              <w:left w:val="single" w:sz="4" w:space="0" w:color="000000"/>
              <w:bottom w:val="single" w:sz="4" w:space="0" w:color="000000"/>
              <w:right w:val="single" w:sz="4" w:space="0" w:color="000000"/>
            </w:tcBorders>
          </w:tcPr>
          <w:p>
            <w:pPr/>
          </w:p>
        </w:tc>
        <w:tc>
          <w:tcPr>
            <w:tcW w:w="1598" w:type="dxa"/>
            <w:vMerge/>
            <w:tcBorders>
              <w:left w:val="single" w:sz="4" w:space="0" w:color="000000"/>
              <w:bottom w:val="single" w:sz="4" w:space="0" w:color="000000"/>
              <w:right w:val="single" w:sz="4" w:space="0" w:color="000000"/>
            </w:tcBorders>
          </w:tcPr>
          <w:p>
            <w:pPr/>
          </w:p>
        </w:tc>
        <w:tc>
          <w:tcPr>
            <w:tcW w:w="1603" w:type="dxa"/>
            <w:vMerge/>
            <w:tcBorders>
              <w:left w:val="single" w:sz="4" w:space="0" w:color="000000"/>
              <w:bottom w:val="single" w:sz="4" w:space="0" w:color="000000"/>
              <w:right w:val="single" w:sz="4" w:space="0" w:color="000000"/>
            </w:tcBorders>
          </w:tcPr>
          <w:p>
            <w:pPr/>
          </w:p>
        </w:tc>
        <w:tc>
          <w:tcPr>
            <w:tcW w:w="1598" w:type="dxa"/>
            <w:vMerge w:val="restart"/>
            <w:tcBorders>
              <w:top w:val="nil" w:sz="6" w:space="0" w:color="auto"/>
              <w:left w:val="single" w:sz="4" w:space="0" w:color="000000"/>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目进展情况</w:t>
            </w:r>
          </w:p>
        </w:tc>
        <w:tc>
          <w:tcPr>
            <w:tcW w:w="1598" w:type="dxa"/>
            <w:vMerge/>
            <w:tcBorders>
              <w:left w:val="single" w:sz="4" w:space="0" w:color="000000"/>
              <w:bottom w:val="single" w:sz="4" w:space="0" w:color="000000"/>
              <w:right w:val="single" w:sz="4" w:space="0" w:color="000000"/>
            </w:tcBorders>
          </w:tcPr>
          <w:p>
            <w:pPr/>
          </w:p>
        </w:tc>
      </w:tr>
      <w:tr>
        <w:trPr>
          <w:trHeight w:val="427"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宝安·山水龙城</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Times New Roman" w:hAnsi="Times New Roman" w:cs="Times New Roman" w:eastAsia="Times New Roman" w:hint="default"/>
                <w:sz w:val="21"/>
                <w:szCs w:val="21"/>
              </w:rPr>
            </w:pPr>
            <w:r>
              <w:rPr>
                <w:rFonts w:ascii="Times New Roman"/>
                <w:sz w:val="21"/>
              </w:rPr>
              <w:t>132,490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Times New Roman" w:hAnsi="Times New Roman" w:cs="Times New Roman" w:eastAsia="Times New Roman" w:hint="default"/>
                <w:sz w:val="21"/>
                <w:szCs w:val="21"/>
              </w:rPr>
            </w:pPr>
            <w:r>
              <w:rPr>
                <w:rFonts w:ascii="Times New Roman"/>
                <w:sz w:val="21"/>
              </w:rPr>
              <w:t>25,090.97</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z w:val="21"/>
              </w:rPr>
              <w:t>68,045.48</w:t>
            </w:r>
          </w:p>
        </w:tc>
        <w:tc>
          <w:tcPr>
            <w:tcW w:w="1598" w:type="dxa"/>
            <w:vMerge/>
            <w:tcBorders>
              <w:left w:val="single" w:sz="4" w:space="0" w:color="000000"/>
              <w:bottom w:val="nil" w:sz="6" w:space="0" w:color="auto"/>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尚未销售</w:t>
            </w:r>
          </w:p>
        </w:tc>
      </w:tr>
      <w:tr>
        <w:trPr>
          <w:trHeight w:val="422"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宝安·虹海湾</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Times New Roman" w:hAnsi="Times New Roman" w:cs="Times New Roman" w:eastAsia="Times New Roman" w:hint="default"/>
                <w:sz w:val="21"/>
                <w:szCs w:val="21"/>
              </w:rPr>
            </w:pPr>
            <w:r>
              <w:rPr>
                <w:rFonts w:ascii="Times New Roman"/>
                <w:sz w:val="21"/>
              </w:rPr>
              <w:t>62,900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7"/>
              <w:jc w:val="right"/>
              <w:rPr>
                <w:rFonts w:ascii="Times New Roman" w:hAnsi="Times New Roman" w:cs="Times New Roman" w:eastAsia="Times New Roman" w:hint="default"/>
                <w:sz w:val="21"/>
                <w:szCs w:val="21"/>
              </w:rPr>
            </w:pPr>
            <w:r>
              <w:rPr>
                <w:rFonts w:ascii="Times New Roman"/>
                <w:sz w:val="21"/>
              </w:rPr>
              <w:t>9,847.49</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z w:val="21"/>
              </w:rPr>
              <w:t>9,847.49</w:t>
            </w:r>
          </w:p>
        </w:tc>
        <w:tc>
          <w:tcPr>
            <w:tcW w:w="1598" w:type="dxa"/>
            <w:tcBorders>
              <w:top w:val="nil" w:sz="6" w:space="0" w:color="auto"/>
              <w:left w:val="single" w:sz="4" w:space="0" w:color="000000"/>
              <w:bottom w:val="single" w:sz="4" w:space="0" w:color="000000"/>
              <w:right w:val="single" w:sz="4" w:space="0" w:color="000000"/>
            </w:tcBorders>
          </w:tcPr>
          <w:p>
            <w:pP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尚未销售</w:t>
            </w:r>
          </w:p>
        </w:tc>
      </w:tr>
      <w:tr>
        <w:trPr>
          <w:trHeight w:val="446" w:hRule="exact"/>
        </w:trPr>
        <w:tc>
          <w:tcPr>
            <w:tcW w:w="1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2"/>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7"/>
              <w:jc w:val="right"/>
              <w:rPr>
                <w:rFonts w:ascii="Times New Roman" w:hAnsi="Times New Roman" w:cs="Times New Roman" w:eastAsia="Times New Roman" w:hint="default"/>
                <w:sz w:val="21"/>
                <w:szCs w:val="21"/>
              </w:rPr>
            </w:pPr>
            <w:r>
              <w:rPr>
                <w:rFonts w:ascii="Times New Roman"/>
                <w:sz w:val="21"/>
              </w:rPr>
              <w:t>564,893</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7"/>
              <w:jc w:val="right"/>
              <w:rPr>
                <w:rFonts w:ascii="Times New Roman" w:hAnsi="Times New Roman" w:cs="Times New Roman" w:eastAsia="Times New Roman" w:hint="default"/>
                <w:sz w:val="21"/>
                <w:szCs w:val="21"/>
              </w:rPr>
            </w:pPr>
            <w:r>
              <w:rPr>
                <w:rFonts w:ascii="Times New Roman"/>
                <w:sz w:val="21"/>
              </w:rPr>
              <w:t>69,588.69</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2"/>
              <w:jc w:val="right"/>
              <w:rPr>
                <w:rFonts w:ascii="Times New Roman" w:hAnsi="Times New Roman" w:cs="Times New Roman" w:eastAsia="Times New Roman" w:hint="default"/>
                <w:sz w:val="21"/>
                <w:szCs w:val="21"/>
              </w:rPr>
            </w:pPr>
            <w:r>
              <w:rPr>
                <w:rFonts w:ascii="Times New Roman"/>
                <w:sz w:val="21"/>
              </w:rPr>
              <w:t>270,407.44</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7"/>
              <w:ind w:left="2" w:right="0"/>
              <w:jc w:val="center"/>
              <w:rPr>
                <w:rFonts w:ascii="Times New Roman" w:hAnsi="Times New Roman" w:cs="Times New Roman" w:eastAsia="Times New Roman" w:hint="default"/>
                <w:sz w:val="21"/>
                <w:szCs w:val="21"/>
              </w:rPr>
            </w:pPr>
            <w:r>
              <w:rPr>
                <w:rFonts w:ascii="Times New Roman"/>
                <w:sz w:val="21"/>
              </w:rPr>
              <w:t>--</w:t>
            </w:r>
          </w:p>
        </w:tc>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7"/>
              <w:ind w:left="2" w:right="0"/>
              <w:jc w:val="center"/>
              <w:rPr>
                <w:rFonts w:ascii="Times New Roman" w:hAnsi="Times New Roman" w:cs="Times New Roman" w:eastAsia="Times New Roman" w:hint="default"/>
                <w:sz w:val="21"/>
                <w:szCs w:val="21"/>
              </w:rPr>
            </w:pPr>
            <w:r>
              <w:rPr>
                <w:rFonts w:ascii="Times New Roman"/>
                <w:sz w:val="21"/>
              </w:rPr>
              <w:t>--</w:t>
            </w:r>
          </w:p>
        </w:tc>
      </w:tr>
    </w:tbl>
    <w:p>
      <w:pPr>
        <w:spacing w:after="0" w:line="240" w:lineRule="auto"/>
        <w:jc w:val="center"/>
        <w:rPr>
          <w:rFonts w:ascii="Times New Roman" w:hAnsi="Times New Roman" w:cs="Times New Roman" w:eastAsia="Times New Roman" w:hint="default"/>
          <w:sz w:val="21"/>
          <w:szCs w:val="21"/>
        </w:rPr>
        <w:sectPr>
          <w:pgSz w:w="11900" w:h="16840"/>
          <w:pgMar w:header="872" w:footer="957" w:top="1120" w:bottom="1180" w:left="420" w:right="4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4"/>
        <w:spacing w:line="367" w:lineRule="exact"/>
        <w:ind w:right="0"/>
        <w:jc w:val="both"/>
        <w:rPr>
          <w:b w:val="0"/>
          <w:bCs w:val="0"/>
        </w:rPr>
      </w:pPr>
      <w:r>
        <w:rPr/>
        <w:t>六、公司未来发展的展望</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55" w:lineRule="auto"/>
        <w:ind w:left="575" w:right="114"/>
        <w:jc w:val="left"/>
      </w:pPr>
      <w:r>
        <w:rPr/>
        <w:t>（一）公司面临的竞争格局</w:t>
      </w:r>
      <w:r>
        <w:rPr>
          <w:spacing w:val="-102"/>
        </w:rPr>
        <w:t> </w:t>
      </w:r>
      <w:r>
        <w:rPr>
          <w:spacing w:val="-102"/>
        </w:rPr>
      </w:r>
      <w:r>
        <w:rPr>
          <w:spacing w:val="-2"/>
        </w:rPr>
        <w:t>2013年在房地产调控政策继续从紧的背景下，公司面临的挑战依然存在；长远来看，随着新型城镇化</w:t>
      </w:r>
    </w:p>
    <w:p>
      <w:pPr>
        <w:pStyle w:val="BodyText"/>
        <w:spacing w:line="355" w:lineRule="auto" w:before="32"/>
        <w:ind w:right="222"/>
        <w:jc w:val="both"/>
      </w:pPr>
      <w:r>
        <w:rPr>
          <w:spacing w:val="-2"/>
        </w:rPr>
        <w:t>进程的展开，刚性需求和合理的改善型需求长期存在，房地产行业发展前景仍然广阔。公司认为，房地产</w:t>
      </w:r>
      <w:r>
        <w:rPr>
          <w:spacing w:val="-35"/>
        </w:rPr>
        <w:t> </w:t>
      </w:r>
      <w:r>
        <w:rPr>
          <w:spacing w:val="-35"/>
        </w:rPr>
      </w:r>
      <w:r>
        <w:rPr>
          <w:spacing w:val="-2"/>
        </w:rPr>
        <w:t>企业综合实力的竞争就是品牌与规模的竞争，尽管公司目前仍然处在规模化发展的初期，但通过公司的管</w:t>
      </w:r>
      <w:r>
        <w:rPr>
          <w:spacing w:val="-35"/>
        </w:rPr>
        <w:t> </w:t>
      </w:r>
      <w:r>
        <w:rPr>
          <w:spacing w:val="-35"/>
        </w:rPr>
      </w:r>
      <w:r>
        <w:rPr>
          <w:spacing w:val="-2"/>
        </w:rPr>
        <w:t>理创新、品牌推广和整体效益的不断提升，公司一定能实现快速发展的预期，这是公司长远发展的内在要</w:t>
      </w:r>
      <w:r>
        <w:rPr>
          <w:spacing w:val="-36"/>
        </w:rPr>
        <w:t> </w:t>
      </w:r>
      <w:r>
        <w:rPr>
          <w:spacing w:val="-36"/>
        </w:rPr>
      </w:r>
      <w:r>
        <w:rPr/>
        <w:t>求，也是应对不确定的市场环境的必然选择。</w:t>
      </w:r>
    </w:p>
    <w:p>
      <w:pPr>
        <w:pStyle w:val="BodyText"/>
        <w:spacing w:line="360" w:lineRule="auto" w:before="32"/>
        <w:ind w:left="575" w:right="114"/>
        <w:jc w:val="left"/>
      </w:pPr>
      <w:r>
        <w:rPr/>
        <w:t>（二）经营中的主要问题及对策措施</w:t>
      </w:r>
      <w:r>
        <w:rPr>
          <w:spacing w:val="-102"/>
        </w:rPr>
        <w:t> </w:t>
      </w:r>
      <w:r>
        <w:rPr>
          <w:spacing w:val="-102"/>
        </w:rPr>
      </w:r>
      <w:r>
        <w:rPr>
          <w:spacing w:val="-2"/>
        </w:rPr>
        <w:t>公司目前资金来源未做到渠道多元化，难以满足企业快速发展的需要，公司将努力拓宽融资渠道，加</w:t>
      </w:r>
    </w:p>
    <w:p>
      <w:pPr>
        <w:pStyle w:val="BodyText"/>
        <w:spacing w:line="355" w:lineRule="auto" w:before="28"/>
        <w:ind w:right="222"/>
        <w:jc w:val="both"/>
      </w:pPr>
      <w:r>
        <w:rPr>
          <w:spacing w:val="-2"/>
        </w:rPr>
        <w:t>大融资力度，优化债务结构；由于持续从紧的房地产宏观调控政策影响，公司将积极探索创新模式、促进</w:t>
      </w:r>
      <w:r>
        <w:rPr>
          <w:spacing w:val="-35"/>
        </w:rPr>
        <w:t> </w:t>
      </w:r>
      <w:r>
        <w:rPr>
          <w:spacing w:val="-35"/>
        </w:rPr>
      </w:r>
      <w:r>
        <w:rPr>
          <w:spacing w:val="-2"/>
        </w:rPr>
        <w:t>销售，加快资金回笼；在人才培养方面，公司将进一步加强人才储备，打造房地产专业人才和综合性管理</w:t>
      </w:r>
      <w:r>
        <w:rPr>
          <w:spacing w:val="-35"/>
        </w:rPr>
        <w:t> </w:t>
      </w:r>
      <w:r>
        <w:rPr>
          <w:spacing w:val="-35"/>
        </w:rPr>
      </w:r>
      <w:r>
        <w:rPr/>
        <w:t>人才队伍。</w:t>
      </w:r>
    </w:p>
    <w:p>
      <w:pPr>
        <w:pStyle w:val="BodyText"/>
        <w:spacing w:line="355" w:lineRule="auto" w:before="32"/>
        <w:ind w:left="676" w:right="114" w:hanging="101"/>
        <w:jc w:val="left"/>
      </w:pPr>
      <w:r>
        <w:rPr/>
        <w:t>（三）2013年公司的主要经营计划</w:t>
      </w:r>
      <w:r>
        <w:rPr>
          <w:spacing w:val="-103"/>
        </w:rPr>
        <w:t> </w:t>
      </w:r>
      <w:r>
        <w:rPr>
          <w:spacing w:val="-103"/>
        </w:rPr>
      </w:r>
      <w:r>
        <w:rPr>
          <w:spacing w:val="-2"/>
        </w:rPr>
        <w:t>针对2013年的政策预期和市场前景，公司将围绕“促销售、增项目、抓管理、强队伍”的工作方针，</w:t>
      </w:r>
    </w:p>
    <w:p>
      <w:pPr>
        <w:pStyle w:val="BodyText"/>
        <w:spacing w:line="355" w:lineRule="auto" w:before="32"/>
        <w:ind w:left="676" w:right="114" w:hanging="418"/>
        <w:jc w:val="left"/>
      </w:pPr>
      <w:r>
        <w:rPr/>
        <w:t>重点做好以下工作：</w:t>
      </w:r>
      <w:r>
        <w:rPr>
          <w:spacing w:val="-100"/>
        </w:rPr>
        <w:t> </w:t>
      </w:r>
      <w:r>
        <w:rPr>
          <w:spacing w:val="-100"/>
        </w:rPr>
      </w:r>
      <w:r>
        <w:rPr>
          <w:spacing w:val="-2"/>
        </w:rPr>
        <w:t>1、项目销售：促进鸿基·紫韵、宝安·山水江南、宝安·江南城、宝安·虹海湾、宝安·山水龙城</w:t>
      </w:r>
    </w:p>
    <w:p>
      <w:pPr>
        <w:pStyle w:val="BodyText"/>
        <w:spacing w:line="357" w:lineRule="auto" w:before="32"/>
        <w:ind w:left="676" w:right="114" w:hanging="418"/>
        <w:jc w:val="left"/>
      </w:pPr>
      <w:r>
        <w:rPr/>
        <w:t>等项目销售，加快资金回笼，力争达到合同销售金额10亿元。</w:t>
      </w:r>
      <w:r>
        <w:rPr>
          <w:w w:val="100"/>
        </w:rPr>
        <w:t> </w:t>
      </w:r>
      <w:r>
        <w:rPr/>
        <w:t>2、加快项目施工进度，强化工程质量管理，确保产品品质。</w:t>
      </w:r>
      <w:r>
        <w:rPr>
          <w:w w:val="100"/>
        </w:rPr>
        <w:t> </w:t>
      </w:r>
      <w:r>
        <w:rPr/>
        <w:t>全力跟进西安、东莞、湖南、惠州、惠东、深圳草埔等项目的施工进度，加强施工现场管理，确保</w:t>
      </w:r>
    </w:p>
    <w:p>
      <w:pPr>
        <w:pStyle w:val="BodyText"/>
        <w:spacing w:line="355" w:lineRule="auto" w:before="30"/>
        <w:ind w:left="676" w:right="2194" w:hanging="418"/>
        <w:jc w:val="left"/>
      </w:pPr>
      <w:r>
        <w:rPr>
          <w:spacing w:val="-2"/>
        </w:rPr>
        <w:t>施工安全、工程质量和工程进度；加快推进龙岗中心城旧改项目报批、报建工作。</w:t>
      </w:r>
      <w:r>
        <w:rPr>
          <w:spacing w:val="-32"/>
        </w:rPr>
        <w:t> </w:t>
      </w:r>
      <w:r>
        <w:rPr>
          <w:spacing w:val="-32"/>
        </w:rPr>
      </w:r>
      <w:r>
        <w:rPr/>
        <w:t>3、积极拓展新项目，增加土地资源。</w:t>
      </w:r>
      <w:r>
        <w:rPr>
          <w:w w:val="100"/>
        </w:rPr>
        <w:t> </w:t>
      </w:r>
      <w:r>
        <w:rPr/>
        <w:t>深耕西安、长株潭、深莞惠等现有区域，力争新增3-4个新项目投资。</w:t>
      </w:r>
      <w:r>
        <w:rPr>
          <w:w w:val="100"/>
        </w:rPr>
        <w:t> </w:t>
      </w:r>
      <w:r>
        <w:rPr/>
        <w:t>4、进一步健全内控体系，完善各项规章制度和操作流程。</w:t>
      </w:r>
    </w:p>
    <w:p>
      <w:pPr>
        <w:pStyle w:val="BodyText"/>
        <w:spacing w:line="355" w:lineRule="auto" w:before="32"/>
        <w:ind w:left="258" w:right="231" w:firstLine="417"/>
        <w:jc w:val="both"/>
      </w:pPr>
      <w:r>
        <w:rPr/>
        <w:t>加强对项目销售、工程建设、成本控制和新产品研发的规范化管理，推行“无效成本”理念，建立</w:t>
      </w:r>
      <w:r>
        <w:rPr>
          <w:w w:val="100"/>
        </w:rPr>
        <w:t> </w:t>
      </w:r>
      <w:r>
        <w:rPr/>
        <w:t>项目引路制、创新产品设计和营销模式，强化公司总部规划设计、成本、工程管理及营销策划等部门的</w:t>
      </w:r>
      <w:r>
        <w:rPr>
          <w:spacing w:val="-34"/>
        </w:rPr>
        <w:t> </w:t>
      </w:r>
      <w:r>
        <w:rPr>
          <w:spacing w:val="-34"/>
        </w:rPr>
      </w:r>
      <w:r>
        <w:rPr/>
        <w:t>监督、检查、指导、协调的职能，强化各项目公司对相关管理制度的执行力度。</w:t>
      </w:r>
    </w:p>
    <w:p>
      <w:pPr>
        <w:pStyle w:val="BodyText"/>
        <w:spacing w:line="355" w:lineRule="auto" w:before="37"/>
        <w:ind w:left="676" w:right="114"/>
        <w:jc w:val="left"/>
      </w:pPr>
      <w:r>
        <w:rPr/>
        <w:t>5、继续引进专业人才，提高管理能力，提升管理水平。</w:t>
      </w:r>
      <w:r>
        <w:rPr>
          <w:w w:val="100"/>
        </w:rPr>
        <w:t> </w:t>
      </w:r>
      <w:r>
        <w:rPr/>
        <w:t>加大招聘力度，补充和储备专业人才，充实老、中、青相结合的人才梯队；提升各级管理人员业务</w:t>
      </w:r>
    </w:p>
    <w:p>
      <w:pPr>
        <w:pStyle w:val="BodyText"/>
        <w:spacing w:line="355" w:lineRule="auto" w:before="32"/>
        <w:ind w:left="632" w:right="114" w:hanging="375"/>
        <w:jc w:val="left"/>
      </w:pPr>
      <w:r>
        <w:rPr/>
        <w:t>素质和管理能力，做好专业技术人员任职资格管理和岗位轮换工作，培育综合性管理人才。</w:t>
      </w:r>
      <w:r>
        <w:rPr>
          <w:w w:val="100"/>
        </w:rPr>
        <w:t> </w:t>
      </w:r>
      <w:r>
        <w:rPr/>
        <w:t>6、加强融资力度，提供资金保障</w:t>
      </w:r>
      <w:r>
        <w:rPr>
          <w:w w:val="100"/>
        </w:rPr>
        <w:t> </w:t>
      </w:r>
      <w:r>
        <w:rPr>
          <w:spacing w:val="-6"/>
        </w:rPr>
        <w:t>加强融资力度和模式多样化，控制融资成本，保证集团项目开发所需资金，计划新增授信额度20亿元。</w:t>
      </w:r>
    </w:p>
    <w:p>
      <w:pPr>
        <w:spacing w:after="0" w:line="355" w:lineRule="auto"/>
        <w:jc w:val="left"/>
        <w:sectPr>
          <w:pgSz w:w="11900" w:h="16840"/>
          <w:pgMar w:header="872" w:footer="957" w:top="1120" w:bottom="1180" w:left="980" w:right="900"/>
        </w:sectPr>
      </w:pPr>
    </w:p>
    <w:p>
      <w:pPr>
        <w:spacing w:line="240" w:lineRule="auto" w:before="7"/>
        <w:rPr>
          <w:rFonts w:ascii="宋体" w:hAnsi="宋体" w:cs="宋体" w:eastAsia="宋体" w:hint="default"/>
          <w:sz w:val="19"/>
          <w:szCs w:val="19"/>
        </w:rPr>
      </w:pPr>
    </w:p>
    <w:p>
      <w:pPr>
        <w:pStyle w:val="Heading4"/>
        <w:spacing w:line="367" w:lineRule="exact"/>
        <w:ind w:right="0"/>
        <w:jc w:val="left"/>
        <w:rPr>
          <w:b w:val="0"/>
          <w:bCs w:val="0"/>
        </w:rPr>
      </w:pPr>
      <w:r>
        <w:rPr/>
        <w:t>七、与上年度财务报告相比，会计政策、会计估计和核算方法发生变化的情况说明</w:t>
      </w:r>
      <w:r>
        <w:rPr>
          <w:b w:val="0"/>
          <w:bCs w:val="0"/>
        </w:rPr>
      </w:r>
    </w:p>
    <w:p>
      <w:pPr>
        <w:spacing w:line="240" w:lineRule="auto" w:before="13"/>
        <w:rPr>
          <w:rFonts w:ascii="Microsoft JhengHei" w:hAnsi="Microsoft JhengHei" w:cs="Microsoft JhengHei" w:eastAsia="Microsoft JhengHei" w:hint="default"/>
          <w:b/>
          <w:bCs/>
          <w:sz w:val="15"/>
          <w:szCs w:val="15"/>
        </w:rPr>
      </w:pPr>
    </w:p>
    <w:p>
      <w:pPr>
        <w:spacing w:line="417" w:lineRule="auto" w:before="0"/>
        <w:ind w:left="152" w:right="2518" w:firstLine="0"/>
        <w:jc w:val="left"/>
        <w:rPr>
          <w:rFonts w:ascii="Microsoft JhengHei" w:hAnsi="Microsoft JhengHei" w:cs="Microsoft JhengHei" w:eastAsia="Microsoft JhengHei" w:hint="default"/>
          <w:sz w:val="24"/>
          <w:szCs w:val="24"/>
        </w:rPr>
      </w:pPr>
      <w:r>
        <w:rPr>
          <w:rFonts w:ascii="宋体" w:hAnsi="宋体" w:cs="宋体" w:eastAsia="宋体" w:hint="default"/>
          <w:sz w:val="21"/>
          <w:szCs w:val="21"/>
        </w:rPr>
        <w:t>未发生变化</w:t>
      </w:r>
      <w:r>
        <w:rPr>
          <w:rFonts w:ascii="宋体" w:hAnsi="宋体" w:cs="宋体" w:eastAsia="宋体" w:hint="default"/>
          <w:spacing w:val="-100"/>
          <w:sz w:val="21"/>
          <w:szCs w:val="21"/>
        </w:rPr>
        <w:t> </w:t>
      </w:r>
      <w:r>
        <w:rPr>
          <w:rFonts w:ascii="Microsoft JhengHei" w:hAnsi="Microsoft JhengHei" w:cs="Microsoft JhengHei" w:eastAsia="Microsoft JhengHei" w:hint="default"/>
          <w:b/>
          <w:bCs/>
          <w:sz w:val="24"/>
          <w:szCs w:val="24"/>
        </w:rPr>
        <w:t>八、报告期内发生重大会计差错更正需追溯重述的情况说明</w:t>
      </w:r>
      <w:r>
        <w:rPr>
          <w:rFonts w:ascii="Microsoft JhengHei" w:hAnsi="Microsoft JhengHei" w:cs="Microsoft JhengHei" w:eastAsia="Microsoft JhengHei" w:hint="default"/>
          <w:b/>
          <w:bCs/>
          <w:spacing w:val="-42"/>
          <w:sz w:val="24"/>
          <w:szCs w:val="24"/>
        </w:rPr>
        <w:t> </w:t>
      </w:r>
      <w:r>
        <w:rPr>
          <w:rFonts w:ascii="Microsoft JhengHei" w:hAnsi="Microsoft JhengHei" w:cs="Microsoft JhengHei" w:eastAsia="Microsoft JhengHei" w:hint="default"/>
          <w:b/>
          <w:bCs/>
          <w:spacing w:val="-42"/>
          <w:sz w:val="24"/>
          <w:szCs w:val="24"/>
        </w:rPr>
      </w:r>
      <w:r>
        <w:rPr>
          <w:rFonts w:ascii="宋体" w:hAnsi="宋体" w:cs="宋体" w:eastAsia="宋体" w:hint="default"/>
          <w:sz w:val="21"/>
          <w:szCs w:val="21"/>
        </w:rPr>
        <w:t>无重大会计差错更正及追溯重述。</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Microsoft JhengHei" w:hAnsi="Microsoft JhengHei" w:cs="Microsoft JhengHei" w:eastAsia="Microsoft JhengHei" w:hint="default"/>
          <w:b/>
          <w:bCs/>
          <w:sz w:val="24"/>
          <w:szCs w:val="24"/>
        </w:rPr>
        <w:t>九、与上年度财务报告相比，合并报表范围发生变化的情况说明</w:t>
      </w:r>
      <w:r>
        <w:rPr>
          <w:rFonts w:ascii="Microsoft JhengHei" w:hAnsi="Microsoft JhengHei" w:cs="Microsoft JhengHei" w:eastAsia="Microsoft JhengHei" w:hint="default"/>
          <w:sz w:val="24"/>
          <w:szCs w:val="24"/>
        </w:rPr>
      </w:r>
    </w:p>
    <w:p>
      <w:pPr>
        <w:pStyle w:val="BodyText"/>
        <w:spacing w:line="240" w:lineRule="auto" w:before="43"/>
        <w:ind w:left="325" w:right="0"/>
        <w:jc w:val="left"/>
      </w:pPr>
      <w:r>
        <w:rPr/>
        <w:t>本报告期内新纳入合并范围的子公司</w:t>
      </w:r>
    </w:p>
    <w:p>
      <w:pPr>
        <w:spacing w:line="240" w:lineRule="auto" w:before="10"/>
        <w:rPr>
          <w:rFonts w:ascii="宋体" w:hAnsi="宋体" w:cs="宋体" w:eastAsia="宋体" w:hint="default"/>
          <w:sz w:val="12"/>
          <w:szCs w:val="12"/>
        </w:rPr>
      </w:pPr>
    </w:p>
    <w:tbl>
      <w:tblPr>
        <w:tblW w:w="0" w:type="auto"/>
        <w:jc w:val="left"/>
        <w:tblInd w:w="143" w:type="dxa"/>
        <w:tblLayout w:type="fixed"/>
        <w:tblCellMar>
          <w:top w:w="0" w:type="dxa"/>
          <w:left w:w="0" w:type="dxa"/>
          <w:bottom w:w="0" w:type="dxa"/>
          <w:right w:w="0" w:type="dxa"/>
        </w:tblCellMar>
        <w:tblLook w:val="01E0"/>
      </w:tblPr>
      <w:tblGrid>
        <w:gridCol w:w="3163"/>
        <w:gridCol w:w="3163"/>
        <w:gridCol w:w="3156"/>
      </w:tblGrid>
      <w:tr>
        <w:trPr>
          <w:trHeight w:val="314" w:hRule="exact"/>
        </w:trPr>
        <w:tc>
          <w:tcPr>
            <w:tcW w:w="3163"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3163" w:type="dxa"/>
            <w:tcBorders>
              <w:top w:val="single" w:sz="6" w:space="0" w:color="000000"/>
              <w:left w:val="single" w:sz="6" w:space="0" w:color="000000"/>
              <w:bottom w:val="single" w:sz="12" w:space="0" w:color="000000"/>
              <w:right w:val="single" w:sz="6" w:space="0" w:color="000000"/>
            </w:tcBorders>
          </w:tcPr>
          <w:p>
            <w:pPr>
              <w:pStyle w:val="TableParagraph"/>
              <w:spacing w:line="246" w:lineRule="exact"/>
              <w:ind w:left="417" w:right="0"/>
              <w:jc w:val="left"/>
              <w:rPr>
                <w:rFonts w:ascii="宋体" w:hAnsi="宋体" w:cs="宋体" w:eastAsia="宋体" w:hint="default"/>
                <w:sz w:val="21"/>
                <w:szCs w:val="21"/>
              </w:rPr>
            </w:pPr>
            <w:r>
              <w:rPr>
                <w:rFonts w:ascii="宋体" w:hAnsi="宋体" w:cs="宋体" w:eastAsia="宋体" w:hint="default"/>
                <w:sz w:val="21"/>
                <w:szCs w:val="21"/>
              </w:rPr>
              <w:t>纳入合并当期期末净资产</w:t>
            </w:r>
          </w:p>
        </w:tc>
        <w:tc>
          <w:tcPr>
            <w:tcW w:w="3156" w:type="dxa"/>
            <w:tcBorders>
              <w:top w:val="single" w:sz="6" w:space="0" w:color="000000"/>
              <w:left w:val="single" w:sz="6" w:space="0" w:color="000000"/>
              <w:bottom w:val="single" w:sz="12" w:space="0" w:color="000000"/>
              <w:right w:val="nil" w:sz="6" w:space="0" w:color="auto"/>
            </w:tcBorders>
          </w:tcPr>
          <w:p>
            <w:pPr>
              <w:pStyle w:val="TableParagraph"/>
              <w:spacing w:line="246" w:lineRule="exact"/>
              <w:ind w:left="105" w:right="0"/>
              <w:jc w:val="left"/>
              <w:rPr>
                <w:rFonts w:ascii="宋体" w:hAnsi="宋体" w:cs="宋体" w:eastAsia="宋体" w:hint="default"/>
                <w:sz w:val="21"/>
                <w:szCs w:val="21"/>
              </w:rPr>
            </w:pPr>
            <w:r>
              <w:rPr>
                <w:rFonts w:ascii="宋体" w:hAnsi="宋体" w:cs="宋体" w:eastAsia="宋体" w:hint="default"/>
                <w:sz w:val="21"/>
                <w:szCs w:val="21"/>
              </w:rPr>
              <w:t>合并当期纳入合并报表的净利润</w:t>
            </w:r>
          </w:p>
        </w:tc>
      </w:tr>
      <w:tr>
        <w:trPr>
          <w:trHeight w:val="317" w:hRule="exact"/>
        </w:trPr>
        <w:tc>
          <w:tcPr>
            <w:tcW w:w="3163" w:type="dxa"/>
            <w:tcBorders>
              <w:top w:val="single" w:sz="12" w:space="0" w:color="000000"/>
              <w:left w:val="single" w:sz="6" w:space="0" w:color="000000"/>
              <w:bottom w:val="single" w:sz="12" w:space="0" w:color="000000"/>
              <w:right w:val="single" w:sz="6" w:space="0" w:color="000000"/>
            </w:tcBorders>
          </w:tcPr>
          <w:p>
            <w:pPr>
              <w:pStyle w:val="TableParagraph"/>
              <w:spacing w:line="236" w:lineRule="exact"/>
              <w:ind w:left="4" w:right="0"/>
              <w:jc w:val="left"/>
              <w:rPr>
                <w:rFonts w:ascii="宋体" w:hAnsi="宋体" w:cs="宋体" w:eastAsia="宋体" w:hint="default"/>
                <w:sz w:val="21"/>
                <w:szCs w:val="21"/>
              </w:rPr>
            </w:pPr>
            <w:r>
              <w:rPr>
                <w:rFonts w:ascii="宋体" w:hAnsi="宋体" w:cs="宋体" w:eastAsia="宋体" w:hint="default"/>
                <w:sz w:val="21"/>
                <w:szCs w:val="21"/>
              </w:rPr>
              <w:t>惠州市宝安房地产开发有限公司</w:t>
            </w:r>
          </w:p>
        </w:tc>
        <w:tc>
          <w:tcPr>
            <w:tcW w:w="3163" w:type="dxa"/>
            <w:tcBorders>
              <w:top w:val="single" w:sz="12" w:space="0" w:color="000000"/>
              <w:left w:val="single" w:sz="6" w:space="0" w:color="000000"/>
              <w:bottom w:val="single" w:sz="12" w:space="0" w:color="000000"/>
              <w:right w:val="single" w:sz="6" w:space="0" w:color="000000"/>
            </w:tcBorders>
          </w:tcPr>
          <w:p>
            <w:pPr>
              <w:pStyle w:val="TableParagraph"/>
              <w:spacing w:line="233" w:lineRule="exact"/>
              <w:ind w:left="1833" w:right="0"/>
              <w:jc w:val="left"/>
              <w:rPr>
                <w:rFonts w:ascii="Times New Roman" w:hAnsi="Times New Roman" w:cs="Times New Roman" w:eastAsia="Times New Roman" w:hint="default"/>
                <w:sz w:val="21"/>
                <w:szCs w:val="21"/>
              </w:rPr>
            </w:pPr>
            <w:r>
              <w:rPr>
                <w:rFonts w:ascii="Times New Roman"/>
                <w:sz w:val="21"/>
              </w:rPr>
              <w:t>162,768,422.70</w:t>
            </w:r>
          </w:p>
        </w:tc>
        <w:tc>
          <w:tcPr>
            <w:tcW w:w="3156" w:type="dxa"/>
            <w:tcBorders>
              <w:top w:val="single" w:sz="12" w:space="0" w:color="000000"/>
              <w:left w:val="single" w:sz="6" w:space="0" w:color="000000"/>
              <w:bottom w:val="single" w:sz="12" w:space="0" w:color="000000"/>
              <w:right w:val="nil" w:sz="6" w:space="0" w:color="auto"/>
            </w:tcBorders>
          </w:tcPr>
          <w:p>
            <w:pPr>
              <w:pStyle w:val="TableParagraph"/>
              <w:spacing w:line="233" w:lineRule="exact"/>
              <w:ind w:left="1972" w:right="-1"/>
              <w:jc w:val="left"/>
              <w:rPr>
                <w:rFonts w:ascii="Times New Roman" w:hAnsi="Times New Roman" w:cs="Times New Roman" w:eastAsia="Times New Roman" w:hint="default"/>
                <w:sz w:val="21"/>
                <w:szCs w:val="21"/>
              </w:rPr>
            </w:pPr>
            <w:r>
              <w:rPr>
                <w:rFonts w:ascii="Times New Roman"/>
                <w:sz w:val="21"/>
              </w:rPr>
              <w:t>-7,231,577.30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Heading4"/>
        <w:spacing w:line="367" w:lineRule="exact"/>
        <w:ind w:right="0"/>
        <w:jc w:val="left"/>
        <w:rPr>
          <w:b w:val="0"/>
          <w:bCs w:val="0"/>
        </w:rPr>
      </w:pPr>
      <w:r>
        <w:rPr/>
        <w:t>十、公司利润分配及分红派息情况</w:t>
      </w:r>
      <w:r>
        <w:rPr>
          <w:b w:val="0"/>
          <w:bCs w:val="0"/>
        </w:rPr>
      </w:r>
    </w:p>
    <w:p>
      <w:pPr>
        <w:pStyle w:val="Heading6"/>
        <w:spacing w:line="240" w:lineRule="auto" w:before="212"/>
        <w:ind w:left="152" w:right="0"/>
        <w:jc w:val="left"/>
        <w:rPr>
          <w:b w:val="0"/>
          <w:bCs w:val="0"/>
        </w:rPr>
      </w:pPr>
      <w:r>
        <w:rPr/>
        <w:t>报告期内利润分配政策特别是现金分红政策的制定、执行或调整情况</w:t>
      </w:r>
      <w:r>
        <w:rPr>
          <w:b w:val="0"/>
          <w:bCs w:val="0"/>
        </w:rPr>
      </w:r>
    </w:p>
    <w:p>
      <w:pPr>
        <w:pStyle w:val="BodyText"/>
        <w:spacing w:line="240" w:lineRule="auto" w:before="109"/>
        <w:ind w:left="575" w:right="0"/>
        <w:jc w:val="left"/>
      </w:pPr>
      <w:r>
        <w:rPr/>
        <w:t>报告期内，根据中国证监会《关于进一步落实上市公司现金分红有关事项的通知》和深圳证券监管局</w:t>
      </w:r>
    </w:p>
    <w:p>
      <w:pPr>
        <w:pStyle w:val="BodyText"/>
        <w:spacing w:line="357" w:lineRule="auto" w:before="133"/>
        <w:ind w:right="142"/>
        <w:jc w:val="left"/>
      </w:pPr>
      <w:r>
        <w:rPr>
          <w:spacing w:val="-2"/>
        </w:rPr>
        <w:t>《关于认真贯彻落实&lt;关于进一步落实上市公司现金分红有关事项的通知&gt;有关要求的通知》（深证局公司</w:t>
      </w:r>
      <w:r>
        <w:rPr>
          <w:spacing w:val="-37"/>
        </w:rPr>
        <w:t> </w:t>
      </w:r>
      <w:r>
        <w:rPr>
          <w:spacing w:val="-37"/>
        </w:rPr>
      </w:r>
      <w:r>
        <w:rPr/>
        <w:t>字[2012]43号）等文件要求，公司制定了未来三年（2012-2014）股东回报规划方案，董事会组织对股东</w:t>
      </w:r>
      <w:r>
        <w:rPr>
          <w:w w:val="100"/>
        </w:rPr>
        <w:t> </w:t>
      </w:r>
      <w:r>
        <w:rPr>
          <w:spacing w:val="-2"/>
        </w:rPr>
        <w:t>回报规划事宜、利润分配尤其是现金分红事项决策程序和机制等事项进行了专项论证，就股东回报规划与</w:t>
      </w:r>
      <w:r>
        <w:rPr>
          <w:spacing w:val="-35"/>
        </w:rPr>
        <w:t> </w:t>
      </w:r>
      <w:r>
        <w:rPr>
          <w:spacing w:val="-35"/>
        </w:rPr>
      </w:r>
      <w:r>
        <w:rPr>
          <w:spacing w:val="-2"/>
        </w:rPr>
        <w:t>独立董事、股东沟通，通过接听投资者电话、投资者互动平台等多种方式听取中小股东的意见和诉求。结</w:t>
      </w:r>
      <w:r>
        <w:rPr>
          <w:spacing w:val="-35"/>
        </w:rPr>
        <w:t> </w:t>
      </w:r>
      <w:r>
        <w:rPr>
          <w:spacing w:val="-35"/>
        </w:rPr>
      </w:r>
      <w:r>
        <w:rPr/>
        <w:t>合公司未来三年2012-2014）股东回报规划，及公司对股东回报规划事宜的论证结果，公司提出了《公司</w:t>
      </w:r>
      <w:r>
        <w:rPr>
          <w:w w:val="100"/>
        </w:rPr>
        <w:t> </w:t>
      </w:r>
      <w:r>
        <w:rPr>
          <w:spacing w:val="-2"/>
        </w:rPr>
        <w:t>章程》修订案，就《公司章程》中有关现金分红的决策程序、具体执行等内容进行修订，进一步明确有关</w:t>
      </w:r>
      <w:r>
        <w:rPr>
          <w:spacing w:val="-35"/>
        </w:rPr>
        <w:t> </w:t>
      </w:r>
      <w:r>
        <w:rPr>
          <w:spacing w:val="-35"/>
        </w:rPr>
      </w:r>
      <w:r>
        <w:rPr/>
        <w:t>利润分配的相关事项。</w:t>
      </w:r>
    </w:p>
    <w:p>
      <w:pPr>
        <w:pStyle w:val="Heading6"/>
        <w:spacing w:line="324" w:lineRule="exact"/>
        <w:ind w:left="152" w:right="0"/>
        <w:jc w:val="left"/>
        <w:rPr>
          <w:b w:val="0"/>
          <w:bCs w:val="0"/>
        </w:rPr>
      </w:pPr>
      <w:r>
        <w:rPr/>
        <w:t>公司报告期利润分配预案及资本公积金转增股本预案符合公司章程等的相关规定。</w:t>
      </w:r>
      <w:r>
        <w:rPr>
          <w:b w:val="0"/>
          <w:bCs w:val="0"/>
        </w:rPr>
      </w:r>
    </w:p>
    <w:p>
      <w:pPr>
        <w:spacing w:line="240" w:lineRule="auto" w:before="16"/>
        <w:rPr>
          <w:rFonts w:ascii="Microsoft JhengHei" w:hAnsi="Microsoft JhengHei" w:cs="Microsoft JhengHei" w:eastAsia="Microsoft JhengHei" w:hint="default"/>
          <w:b/>
          <w:bCs/>
          <w:sz w:val="28"/>
          <w:szCs w:val="28"/>
        </w:rPr>
      </w:pPr>
    </w:p>
    <w:p>
      <w:pPr>
        <w:pStyle w:val="BodyText"/>
        <w:spacing w:line="408" w:lineRule="exact"/>
        <w:ind w:right="0"/>
        <w:jc w:val="left"/>
      </w:pPr>
      <w:r>
        <w:rPr>
          <w:rFonts w:ascii="Microsoft JhengHei" w:hAnsi="Microsoft JhengHei" w:cs="Microsoft JhengHei" w:eastAsia="Microsoft JhengHei" w:hint="default"/>
          <w:b/>
          <w:bCs/>
        </w:rPr>
        <w:t>公司近 </w:t>
      </w:r>
      <w:r>
        <w:rPr>
          <w:rFonts w:ascii="Times New Roman" w:hAnsi="Times New Roman" w:cs="Times New Roman" w:eastAsia="Times New Roman" w:hint="default"/>
          <w:b/>
          <w:bCs/>
        </w:rPr>
        <w:t>3 </w:t>
      </w:r>
      <w:r>
        <w:rPr>
          <w:rFonts w:ascii="Microsoft JhengHei" w:hAnsi="Microsoft JhengHei" w:cs="Microsoft JhengHei" w:eastAsia="Microsoft JhengHei" w:hint="default"/>
          <w:b/>
          <w:bCs/>
        </w:rPr>
        <w:t>年（含报告期）的利润分配预案或方案及资本公积金转增股本预案或方案情况</w:t>
      </w:r>
      <w:r>
        <w:rPr>
          <w:rFonts w:ascii="Microsoft JhengHei" w:hAnsi="Microsoft JhengHei" w:cs="Microsoft JhengHei" w:eastAsia="Microsoft JhengHei" w:hint="default"/>
          <w:b/>
          <w:bCs/>
          <w:spacing w:val="-20"/>
        </w:rPr>
        <w:t> </w:t>
      </w:r>
      <w:r>
        <w:rPr>
          <w:rFonts w:ascii="Microsoft JhengHei" w:hAnsi="Microsoft JhengHei" w:cs="Microsoft JhengHei" w:eastAsia="Microsoft JhengHei" w:hint="default"/>
          <w:b/>
          <w:bCs/>
          <w:spacing w:val="-20"/>
        </w:rPr>
      </w:r>
      <w:r>
        <w:rPr>
          <w:rFonts w:ascii="Times New Roman" w:hAnsi="Times New Roman" w:cs="Times New Roman" w:eastAsia="Times New Roman" w:hint="default"/>
        </w:rPr>
        <w:t>1</w:t>
      </w:r>
      <w:r>
        <w:rPr/>
        <w:t>、</w:t>
      </w:r>
      <w:r>
        <w:rPr>
          <w:rFonts w:ascii="Times New Roman" w:hAnsi="Times New Roman" w:cs="Times New Roman" w:eastAsia="Times New Roman" w:hint="default"/>
        </w:rPr>
        <w:t>2010</w:t>
      </w:r>
      <w:r>
        <w:rPr/>
        <w:t>年度：公司以当年实现的净利润弥补以前年度亏损，</w:t>
      </w:r>
      <w:r>
        <w:rPr>
          <w:rFonts w:ascii="Times New Roman" w:hAnsi="Times New Roman" w:cs="Times New Roman" w:eastAsia="Times New Roman" w:hint="default"/>
        </w:rPr>
        <w:t>2010</w:t>
      </w:r>
      <w:r>
        <w:rPr/>
        <w:t>年度不计提法定盈余公积金，无资本公</w:t>
      </w:r>
      <w:r>
        <w:rPr>
          <w:w w:val="100"/>
        </w:rPr>
        <w:t> </w:t>
      </w:r>
      <w:r>
        <w:rPr/>
        <w:t>积金转增股本方案。</w:t>
      </w:r>
      <w:r>
        <w:rPr>
          <w:spacing w:val="-100"/>
        </w:rPr>
        <w:t> </w:t>
      </w:r>
      <w:r>
        <w:rPr>
          <w:spacing w:val="-100"/>
        </w:rPr>
      </w: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t>年度：公司对当年利润分配采取派发现金红利方式，以公司总股本</w:t>
      </w:r>
      <w:r>
        <w:rPr>
          <w:rFonts w:ascii="Times New Roman" w:hAnsi="Times New Roman" w:cs="Times New Roman" w:eastAsia="Times New Roman" w:hint="default"/>
        </w:rPr>
        <w:t>469,593,364</w:t>
      </w:r>
      <w:r>
        <w:rPr/>
        <w:t>股为基数，向全体</w:t>
      </w:r>
      <w:r>
        <w:rPr>
          <w:w w:val="100"/>
        </w:rPr>
        <w:t> </w:t>
      </w:r>
      <w:r>
        <w:rPr/>
        <w:t>股东每</w:t>
      </w:r>
      <w:r>
        <w:rPr>
          <w:rFonts w:ascii="Times New Roman" w:hAnsi="Times New Roman" w:cs="Times New Roman" w:eastAsia="Times New Roman" w:hint="default"/>
        </w:rPr>
        <w:t>10</w:t>
      </w:r>
      <w:r>
        <w:rPr/>
        <w:t>股派发人民币现金</w:t>
      </w:r>
      <w:r>
        <w:rPr>
          <w:rFonts w:ascii="Times New Roman" w:hAnsi="Times New Roman" w:cs="Times New Roman" w:eastAsia="Times New Roman" w:hint="default"/>
        </w:rPr>
        <w:t>0.3</w:t>
      </w:r>
      <w:r>
        <w:rPr/>
        <w:t>元（含税）。无资本公积金转增股本方案。</w:t>
      </w:r>
      <w:r>
        <w:rPr>
          <w:spacing w:val="-103"/>
        </w:rPr>
        <w:t> </w:t>
      </w:r>
      <w:r>
        <w:rPr>
          <w:spacing w:val="-103"/>
        </w:rPr>
      </w:r>
      <w:r>
        <w:rPr>
          <w:rFonts w:ascii="Times New Roman" w:hAnsi="Times New Roman" w:cs="Times New Roman" w:eastAsia="Times New Roman" w:hint="default"/>
        </w:rPr>
        <w:t>3</w:t>
      </w:r>
      <w:r>
        <w:rPr/>
        <w:t>、</w:t>
      </w:r>
      <w:r>
        <w:rPr>
          <w:rFonts w:ascii="Times New Roman" w:hAnsi="Times New Roman" w:cs="Times New Roman" w:eastAsia="Times New Roman" w:hint="default"/>
        </w:rPr>
        <w:t>2012</w:t>
      </w:r>
      <w:r>
        <w:rPr/>
        <w:t>年度：公司对当年利润分配采取派发现金红利方式，拟以2012年12月31日的公司总股本为基数，</w:t>
      </w:r>
      <w:r>
        <w:rPr>
          <w:w w:val="100"/>
        </w:rPr>
        <w:t> </w:t>
      </w:r>
      <w:r>
        <w:rPr>
          <w:spacing w:val="-2"/>
        </w:rPr>
        <w:t>向全体股东每10股派发现金红利0.4元（含税），送红股0股，不以公积金转增股本。本预案尚需提交公司</w:t>
      </w:r>
      <w:r>
        <w:rPr>
          <w:spacing w:val="-40"/>
        </w:rPr>
        <w:t> </w:t>
      </w:r>
      <w:r>
        <w:rPr>
          <w:spacing w:val="-40"/>
        </w:rPr>
      </w:r>
      <w:r>
        <w:rPr/>
        <w:t>2012年度股东大会审议。</w:t>
      </w:r>
    </w:p>
    <w:p>
      <w:pPr>
        <w:spacing w:after="0" w:line="408" w:lineRule="exact"/>
        <w:jc w:val="left"/>
        <w:sectPr>
          <w:pgSz w:w="11900" w:h="16840"/>
          <w:pgMar w:header="872" w:footer="957" w:top="1120" w:bottom="1180" w:left="980" w:right="980"/>
        </w:sectPr>
      </w:pPr>
    </w:p>
    <w:p>
      <w:pPr>
        <w:spacing w:line="240" w:lineRule="auto" w:before="3"/>
        <w:rPr>
          <w:rFonts w:ascii="宋体" w:hAnsi="宋体" w:cs="宋体" w:eastAsia="宋体" w:hint="default"/>
          <w:sz w:val="19"/>
          <w:szCs w:val="19"/>
        </w:rPr>
      </w:pPr>
    </w:p>
    <w:p>
      <w:pPr>
        <w:pStyle w:val="BodyText"/>
        <w:spacing w:line="240" w:lineRule="auto" w:before="36"/>
        <w:ind w:right="0"/>
        <w:jc w:val="left"/>
      </w:pPr>
      <w:r>
        <w:rPr/>
        <w:t>公司近三年现金分红情况表</w:t>
      </w:r>
    </w:p>
    <w:p>
      <w:pPr>
        <w:pStyle w:val="BodyText"/>
        <w:spacing w:line="240" w:lineRule="auto" w:before="128"/>
        <w:ind w:left="0" w:right="146"/>
        <w:jc w:val="right"/>
      </w:pPr>
      <w:r>
        <w:rPr/>
        <w:t>单位：元</w:t>
      </w:r>
    </w:p>
    <w:p>
      <w:pPr>
        <w:spacing w:line="240" w:lineRule="auto" w:before="11"/>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2390"/>
        <w:gridCol w:w="2395"/>
        <w:gridCol w:w="2390"/>
        <w:gridCol w:w="2390"/>
      </w:tblGrid>
      <w:tr>
        <w:trPr>
          <w:trHeight w:val="206" w:hRule="exact"/>
        </w:trPr>
        <w:tc>
          <w:tcPr>
            <w:tcW w:w="2390" w:type="dxa"/>
            <w:vMerge w:val="restart"/>
            <w:tcBorders>
              <w:top w:val="single" w:sz="4" w:space="0" w:color="000000"/>
              <w:left w:val="single" w:sz="4" w:space="0" w:color="000000"/>
              <w:right w:val="single" w:sz="4" w:space="0" w:color="000000"/>
            </w:tcBorders>
            <w:shd w:val="clear" w:color="auto" w:fill="D2D2D2"/>
          </w:tcPr>
          <w:p>
            <w:pPr/>
          </w:p>
        </w:tc>
        <w:tc>
          <w:tcPr>
            <w:tcW w:w="2395" w:type="dxa"/>
            <w:vMerge w:val="restart"/>
            <w:tcBorders>
              <w:top w:val="single" w:sz="4" w:space="0" w:color="000000"/>
              <w:left w:val="single" w:sz="4" w:space="0" w:color="000000"/>
              <w:right w:val="single" w:sz="4" w:space="0" w:color="000000"/>
            </w:tcBorders>
            <w:shd w:val="clear" w:color="auto" w:fill="D2D2D2"/>
          </w:tcPr>
          <w:p>
            <w:pPr/>
          </w:p>
        </w:tc>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占合并报表中归属于上市</w:t>
            </w:r>
          </w:p>
          <w:p>
            <w:pPr>
              <w:pStyle w:val="TableParagraph"/>
              <w:spacing w:line="240" w:lineRule="auto" w:before="133"/>
              <w:ind w:left="9" w:right="0"/>
              <w:jc w:val="center"/>
              <w:rPr>
                <w:rFonts w:ascii="宋体" w:hAnsi="宋体" w:cs="宋体" w:eastAsia="宋体" w:hint="default"/>
                <w:sz w:val="21"/>
                <w:szCs w:val="21"/>
              </w:rPr>
            </w:pPr>
            <w:r>
              <w:rPr>
                <w:rFonts w:ascii="宋体" w:hAnsi="宋体" w:cs="宋体" w:eastAsia="宋体" w:hint="default"/>
                <w:sz w:val="21"/>
                <w:szCs w:val="21"/>
              </w:rPr>
              <w:t>公司股东的净利润的比率</w:t>
            </w:r>
          </w:p>
          <w:p>
            <w:pPr>
              <w:pStyle w:val="TableParagraph"/>
              <w:spacing w:line="240" w:lineRule="auto" w:before="133"/>
              <w:ind w:left="4"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207" w:hRule="exact"/>
        </w:trPr>
        <w:tc>
          <w:tcPr>
            <w:tcW w:w="2390" w:type="dxa"/>
            <w:vMerge/>
            <w:tcBorders>
              <w:left w:val="single" w:sz="4" w:space="0" w:color="000000"/>
              <w:bottom w:val="nil" w:sz="6" w:space="0" w:color="auto"/>
              <w:right w:val="single" w:sz="4" w:space="0" w:color="000000"/>
            </w:tcBorders>
            <w:shd w:val="clear" w:color="auto" w:fill="D2D2D2"/>
          </w:tcPr>
          <w:p>
            <w:pPr/>
          </w:p>
        </w:tc>
        <w:tc>
          <w:tcPr>
            <w:tcW w:w="2395" w:type="dxa"/>
            <w:vMerge/>
            <w:tcBorders>
              <w:left w:val="single" w:sz="4" w:space="0" w:color="000000"/>
              <w:bottom w:val="nil" w:sz="6" w:space="0" w:color="auto"/>
              <w:right w:val="single" w:sz="4" w:space="0" w:color="000000"/>
            </w:tcBorders>
            <w:shd w:val="clear" w:color="auto" w:fill="D2D2D2"/>
          </w:tcPr>
          <w:p>
            <w:pPr/>
          </w:p>
        </w:tc>
        <w:tc>
          <w:tcPr>
            <w:tcW w:w="2390" w:type="dxa"/>
            <w:vMerge w:val="restart"/>
            <w:tcBorders>
              <w:top w:val="nil" w:sz="6" w:space="0" w:color="auto"/>
              <w:left w:val="single" w:sz="4" w:space="0" w:color="000000"/>
              <w:right w:val="single" w:sz="4" w:space="0" w:color="000000"/>
            </w:tcBorders>
            <w:shd w:val="clear" w:color="auto" w:fill="D2D2D2"/>
          </w:tcPr>
          <w:p>
            <w:pPr>
              <w:pStyle w:val="TableParagraph"/>
              <w:spacing w:line="241" w:lineRule="exact"/>
              <w:ind w:left="33" w:right="0" w:firstLine="4"/>
              <w:jc w:val="left"/>
              <w:rPr>
                <w:rFonts w:ascii="宋体" w:hAnsi="宋体" w:cs="宋体" w:eastAsia="宋体" w:hint="default"/>
                <w:sz w:val="21"/>
                <w:szCs w:val="21"/>
              </w:rPr>
            </w:pPr>
            <w:r>
              <w:rPr>
                <w:rFonts w:ascii="宋体" w:hAnsi="宋体" w:cs="宋体" w:eastAsia="宋体" w:hint="default"/>
                <w:sz w:val="21"/>
                <w:szCs w:val="21"/>
              </w:rPr>
              <w:t>分红年度合并报表中归属</w:t>
            </w:r>
          </w:p>
          <w:p>
            <w:pPr>
              <w:pStyle w:val="TableParagraph"/>
              <w:spacing w:line="240" w:lineRule="auto" w:before="133"/>
              <w:ind w:left="33" w:right="0"/>
              <w:jc w:val="left"/>
              <w:rPr>
                <w:rFonts w:ascii="宋体" w:hAnsi="宋体" w:cs="宋体" w:eastAsia="宋体" w:hint="default"/>
                <w:sz w:val="21"/>
                <w:szCs w:val="21"/>
              </w:rPr>
            </w:pPr>
            <w:r>
              <w:rPr>
                <w:rFonts w:ascii="宋体" w:hAnsi="宋体" w:cs="宋体" w:eastAsia="宋体" w:hint="default"/>
                <w:sz w:val="21"/>
                <w:szCs w:val="21"/>
              </w:rPr>
              <w:t>于上市公司股东的净利润</w:t>
            </w:r>
          </w:p>
        </w:tc>
        <w:tc>
          <w:tcPr>
            <w:tcW w:w="2390" w:type="dxa"/>
            <w:vMerge/>
            <w:tcBorders>
              <w:left w:val="single" w:sz="4" w:space="0" w:color="000000"/>
              <w:right w:val="single" w:sz="4" w:space="0" w:color="000000"/>
            </w:tcBorders>
            <w:shd w:val="clear" w:color="auto" w:fill="D2D2D2"/>
          </w:tcPr>
          <w:p>
            <w:pPr/>
          </w:p>
        </w:tc>
      </w:tr>
      <w:tr>
        <w:trPr>
          <w:trHeight w:val="407"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768"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3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1" w:lineRule="exact"/>
              <w:ind w:left="139" w:right="0"/>
              <w:jc w:val="left"/>
              <w:rPr>
                <w:rFonts w:ascii="宋体" w:hAnsi="宋体" w:cs="宋体" w:eastAsia="宋体" w:hint="default"/>
                <w:sz w:val="21"/>
                <w:szCs w:val="21"/>
              </w:rPr>
            </w:pPr>
            <w:r>
              <w:rPr>
                <w:rFonts w:ascii="宋体" w:hAnsi="宋体" w:cs="宋体" w:eastAsia="宋体" w:hint="default"/>
                <w:sz w:val="21"/>
                <w:szCs w:val="21"/>
              </w:rPr>
              <w:t>现金分红金额（含税）</w:t>
            </w:r>
          </w:p>
        </w:tc>
        <w:tc>
          <w:tcPr>
            <w:tcW w:w="2390" w:type="dxa"/>
            <w:vMerge/>
            <w:tcBorders>
              <w:left w:val="single" w:sz="4" w:space="0" w:color="000000"/>
              <w:right w:val="single" w:sz="4" w:space="0" w:color="000000"/>
            </w:tcBorders>
            <w:shd w:val="clear" w:color="auto" w:fill="D2D2D2"/>
          </w:tcPr>
          <w:p>
            <w:pPr/>
          </w:p>
        </w:tc>
        <w:tc>
          <w:tcPr>
            <w:tcW w:w="2390" w:type="dxa"/>
            <w:vMerge/>
            <w:tcBorders>
              <w:left w:val="single" w:sz="4" w:space="0" w:color="000000"/>
              <w:right w:val="single" w:sz="4" w:space="0" w:color="000000"/>
            </w:tcBorders>
            <w:shd w:val="clear" w:color="auto" w:fill="D2D2D2"/>
          </w:tcPr>
          <w:p>
            <w:pPr/>
          </w:p>
        </w:tc>
      </w:tr>
      <w:tr>
        <w:trPr>
          <w:trHeight w:val="202" w:hRule="exact"/>
        </w:trPr>
        <w:tc>
          <w:tcPr>
            <w:tcW w:w="2390" w:type="dxa"/>
            <w:vMerge w:val="restart"/>
            <w:tcBorders>
              <w:top w:val="nil" w:sz="6" w:space="0" w:color="auto"/>
              <w:left w:val="single" w:sz="4" w:space="0" w:color="000000"/>
              <w:right w:val="single" w:sz="4" w:space="0" w:color="000000"/>
            </w:tcBorders>
            <w:shd w:val="clear" w:color="auto" w:fill="D2D2D2"/>
          </w:tcPr>
          <w:p>
            <w:pPr/>
          </w:p>
        </w:tc>
        <w:tc>
          <w:tcPr>
            <w:tcW w:w="2395" w:type="dxa"/>
            <w:vMerge w:val="restart"/>
            <w:tcBorders>
              <w:top w:val="nil" w:sz="6" w:space="0" w:color="auto"/>
              <w:left w:val="single" w:sz="4" w:space="0" w:color="000000"/>
              <w:right w:val="single" w:sz="4" w:space="0" w:color="000000"/>
            </w:tcBorders>
            <w:shd w:val="clear" w:color="auto" w:fill="D2D2D2"/>
          </w:tcPr>
          <w:p>
            <w:pPr/>
          </w:p>
        </w:tc>
        <w:tc>
          <w:tcPr>
            <w:tcW w:w="2390" w:type="dxa"/>
            <w:vMerge/>
            <w:tcBorders>
              <w:left w:val="single" w:sz="4" w:space="0" w:color="000000"/>
              <w:bottom w:val="nil" w:sz="6" w:space="0" w:color="auto"/>
              <w:right w:val="single" w:sz="4" w:space="0" w:color="000000"/>
            </w:tcBorders>
            <w:shd w:val="clear" w:color="auto" w:fill="D2D2D2"/>
          </w:tcPr>
          <w:p>
            <w:pPr/>
          </w:p>
        </w:tc>
        <w:tc>
          <w:tcPr>
            <w:tcW w:w="2390" w:type="dxa"/>
            <w:vMerge/>
            <w:tcBorders>
              <w:left w:val="single" w:sz="4" w:space="0" w:color="000000"/>
              <w:right w:val="single" w:sz="4" w:space="0" w:color="000000"/>
            </w:tcBorders>
            <w:shd w:val="clear" w:color="auto" w:fill="D2D2D2"/>
          </w:tcPr>
          <w:p>
            <w:pPr/>
          </w:p>
        </w:tc>
      </w:tr>
      <w:tr>
        <w:trPr>
          <w:trHeight w:val="211" w:hRule="exact"/>
        </w:trPr>
        <w:tc>
          <w:tcPr>
            <w:tcW w:w="2390" w:type="dxa"/>
            <w:vMerge/>
            <w:tcBorders>
              <w:left w:val="single" w:sz="4" w:space="0" w:color="000000"/>
              <w:bottom w:val="single" w:sz="4" w:space="0" w:color="000000"/>
              <w:right w:val="single" w:sz="4" w:space="0" w:color="000000"/>
            </w:tcBorders>
            <w:shd w:val="clear" w:color="auto" w:fill="D2D2D2"/>
          </w:tcPr>
          <w:p>
            <w:pPr/>
          </w:p>
        </w:tc>
        <w:tc>
          <w:tcPr>
            <w:tcW w:w="2395" w:type="dxa"/>
            <w:vMerge/>
            <w:tcBorders>
              <w:left w:val="single" w:sz="4" w:space="0" w:color="000000"/>
              <w:bottom w:val="single" w:sz="4" w:space="0" w:color="000000"/>
              <w:right w:val="single" w:sz="4" w:space="0" w:color="000000"/>
            </w:tcBorders>
            <w:shd w:val="clear" w:color="auto" w:fill="D2D2D2"/>
          </w:tcPr>
          <w:p>
            <w:pPr/>
          </w:p>
        </w:tc>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418"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39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18,783,734.56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spacing w:val="-1"/>
                <w:sz w:val="21"/>
              </w:rPr>
              <w:t>193,932,203.55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8"/>
              <w:jc w:val="right"/>
              <w:rPr>
                <w:rFonts w:ascii="Times New Roman" w:hAnsi="Times New Roman" w:cs="Times New Roman" w:eastAsia="Times New Roman" w:hint="default"/>
                <w:sz w:val="21"/>
                <w:szCs w:val="21"/>
              </w:rPr>
            </w:pPr>
            <w:r>
              <w:rPr>
                <w:rFonts w:ascii="Times New Roman"/>
                <w:sz w:val="21"/>
              </w:rPr>
              <w:t>9.69%</w:t>
            </w:r>
          </w:p>
        </w:tc>
      </w:tr>
      <w:tr>
        <w:trPr>
          <w:trHeight w:val="42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239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14,087,800.92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spacing w:val="-1"/>
                <w:sz w:val="21"/>
              </w:rPr>
              <w:t>140,080,654.63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21"/>
                <w:szCs w:val="21"/>
              </w:rPr>
            </w:pPr>
            <w:r>
              <w:rPr>
                <w:rFonts w:ascii="Times New Roman"/>
                <w:sz w:val="21"/>
              </w:rPr>
              <w:t>10.06%</w:t>
            </w:r>
          </w:p>
        </w:tc>
      </w:tr>
      <w:tr>
        <w:trPr>
          <w:trHeight w:val="418"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7"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395" w:type="dxa"/>
            <w:tcBorders>
              <w:top w:val="single" w:sz="4" w:space="0" w:color="000000"/>
              <w:left w:val="single" w:sz="8" w:space="0" w:color="D2D2D2"/>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sz w:val="21"/>
              </w:rPr>
              <w:t>96,586,077.75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8"/>
              <w:jc w:val="right"/>
              <w:rPr>
                <w:rFonts w:ascii="Times New Roman" w:hAnsi="Times New Roman" w:cs="Times New Roman" w:eastAsia="Times New Roman" w:hint="default"/>
                <w:sz w:val="21"/>
                <w:szCs w:val="21"/>
              </w:rPr>
            </w:pPr>
            <w:r>
              <w:rPr>
                <w:rFonts w:ascii="Times New Roman"/>
                <w:sz w:val="21"/>
              </w:rPr>
              <w:t>0%</w:t>
            </w:r>
          </w:p>
        </w:tc>
      </w:tr>
    </w:tbl>
    <w:p>
      <w:pPr>
        <w:pStyle w:val="BodyText"/>
        <w:spacing w:line="241" w:lineRule="exact"/>
        <w:ind w:right="0"/>
        <w:jc w:val="left"/>
      </w:pPr>
      <w:r>
        <w:rPr/>
        <w:t>公司报告期内盈利且母公司未分配利润为正但未提出现金红利分配预案</w:t>
      </w:r>
    </w:p>
    <w:p>
      <w:pPr>
        <w:pStyle w:val="BodyText"/>
        <w:tabs>
          <w:tab w:pos="1103" w:val="left" w:leader="none"/>
        </w:tabs>
        <w:spacing w:line="240" w:lineRule="auto" w:before="133"/>
        <w:ind w:right="0"/>
        <w:jc w:val="left"/>
      </w:pPr>
      <w:r>
        <w:rPr/>
        <w:t>□</w:t>
      </w:r>
      <w:r>
        <w:rPr>
          <w:spacing w:val="3"/>
        </w:rPr>
        <w:t> </w:t>
      </w:r>
      <w:r>
        <w:rPr/>
        <w:t>适用</w:t>
        <w:tab/>
        <w:t>√</w:t>
      </w:r>
      <w:r>
        <w:rPr>
          <w:spacing w:val="-1"/>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r>
        <w:rPr/>
        <w:t>十一、报告期内接待调研、沟通、采访等活动登记表</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4"/>
        <w:rPr>
          <w:rFonts w:ascii="Microsoft JhengHei" w:hAnsi="Microsoft JhengHei" w:cs="Microsoft JhengHei" w:eastAsia="Microsoft JhengHei" w:hint="default"/>
          <w:b/>
          <w:bCs/>
          <w:sz w:val="26"/>
          <w:szCs w:val="26"/>
        </w:rPr>
      </w:pPr>
    </w:p>
    <w:p>
      <w:pPr>
        <w:pStyle w:val="BodyText"/>
        <w:spacing w:line="240" w:lineRule="auto" w:before="36"/>
        <w:ind w:left="0" w:right="170"/>
        <w:jc w:val="right"/>
      </w:pPr>
      <w:r>
        <w:rPr/>
        <w:pict>
          <v:shape style="position:absolute;margin-left:56.400002pt;margin-top:-24.576319pt;width:479.3pt;height:331pt;mso-position-horizontal-relative:page;mso-position-vertical-relative:paragraph;z-index:19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93"/>
                    <w:gridCol w:w="1498"/>
                    <w:gridCol w:w="1498"/>
                    <w:gridCol w:w="1498"/>
                    <w:gridCol w:w="1498"/>
                    <w:gridCol w:w="2088"/>
                  </w:tblGrid>
                  <w:tr>
                    <w:trPr>
                      <w:trHeight w:val="557" w:hRule="exact"/>
                    </w:trPr>
                    <w:tc>
                      <w:tcPr>
                        <w:tcW w:w="1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321" w:right="0"/>
                          <w:jc w:val="left"/>
                          <w:rPr>
                            <w:rFonts w:ascii="宋体" w:hAnsi="宋体" w:cs="宋体" w:eastAsia="宋体" w:hint="default"/>
                            <w:sz w:val="21"/>
                            <w:szCs w:val="21"/>
                          </w:rPr>
                        </w:pPr>
                        <w:r>
                          <w:rPr>
                            <w:rFonts w:ascii="宋体" w:hAnsi="宋体" w:cs="宋体" w:eastAsia="宋体" w:hint="default"/>
                            <w:sz w:val="21"/>
                            <w:szCs w:val="21"/>
                          </w:rPr>
                          <w:t>接待时间</w:t>
                        </w:r>
                      </w:p>
                    </w:tc>
                    <w:tc>
                      <w:tcPr>
                        <w:tcW w:w="1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321" w:right="0"/>
                          <w:jc w:val="left"/>
                          <w:rPr>
                            <w:rFonts w:ascii="宋体" w:hAnsi="宋体" w:cs="宋体" w:eastAsia="宋体" w:hint="default"/>
                            <w:sz w:val="21"/>
                            <w:szCs w:val="21"/>
                          </w:rPr>
                        </w:pPr>
                        <w:r>
                          <w:rPr>
                            <w:rFonts w:ascii="宋体" w:hAnsi="宋体" w:cs="宋体" w:eastAsia="宋体" w:hint="default"/>
                            <w:sz w:val="21"/>
                            <w:szCs w:val="21"/>
                          </w:rPr>
                          <w:t>接待地点</w:t>
                        </w:r>
                      </w:p>
                    </w:tc>
                    <w:tc>
                      <w:tcPr>
                        <w:tcW w:w="1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321" w:right="0"/>
                          <w:jc w:val="left"/>
                          <w:rPr>
                            <w:rFonts w:ascii="宋体" w:hAnsi="宋体" w:cs="宋体" w:eastAsia="宋体" w:hint="default"/>
                            <w:sz w:val="21"/>
                            <w:szCs w:val="21"/>
                          </w:rPr>
                        </w:pPr>
                        <w:r>
                          <w:rPr>
                            <w:rFonts w:ascii="宋体" w:hAnsi="宋体" w:cs="宋体" w:eastAsia="宋体" w:hint="default"/>
                            <w:sz w:val="21"/>
                            <w:szCs w:val="21"/>
                          </w:rPr>
                          <w:t>接待方式</w:t>
                        </w:r>
                      </w:p>
                    </w:tc>
                    <w:tc>
                      <w:tcPr>
                        <w:tcW w:w="1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10" w:right="0"/>
                          <w:jc w:val="left"/>
                          <w:rPr>
                            <w:rFonts w:ascii="宋体" w:hAnsi="宋体" w:cs="宋体" w:eastAsia="宋体" w:hint="default"/>
                            <w:sz w:val="21"/>
                            <w:szCs w:val="21"/>
                          </w:rPr>
                        </w:pPr>
                        <w:r>
                          <w:rPr>
                            <w:rFonts w:ascii="宋体" w:hAnsi="宋体" w:cs="宋体" w:eastAsia="宋体" w:hint="default"/>
                            <w:sz w:val="21"/>
                            <w:szCs w:val="21"/>
                          </w:rPr>
                          <w:t>接待对象类型</w:t>
                        </w:r>
                      </w:p>
                    </w:tc>
                    <w:tc>
                      <w:tcPr>
                        <w:tcW w:w="1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321" w:right="0"/>
                          <w:jc w:val="left"/>
                          <w:rPr>
                            <w:rFonts w:ascii="宋体" w:hAnsi="宋体" w:cs="宋体" w:eastAsia="宋体" w:hint="default"/>
                            <w:sz w:val="21"/>
                            <w:szCs w:val="21"/>
                          </w:rPr>
                        </w:pPr>
                        <w:r>
                          <w:rPr>
                            <w:rFonts w:ascii="宋体" w:hAnsi="宋体" w:cs="宋体" w:eastAsia="宋体" w:hint="default"/>
                            <w:sz w:val="21"/>
                            <w:szCs w:val="21"/>
                          </w:rPr>
                          <w:t>接待对象</w:t>
                        </w:r>
                      </w:p>
                    </w:tc>
                    <w:tc>
                      <w:tcPr>
                        <w:tcW w:w="20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right="0"/>
                          <w:jc w:val="center"/>
                          <w:rPr>
                            <w:rFonts w:ascii="宋体" w:hAnsi="宋体" w:cs="宋体" w:eastAsia="宋体" w:hint="default"/>
                            <w:sz w:val="21"/>
                            <w:szCs w:val="21"/>
                          </w:rPr>
                        </w:pPr>
                        <w:r>
                          <w:rPr>
                            <w:rFonts w:ascii="宋体" w:hAnsi="宋体" w:cs="宋体" w:eastAsia="宋体" w:hint="default"/>
                            <w:sz w:val="21"/>
                            <w:szCs w:val="21"/>
                          </w:rPr>
                          <w:t>谈论的主要内容及提</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供的资料</w:t>
                        </w:r>
                      </w:p>
                    </w:tc>
                  </w:tr>
                  <w:tr>
                    <w:trPr>
                      <w:trHeight w:val="82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95"/>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宋体" w:hAnsi="宋体" w:cs="宋体" w:eastAsia="宋体" w:hint="default"/>
                            <w:sz w:val="21"/>
                            <w:szCs w:val="21"/>
                          </w:rPr>
                          <w:t>、</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个人</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3" w:right="0"/>
                          <w:jc w:val="left"/>
                          <w:rPr>
                            <w:rFonts w:ascii="宋体" w:hAnsi="宋体" w:cs="宋体" w:eastAsia="宋体" w:hint="default"/>
                            <w:sz w:val="21"/>
                            <w:szCs w:val="21"/>
                          </w:rPr>
                        </w:pPr>
                        <w:r>
                          <w:rPr>
                            <w:rFonts w:ascii="宋体" w:hAnsi="宋体" w:cs="宋体" w:eastAsia="宋体" w:hint="default"/>
                            <w:sz w:val="21"/>
                            <w:szCs w:val="21"/>
                          </w:rPr>
                          <w:t>关注公司一季度业绩</w:t>
                        </w:r>
                      </w:p>
                      <w:p>
                        <w:pPr>
                          <w:pStyle w:val="TableParagraph"/>
                          <w:spacing w:line="268" w:lineRule="exact" w:before="30"/>
                          <w:ind w:left="23" w:right="156"/>
                          <w:jc w:val="left"/>
                          <w:rPr>
                            <w:rFonts w:ascii="宋体" w:hAnsi="宋体" w:cs="宋体" w:eastAsia="宋体" w:hint="default"/>
                            <w:sz w:val="21"/>
                            <w:szCs w:val="21"/>
                          </w:rPr>
                        </w:pPr>
                        <w:r>
                          <w:rPr>
                            <w:rFonts w:ascii="宋体" w:hAnsi="宋体" w:cs="宋体" w:eastAsia="宋体" w:hint="default"/>
                            <w:sz w:val="21"/>
                            <w:szCs w:val="21"/>
                          </w:rPr>
                          <w:t>房地产宏观调控对公</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司的影响情况</w:t>
                        </w:r>
                      </w:p>
                    </w:tc>
                  </w:tr>
                  <w:tr>
                    <w:trPr>
                      <w:trHeight w:val="826"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95"/>
                          <w:ind w:left="2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17</w:t>
                        </w:r>
                      </w:p>
                      <w:p>
                        <w:pPr>
                          <w:pStyle w:val="TableParagraph"/>
                          <w:spacing w:line="282" w:lineRule="exact"/>
                          <w:ind w:left="24" w:right="0"/>
                          <w:jc w:val="left"/>
                          <w:rPr>
                            <w:rFonts w:ascii="宋体" w:hAnsi="宋体" w:cs="宋体" w:eastAsia="宋体" w:hint="default"/>
                            <w:sz w:val="21"/>
                            <w:szCs w:val="21"/>
                          </w:rPr>
                        </w:pPr>
                        <w:r>
                          <w:rPr>
                            <w:rFonts w:ascii="宋体" w:hAnsi="宋体" w:cs="宋体" w:eastAsia="宋体" w:hint="default"/>
                            <w:sz w:val="21"/>
                            <w:szCs w:val="21"/>
                          </w:rPr>
                          <w:t>日、</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个人</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3" w:right="0"/>
                          <w:jc w:val="left"/>
                          <w:rPr>
                            <w:rFonts w:ascii="宋体" w:hAnsi="宋体" w:cs="宋体" w:eastAsia="宋体" w:hint="default"/>
                            <w:sz w:val="21"/>
                            <w:szCs w:val="21"/>
                          </w:rPr>
                        </w:pPr>
                        <w:r>
                          <w:rPr>
                            <w:rFonts w:ascii="宋体" w:hAnsi="宋体" w:cs="宋体" w:eastAsia="宋体" w:hint="default"/>
                            <w:spacing w:val="-8"/>
                            <w:sz w:val="21"/>
                            <w:szCs w:val="21"/>
                          </w:rPr>
                          <w:t>询问公司经营情况、公</w:t>
                        </w:r>
                      </w:p>
                      <w:p>
                        <w:pPr>
                          <w:pStyle w:val="TableParagraph"/>
                          <w:spacing w:line="240" w:lineRule="auto"/>
                          <w:ind w:left="23" w:right="156"/>
                          <w:jc w:val="left"/>
                          <w:rPr>
                            <w:rFonts w:ascii="宋体" w:hAnsi="宋体" w:cs="宋体" w:eastAsia="宋体" w:hint="default"/>
                            <w:sz w:val="21"/>
                            <w:szCs w:val="21"/>
                          </w:rPr>
                        </w:pPr>
                        <w:r>
                          <w:rPr>
                            <w:rFonts w:ascii="宋体" w:hAnsi="宋体" w:cs="宋体" w:eastAsia="宋体" w:hint="default"/>
                            <w:sz w:val="21"/>
                            <w:szCs w:val="21"/>
                          </w:rPr>
                          <w:t>司房地产项目销售情</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况</w:t>
                        </w:r>
                      </w:p>
                    </w:tc>
                  </w:tr>
                  <w:tr>
                    <w:trPr>
                      <w:trHeight w:val="278" w:hRule="exact"/>
                    </w:trPr>
                    <w:tc>
                      <w:tcPr>
                        <w:tcW w:w="1493"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2088"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宋体" w:hAnsi="宋体" w:cs="宋体" w:eastAsia="宋体" w:hint="default"/>
                            <w:sz w:val="21"/>
                            <w:szCs w:val="21"/>
                          </w:rPr>
                          <w:t>询问公司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年度中</w:t>
                        </w:r>
                      </w:p>
                    </w:tc>
                  </w:tr>
                  <w:tr>
                    <w:trPr>
                      <w:trHeight w:val="268" w:hRule="exact"/>
                    </w:trPr>
                    <w:tc>
                      <w:tcPr>
                        <w:tcW w:w="1493"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2088"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期业绩、业绩预告时</w:t>
                        </w:r>
                      </w:p>
                    </w:tc>
                  </w:tr>
                  <w:tr>
                    <w:trPr>
                      <w:trHeight w:val="551" w:hRule="exact"/>
                    </w:trPr>
                    <w:tc>
                      <w:tcPr>
                        <w:tcW w:w="1493"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11——25</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4"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个人</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23"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2088"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宋体" w:hAnsi="宋体" w:cs="宋体" w:eastAsia="宋体" w:hint="default"/>
                            <w:sz w:val="21"/>
                            <w:szCs w:val="21"/>
                          </w:rPr>
                        </w:pPr>
                        <w:r>
                          <w:rPr>
                            <w:rFonts w:ascii="宋体" w:hAnsi="宋体" w:cs="宋体" w:eastAsia="宋体" w:hint="default"/>
                            <w:sz w:val="21"/>
                            <w:szCs w:val="21"/>
                          </w:rPr>
                          <w:t>间、公司</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年度权</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spacing w:val="-8"/>
                            <w:sz w:val="21"/>
                            <w:szCs w:val="21"/>
                          </w:rPr>
                          <w:t>益派发时间、房地产项</w:t>
                        </w:r>
                      </w:p>
                    </w:tc>
                  </w:tr>
                  <w:tr>
                    <w:trPr>
                      <w:trHeight w:val="265" w:hRule="exact"/>
                    </w:trPr>
                    <w:tc>
                      <w:tcPr>
                        <w:tcW w:w="1493"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1498" w:type="dxa"/>
                        <w:tcBorders>
                          <w:top w:val="nil" w:sz="6" w:space="0" w:color="auto"/>
                          <w:left w:val="single" w:sz="4" w:space="0" w:color="000000"/>
                          <w:bottom w:val="nil" w:sz="6" w:space="0" w:color="auto"/>
                          <w:right w:val="single" w:sz="4" w:space="0" w:color="000000"/>
                        </w:tcBorders>
                      </w:tcPr>
                      <w:p>
                        <w:pPr/>
                      </w:p>
                    </w:tc>
                    <w:tc>
                      <w:tcPr>
                        <w:tcW w:w="2088"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目销售情况及公司房</w:t>
                        </w:r>
                      </w:p>
                    </w:tc>
                  </w:tr>
                  <w:tr>
                    <w:trPr>
                      <w:trHeight w:val="285" w:hRule="exact"/>
                    </w:trPr>
                    <w:tc>
                      <w:tcPr>
                        <w:tcW w:w="1493"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2088"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地产项目储备情况等</w:t>
                        </w:r>
                      </w:p>
                    </w:tc>
                  </w:tr>
                  <w:tr>
                    <w:trPr>
                      <w:trHeight w:val="1099"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95"/>
                          <w:ind w:left="2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04</w:t>
                        </w:r>
                      </w:p>
                      <w:p>
                        <w:pPr>
                          <w:pStyle w:val="TableParagraph"/>
                          <w:spacing w:line="268" w:lineRule="exact" w:before="22"/>
                          <w:ind w:left="24" w:right="141"/>
                          <w:jc w:val="left"/>
                          <w:rPr>
                            <w:rFonts w:ascii="宋体" w:hAnsi="宋体" w:cs="宋体" w:eastAsia="宋体" w:hint="default"/>
                            <w:sz w:val="21"/>
                            <w:szCs w:val="21"/>
                          </w:rPr>
                        </w:pPr>
                        <w:r>
                          <w:rPr>
                            <w:rFonts w:ascii="宋体" w:hAnsi="宋体" w:cs="宋体" w:eastAsia="宋体" w:hint="default"/>
                            <w:sz w:val="21"/>
                            <w:szCs w:val="21"/>
                          </w:rPr>
                          <w:t>日、</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日</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个人</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3" w:right="0"/>
                          <w:jc w:val="left"/>
                          <w:rPr>
                            <w:rFonts w:ascii="宋体" w:hAnsi="宋体" w:cs="宋体" w:eastAsia="宋体" w:hint="default"/>
                            <w:sz w:val="21"/>
                            <w:szCs w:val="21"/>
                          </w:rPr>
                        </w:pPr>
                        <w:r>
                          <w:rPr>
                            <w:rFonts w:ascii="宋体" w:hAnsi="宋体" w:cs="宋体" w:eastAsia="宋体" w:hint="default"/>
                            <w:sz w:val="21"/>
                            <w:szCs w:val="21"/>
                          </w:rPr>
                          <w:t>询问公司三季度业绩</w:t>
                        </w:r>
                      </w:p>
                      <w:p>
                        <w:pPr>
                          <w:pStyle w:val="TableParagraph"/>
                          <w:spacing w:line="237" w:lineRule="auto" w:before="2"/>
                          <w:ind w:left="23" w:right="17"/>
                          <w:jc w:val="left"/>
                          <w:rPr>
                            <w:rFonts w:ascii="宋体" w:hAnsi="宋体" w:cs="宋体" w:eastAsia="宋体" w:hint="default"/>
                            <w:sz w:val="21"/>
                            <w:szCs w:val="21"/>
                          </w:rPr>
                        </w:pPr>
                        <w:r>
                          <w:rPr>
                            <w:rFonts w:ascii="宋体" w:hAnsi="宋体" w:cs="宋体" w:eastAsia="宋体" w:hint="default"/>
                            <w:sz w:val="21"/>
                            <w:szCs w:val="21"/>
                          </w:rPr>
                          <w:t>发表关于公司的股东</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8"/>
                            <w:sz w:val="21"/>
                            <w:szCs w:val="21"/>
                          </w:rPr>
                          <w:t>回报规划的建议、咨询</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公司经营情况</w:t>
                        </w:r>
                      </w:p>
                    </w:tc>
                  </w:tr>
                  <w:tr>
                    <w:trPr>
                      <w:trHeight w:val="278" w:hRule="exact"/>
                    </w:trPr>
                    <w:tc>
                      <w:tcPr>
                        <w:tcW w:w="1493"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single" w:sz="4" w:space="0" w:color="000000"/>
                        </w:tcBorders>
                      </w:tcPr>
                      <w:p>
                        <w:pPr/>
                      </w:p>
                    </w:tc>
                    <w:tc>
                      <w:tcPr>
                        <w:tcW w:w="2088"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宋体" w:hAnsi="宋体" w:cs="宋体" w:eastAsia="宋体" w:hint="default"/>
                            <w:sz w:val="21"/>
                            <w:szCs w:val="21"/>
                          </w:rPr>
                          <w:t>询问公司</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年报中</w:t>
                        </w:r>
                      </w:p>
                    </w:tc>
                  </w:tr>
                  <w:tr>
                    <w:trPr>
                      <w:trHeight w:val="545" w:hRule="exact"/>
                    </w:trPr>
                    <w:tc>
                      <w:tcPr>
                        <w:tcW w:w="1493" w:type="dxa"/>
                        <w:tcBorders>
                          <w:top w:val="nil" w:sz="6" w:space="0" w:color="auto"/>
                          <w:left w:val="single" w:sz="4" w:space="0" w:color="000000"/>
                          <w:bottom w:val="nil" w:sz="6" w:space="0" w:color="auto"/>
                          <w:right w:val="single" w:sz="4" w:space="0" w:color="000000"/>
                        </w:tcBorders>
                      </w:tcPr>
                      <w:p>
                        <w:pPr>
                          <w:pStyle w:val="TableParagraph"/>
                          <w:spacing w:line="244"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4"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3" w:right="0"/>
                          <w:jc w:val="left"/>
                          <w:rPr>
                            <w:rFonts w:ascii="宋体" w:hAnsi="宋体" w:cs="宋体" w:eastAsia="宋体" w:hint="default"/>
                            <w:sz w:val="21"/>
                            <w:szCs w:val="21"/>
                          </w:rPr>
                        </w:pPr>
                        <w:r>
                          <w:rPr>
                            <w:rFonts w:ascii="宋体" w:hAnsi="宋体" w:cs="宋体" w:eastAsia="宋体" w:hint="default"/>
                            <w:sz w:val="21"/>
                            <w:szCs w:val="21"/>
                          </w:rPr>
                          <w:t>个人</w:t>
                        </w:r>
                      </w:p>
                    </w:tc>
                    <w:tc>
                      <w:tcPr>
                        <w:tcW w:w="1498"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3"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2088"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21"/>
                            <w:szCs w:val="21"/>
                          </w:rPr>
                        </w:pPr>
                        <w:r>
                          <w:rPr>
                            <w:rFonts w:ascii="宋体" w:hAnsi="宋体" w:cs="宋体" w:eastAsia="宋体" w:hint="default"/>
                            <w:sz w:val="21"/>
                            <w:szCs w:val="21"/>
                          </w:rPr>
                          <w:t>披露的职工人数等情</w:t>
                        </w:r>
                      </w:p>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pacing w:val="-8"/>
                            <w:sz w:val="21"/>
                            <w:szCs w:val="21"/>
                          </w:rPr>
                          <w:t>况、询问三季度业绩增</w:t>
                        </w:r>
                      </w:p>
                    </w:tc>
                  </w:tr>
                  <w:tr>
                    <w:trPr>
                      <w:trHeight w:val="277" w:hRule="exact"/>
                    </w:trPr>
                    <w:tc>
                      <w:tcPr>
                        <w:tcW w:w="1493"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single" w:sz="4" w:space="0" w:color="000000"/>
                        </w:tcBorders>
                      </w:tcPr>
                      <w:p>
                        <w:pPr/>
                      </w:p>
                    </w:tc>
                    <w:tc>
                      <w:tcPr>
                        <w:tcW w:w="2088"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长情况</w:t>
                        </w:r>
                      </w:p>
                    </w:tc>
                  </w:tr>
                  <w:tr>
                    <w:trPr>
                      <w:trHeight w:val="557" w:hRule="exact"/>
                    </w:trPr>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w:t>
                        </w:r>
                        <w:r>
                          <w:rPr>
                            <w:rFonts w:ascii="宋体" w:hAnsi="宋体" w:cs="宋体" w:eastAsia="宋体" w:hint="default"/>
                            <w:sz w:val="21"/>
                            <w:szCs w:val="21"/>
                          </w:rPr>
                          <w:t>、</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个人</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个人投资者</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询问公司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年度业</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sz w:val="21"/>
                            <w:szCs w:val="21"/>
                          </w:rPr>
                          <w:t>绩及日常经营情况</w:t>
                        </w:r>
                      </w:p>
                    </w:tc>
                  </w:tr>
                </w:tbl>
                <w:p>
                  <w:pPr/>
                </w:p>
              </w:txbxContent>
            </v:textbox>
            <w10:wrap type="none"/>
          </v:shape>
        </w:pict>
      </w:r>
      <w:r>
        <w:rPr>
          <w:w w:val="10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240" w:lineRule="auto" w:before="36"/>
        <w:ind w:left="0" w:right="170"/>
        <w:jc w:val="right"/>
      </w:pPr>
      <w:r>
        <w:rPr>
          <w:w w:val="100"/>
        </w:rPr>
        <w:t>、</w:t>
      </w:r>
    </w:p>
    <w:p>
      <w:pPr>
        <w:spacing w:after="0" w:line="240" w:lineRule="auto"/>
        <w:jc w:val="right"/>
        <w:sectPr>
          <w:pgSz w:w="11900" w:h="16840"/>
          <w:pgMar w:header="872" w:footer="957" w:top="1120" w:bottom="1180" w:left="98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458" w:lineRule="exact"/>
        <w:ind w:left="1912" w:right="1915"/>
        <w:jc w:val="center"/>
        <w:rPr>
          <w:b w:val="0"/>
          <w:bCs w:val="0"/>
        </w:rPr>
      </w:pPr>
      <w:bookmarkStart w:name="_TOC_250006" w:id="5"/>
      <w:r>
        <w:rPr/>
        <w:t>第五节 </w:t>
      </w:r>
      <w:r>
        <w:rPr>
          <w:spacing w:val="8"/>
        </w:rPr>
        <w:t> </w:t>
      </w:r>
      <w:r>
        <w:rPr/>
        <w:t>重要事项</w:t>
      </w:r>
      <w:bookmarkEnd w:id="5"/>
      <w:r>
        <w:rPr>
          <w:b w:val="0"/>
          <w:bCs w:val="0"/>
        </w:rPr>
      </w:r>
    </w:p>
    <w:p>
      <w:pPr>
        <w:spacing w:line="240" w:lineRule="auto" w:before="2"/>
        <w:rPr>
          <w:rFonts w:ascii="Microsoft JhengHei" w:hAnsi="Microsoft JhengHei" w:cs="Microsoft JhengHei" w:eastAsia="Microsoft JhengHei" w:hint="default"/>
          <w:b/>
          <w:bCs/>
          <w:sz w:val="14"/>
          <w:szCs w:val="14"/>
        </w:rPr>
      </w:pPr>
    </w:p>
    <w:p>
      <w:pPr>
        <w:pStyle w:val="Heading4"/>
        <w:spacing w:line="367" w:lineRule="exact"/>
        <w:ind w:right="0"/>
        <w:jc w:val="left"/>
        <w:rPr>
          <w:b w:val="0"/>
          <w:bCs w:val="0"/>
        </w:rPr>
      </w:pPr>
      <w:r>
        <w:rPr/>
        <w:t>一、重大诉讼仲裁事项</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240" w:lineRule="auto"/>
        <w:ind w:right="0"/>
        <w:jc w:val="left"/>
      </w:pPr>
      <w:r>
        <w:rPr/>
        <w:t>√ 适用 □</w:t>
      </w:r>
      <w:r>
        <w:rPr>
          <w:spacing w:val="3"/>
        </w:rPr>
        <w:t> </w:t>
      </w:r>
      <w:r>
        <w:rPr/>
        <w:t>不适用</w:t>
      </w:r>
    </w:p>
    <w:p>
      <w:pPr>
        <w:spacing w:line="240" w:lineRule="auto" w:before="7"/>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560"/>
        <w:gridCol w:w="130"/>
        <w:gridCol w:w="850"/>
        <w:gridCol w:w="1262"/>
        <w:gridCol w:w="955"/>
        <w:gridCol w:w="1392"/>
        <w:gridCol w:w="1262"/>
        <w:gridCol w:w="1080"/>
        <w:gridCol w:w="1080"/>
      </w:tblGrid>
      <w:tr>
        <w:trPr>
          <w:trHeight w:val="557"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诉讼</w:t>
            </w:r>
            <w:r>
              <w:rPr>
                <w:rFonts w:ascii="Times New Roman" w:hAnsi="Times New Roman" w:cs="Times New Roman" w:eastAsia="Times New Roman" w:hint="default"/>
                <w:sz w:val="21"/>
                <w:szCs w:val="21"/>
              </w:rPr>
              <w:t>(</w:t>
            </w:r>
            <w:r>
              <w:rPr>
                <w:rFonts w:ascii="宋体" w:hAnsi="宋体" w:cs="宋体" w:eastAsia="宋体" w:hint="default"/>
                <w:sz w:val="21"/>
                <w:szCs w:val="21"/>
              </w:rPr>
              <w:t>仲裁</w:t>
            </w:r>
            <w:r>
              <w:rPr>
                <w:rFonts w:ascii="Times New Roman" w:hAnsi="Times New Roman" w:cs="Times New Roman" w:eastAsia="Times New Roman" w:hint="default"/>
                <w:sz w:val="21"/>
                <w:szCs w:val="21"/>
              </w:rPr>
              <w:t>)</w:t>
            </w:r>
            <w:r>
              <w:rPr>
                <w:rFonts w:ascii="宋体" w:hAnsi="宋体" w:cs="宋体" w:eastAsia="宋体" w:hint="default"/>
                <w:sz w:val="21"/>
                <w:szCs w:val="21"/>
              </w:rPr>
              <w:t>基本</w:t>
            </w:r>
          </w:p>
          <w:p>
            <w:pPr>
              <w:pStyle w:val="TableParagraph"/>
              <w:spacing w:line="266" w:lineRule="exact"/>
              <w:ind w:right="2"/>
              <w:jc w:val="center"/>
              <w:rPr>
                <w:rFonts w:ascii="宋体" w:hAnsi="宋体" w:cs="宋体" w:eastAsia="宋体" w:hint="default"/>
                <w:sz w:val="21"/>
                <w:szCs w:val="21"/>
              </w:rPr>
            </w:pPr>
            <w:r>
              <w:rPr>
                <w:rFonts w:ascii="宋体" w:hAnsi="宋体" w:cs="宋体" w:eastAsia="宋体" w:hint="default"/>
                <w:sz w:val="21"/>
                <w:szCs w:val="21"/>
              </w:rPr>
              <w:t>情况</w:t>
            </w: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left="62" w:right="0"/>
              <w:jc w:val="left"/>
              <w:rPr>
                <w:rFonts w:ascii="宋体" w:hAnsi="宋体" w:cs="宋体" w:eastAsia="宋体" w:hint="default"/>
                <w:sz w:val="21"/>
                <w:szCs w:val="21"/>
              </w:rPr>
            </w:pPr>
            <w:r>
              <w:rPr>
                <w:rFonts w:ascii="宋体" w:hAnsi="宋体" w:cs="宋体" w:eastAsia="宋体" w:hint="default"/>
                <w:sz w:val="21"/>
                <w:szCs w:val="21"/>
              </w:rPr>
              <w:t>涉案金额</w:t>
            </w:r>
          </w:p>
          <w:p>
            <w:pPr>
              <w:pStyle w:val="TableParagraph"/>
              <w:spacing w:line="274" w:lineRule="exact"/>
              <w:ind w:left="62"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1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right="3"/>
              <w:jc w:val="center"/>
              <w:rPr>
                <w:rFonts w:ascii="宋体" w:hAnsi="宋体" w:cs="宋体" w:eastAsia="宋体" w:hint="default"/>
                <w:sz w:val="21"/>
                <w:szCs w:val="21"/>
              </w:rPr>
            </w:pPr>
            <w:r>
              <w:rPr>
                <w:rFonts w:ascii="宋体" w:hAnsi="宋体" w:cs="宋体" w:eastAsia="宋体" w:hint="default"/>
                <w:sz w:val="21"/>
                <w:szCs w:val="21"/>
              </w:rPr>
              <w:t>是否形成预</w:t>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sz w:val="21"/>
                <w:szCs w:val="21"/>
              </w:rPr>
              <w:t>计负债</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3" w:lineRule="exact"/>
              <w:ind w:left="120" w:right="0"/>
              <w:jc w:val="left"/>
              <w:rPr>
                <w:rFonts w:ascii="宋体" w:hAnsi="宋体" w:cs="宋体" w:eastAsia="宋体" w:hint="default"/>
                <w:sz w:val="21"/>
                <w:szCs w:val="21"/>
              </w:rPr>
            </w:pPr>
            <w:r>
              <w:rPr>
                <w:rFonts w:ascii="宋体" w:hAnsi="宋体" w:cs="宋体" w:eastAsia="宋体" w:hint="default"/>
                <w:sz w:val="21"/>
                <w:szCs w:val="21"/>
              </w:rPr>
              <w:t>诉讼</w:t>
            </w:r>
            <w:r>
              <w:rPr>
                <w:rFonts w:ascii="Times New Roman" w:hAnsi="Times New Roman" w:cs="Times New Roman" w:eastAsia="Times New Roman" w:hint="default"/>
                <w:sz w:val="21"/>
                <w:szCs w:val="21"/>
              </w:rPr>
              <w:t>(</w:t>
            </w:r>
            <w:r>
              <w:rPr>
                <w:rFonts w:ascii="宋体" w:hAnsi="宋体" w:cs="宋体" w:eastAsia="宋体" w:hint="default"/>
                <w:sz w:val="21"/>
                <w:szCs w:val="21"/>
              </w:rPr>
              <w:t>仲</w:t>
            </w:r>
          </w:p>
          <w:p>
            <w:pPr>
              <w:pStyle w:val="TableParagraph"/>
              <w:spacing w:line="282" w:lineRule="exact"/>
              <w:ind w:left="120" w:right="0"/>
              <w:jc w:val="left"/>
              <w:rPr>
                <w:rFonts w:ascii="宋体" w:hAnsi="宋体" w:cs="宋体" w:eastAsia="宋体" w:hint="default"/>
                <w:sz w:val="21"/>
                <w:szCs w:val="21"/>
              </w:rPr>
            </w:pPr>
            <w:r>
              <w:rPr>
                <w:rFonts w:ascii="宋体" w:hAnsi="宋体" w:cs="宋体" w:eastAsia="宋体" w:hint="default"/>
                <w:sz w:val="21"/>
                <w:szCs w:val="21"/>
              </w:rPr>
              <w:t>裁</w:t>
            </w:r>
            <w:r>
              <w:rPr>
                <w:rFonts w:ascii="Times New Roman" w:hAnsi="Times New Roman" w:cs="Times New Roman" w:eastAsia="Times New Roman" w:hint="default"/>
                <w:sz w:val="21"/>
                <w:szCs w:val="21"/>
              </w:rPr>
              <w:t>)</w:t>
            </w:r>
            <w:r>
              <w:rPr>
                <w:rFonts w:ascii="宋体" w:hAnsi="宋体" w:cs="宋体" w:eastAsia="宋体" w:hint="default"/>
                <w:sz w:val="21"/>
                <w:szCs w:val="21"/>
              </w:rPr>
              <w:t>进展</w:t>
            </w:r>
          </w:p>
        </w:tc>
        <w:tc>
          <w:tcPr>
            <w:tcW w:w="1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3" w:lineRule="exact"/>
              <w:ind w:left="57" w:right="0" w:firstLine="33"/>
              <w:jc w:val="left"/>
              <w:rPr>
                <w:rFonts w:ascii="宋体" w:hAnsi="宋体" w:cs="宋体" w:eastAsia="宋体" w:hint="default"/>
                <w:sz w:val="21"/>
                <w:szCs w:val="21"/>
              </w:rPr>
            </w:pPr>
            <w:r>
              <w:rPr>
                <w:rFonts w:ascii="宋体" w:hAnsi="宋体" w:cs="宋体" w:eastAsia="宋体" w:hint="default"/>
                <w:sz w:val="21"/>
                <w:szCs w:val="21"/>
              </w:rPr>
              <w:t>诉讼</w:t>
            </w:r>
            <w:r>
              <w:rPr>
                <w:rFonts w:ascii="Times New Roman" w:hAnsi="Times New Roman" w:cs="Times New Roman" w:eastAsia="Times New Roman" w:hint="default"/>
                <w:sz w:val="21"/>
                <w:szCs w:val="21"/>
              </w:rPr>
              <w:t>(</w:t>
            </w:r>
            <w:r>
              <w:rPr>
                <w:rFonts w:ascii="宋体" w:hAnsi="宋体" w:cs="宋体" w:eastAsia="宋体" w:hint="default"/>
                <w:sz w:val="21"/>
                <w:szCs w:val="21"/>
              </w:rPr>
              <w:t>仲裁</w:t>
            </w:r>
            <w:r>
              <w:rPr>
                <w:rFonts w:ascii="Times New Roman" w:hAnsi="Times New Roman" w:cs="Times New Roman" w:eastAsia="Times New Roman" w:hint="default"/>
                <w:sz w:val="21"/>
                <w:szCs w:val="21"/>
              </w:rPr>
              <w:t>)</w:t>
            </w:r>
            <w:r>
              <w:rPr>
                <w:rFonts w:ascii="宋体" w:hAnsi="宋体" w:cs="宋体" w:eastAsia="宋体" w:hint="default"/>
                <w:sz w:val="21"/>
                <w:szCs w:val="21"/>
              </w:rPr>
              <w:t>审</w:t>
            </w:r>
          </w:p>
          <w:p>
            <w:pPr>
              <w:pStyle w:val="TableParagraph"/>
              <w:spacing w:line="266" w:lineRule="exact"/>
              <w:ind w:left="57" w:right="0"/>
              <w:jc w:val="left"/>
              <w:rPr>
                <w:rFonts w:ascii="宋体" w:hAnsi="宋体" w:cs="宋体" w:eastAsia="宋体" w:hint="default"/>
                <w:sz w:val="21"/>
                <w:szCs w:val="21"/>
              </w:rPr>
            </w:pPr>
            <w:r>
              <w:rPr>
                <w:rFonts w:ascii="宋体" w:hAnsi="宋体" w:cs="宋体" w:eastAsia="宋体" w:hint="default"/>
                <w:sz w:val="21"/>
                <w:szCs w:val="21"/>
              </w:rPr>
              <w:t>理结果及影响</w:t>
            </w:r>
          </w:p>
        </w:tc>
        <w:tc>
          <w:tcPr>
            <w:tcW w:w="12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3" w:lineRule="exact"/>
              <w:ind w:left="100" w:right="0" w:hanging="68"/>
              <w:jc w:val="left"/>
              <w:rPr>
                <w:rFonts w:ascii="宋体" w:hAnsi="宋体" w:cs="宋体" w:eastAsia="宋体" w:hint="default"/>
                <w:sz w:val="21"/>
                <w:szCs w:val="21"/>
              </w:rPr>
            </w:pPr>
            <w:r>
              <w:rPr>
                <w:rFonts w:ascii="宋体" w:hAnsi="宋体" w:cs="宋体" w:eastAsia="宋体" w:hint="default"/>
                <w:sz w:val="21"/>
                <w:szCs w:val="21"/>
              </w:rPr>
              <w:t>诉讼</w:t>
            </w:r>
            <w:r>
              <w:rPr>
                <w:rFonts w:ascii="Times New Roman" w:hAnsi="Times New Roman" w:cs="Times New Roman" w:eastAsia="Times New Roman" w:hint="default"/>
                <w:sz w:val="21"/>
                <w:szCs w:val="21"/>
              </w:rPr>
              <w:t>(</w:t>
            </w:r>
            <w:r>
              <w:rPr>
                <w:rFonts w:ascii="宋体" w:hAnsi="宋体" w:cs="宋体" w:eastAsia="宋体" w:hint="default"/>
                <w:sz w:val="21"/>
                <w:szCs w:val="21"/>
              </w:rPr>
              <w:t>仲裁</w:t>
            </w:r>
            <w:r>
              <w:rPr>
                <w:rFonts w:ascii="Times New Roman" w:hAnsi="Times New Roman" w:cs="Times New Roman" w:eastAsia="Times New Roman" w:hint="default"/>
                <w:sz w:val="21"/>
                <w:szCs w:val="21"/>
              </w:rPr>
              <w:t>)</w:t>
            </w:r>
            <w:r>
              <w:rPr>
                <w:rFonts w:ascii="宋体" w:hAnsi="宋体" w:cs="宋体" w:eastAsia="宋体" w:hint="default"/>
                <w:sz w:val="21"/>
                <w:szCs w:val="21"/>
              </w:rPr>
              <w:t>判</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决执行情况</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10"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10" w:right="0"/>
              <w:jc w:val="left"/>
              <w:rPr>
                <w:rFonts w:ascii="宋体" w:hAnsi="宋体" w:cs="宋体" w:eastAsia="宋体" w:hint="default"/>
                <w:sz w:val="21"/>
                <w:szCs w:val="21"/>
              </w:rPr>
            </w:pPr>
            <w:r>
              <w:rPr>
                <w:rFonts w:ascii="宋体" w:hAnsi="宋体" w:cs="宋体" w:eastAsia="宋体" w:hint="default"/>
                <w:sz w:val="21"/>
                <w:szCs w:val="21"/>
              </w:rPr>
              <w:t>披露索引</w:t>
            </w:r>
          </w:p>
        </w:tc>
      </w:tr>
      <w:tr>
        <w:trPr>
          <w:trHeight w:val="566" w:hRule="exact"/>
        </w:trPr>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pacing w:val="-5"/>
                <w:sz w:val="21"/>
                <w:szCs w:val="21"/>
              </w:rPr>
              <w:t>月，公</w:t>
            </w:r>
          </w:p>
        </w:tc>
        <w:tc>
          <w:tcPr>
            <w:tcW w:w="130" w:type="dxa"/>
            <w:tcBorders>
              <w:top w:val="single" w:sz="4" w:space="0" w:color="000000"/>
              <w:left w:val="single" w:sz="4" w:space="0" w:color="000000"/>
              <w:bottom w:val="nil" w:sz="6" w:space="0" w:color="auto"/>
              <w:right w:val="nil" w:sz="6" w:space="0" w:color="auto"/>
            </w:tcBorders>
          </w:tcPr>
          <w:p>
            <w:pPr/>
          </w:p>
        </w:tc>
        <w:tc>
          <w:tcPr>
            <w:tcW w:w="850" w:type="dxa"/>
            <w:tcBorders>
              <w:top w:val="single" w:sz="4" w:space="0" w:color="000000"/>
              <w:left w:val="nil" w:sz="6" w:space="0" w:color="auto"/>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955" w:type="dxa"/>
            <w:tcBorders>
              <w:top w:val="single" w:sz="4" w:space="0" w:color="000000"/>
              <w:left w:val="single" w:sz="4" w:space="0" w:color="000000"/>
              <w:bottom w:val="nil" w:sz="6" w:space="0" w:color="auto"/>
              <w:right w:val="single" w:sz="4" w:space="0" w:color="000000"/>
            </w:tcBorders>
          </w:tcPr>
          <w:p>
            <w:pPr/>
          </w:p>
        </w:tc>
        <w:tc>
          <w:tcPr>
            <w:tcW w:w="1392" w:type="dxa"/>
            <w:tcBorders>
              <w:top w:val="single" w:sz="4" w:space="0" w:color="000000"/>
              <w:left w:val="single" w:sz="4" w:space="0" w:color="000000"/>
              <w:bottom w:val="nil" w:sz="6" w:space="0" w:color="auto"/>
              <w:right w:val="single" w:sz="4" w:space="0" w:color="000000"/>
            </w:tcBorders>
          </w:tcPr>
          <w:p>
            <w:pPr/>
          </w:p>
        </w:tc>
        <w:tc>
          <w:tcPr>
            <w:tcW w:w="1262"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r>
      <w:tr>
        <w:trPr>
          <w:trHeight w:val="341"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86" w:lineRule="exact"/>
              <w:ind w:left="24" w:right="0"/>
              <w:jc w:val="left"/>
              <w:rPr>
                <w:rFonts w:ascii="宋体" w:hAnsi="宋体" w:cs="宋体" w:eastAsia="宋体" w:hint="default"/>
                <w:sz w:val="21"/>
                <w:szCs w:val="21"/>
              </w:rPr>
            </w:pPr>
            <w:r>
              <w:rPr>
                <w:rFonts w:ascii="宋体" w:hAnsi="宋体" w:cs="宋体" w:eastAsia="宋体" w:hint="default"/>
                <w:sz w:val="21"/>
                <w:szCs w:val="21"/>
              </w:rPr>
              <w:t>司持股</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的子</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38"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86"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Times New Roman" w:hAnsi="Times New Roman" w:cs="Times New Roman" w:eastAsia="Times New Roman" w:hint="default"/>
                <w:sz w:val="21"/>
                <w:szCs w:val="21"/>
              </w:rPr>
              <w:t>——</w:t>
            </w:r>
            <w:r>
              <w:rPr>
                <w:rFonts w:ascii="宋体" w:hAnsi="宋体" w:cs="宋体" w:eastAsia="宋体" w:hint="default"/>
                <w:sz w:val="21"/>
                <w:szCs w:val="21"/>
              </w:rPr>
              <w:t>凯方实</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33"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24" w:right="0"/>
              <w:jc w:val="left"/>
              <w:rPr>
                <w:rFonts w:ascii="宋体" w:hAnsi="宋体" w:cs="宋体" w:eastAsia="宋体" w:hint="default"/>
                <w:sz w:val="21"/>
                <w:szCs w:val="21"/>
              </w:rPr>
            </w:pPr>
            <w:r>
              <w:rPr>
                <w:rFonts w:ascii="宋体" w:hAnsi="宋体" w:cs="宋体" w:eastAsia="宋体" w:hint="default"/>
                <w:sz w:val="21"/>
                <w:szCs w:val="21"/>
              </w:rPr>
              <w:t>业发展有限公司</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24" w:right="0"/>
              <w:jc w:val="left"/>
              <w:rPr>
                <w:rFonts w:ascii="宋体" w:hAnsi="宋体" w:cs="宋体" w:eastAsia="宋体" w:hint="default"/>
                <w:sz w:val="21"/>
                <w:szCs w:val="21"/>
              </w:rPr>
            </w:pPr>
            <w:r>
              <w:rPr>
                <w:rFonts w:ascii="宋体" w:hAnsi="宋体" w:cs="宋体" w:eastAsia="宋体" w:hint="default"/>
                <w:sz w:val="21"/>
                <w:szCs w:val="21"/>
              </w:rPr>
              <w:t>该案于</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19" w:right="0"/>
              <w:jc w:val="left"/>
              <w:rPr>
                <w:rFonts w:ascii="宋体" w:hAnsi="宋体" w:cs="宋体" w:eastAsia="宋体" w:hint="default"/>
                <w:sz w:val="21"/>
                <w:szCs w:val="21"/>
              </w:rPr>
            </w:pPr>
            <w:r>
              <w:rPr>
                <w:rFonts w:ascii="宋体" w:hAnsi="宋体" w:cs="宋体" w:eastAsia="宋体" w:hint="default"/>
                <w:sz w:val="21"/>
                <w:szCs w:val="21"/>
              </w:rPr>
              <w:t>福田区法院认</w:t>
            </w: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47"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21"/>
                <w:szCs w:val="21"/>
              </w:rPr>
            </w:pPr>
            <w:r>
              <w:rPr>
                <w:rFonts w:ascii="宋体" w:hAnsi="宋体" w:cs="宋体" w:eastAsia="宋体" w:hint="default"/>
                <w:sz w:val="21"/>
                <w:szCs w:val="21"/>
              </w:rPr>
              <w:t>（原告）向深圳</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19" w:right="0"/>
              <w:jc w:val="left"/>
              <w:rPr>
                <w:rFonts w:ascii="宋体" w:hAnsi="宋体" w:cs="宋体" w:eastAsia="宋体" w:hint="default"/>
                <w:sz w:val="21"/>
                <w:szCs w:val="21"/>
              </w:rPr>
            </w:pPr>
            <w:r>
              <w:rPr>
                <w:rFonts w:ascii="宋体" w:hAnsi="宋体" w:cs="宋体" w:eastAsia="宋体" w:hint="default"/>
                <w:w w:val="100"/>
                <w:sz w:val="21"/>
                <w:szCs w:val="21"/>
              </w:rPr>
              <w:t>为</w:t>
            </w:r>
            <w:r>
              <w:rPr>
                <w:rFonts w:ascii="宋体" w:hAnsi="宋体" w:cs="宋体" w:eastAsia="宋体" w:hint="default"/>
                <w:spacing w:val="-135"/>
                <w:w w:val="100"/>
                <w:sz w:val="21"/>
                <w:szCs w:val="21"/>
              </w:rPr>
              <w:t>，</w:t>
            </w:r>
            <w:r>
              <w:rPr>
                <w:rFonts w:ascii="宋体" w:hAnsi="宋体" w:cs="宋体" w:eastAsia="宋体" w:hint="default"/>
                <w:w w:val="100"/>
                <w:sz w:val="21"/>
                <w:szCs w:val="21"/>
              </w:rPr>
              <w:t>“原告</w:t>
            </w:r>
            <w:r>
              <w:rPr>
                <w:rFonts w:ascii="宋体" w:hAnsi="宋体" w:cs="宋体" w:eastAsia="宋体" w:hint="default"/>
                <w:spacing w:val="-5"/>
                <w:w w:val="100"/>
                <w:sz w:val="21"/>
                <w:szCs w:val="21"/>
              </w:rPr>
              <w:t>提</w:t>
            </w:r>
            <w:r>
              <w:rPr>
                <w:rFonts w:ascii="宋体" w:hAnsi="宋体" w:cs="宋体" w:eastAsia="宋体" w:hint="default"/>
                <w:w w:val="100"/>
                <w:sz w:val="21"/>
                <w:szCs w:val="21"/>
              </w:rPr>
              <w:t>交</w:t>
            </w: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38"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福田区法院提起</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86" w:lineRule="exact"/>
              <w:ind w:left="24"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70"/>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日在</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19" w:right="0"/>
              <w:jc w:val="left"/>
              <w:rPr>
                <w:rFonts w:ascii="宋体" w:hAnsi="宋体" w:cs="宋体" w:eastAsia="宋体" w:hint="default"/>
                <w:sz w:val="21"/>
                <w:szCs w:val="21"/>
              </w:rPr>
            </w:pPr>
            <w:r>
              <w:rPr>
                <w:rFonts w:ascii="宋体" w:hAnsi="宋体" w:cs="宋体" w:eastAsia="宋体" w:hint="default"/>
                <w:sz w:val="21"/>
                <w:szCs w:val="21"/>
              </w:rPr>
              <w:t>的证据不足以</w:t>
            </w: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35"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24" w:right="0"/>
              <w:jc w:val="left"/>
              <w:rPr>
                <w:rFonts w:ascii="宋体" w:hAnsi="宋体" w:cs="宋体" w:eastAsia="宋体" w:hint="default"/>
                <w:sz w:val="21"/>
                <w:szCs w:val="21"/>
              </w:rPr>
            </w:pPr>
            <w:r>
              <w:rPr>
                <w:rFonts w:ascii="宋体" w:hAnsi="宋体" w:cs="宋体" w:eastAsia="宋体" w:hint="default"/>
                <w:sz w:val="21"/>
                <w:szCs w:val="21"/>
              </w:rPr>
              <w:t>诉讼，要求持有</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24" w:right="0"/>
              <w:jc w:val="left"/>
              <w:rPr>
                <w:rFonts w:ascii="宋体" w:hAnsi="宋体" w:cs="宋体" w:eastAsia="宋体" w:hint="default"/>
                <w:sz w:val="21"/>
                <w:szCs w:val="21"/>
              </w:rPr>
            </w:pPr>
            <w:r>
              <w:rPr>
                <w:rFonts w:ascii="宋体" w:hAnsi="宋体" w:cs="宋体" w:eastAsia="宋体" w:hint="default"/>
                <w:sz w:val="21"/>
                <w:szCs w:val="21"/>
              </w:rPr>
              <w:t>福田区法</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19" w:right="0"/>
              <w:jc w:val="left"/>
              <w:rPr>
                <w:rFonts w:ascii="宋体" w:hAnsi="宋体" w:cs="宋体" w:eastAsia="宋体" w:hint="default"/>
                <w:sz w:val="21"/>
                <w:szCs w:val="21"/>
              </w:rPr>
            </w:pPr>
            <w:r>
              <w:rPr>
                <w:rFonts w:ascii="宋体" w:hAnsi="宋体" w:cs="宋体" w:eastAsia="宋体" w:hint="default"/>
                <w:sz w:val="21"/>
                <w:szCs w:val="21"/>
              </w:rPr>
              <w:t>证明原、被告</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23" w:right="0"/>
              <w:jc w:val="left"/>
              <w:rPr>
                <w:rFonts w:ascii="宋体" w:hAnsi="宋体" w:cs="宋体" w:eastAsia="宋体" w:hint="default"/>
                <w:sz w:val="21"/>
                <w:szCs w:val="21"/>
              </w:rPr>
            </w:pPr>
            <w:r>
              <w:rPr>
                <w:rFonts w:ascii="宋体" w:hAnsi="宋体" w:cs="宋体" w:eastAsia="宋体" w:hint="default"/>
                <w:sz w:val="21"/>
                <w:szCs w:val="21"/>
              </w:rPr>
              <w:t>凯方实业进</w:t>
            </w: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47"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24" w:right="0"/>
              <w:jc w:val="left"/>
              <w:rPr>
                <w:rFonts w:ascii="宋体" w:hAnsi="宋体" w:cs="宋体" w:eastAsia="宋体" w:hint="default"/>
                <w:sz w:val="21"/>
                <w:szCs w:val="21"/>
              </w:rPr>
            </w:pPr>
            <w:r>
              <w:rPr>
                <w:rFonts w:ascii="宋体" w:hAnsi="宋体" w:cs="宋体" w:eastAsia="宋体" w:hint="default"/>
                <w:sz w:val="21"/>
                <w:szCs w:val="21"/>
              </w:rPr>
              <w:t>凯方实业</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的</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院开庭；</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19" w:right="0"/>
              <w:jc w:val="left"/>
              <w:rPr>
                <w:rFonts w:ascii="宋体" w:hAnsi="宋体" w:cs="宋体" w:eastAsia="宋体" w:hint="default"/>
                <w:sz w:val="21"/>
                <w:szCs w:val="21"/>
              </w:rPr>
            </w:pPr>
            <w:r>
              <w:rPr>
                <w:rFonts w:ascii="宋体" w:hAnsi="宋体" w:cs="宋体" w:eastAsia="宋体" w:hint="default"/>
                <w:sz w:val="21"/>
                <w:szCs w:val="21"/>
              </w:rPr>
              <w:t>之间存在借款</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23" w:right="0"/>
              <w:jc w:val="left"/>
              <w:rPr>
                <w:rFonts w:ascii="宋体" w:hAnsi="宋体" w:cs="宋体" w:eastAsia="宋体" w:hint="default"/>
                <w:sz w:val="21"/>
                <w:szCs w:val="21"/>
              </w:rPr>
            </w:pPr>
            <w:r>
              <w:rPr>
                <w:rFonts w:ascii="宋体" w:hAnsi="宋体" w:cs="宋体" w:eastAsia="宋体" w:hint="default"/>
                <w:sz w:val="21"/>
                <w:szCs w:val="21"/>
              </w:rPr>
              <w:t>一步补充了</w:t>
            </w: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1020"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88" w:lineRule="auto"/>
              <w:ind w:left="24" w:right="50"/>
              <w:jc w:val="both"/>
              <w:rPr>
                <w:rFonts w:ascii="宋体" w:hAnsi="宋体" w:cs="宋体" w:eastAsia="宋体" w:hint="default"/>
                <w:sz w:val="21"/>
                <w:szCs w:val="21"/>
              </w:rPr>
            </w:pPr>
            <w:r>
              <w:rPr>
                <w:rFonts w:ascii="宋体" w:hAnsi="宋体" w:cs="宋体" w:eastAsia="宋体" w:hint="default"/>
                <w:sz w:val="21"/>
                <w:szCs w:val="21"/>
              </w:rPr>
              <w:t>另一股东</w:t>
            </w:r>
            <w:r>
              <w:rPr>
                <w:rFonts w:ascii="Times New Roman" w:hAnsi="Times New Roman" w:cs="Times New Roman" w:eastAsia="Times New Roman" w:hint="default"/>
                <w:sz w:val="21"/>
                <w:szCs w:val="21"/>
              </w:rPr>
              <w:t>——</w:t>
            </w:r>
            <w:r>
              <w:rPr>
                <w:rFonts w:ascii="宋体" w:hAnsi="宋体" w:cs="宋体" w:eastAsia="宋体" w:hint="default"/>
                <w:sz w:val="21"/>
                <w:szCs w:val="21"/>
              </w:rPr>
              <w:t>深</w:t>
            </w:r>
            <w:r>
              <w:rPr>
                <w:rFonts w:ascii="宋体" w:hAnsi="宋体" w:cs="宋体" w:eastAsia="宋体" w:hint="default"/>
                <w:spacing w:val="-103"/>
                <w:sz w:val="21"/>
                <w:szCs w:val="21"/>
              </w:rPr>
              <w:t> </w:t>
            </w:r>
            <w:r>
              <w:rPr>
                <w:rFonts w:ascii="宋体" w:hAnsi="宋体" w:cs="宋体" w:eastAsia="宋体" w:hint="default"/>
                <w:sz w:val="21"/>
                <w:szCs w:val="21"/>
              </w:rPr>
              <w:t>圳市赛德隆投资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发展有限公司</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left="81" w:right="0"/>
              <w:jc w:val="left"/>
              <w:rPr>
                <w:rFonts w:ascii="Times New Roman" w:hAnsi="Times New Roman" w:cs="Times New Roman" w:eastAsia="Times New Roman" w:hint="default"/>
                <w:sz w:val="21"/>
                <w:szCs w:val="21"/>
              </w:rPr>
            </w:pPr>
            <w:r>
              <w:rPr>
                <w:rFonts w:ascii="Times New Roman"/>
                <w:sz w:val="21"/>
              </w:rPr>
              <w:t>3,138.85</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84" w:lineRule="exact"/>
              <w:ind w:left="2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87"/>
                <w:sz w:val="21"/>
                <w:szCs w:val="21"/>
              </w:rPr>
              <w:t> </w:t>
            </w:r>
            <w:r>
              <w:rPr>
                <w:rFonts w:ascii="Times New Roman" w:hAnsi="Times New Roman" w:cs="Times New Roman" w:eastAsia="Times New Roman" w:hint="default"/>
                <w:spacing w:val="-5"/>
                <w:sz w:val="21"/>
                <w:szCs w:val="21"/>
              </w:rPr>
              <w:t>11</w:t>
            </w:r>
          </w:p>
          <w:p>
            <w:pPr>
              <w:pStyle w:val="TableParagraph"/>
              <w:spacing w:line="297" w:lineRule="auto" w:before="50"/>
              <w:ind w:left="24" w:right="74"/>
              <w:jc w:val="left"/>
              <w:rPr>
                <w:rFonts w:ascii="宋体" w:hAnsi="宋体" w:cs="宋体" w:eastAsia="宋体" w:hint="default"/>
                <w:sz w:val="21"/>
                <w:szCs w:val="21"/>
              </w:rPr>
            </w:pPr>
            <w:r>
              <w:rPr>
                <w:rFonts w:ascii="宋体" w:hAnsi="宋体" w:cs="宋体" w:eastAsia="宋体" w:hint="default"/>
                <w:sz w:val="21"/>
                <w:szCs w:val="21"/>
              </w:rPr>
              <w:t>月收到民</w:t>
            </w:r>
            <w:r>
              <w:rPr>
                <w:rFonts w:ascii="宋体" w:hAnsi="宋体" w:cs="宋体" w:eastAsia="宋体" w:hint="default"/>
                <w:spacing w:val="-101"/>
                <w:sz w:val="21"/>
                <w:szCs w:val="21"/>
              </w:rPr>
              <w:t> </w:t>
            </w:r>
            <w:r>
              <w:rPr>
                <w:rFonts w:ascii="宋体" w:hAnsi="宋体" w:cs="宋体" w:eastAsia="宋体" w:hint="default"/>
                <w:sz w:val="21"/>
                <w:szCs w:val="21"/>
              </w:rPr>
              <w:t>事判决</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97" w:lineRule="auto"/>
              <w:ind w:left="19" w:right="98"/>
              <w:jc w:val="both"/>
              <w:rPr>
                <w:rFonts w:ascii="宋体" w:hAnsi="宋体" w:cs="宋体" w:eastAsia="宋体" w:hint="default"/>
                <w:sz w:val="21"/>
                <w:szCs w:val="21"/>
              </w:rPr>
            </w:pPr>
            <w:r>
              <w:rPr>
                <w:rFonts w:ascii="宋体" w:hAnsi="宋体" w:cs="宋体" w:eastAsia="宋体" w:hint="default"/>
                <w:sz w:val="21"/>
                <w:szCs w:val="21"/>
              </w:rPr>
              <w:t>合同关系，不</w:t>
            </w:r>
            <w:r>
              <w:rPr>
                <w:rFonts w:ascii="宋体" w:hAnsi="宋体" w:cs="宋体" w:eastAsia="宋体" w:hint="default"/>
                <w:w w:val="100"/>
                <w:sz w:val="21"/>
                <w:szCs w:val="21"/>
              </w:rPr>
              <w:t> </w:t>
            </w:r>
            <w:r>
              <w:rPr>
                <w:rFonts w:ascii="宋体" w:hAnsi="宋体" w:cs="宋体" w:eastAsia="宋体" w:hint="default"/>
                <w:sz w:val="21"/>
                <w:szCs w:val="21"/>
              </w:rPr>
              <w:t>予支持原告的</w:t>
            </w:r>
            <w:r>
              <w:rPr>
                <w:rFonts w:ascii="宋体" w:hAnsi="宋体" w:cs="宋体" w:eastAsia="宋体" w:hint="default"/>
                <w:w w:val="100"/>
                <w:sz w:val="21"/>
                <w:szCs w:val="21"/>
              </w:rPr>
              <w:t> </w:t>
            </w:r>
            <w:r>
              <w:rPr>
                <w:rFonts w:ascii="宋体" w:hAnsi="宋体" w:cs="宋体" w:eastAsia="宋体" w:hint="default"/>
                <w:sz w:val="21"/>
                <w:szCs w:val="21"/>
              </w:rPr>
              <w:t>诉讼请求。判</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88" w:lineRule="exact"/>
              <w:ind w:left="23" w:right="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证据</w:t>
            </w:r>
            <w:r>
              <w:rPr>
                <w:rFonts w:ascii="宋体" w:hAnsi="宋体" w:cs="宋体" w:eastAsia="宋体" w:hint="default"/>
                <w:spacing w:val="-106"/>
                <w:w w:val="100"/>
                <w:sz w:val="21"/>
                <w:szCs w:val="21"/>
              </w:rPr>
              <w:t>，</w:t>
            </w:r>
            <w:r>
              <w:rPr>
                <w:rFonts w:ascii="宋体" w:hAnsi="宋体" w:cs="宋体" w:eastAsia="宋体" w:hint="default"/>
                <w:w w:val="100"/>
                <w:sz w:val="21"/>
                <w:szCs w:val="21"/>
              </w:rPr>
              <w:t>于</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2012</w:t>
            </w:r>
          </w:p>
          <w:p>
            <w:pPr>
              <w:pStyle w:val="TableParagraph"/>
              <w:spacing w:line="280" w:lineRule="auto" w:before="45"/>
              <w:ind w:left="23" w:right="65"/>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r>
              <w:rPr>
                <w:rFonts w:ascii="宋体" w:hAnsi="宋体" w:cs="宋体" w:eastAsia="宋体" w:hint="default"/>
                <w:w w:val="100"/>
                <w:sz w:val="21"/>
                <w:szCs w:val="21"/>
              </w:rPr>
              <w:t> </w:t>
            </w:r>
            <w:r>
              <w:rPr>
                <w:rFonts w:ascii="宋体" w:hAnsi="宋体" w:cs="宋体" w:eastAsia="宋体" w:hint="default"/>
                <w:sz w:val="21"/>
                <w:szCs w:val="21"/>
              </w:rPr>
              <w:t>向深圳市中</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65"/>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pacing w:val="-5"/>
                <w:sz w:val="21"/>
                <w:szCs w:val="21"/>
              </w:rPr>
              <w:t>11</w:t>
            </w:r>
          </w:p>
          <w:p>
            <w:pPr>
              <w:pStyle w:val="TableParagraph"/>
              <w:spacing w:line="240" w:lineRule="auto" w:before="50"/>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临</w:t>
            </w:r>
          </w:p>
          <w:p>
            <w:pPr>
              <w:pStyle w:val="TableParagraph"/>
              <w:spacing w:line="240" w:lineRule="auto" w:before="66"/>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2011-28</w:t>
            </w:r>
            <w:r>
              <w:rPr>
                <w:rFonts w:ascii="宋体" w:hAnsi="宋体" w:cs="宋体" w:eastAsia="宋体" w:hint="default"/>
                <w:sz w:val="21"/>
                <w:szCs w:val="21"/>
              </w:rPr>
              <w:t>、</w:t>
            </w:r>
          </w:p>
          <w:p>
            <w:pPr>
              <w:pStyle w:val="TableParagraph"/>
              <w:spacing w:line="240" w:lineRule="auto" w:before="99"/>
              <w:ind w:left="23" w:right="0"/>
              <w:jc w:val="left"/>
              <w:rPr>
                <w:rFonts w:ascii="Times New Roman" w:hAnsi="Times New Roman" w:cs="Times New Roman" w:eastAsia="Times New Roman" w:hint="default"/>
                <w:sz w:val="21"/>
                <w:szCs w:val="21"/>
              </w:rPr>
            </w:pPr>
            <w:r>
              <w:rPr>
                <w:rFonts w:ascii="Times New Roman"/>
                <w:sz w:val="21"/>
              </w:rPr>
              <w:t>2012-45</w:t>
            </w:r>
          </w:p>
        </w:tc>
      </w:tr>
      <w:tr>
        <w:trPr>
          <w:trHeight w:val="333"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（被告）偿还往</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书》</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19" w:right="0"/>
              <w:jc w:val="left"/>
              <w:rPr>
                <w:rFonts w:ascii="宋体" w:hAnsi="宋体" w:cs="宋体" w:eastAsia="宋体" w:hint="default"/>
                <w:sz w:val="21"/>
                <w:szCs w:val="21"/>
              </w:rPr>
            </w:pPr>
            <w:r>
              <w:rPr>
                <w:rFonts w:ascii="宋体" w:hAnsi="宋体" w:cs="宋体" w:eastAsia="宋体" w:hint="default"/>
                <w:sz w:val="21"/>
                <w:szCs w:val="21"/>
              </w:rPr>
              <w:t>决驳回原告的</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3" w:right="0"/>
              <w:jc w:val="left"/>
              <w:rPr>
                <w:rFonts w:ascii="宋体" w:hAnsi="宋体" w:cs="宋体" w:eastAsia="宋体" w:hint="default"/>
                <w:sz w:val="21"/>
                <w:szCs w:val="21"/>
              </w:rPr>
            </w:pPr>
            <w:r>
              <w:rPr>
                <w:rFonts w:ascii="宋体" w:hAnsi="宋体" w:cs="宋体" w:eastAsia="宋体" w:hint="default"/>
                <w:sz w:val="21"/>
                <w:szCs w:val="21"/>
              </w:rPr>
              <w:t>级人民法院</w:t>
            </w: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44"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24" w:right="0"/>
              <w:jc w:val="left"/>
              <w:rPr>
                <w:rFonts w:ascii="宋体" w:hAnsi="宋体" w:cs="宋体" w:eastAsia="宋体" w:hint="default"/>
                <w:sz w:val="21"/>
                <w:szCs w:val="21"/>
              </w:rPr>
            </w:pPr>
            <w:r>
              <w:rPr>
                <w:rFonts w:ascii="宋体" w:hAnsi="宋体" w:cs="宋体" w:eastAsia="宋体" w:hint="default"/>
                <w:sz w:val="21"/>
                <w:szCs w:val="21"/>
              </w:rPr>
              <w:t>来款</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24"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宋体" w:hAnsi="宋体" w:cs="宋体" w:eastAsia="宋体" w:hint="default"/>
                <w:sz w:val="21"/>
                <w:szCs w:val="21"/>
              </w:rPr>
              <w:t>）</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19" w:right="0"/>
              <w:jc w:val="left"/>
              <w:rPr>
                <w:rFonts w:ascii="宋体" w:hAnsi="宋体" w:cs="宋体" w:eastAsia="宋体" w:hint="default"/>
                <w:sz w:val="21"/>
                <w:szCs w:val="21"/>
              </w:rPr>
            </w:pPr>
            <w:r>
              <w:rPr>
                <w:rFonts w:ascii="宋体" w:hAnsi="宋体" w:cs="宋体" w:eastAsia="宋体" w:hint="default"/>
                <w:sz w:val="21"/>
                <w:szCs w:val="21"/>
              </w:rPr>
              <w:t>诉讼请求，案</w:t>
            </w:r>
          </w:p>
        </w:tc>
        <w:tc>
          <w:tcPr>
            <w:tcW w:w="126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23" w:right="0"/>
              <w:jc w:val="left"/>
              <w:rPr>
                <w:rFonts w:ascii="宋体" w:hAnsi="宋体" w:cs="宋体" w:eastAsia="宋体" w:hint="default"/>
                <w:sz w:val="21"/>
                <w:szCs w:val="21"/>
              </w:rPr>
            </w:pPr>
            <w:r>
              <w:rPr>
                <w:rFonts w:ascii="宋体" w:hAnsi="宋体" w:cs="宋体" w:eastAsia="宋体" w:hint="default"/>
                <w:sz w:val="21"/>
                <w:szCs w:val="21"/>
              </w:rPr>
              <w:t>提起上诉。</w:t>
            </w: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43"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31388461.73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tc>
        <w:tc>
          <w:tcPr>
            <w:tcW w:w="130" w:type="dxa"/>
            <w:tcBorders>
              <w:top w:val="nil" w:sz="6" w:space="0" w:color="auto"/>
              <w:left w:val="single" w:sz="4" w:space="0" w:color="000000"/>
              <w:bottom w:val="nil" w:sz="6" w:space="0" w:color="auto"/>
              <w:right w:val="nil" w:sz="6" w:space="0" w:color="auto"/>
            </w:tcBorders>
          </w:tcPr>
          <w:p>
            <w:pPr>
              <w:pStyle w:val="TableParagraph"/>
              <w:spacing w:line="240" w:lineRule="auto"/>
              <w:ind w:left="-168"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深福法民</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19" w:right="0"/>
              <w:jc w:val="left"/>
              <w:rPr>
                <w:rFonts w:ascii="宋体" w:hAnsi="宋体" w:cs="宋体" w:eastAsia="宋体" w:hint="default"/>
                <w:sz w:val="21"/>
                <w:szCs w:val="21"/>
              </w:rPr>
            </w:pPr>
            <w:r>
              <w:rPr>
                <w:rFonts w:ascii="宋体" w:hAnsi="宋体" w:cs="宋体" w:eastAsia="宋体" w:hint="default"/>
                <w:sz w:val="21"/>
                <w:szCs w:val="21"/>
              </w:rPr>
              <w:t>件受理费及财</w:t>
            </w: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35"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24" w:right="0"/>
              <w:jc w:val="left"/>
              <w:rPr>
                <w:rFonts w:ascii="宋体" w:hAnsi="宋体" w:cs="宋体" w:eastAsia="宋体" w:hint="default"/>
                <w:sz w:val="21"/>
                <w:szCs w:val="21"/>
              </w:rPr>
            </w:pPr>
            <w:r>
              <w:rPr>
                <w:rFonts w:ascii="宋体" w:hAnsi="宋体" w:cs="宋体" w:eastAsia="宋体" w:hint="default"/>
                <w:sz w:val="21"/>
                <w:szCs w:val="21"/>
              </w:rPr>
              <w:t>并按同期银行贷</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24" w:right="0"/>
              <w:jc w:val="left"/>
              <w:rPr>
                <w:rFonts w:ascii="宋体" w:hAnsi="宋体" w:cs="宋体" w:eastAsia="宋体" w:hint="default"/>
                <w:sz w:val="21"/>
                <w:szCs w:val="21"/>
              </w:rPr>
            </w:pPr>
            <w:r>
              <w:rPr>
                <w:rFonts w:ascii="宋体" w:hAnsi="宋体" w:cs="宋体" w:eastAsia="宋体" w:hint="default"/>
                <w:sz w:val="21"/>
                <w:szCs w:val="21"/>
              </w:rPr>
              <w:t>二初字第</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68" w:lineRule="exact"/>
              <w:ind w:left="19" w:right="0"/>
              <w:jc w:val="left"/>
              <w:rPr>
                <w:rFonts w:ascii="宋体" w:hAnsi="宋体" w:cs="宋体" w:eastAsia="宋体" w:hint="default"/>
                <w:sz w:val="21"/>
                <w:szCs w:val="21"/>
              </w:rPr>
            </w:pPr>
            <w:r>
              <w:rPr>
                <w:rFonts w:ascii="宋体" w:hAnsi="宋体" w:cs="宋体" w:eastAsia="宋体" w:hint="default"/>
                <w:sz w:val="21"/>
                <w:szCs w:val="21"/>
              </w:rPr>
              <w:t>产保全费均由</w:t>
            </w: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44"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24" w:right="0"/>
              <w:jc w:val="left"/>
              <w:rPr>
                <w:rFonts w:ascii="宋体" w:hAnsi="宋体" w:cs="宋体" w:eastAsia="宋体" w:hint="default"/>
                <w:sz w:val="21"/>
                <w:szCs w:val="21"/>
              </w:rPr>
            </w:pPr>
            <w:r>
              <w:rPr>
                <w:rFonts w:ascii="宋体" w:hAnsi="宋体" w:cs="宋体" w:eastAsia="宋体" w:hint="default"/>
                <w:sz w:val="21"/>
                <w:szCs w:val="21"/>
              </w:rPr>
              <w:t>款利息支付上述</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Style w:val="TableParagraph"/>
              <w:spacing w:line="289"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7609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号</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73"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原告负担</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35"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70" w:lineRule="exact"/>
              <w:ind w:left="24" w:right="0"/>
              <w:jc w:val="left"/>
              <w:rPr>
                <w:rFonts w:ascii="宋体" w:hAnsi="宋体" w:cs="宋体" w:eastAsia="宋体" w:hint="default"/>
                <w:sz w:val="21"/>
                <w:szCs w:val="21"/>
              </w:rPr>
            </w:pPr>
            <w:r>
              <w:rPr>
                <w:rFonts w:ascii="宋体" w:hAnsi="宋体" w:cs="宋体" w:eastAsia="宋体" w:hint="default"/>
                <w:sz w:val="21"/>
                <w:szCs w:val="21"/>
              </w:rPr>
              <w:t>款项从起诉之日</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341"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21"/>
                <w:szCs w:val="21"/>
              </w:rPr>
            </w:pPr>
            <w:r>
              <w:rPr>
                <w:rFonts w:ascii="宋体" w:hAnsi="宋体" w:cs="宋体" w:eastAsia="宋体" w:hint="default"/>
                <w:sz w:val="21"/>
                <w:szCs w:val="21"/>
              </w:rPr>
              <w:t>到实际支付之日</w:t>
            </w:r>
          </w:p>
        </w:tc>
        <w:tc>
          <w:tcPr>
            <w:tcW w:w="130" w:type="dxa"/>
            <w:tcBorders>
              <w:top w:val="nil" w:sz="6" w:space="0" w:color="auto"/>
              <w:left w:val="single" w:sz="4" w:space="0" w:color="000000"/>
              <w:bottom w:val="nil" w:sz="6" w:space="0" w:color="auto"/>
              <w:right w:val="nil" w:sz="6" w:space="0" w:color="auto"/>
            </w:tcBorders>
          </w:tcPr>
          <w:p>
            <w:pPr/>
          </w:p>
        </w:tc>
        <w:tc>
          <w:tcPr>
            <w:tcW w:w="850" w:type="dxa"/>
            <w:tcBorders>
              <w:top w:val="nil" w:sz="6" w:space="0" w:color="auto"/>
              <w:left w:val="nil" w:sz="6" w:space="0" w:color="auto"/>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955"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262"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r>
      <w:tr>
        <w:trPr>
          <w:trHeight w:val="515" w:hRule="exact"/>
        </w:trPr>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
              <w:ind w:left="24" w:right="0"/>
              <w:jc w:val="left"/>
              <w:rPr>
                <w:rFonts w:ascii="宋体" w:hAnsi="宋体" w:cs="宋体" w:eastAsia="宋体" w:hint="default"/>
                <w:sz w:val="21"/>
                <w:szCs w:val="21"/>
              </w:rPr>
            </w:pPr>
            <w:r>
              <w:rPr>
                <w:rFonts w:ascii="宋体" w:hAnsi="宋体" w:cs="宋体" w:eastAsia="宋体" w:hint="default"/>
                <w:sz w:val="21"/>
                <w:szCs w:val="21"/>
              </w:rPr>
              <w:t>的利息</w:t>
            </w:r>
          </w:p>
        </w:tc>
        <w:tc>
          <w:tcPr>
            <w:tcW w:w="130" w:type="dxa"/>
            <w:tcBorders>
              <w:top w:val="nil" w:sz="6" w:space="0" w:color="auto"/>
              <w:left w:val="single" w:sz="4" w:space="0" w:color="000000"/>
              <w:bottom w:val="single" w:sz="4" w:space="0" w:color="000000"/>
              <w:right w:val="nil" w:sz="6" w:space="0" w:color="auto"/>
            </w:tcBorders>
          </w:tcPr>
          <w:p>
            <w:pPr/>
          </w:p>
        </w:tc>
        <w:tc>
          <w:tcPr>
            <w:tcW w:w="850" w:type="dxa"/>
            <w:tcBorders>
              <w:top w:val="nil" w:sz="6" w:space="0" w:color="auto"/>
              <w:left w:val="nil" w:sz="6" w:space="0" w:color="auto"/>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955" w:type="dxa"/>
            <w:tcBorders>
              <w:top w:val="nil" w:sz="6" w:space="0" w:color="auto"/>
              <w:left w:val="single" w:sz="4" w:space="0" w:color="000000"/>
              <w:bottom w:val="single" w:sz="4" w:space="0" w:color="000000"/>
              <w:right w:val="single" w:sz="4" w:space="0" w:color="000000"/>
            </w:tcBorders>
          </w:tcPr>
          <w:p>
            <w:pPr/>
          </w:p>
        </w:tc>
        <w:tc>
          <w:tcPr>
            <w:tcW w:w="1392" w:type="dxa"/>
            <w:tcBorders>
              <w:top w:val="nil" w:sz="6" w:space="0" w:color="auto"/>
              <w:left w:val="single" w:sz="4" w:space="0" w:color="000000"/>
              <w:bottom w:val="single" w:sz="4" w:space="0" w:color="000000"/>
              <w:right w:val="single" w:sz="4" w:space="0" w:color="000000"/>
            </w:tcBorders>
          </w:tcPr>
          <w:p>
            <w:pPr/>
          </w:p>
        </w:tc>
        <w:tc>
          <w:tcPr>
            <w:tcW w:w="1262"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r>
    </w:tbl>
    <w:p>
      <w:pPr>
        <w:pStyle w:val="BodyText"/>
        <w:spacing w:line="241" w:lineRule="exact"/>
        <w:ind w:right="0"/>
        <w:jc w:val="left"/>
      </w:pPr>
      <w:r>
        <w:rPr/>
        <w:pict>
          <v:group style="position:absolute;margin-left:134.880005pt;margin-top:-163.199997pt;width:48.5pt;height:162.75pt;mso-position-horizontal-relative:page;mso-position-vertical-relative:paragraph;z-index:-999976" coordorigin="2698,-3264" coordsize="970,3255">
            <v:shape style="position:absolute;left:2698;top:-3264;width:970;height:3255" coordorigin="2698,-3264" coordsize="970,3255" path="m3667,-3264l2698,-3264,2698,-10,3667,-10,3667,-3264xe" filled="true" fillcolor="#ffffff" stroked="false">
              <v:path arrowok="t"/>
              <v:fill type="solid"/>
            </v:shape>
            <w10:wrap type="none"/>
          </v:group>
        </w:pict>
      </w:r>
      <w:r>
        <w:rPr/>
        <w:t>媒体质疑情况</w:t>
      </w:r>
    </w:p>
    <w:p>
      <w:pPr>
        <w:pStyle w:val="BodyText"/>
        <w:spacing w:line="240" w:lineRule="auto" w:before="133"/>
        <w:ind w:right="0"/>
        <w:jc w:val="left"/>
      </w:pPr>
      <w:r>
        <w:rPr/>
        <w:t>□ 适用 √</w:t>
      </w:r>
      <w:r>
        <w:rPr>
          <w:spacing w:val="3"/>
        </w:rPr>
        <w:t> </w:t>
      </w:r>
      <w:r>
        <w:rPr/>
        <w:t>不适用</w:t>
      </w:r>
    </w:p>
    <w:p>
      <w:pPr>
        <w:spacing w:line="240" w:lineRule="auto" w:before="13"/>
        <w:rPr>
          <w:rFonts w:ascii="宋体" w:hAnsi="宋体" w:cs="宋体" w:eastAsia="宋体" w:hint="default"/>
          <w:sz w:val="26"/>
          <w:szCs w:val="26"/>
        </w:rPr>
      </w:pPr>
    </w:p>
    <w:p>
      <w:pPr>
        <w:pStyle w:val="Heading4"/>
        <w:spacing w:line="240" w:lineRule="auto"/>
        <w:ind w:right="0"/>
        <w:jc w:val="left"/>
        <w:rPr>
          <w:b w:val="0"/>
          <w:bCs w:val="0"/>
        </w:rPr>
      </w:pPr>
      <w:r>
        <w:rPr/>
        <w:t>二、资产交易事项</w:t>
      </w:r>
      <w:r>
        <w:rPr>
          <w:b w:val="0"/>
          <w:bCs w:val="0"/>
        </w:rPr>
      </w:r>
    </w:p>
    <w:p>
      <w:pPr>
        <w:pStyle w:val="Heading6"/>
        <w:spacing w:line="240" w:lineRule="auto" w:before="207"/>
        <w:ind w:left="152" w:right="0"/>
        <w:jc w:val="left"/>
        <w:rPr>
          <w:b w:val="0"/>
          <w:bCs w:val="0"/>
        </w:rPr>
      </w:pPr>
      <w:r>
        <w:rPr>
          <w:rFonts w:ascii="Times New Roman" w:hAnsi="Times New Roman" w:cs="Times New Roman" w:eastAsia="Times New Roman" w:hint="default"/>
        </w:rPr>
        <w:t>1</w:t>
      </w:r>
      <w:r>
        <w:rPr/>
        <w:t>、收购资产情况</w:t>
      </w:r>
      <w:r>
        <w:rPr>
          <w:b w:val="0"/>
          <w:bCs w:val="0"/>
        </w:rPr>
      </w:r>
    </w:p>
    <w:p>
      <w:pPr>
        <w:spacing w:line="240" w:lineRule="auto" w:before="15"/>
        <w:rPr>
          <w:rFonts w:ascii="Microsoft JhengHei" w:hAnsi="Microsoft JhengHei" w:cs="Microsoft JhengHei" w:eastAsia="Microsoft JhengHei" w:hint="default"/>
          <w:b/>
          <w:bCs/>
          <w:sz w:val="17"/>
          <w:szCs w:val="17"/>
        </w:rPr>
      </w:pPr>
    </w:p>
    <w:tbl>
      <w:tblPr>
        <w:tblW w:w="0" w:type="auto"/>
        <w:jc w:val="left"/>
        <w:tblInd w:w="148" w:type="dxa"/>
        <w:tblLayout w:type="fixed"/>
        <w:tblCellMar>
          <w:top w:w="0" w:type="dxa"/>
          <w:left w:w="0" w:type="dxa"/>
          <w:bottom w:w="0" w:type="dxa"/>
          <w:right w:w="0" w:type="dxa"/>
        </w:tblCellMar>
        <w:tblLook w:val="01E0"/>
      </w:tblPr>
      <w:tblGrid>
        <w:gridCol w:w="754"/>
        <w:gridCol w:w="749"/>
        <w:gridCol w:w="744"/>
        <w:gridCol w:w="749"/>
        <w:gridCol w:w="1214"/>
        <w:gridCol w:w="1123"/>
        <w:gridCol w:w="749"/>
        <w:gridCol w:w="624"/>
        <w:gridCol w:w="874"/>
        <w:gridCol w:w="994"/>
        <w:gridCol w:w="998"/>
      </w:tblGrid>
      <w:tr>
        <w:trPr>
          <w:trHeight w:val="272" w:hRule="exact"/>
        </w:trPr>
        <w:tc>
          <w:tcPr>
            <w:tcW w:w="7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49" w:type="dxa"/>
            <w:tcBorders>
              <w:top w:val="single" w:sz="4" w:space="0" w:color="000000"/>
              <w:left w:val="single" w:sz="4" w:space="0" w:color="000000"/>
              <w:bottom w:val="nil" w:sz="6" w:space="0" w:color="auto"/>
              <w:right w:val="single" w:sz="4" w:space="0" w:color="000000"/>
            </w:tcBorders>
            <w:shd w:val="clear" w:color="auto" w:fill="D2D2D2"/>
          </w:tcPr>
          <w:p>
            <w:pPr/>
          </w:p>
        </w:tc>
        <w:tc>
          <w:tcPr>
            <w:tcW w:w="744" w:type="dxa"/>
            <w:tcBorders>
              <w:top w:val="single" w:sz="4" w:space="0" w:color="000000"/>
              <w:left w:val="single" w:sz="4" w:space="0" w:color="000000"/>
              <w:bottom w:val="nil" w:sz="6" w:space="0" w:color="auto"/>
              <w:right w:val="single" w:sz="4" w:space="0" w:color="000000"/>
            </w:tcBorders>
            <w:shd w:val="clear" w:color="auto" w:fill="D2D2D2"/>
          </w:tcPr>
          <w:p>
            <w:pPr/>
          </w:p>
        </w:tc>
        <w:tc>
          <w:tcPr>
            <w:tcW w:w="749"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36" w:lineRule="exact"/>
              <w:ind w:left="4" w:right="0"/>
              <w:jc w:val="center"/>
              <w:rPr>
                <w:rFonts w:ascii="宋体" w:hAnsi="宋体" w:cs="宋体" w:eastAsia="宋体" w:hint="default"/>
                <w:sz w:val="21"/>
                <w:szCs w:val="21"/>
              </w:rPr>
            </w:pPr>
            <w:r>
              <w:rPr>
                <w:rFonts w:ascii="宋体" w:hAnsi="宋体" w:cs="宋体" w:eastAsia="宋体" w:hint="default"/>
                <w:sz w:val="21"/>
                <w:szCs w:val="21"/>
              </w:rPr>
              <w:t>自购买日起</w:t>
            </w:r>
          </w:p>
        </w:tc>
        <w:tc>
          <w:tcPr>
            <w:tcW w:w="112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36" w:lineRule="exact"/>
              <w:ind w:right="0"/>
              <w:jc w:val="center"/>
              <w:rPr>
                <w:rFonts w:ascii="宋体" w:hAnsi="宋体" w:cs="宋体" w:eastAsia="宋体" w:hint="default"/>
                <w:sz w:val="21"/>
                <w:szCs w:val="21"/>
              </w:rPr>
            </w:pPr>
            <w:r>
              <w:rPr>
                <w:rFonts w:ascii="宋体" w:hAnsi="宋体" w:cs="宋体" w:eastAsia="宋体" w:hint="default"/>
                <w:sz w:val="21"/>
                <w:szCs w:val="21"/>
              </w:rPr>
              <w:t>自本期初至</w:t>
            </w:r>
          </w:p>
        </w:tc>
        <w:tc>
          <w:tcPr>
            <w:tcW w:w="749"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36" w:lineRule="exact"/>
              <w:ind w:right="0"/>
              <w:jc w:val="center"/>
              <w:rPr>
                <w:rFonts w:ascii="宋体" w:hAnsi="宋体" w:cs="宋体" w:eastAsia="宋体" w:hint="default"/>
                <w:sz w:val="21"/>
                <w:szCs w:val="21"/>
              </w:rPr>
            </w:pPr>
            <w:r>
              <w:rPr>
                <w:rFonts w:ascii="宋体" w:hAnsi="宋体" w:cs="宋体" w:eastAsia="宋体" w:hint="default"/>
                <w:sz w:val="21"/>
                <w:szCs w:val="21"/>
              </w:rPr>
              <w:t>该资产</w:t>
            </w:r>
          </w:p>
        </w:tc>
        <w:tc>
          <w:tcPr>
            <w:tcW w:w="624" w:type="dxa"/>
            <w:tcBorders>
              <w:top w:val="single" w:sz="4" w:space="0" w:color="000000"/>
              <w:left w:val="single" w:sz="4" w:space="0" w:color="000000"/>
              <w:bottom w:val="nil" w:sz="6" w:space="0" w:color="auto"/>
              <w:right w:val="single" w:sz="4" w:space="0" w:color="000000"/>
            </w:tcBorders>
            <w:shd w:val="clear" w:color="auto" w:fill="D2D2D2"/>
          </w:tcPr>
          <w:p>
            <w:pPr/>
          </w:p>
        </w:tc>
        <w:tc>
          <w:tcPr>
            <w:tcW w:w="874" w:type="dxa"/>
            <w:tcBorders>
              <w:top w:val="single" w:sz="4" w:space="0" w:color="000000"/>
              <w:left w:val="single" w:sz="4" w:space="0" w:color="000000"/>
              <w:bottom w:val="nil" w:sz="6" w:space="0" w:color="auto"/>
              <w:right w:val="single" w:sz="4" w:space="0" w:color="000000"/>
            </w:tcBorders>
            <w:shd w:val="clear" w:color="auto" w:fill="D2D2D2"/>
          </w:tcPr>
          <w:p>
            <w:pPr/>
          </w:p>
        </w:tc>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9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71" w:hRule="exact"/>
        </w:trPr>
        <w:tc>
          <w:tcPr>
            <w:tcW w:w="754" w:type="dxa"/>
            <w:tcBorders>
              <w:top w:val="nil" w:sz="6" w:space="0" w:color="auto"/>
              <w:left w:val="single" w:sz="4" w:space="0" w:color="000000"/>
              <w:bottom w:val="nil" w:sz="6" w:space="0" w:color="auto"/>
              <w:right w:val="single" w:sz="4" w:space="0" w:color="000000"/>
            </w:tcBorders>
            <w:shd w:val="clear" w:color="auto" w:fill="D2D2D2"/>
          </w:tcPr>
          <w:p>
            <w:pPr/>
          </w:p>
        </w:tc>
        <w:tc>
          <w:tcPr>
            <w:tcW w:w="749" w:type="dxa"/>
            <w:tcBorders>
              <w:top w:val="nil" w:sz="6" w:space="0" w:color="auto"/>
              <w:left w:val="single" w:sz="4" w:space="0" w:color="000000"/>
              <w:bottom w:val="nil" w:sz="6" w:space="0" w:color="auto"/>
              <w:right w:val="single" w:sz="4" w:space="0" w:color="000000"/>
            </w:tcBorders>
            <w:shd w:val="clear" w:color="auto" w:fill="D2D2D2"/>
          </w:tcPr>
          <w:p>
            <w:pPr/>
          </w:p>
        </w:tc>
        <w:tc>
          <w:tcPr>
            <w:tcW w:w="744" w:type="dxa"/>
            <w:tcBorders>
              <w:top w:val="nil" w:sz="6" w:space="0" w:color="auto"/>
              <w:left w:val="single" w:sz="4" w:space="0" w:color="000000"/>
              <w:bottom w:val="nil" w:sz="6" w:space="0" w:color="auto"/>
              <w:right w:val="single" w:sz="4" w:space="0" w:color="000000"/>
            </w:tcBorders>
            <w:shd w:val="clear" w:color="auto" w:fill="D2D2D2"/>
          </w:tcPr>
          <w:p>
            <w:pPr/>
          </w:p>
        </w:tc>
        <w:tc>
          <w:tcPr>
            <w:tcW w:w="749" w:type="dxa"/>
            <w:tcBorders>
              <w:top w:val="nil" w:sz="6" w:space="0" w:color="auto"/>
              <w:left w:val="single" w:sz="4" w:space="0" w:color="000000"/>
              <w:bottom w:val="nil" w:sz="6" w:space="0" w:color="auto"/>
              <w:right w:val="single" w:sz="4" w:space="0" w:color="000000"/>
            </w:tcBorders>
            <w:shd w:val="clear" w:color="auto" w:fill="D2D2D2"/>
          </w:tcPr>
          <w:p>
            <w:pPr/>
          </w:p>
        </w:tc>
        <w:tc>
          <w:tcPr>
            <w:tcW w:w="12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4" w:right="0"/>
              <w:jc w:val="center"/>
              <w:rPr>
                <w:rFonts w:ascii="宋体" w:hAnsi="宋体" w:cs="宋体" w:eastAsia="宋体" w:hint="default"/>
                <w:sz w:val="21"/>
                <w:szCs w:val="21"/>
              </w:rPr>
            </w:pPr>
            <w:r>
              <w:rPr>
                <w:rFonts w:ascii="宋体" w:hAnsi="宋体" w:cs="宋体" w:eastAsia="宋体" w:hint="default"/>
                <w:sz w:val="21"/>
                <w:szCs w:val="21"/>
              </w:rPr>
              <w:t>至报告期末</w:t>
            </w:r>
          </w:p>
        </w:tc>
        <w:tc>
          <w:tcPr>
            <w:tcW w:w="11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报告期末为</w:t>
            </w:r>
          </w:p>
        </w:tc>
        <w:tc>
          <w:tcPr>
            <w:tcW w:w="7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为上市</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
        </w:tc>
        <w:tc>
          <w:tcPr>
            <w:tcW w:w="87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115" w:right="0"/>
              <w:jc w:val="left"/>
              <w:rPr>
                <w:rFonts w:ascii="宋体" w:hAnsi="宋体" w:cs="宋体" w:eastAsia="宋体" w:hint="default"/>
                <w:sz w:val="21"/>
                <w:szCs w:val="21"/>
              </w:rPr>
            </w:pPr>
            <w:r>
              <w:rPr>
                <w:rFonts w:ascii="宋体" w:hAnsi="宋体" w:cs="宋体" w:eastAsia="宋体" w:hint="default"/>
                <w:sz w:val="21"/>
                <w:szCs w:val="21"/>
              </w:rPr>
              <w:t>与交易</w:t>
            </w:r>
          </w:p>
        </w:tc>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998"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1092" w:hRule="exact"/>
        </w:trPr>
        <w:tc>
          <w:tcPr>
            <w:tcW w:w="75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9" w:lineRule="exact"/>
              <w:ind w:left="4" w:right="0"/>
              <w:jc w:val="center"/>
              <w:rPr>
                <w:rFonts w:ascii="宋体" w:hAnsi="宋体" w:cs="宋体" w:eastAsia="宋体" w:hint="default"/>
                <w:sz w:val="21"/>
                <w:szCs w:val="21"/>
              </w:rPr>
            </w:pPr>
            <w:r>
              <w:rPr>
                <w:rFonts w:ascii="宋体" w:hAnsi="宋体" w:cs="宋体" w:eastAsia="宋体" w:hint="default"/>
                <w:sz w:val="21"/>
                <w:szCs w:val="21"/>
              </w:rPr>
              <w:t>交易对</w:t>
            </w:r>
          </w:p>
          <w:p>
            <w:pPr>
              <w:pStyle w:val="TableParagraph"/>
              <w:spacing w:line="237" w:lineRule="auto" w:before="2"/>
              <w:ind w:left="57" w:right="50"/>
              <w:jc w:val="center"/>
              <w:rPr>
                <w:rFonts w:ascii="宋体" w:hAnsi="宋体" w:cs="宋体" w:eastAsia="宋体" w:hint="default"/>
                <w:sz w:val="21"/>
                <w:szCs w:val="21"/>
              </w:rPr>
            </w:pPr>
            <w:r>
              <w:rPr>
                <w:rFonts w:ascii="宋体" w:hAnsi="宋体" w:cs="宋体" w:eastAsia="宋体" w:hint="default"/>
                <w:sz w:val="21"/>
                <w:szCs w:val="21"/>
              </w:rPr>
              <w:t>方或最</w:t>
            </w:r>
            <w:r>
              <w:rPr>
                <w:rFonts w:ascii="宋体" w:hAnsi="宋体" w:cs="宋体" w:eastAsia="宋体" w:hint="default"/>
                <w:w w:val="100"/>
                <w:sz w:val="21"/>
                <w:szCs w:val="21"/>
              </w:rPr>
              <w:t> </w:t>
            </w:r>
            <w:r>
              <w:rPr>
                <w:rFonts w:ascii="宋体" w:hAnsi="宋体" w:cs="宋体" w:eastAsia="宋体" w:hint="default"/>
                <w:sz w:val="21"/>
                <w:szCs w:val="21"/>
              </w:rPr>
              <w:t>终控制</w:t>
            </w:r>
            <w:r>
              <w:rPr>
                <w:rFonts w:ascii="宋体" w:hAnsi="宋体" w:cs="宋体" w:eastAsia="宋体" w:hint="default"/>
                <w:w w:val="100"/>
                <w:sz w:val="21"/>
                <w:szCs w:val="21"/>
              </w:rPr>
              <w:t> </w:t>
            </w:r>
            <w:r>
              <w:rPr>
                <w:rFonts w:ascii="宋体" w:hAnsi="宋体" w:cs="宋体" w:eastAsia="宋体" w:hint="default"/>
                <w:sz w:val="21"/>
                <w:szCs w:val="21"/>
              </w:rPr>
              <w:t>方</w:t>
            </w:r>
          </w:p>
        </w:tc>
        <w:tc>
          <w:tcPr>
            <w:tcW w:w="7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4"/>
              <w:ind w:left="52" w:right="50"/>
              <w:jc w:val="both"/>
              <w:rPr>
                <w:rFonts w:ascii="宋体" w:hAnsi="宋体" w:cs="宋体" w:eastAsia="宋体" w:hint="default"/>
                <w:sz w:val="21"/>
                <w:szCs w:val="21"/>
              </w:rPr>
            </w:pPr>
            <w:r>
              <w:rPr>
                <w:rFonts w:ascii="宋体" w:hAnsi="宋体" w:cs="宋体" w:eastAsia="宋体" w:hint="default"/>
                <w:sz w:val="21"/>
                <w:szCs w:val="21"/>
              </w:rPr>
              <w:t>被收购</w:t>
            </w:r>
            <w:r>
              <w:rPr>
                <w:rFonts w:ascii="宋体" w:hAnsi="宋体" w:cs="宋体" w:eastAsia="宋体" w:hint="default"/>
                <w:spacing w:val="-102"/>
                <w:sz w:val="21"/>
                <w:szCs w:val="21"/>
              </w:rPr>
              <w:t> </w:t>
            </w:r>
            <w:r>
              <w:rPr>
                <w:rFonts w:ascii="宋体" w:hAnsi="宋体" w:cs="宋体" w:eastAsia="宋体" w:hint="default"/>
                <w:sz w:val="21"/>
                <w:szCs w:val="21"/>
              </w:rPr>
              <w:t>或置入</w:t>
            </w:r>
            <w:r>
              <w:rPr>
                <w:rFonts w:ascii="宋体" w:hAnsi="宋体" w:cs="宋体" w:eastAsia="宋体" w:hint="default"/>
                <w:spacing w:val="-102"/>
                <w:sz w:val="21"/>
                <w:szCs w:val="21"/>
              </w:rPr>
              <w:t> </w:t>
            </w:r>
            <w:r>
              <w:rPr>
                <w:rFonts w:ascii="宋体" w:hAnsi="宋体" w:cs="宋体" w:eastAsia="宋体" w:hint="default"/>
                <w:sz w:val="21"/>
                <w:szCs w:val="21"/>
              </w:rPr>
              <w:t>资产</w:t>
            </w:r>
          </w:p>
        </w:tc>
        <w:tc>
          <w:tcPr>
            <w:tcW w:w="74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4"/>
              <w:ind w:left="48" w:right="50"/>
              <w:jc w:val="both"/>
              <w:rPr>
                <w:rFonts w:ascii="宋体" w:hAnsi="宋体" w:cs="宋体" w:eastAsia="宋体" w:hint="default"/>
                <w:sz w:val="21"/>
                <w:szCs w:val="21"/>
              </w:rPr>
            </w:pPr>
            <w:r>
              <w:rPr>
                <w:rFonts w:ascii="宋体" w:hAnsi="宋体" w:cs="宋体" w:eastAsia="宋体" w:hint="default"/>
                <w:sz w:val="21"/>
                <w:szCs w:val="21"/>
              </w:rPr>
              <w:t>交易价</w:t>
            </w:r>
            <w:r>
              <w:rPr>
                <w:rFonts w:ascii="宋体" w:hAnsi="宋体" w:cs="宋体" w:eastAsia="宋体" w:hint="default"/>
                <w:spacing w:val="-102"/>
                <w:sz w:val="21"/>
                <w:szCs w:val="21"/>
              </w:rPr>
              <w:t> </w:t>
            </w:r>
            <w:r>
              <w:rPr>
                <w:rFonts w:ascii="宋体" w:hAnsi="宋体" w:cs="宋体" w:eastAsia="宋体" w:hint="default"/>
                <w:sz w:val="21"/>
                <w:szCs w:val="21"/>
              </w:rPr>
              <w:t>格（万</w:t>
            </w:r>
            <w:r>
              <w:rPr>
                <w:rFonts w:ascii="宋体" w:hAnsi="宋体" w:cs="宋体" w:eastAsia="宋体" w:hint="default"/>
                <w:spacing w:val="-102"/>
                <w:sz w:val="21"/>
                <w:szCs w:val="21"/>
              </w:rPr>
              <w:t> </w:t>
            </w:r>
            <w:r>
              <w:rPr>
                <w:rFonts w:ascii="宋体" w:hAnsi="宋体" w:cs="宋体" w:eastAsia="宋体" w:hint="default"/>
                <w:sz w:val="21"/>
                <w:szCs w:val="21"/>
              </w:rPr>
              <w:t>元）</w:t>
            </w:r>
          </w:p>
        </w:tc>
        <w:tc>
          <w:tcPr>
            <w:tcW w:w="7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
              <w:ind w:right="0"/>
              <w:jc w:val="left"/>
              <w:rPr>
                <w:rFonts w:ascii="Microsoft JhengHei" w:hAnsi="Microsoft JhengHei" w:cs="Microsoft JhengHei" w:eastAsia="Microsoft JhengHei" w:hint="default"/>
                <w:b/>
                <w:bCs/>
                <w:sz w:val="13"/>
                <w:szCs w:val="13"/>
              </w:rPr>
            </w:pPr>
          </w:p>
          <w:p>
            <w:pPr>
              <w:pStyle w:val="TableParagraph"/>
              <w:spacing w:line="240" w:lineRule="auto"/>
              <w:ind w:left="264" w:right="50" w:hanging="212"/>
              <w:jc w:val="left"/>
              <w:rPr>
                <w:rFonts w:ascii="宋体" w:hAnsi="宋体" w:cs="宋体" w:eastAsia="宋体" w:hint="default"/>
                <w:sz w:val="21"/>
                <w:szCs w:val="21"/>
              </w:rPr>
            </w:pPr>
            <w:r>
              <w:rPr>
                <w:rFonts w:ascii="宋体" w:hAnsi="宋体" w:cs="宋体" w:eastAsia="宋体" w:hint="default"/>
                <w:sz w:val="21"/>
                <w:szCs w:val="21"/>
              </w:rPr>
              <w:t>进展情</w:t>
            </w:r>
            <w:r>
              <w:rPr>
                <w:rFonts w:ascii="宋体" w:hAnsi="宋体" w:cs="宋体" w:eastAsia="宋体" w:hint="default"/>
                <w:spacing w:val="-102"/>
                <w:sz w:val="21"/>
                <w:szCs w:val="21"/>
              </w:rPr>
              <w:t> </w:t>
            </w:r>
            <w:r>
              <w:rPr>
                <w:rFonts w:ascii="宋体" w:hAnsi="宋体" w:cs="宋体" w:eastAsia="宋体" w:hint="default"/>
                <w:sz w:val="21"/>
                <w:szCs w:val="21"/>
              </w:rPr>
              <w:t>况</w:t>
            </w:r>
          </w:p>
        </w:tc>
        <w:tc>
          <w:tcPr>
            <w:tcW w:w="12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68" w:lineRule="exact"/>
              <w:ind w:left="24" w:right="17" w:firstLine="52"/>
              <w:jc w:val="left"/>
              <w:rPr>
                <w:rFonts w:ascii="宋体" w:hAnsi="宋体" w:cs="宋体" w:eastAsia="宋体" w:hint="default"/>
                <w:sz w:val="21"/>
                <w:szCs w:val="21"/>
              </w:rPr>
            </w:pPr>
            <w:r>
              <w:rPr>
                <w:rFonts w:ascii="宋体" w:hAnsi="宋体" w:cs="宋体" w:eastAsia="宋体" w:hint="default"/>
                <w:sz w:val="21"/>
                <w:szCs w:val="21"/>
              </w:rPr>
              <w:t>为上市公司</w:t>
            </w:r>
            <w:r>
              <w:rPr>
                <w:rFonts w:ascii="宋体" w:hAnsi="宋体" w:cs="宋体" w:eastAsia="宋体" w:hint="default"/>
                <w:w w:val="100"/>
                <w:sz w:val="21"/>
                <w:szCs w:val="21"/>
              </w:rPr>
              <w:t> </w:t>
            </w:r>
            <w:r>
              <w:rPr>
                <w:rFonts w:ascii="宋体" w:hAnsi="宋体" w:cs="宋体" w:eastAsia="宋体" w:hint="default"/>
                <w:sz w:val="21"/>
                <w:szCs w:val="21"/>
              </w:rPr>
              <w:t>贡献的净利</w:t>
            </w:r>
          </w:p>
          <w:p>
            <w:pPr>
              <w:pStyle w:val="TableParagraph"/>
              <w:spacing w:line="274" w:lineRule="exact" w:before="1"/>
              <w:ind w:left="76" w:right="17" w:hanging="53"/>
              <w:jc w:val="left"/>
              <w:rPr>
                <w:rFonts w:ascii="宋体" w:hAnsi="宋体" w:cs="宋体" w:eastAsia="宋体" w:hint="default"/>
                <w:sz w:val="21"/>
                <w:szCs w:val="21"/>
              </w:rPr>
            </w:pPr>
            <w:r>
              <w:rPr>
                <w:rFonts w:ascii="宋体" w:hAnsi="宋体" w:cs="宋体" w:eastAsia="宋体" w:hint="default"/>
                <w:spacing w:val="-46"/>
                <w:w w:val="100"/>
                <w:sz w:val="21"/>
                <w:szCs w:val="21"/>
              </w:rPr>
              <w:t>润（万元）（适</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z w:val="21"/>
                <w:szCs w:val="21"/>
              </w:rPr>
              <w:t>用于非同一</w:t>
            </w:r>
          </w:p>
        </w:tc>
        <w:tc>
          <w:tcPr>
            <w:tcW w:w="11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68" w:lineRule="exact"/>
              <w:ind w:left="28" w:right="26"/>
              <w:jc w:val="left"/>
              <w:rPr>
                <w:rFonts w:ascii="宋体" w:hAnsi="宋体" w:cs="宋体" w:eastAsia="宋体" w:hint="default"/>
                <w:sz w:val="21"/>
                <w:szCs w:val="21"/>
              </w:rPr>
            </w:pPr>
            <w:r>
              <w:rPr>
                <w:rFonts w:ascii="宋体" w:hAnsi="宋体" w:cs="宋体" w:eastAsia="宋体" w:hint="default"/>
                <w:sz w:val="21"/>
                <w:szCs w:val="21"/>
              </w:rPr>
              <w:t>上市公司贡</w:t>
            </w:r>
            <w:r>
              <w:rPr>
                <w:rFonts w:ascii="宋体" w:hAnsi="宋体" w:cs="宋体" w:eastAsia="宋体" w:hint="default"/>
                <w:spacing w:val="-100"/>
                <w:sz w:val="21"/>
                <w:szCs w:val="21"/>
              </w:rPr>
              <w:t> </w:t>
            </w:r>
            <w:r>
              <w:rPr>
                <w:rFonts w:ascii="宋体" w:hAnsi="宋体" w:cs="宋体" w:eastAsia="宋体" w:hint="default"/>
                <w:sz w:val="21"/>
                <w:szCs w:val="21"/>
              </w:rPr>
              <w:t>献的净利润</w:t>
            </w:r>
          </w:p>
          <w:p>
            <w:pPr>
              <w:pStyle w:val="TableParagraph"/>
              <w:spacing w:line="274" w:lineRule="exact" w:before="1"/>
              <w:ind w:left="28" w:right="17" w:hanging="5"/>
              <w:jc w:val="left"/>
              <w:rPr>
                <w:rFonts w:ascii="宋体" w:hAnsi="宋体" w:cs="宋体" w:eastAsia="宋体" w:hint="default"/>
                <w:sz w:val="21"/>
                <w:szCs w:val="21"/>
              </w:rPr>
            </w:pPr>
            <w:r>
              <w:rPr>
                <w:rFonts w:ascii="宋体" w:hAnsi="宋体" w:cs="宋体" w:eastAsia="宋体" w:hint="default"/>
                <w:spacing w:val="-33"/>
                <w:w w:val="100"/>
                <w:sz w:val="21"/>
                <w:szCs w:val="21"/>
              </w:rPr>
              <w:t>（万元）（适</w:t>
            </w:r>
            <w:r>
              <w:rPr>
                <w:rFonts w:ascii="宋体" w:hAnsi="宋体" w:cs="宋体" w:eastAsia="宋体" w:hint="default"/>
                <w:w w:val="100"/>
                <w:sz w:val="21"/>
                <w:szCs w:val="21"/>
              </w:rPr>
              <w:t> </w:t>
            </w:r>
            <w:r>
              <w:rPr>
                <w:rFonts w:ascii="宋体" w:hAnsi="宋体" w:cs="宋体" w:eastAsia="宋体" w:hint="default"/>
                <w:sz w:val="21"/>
                <w:szCs w:val="21"/>
              </w:rPr>
              <w:t>用于同一控</w:t>
            </w:r>
          </w:p>
        </w:tc>
        <w:tc>
          <w:tcPr>
            <w:tcW w:w="7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68" w:lineRule="exact"/>
              <w:ind w:left="52" w:right="50"/>
              <w:jc w:val="left"/>
              <w:rPr>
                <w:rFonts w:ascii="宋体" w:hAnsi="宋体" w:cs="宋体" w:eastAsia="宋体" w:hint="default"/>
                <w:sz w:val="21"/>
                <w:szCs w:val="21"/>
              </w:rPr>
            </w:pPr>
            <w:r>
              <w:rPr>
                <w:rFonts w:ascii="宋体" w:hAnsi="宋体" w:cs="宋体" w:eastAsia="宋体" w:hint="default"/>
                <w:sz w:val="21"/>
                <w:szCs w:val="21"/>
              </w:rPr>
              <w:t>公司贡</w:t>
            </w:r>
            <w:r>
              <w:rPr>
                <w:rFonts w:ascii="宋体" w:hAnsi="宋体" w:cs="宋体" w:eastAsia="宋体" w:hint="default"/>
                <w:spacing w:val="-102"/>
                <w:sz w:val="21"/>
                <w:szCs w:val="21"/>
              </w:rPr>
              <w:t> </w:t>
            </w:r>
            <w:r>
              <w:rPr>
                <w:rFonts w:ascii="宋体" w:hAnsi="宋体" w:cs="宋体" w:eastAsia="宋体" w:hint="default"/>
                <w:sz w:val="21"/>
                <w:szCs w:val="21"/>
              </w:rPr>
              <w:t>献的净</w:t>
            </w:r>
          </w:p>
          <w:p>
            <w:pPr>
              <w:pStyle w:val="TableParagraph"/>
              <w:spacing w:line="274" w:lineRule="exact" w:before="1"/>
              <w:ind w:left="52" w:right="50"/>
              <w:jc w:val="left"/>
              <w:rPr>
                <w:rFonts w:ascii="宋体" w:hAnsi="宋体" w:cs="宋体" w:eastAsia="宋体" w:hint="default"/>
                <w:sz w:val="21"/>
                <w:szCs w:val="21"/>
              </w:rPr>
            </w:pPr>
            <w:r>
              <w:rPr>
                <w:rFonts w:ascii="宋体" w:hAnsi="宋体" w:cs="宋体" w:eastAsia="宋体" w:hint="default"/>
                <w:sz w:val="21"/>
                <w:szCs w:val="21"/>
              </w:rPr>
              <w:t>利润占</w:t>
            </w:r>
            <w:r>
              <w:rPr>
                <w:rFonts w:ascii="宋体" w:hAnsi="宋体" w:cs="宋体" w:eastAsia="宋体" w:hint="default"/>
                <w:spacing w:val="-102"/>
                <w:sz w:val="21"/>
                <w:szCs w:val="21"/>
              </w:rPr>
              <w:t> </w:t>
            </w:r>
            <w:r>
              <w:rPr>
                <w:rFonts w:ascii="宋体" w:hAnsi="宋体" w:cs="宋体" w:eastAsia="宋体" w:hint="default"/>
                <w:sz w:val="21"/>
                <w:szCs w:val="21"/>
              </w:rPr>
              <w:t>利润总</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39" w:lineRule="exact"/>
              <w:ind w:left="95"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2"/>
              <w:ind w:left="95" w:right="94"/>
              <w:jc w:val="both"/>
              <w:rPr>
                <w:rFonts w:ascii="宋体" w:hAnsi="宋体" w:cs="宋体" w:eastAsia="宋体" w:hint="default"/>
                <w:sz w:val="21"/>
                <w:szCs w:val="21"/>
              </w:rPr>
            </w:pPr>
            <w:r>
              <w:rPr>
                <w:rFonts w:ascii="宋体" w:hAnsi="宋体" w:cs="宋体" w:eastAsia="宋体" w:hint="default"/>
                <w:sz w:val="21"/>
                <w:szCs w:val="21"/>
              </w:rPr>
              <w:t>为关</w:t>
            </w:r>
            <w:r>
              <w:rPr>
                <w:rFonts w:ascii="宋体" w:hAnsi="宋体" w:cs="宋体" w:eastAsia="宋体" w:hint="default"/>
                <w:spacing w:val="-103"/>
                <w:sz w:val="21"/>
                <w:szCs w:val="21"/>
              </w:rPr>
              <w:t> </w:t>
            </w:r>
            <w:r>
              <w:rPr>
                <w:rFonts w:ascii="宋体" w:hAnsi="宋体" w:cs="宋体" w:eastAsia="宋体" w:hint="default"/>
                <w:sz w:val="21"/>
                <w:szCs w:val="21"/>
              </w:rPr>
              <w:t>联交</w:t>
            </w:r>
            <w:r>
              <w:rPr>
                <w:rFonts w:ascii="宋体" w:hAnsi="宋体" w:cs="宋体" w:eastAsia="宋体" w:hint="default"/>
                <w:spacing w:val="-103"/>
                <w:sz w:val="21"/>
                <w:szCs w:val="21"/>
              </w:rPr>
              <w:t> </w:t>
            </w:r>
            <w:r>
              <w:rPr>
                <w:rFonts w:ascii="宋体" w:hAnsi="宋体" w:cs="宋体" w:eastAsia="宋体" w:hint="default"/>
                <w:sz w:val="21"/>
                <w:szCs w:val="21"/>
              </w:rPr>
              <w:t>易</w:t>
            </w:r>
          </w:p>
        </w:tc>
        <w:tc>
          <w:tcPr>
            <w:tcW w:w="87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对方的</w:t>
            </w:r>
          </w:p>
          <w:p>
            <w:pPr>
              <w:pStyle w:val="TableParagraph"/>
              <w:spacing w:line="237" w:lineRule="auto" w:before="2"/>
              <w:ind w:left="24" w:right="17" w:hanging="5"/>
              <w:jc w:val="center"/>
              <w:rPr>
                <w:rFonts w:ascii="宋体" w:hAnsi="宋体" w:cs="宋体" w:eastAsia="宋体" w:hint="default"/>
                <w:sz w:val="21"/>
                <w:szCs w:val="21"/>
              </w:rPr>
            </w:pPr>
            <w:r>
              <w:rPr>
                <w:rFonts w:ascii="宋体" w:hAnsi="宋体" w:cs="宋体" w:eastAsia="宋体" w:hint="default"/>
                <w:sz w:val="21"/>
                <w:szCs w:val="21"/>
              </w:rPr>
              <w:t>关联关</w:t>
            </w:r>
            <w:r>
              <w:rPr>
                <w:rFonts w:ascii="宋体" w:hAnsi="宋体" w:cs="宋体" w:eastAsia="宋体" w:hint="default"/>
                <w:w w:val="100"/>
                <w:sz w:val="21"/>
                <w:szCs w:val="21"/>
              </w:rPr>
              <w:t> </w:t>
            </w:r>
            <w:r>
              <w:rPr>
                <w:rFonts w:ascii="宋体" w:hAnsi="宋体" w:cs="宋体" w:eastAsia="宋体" w:hint="default"/>
                <w:spacing w:val="-6"/>
                <w:sz w:val="21"/>
                <w:szCs w:val="21"/>
              </w:rPr>
              <w:t>系（适用</w:t>
            </w:r>
            <w:r>
              <w:rPr>
                <w:rFonts w:ascii="宋体" w:hAnsi="宋体" w:cs="宋体" w:eastAsia="宋体" w:hint="default"/>
                <w:w w:val="100"/>
                <w:sz w:val="21"/>
                <w:szCs w:val="21"/>
              </w:rPr>
              <w:t> </w:t>
            </w:r>
            <w:r>
              <w:rPr>
                <w:rFonts w:ascii="宋体" w:hAnsi="宋体" w:cs="宋体" w:eastAsia="宋体" w:hint="default"/>
                <w:sz w:val="21"/>
                <w:szCs w:val="21"/>
              </w:rPr>
              <w:t>关联交</w:t>
            </w:r>
          </w:p>
        </w:tc>
        <w:tc>
          <w:tcPr>
            <w:tcW w:w="9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21"/>
                <w:szCs w:val="21"/>
              </w:rPr>
            </w:pPr>
          </w:p>
          <w:p>
            <w:pPr>
              <w:pStyle w:val="TableParagraph"/>
              <w:spacing w:line="240" w:lineRule="auto"/>
              <w:ind w:left="67"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9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21"/>
                <w:szCs w:val="21"/>
              </w:rPr>
            </w:pPr>
          </w:p>
          <w:p>
            <w:pPr>
              <w:pStyle w:val="TableParagraph"/>
              <w:spacing w:line="240" w:lineRule="auto"/>
              <w:ind w:left="71" w:right="0"/>
              <w:jc w:val="left"/>
              <w:rPr>
                <w:rFonts w:ascii="宋体" w:hAnsi="宋体" w:cs="宋体" w:eastAsia="宋体" w:hint="default"/>
                <w:sz w:val="21"/>
                <w:szCs w:val="21"/>
              </w:rPr>
            </w:pPr>
            <w:r>
              <w:rPr>
                <w:rFonts w:ascii="宋体" w:hAnsi="宋体" w:cs="宋体" w:eastAsia="宋体" w:hint="default"/>
                <w:sz w:val="21"/>
                <w:szCs w:val="21"/>
              </w:rPr>
              <w:t>披露索引</w:t>
            </w:r>
          </w:p>
        </w:tc>
      </w:tr>
      <w:tr>
        <w:trPr>
          <w:trHeight w:val="271" w:hRule="exact"/>
        </w:trPr>
        <w:tc>
          <w:tcPr>
            <w:tcW w:w="754" w:type="dxa"/>
            <w:tcBorders>
              <w:top w:val="nil" w:sz="6" w:space="0" w:color="auto"/>
              <w:left w:val="single" w:sz="4" w:space="0" w:color="000000"/>
              <w:bottom w:val="nil" w:sz="6" w:space="0" w:color="auto"/>
              <w:right w:val="single" w:sz="4" w:space="0" w:color="000000"/>
            </w:tcBorders>
            <w:shd w:val="clear" w:color="auto" w:fill="D2D2D2"/>
          </w:tcPr>
          <w:p>
            <w:pPr/>
          </w:p>
        </w:tc>
        <w:tc>
          <w:tcPr>
            <w:tcW w:w="749" w:type="dxa"/>
            <w:tcBorders>
              <w:top w:val="nil" w:sz="6" w:space="0" w:color="auto"/>
              <w:left w:val="single" w:sz="4" w:space="0" w:color="000000"/>
              <w:bottom w:val="nil" w:sz="6" w:space="0" w:color="auto"/>
              <w:right w:val="single" w:sz="4" w:space="0" w:color="000000"/>
            </w:tcBorders>
            <w:shd w:val="clear" w:color="auto" w:fill="D2D2D2"/>
          </w:tcPr>
          <w:p>
            <w:pPr/>
          </w:p>
        </w:tc>
        <w:tc>
          <w:tcPr>
            <w:tcW w:w="744" w:type="dxa"/>
            <w:tcBorders>
              <w:top w:val="nil" w:sz="6" w:space="0" w:color="auto"/>
              <w:left w:val="single" w:sz="4" w:space="0" w:color="000000"/>
              <w:bottom w:val="nil" w:sz="6" w:space="0" w:color="auto"/>
              <w:right w:val="single" w:sz="4" w:space="0" w:color="000000"/>
            </w:tcBorders>
            <w:shd w:val="clear" w:color="auto" w:fill="D2D2D2"/>
          </w:tcPr>
          <w:p>
            <w:pPr/>
          </w:p>
        </w:tc>
        <w:tc>
          <w:tcPr>
            <w:tcW w:w="749" w:type="dxa"/>
            <w:tcBorders>
              <w:top w:val="nil" w:sz="6" w:space="0" w:color="auto"/>
              <w:left w:val="single" w:sz="4" w:space="0" w:color="000000"/>
              <w:bottom w:val="nil" w:sz="6" w:space="0" w:color="auto"/>
              <w:right w:val="single" w:sz="4" w:space="0" w:color="000000"/>
            </w:tcBorders>
            <w:shd w:val="clear" w:color="auto" w:fill="D2D2D2"/>
          </w:tcPr>
          <w:p>
            <w:pPr/>
          </w:p>
        </w:tc>
        <w:tc>
          <w:tcPr>
            <w:tcW w:w="12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4" w:right="0"/>
              <w:jc w:val="center"/>
              <w:rPr>
                <w:rFonts w:ascii="宋体" w:hAnsi="宋体" w:cs="宋体" w:eastAsia="宋体" w:hint="default"/>
                <w:sz w:val="21"/>
                <w:szCs w:val="21"/>
              </w:rPr>
            </w:pPr>
            <w:r>
              <w:rPr>
                <w:rFonts w:ascii="宋体" w:hAnsi="宋体" w:cs="宋体" w:eastAsia="宋体" w:hint="default"/>
                <w:sz w:val="21"/>
                <w:szCs w:val="21"/>
              </w:rPr>
              <w:t>控制下的企</w:t>
            </w:r>
          </w:p>
        </w:tc>
        <w:tc>
          <w:tcPr>
            <w:tcW w:w="11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制下的企业</w:t>
            </w:r>
          </w:p>
        </w:tc>
        <w:tc>
          <w:tcPr>
            <w:tcW w:w="74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额的比</w:t>
            </w:r>
          </w:p>
        </w:tc>
        <w:tc>
          <w:tcPr>
            <w:tcW w:w="624" w:type="dxa"/>
            <w:tcBorders>
              <w:top w:val="nil" w:sz="6" w:space="0" w:color="auto"/>
              <w:left w:val="single" w:sz="4" w:space="0" w:color="000000"/>
              <w:bottom w:val="nil" w:sz="6" w:space="0" w:color="auto"/>
              <w:right w:val="single" w:sz="4" w:space="0" w:color="000000"/>
            </w:tcBorders>
            <w:shd w:val="clear" w:color="auto" w:fill="D2D2D2"/>
          </w:tcPr>
          <w:p>
            <w:pPr/>
          </w:p>
        </w:tc>
        <w:tc>
          <w:tcPr>
            <w:tcW w:w="87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115" w:right="0"/>
              <w:jc w:val="left"/>
              <w:rPr>
                <w:rFonts w:ascii="宋体" w:hAnsi="宋体" w:cs="宋体" w:eastAsia="宋体" w:hint="default"/>
                <w:sz w:val="21"/>
                <w:szCs w:val="21"/>
              </w:rPr>
            </w:pPr>
            <w:r>
              <w:rPr>
                <w:rFonts w:ascii="宋体" w:hAnsi="宋体" w:cs="宋体" w:eastAsia="宋体" w:hint="default"/>
                <w:sz w:val="21"/>
                <w:szCs w:val="21"/>
              </w:rPr>
              <w:t>易情形</w:t>
            </w:r>
          </w:p>
        </w:tc>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998"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282" w:hRule="exact"/>
        </w:trPr>
        <w:tc>
          <w:tcPr>
            <w:tcW w:w="7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49" w:type="dxa"/>
            <w:tcBorders>
              <w:top w:val="nil" w:sz="6" w:space="0" w:color="auto"/>
              <w:left w:val="single" w:sz="4" w:space="0" w:color="000000"/>
              <w:bottom w:val="single" w:sz="4" w:space="0" w:color="000000"/>
              <w:right w:val="single" w:sz="4" w:space="0" w:color="000000"/>
            </w:tcBorders>
            <w:shd w:val="clear" w:color="auto" w:fill="D2D2D2"/>
          </w:tcPr>
          <w:p>
            <w:pPr/>
          </w:p>
        </w:tc>
        <w:tc>
          <w:tcPr>
            <w:tcW w:w="744" w:type="dxa"/>
            <w:tcBorders>
              <w:top w:val="nil" w:sz="6" w:space="0" w:color="auto"/>
              <w:left w:val="single" w:sz="4" w:space="0" w:color="000000"/>
              <w:bottom w:val="single" w:sz="4" w:space="0" w:color="000000"/>
              <w:right w:val="single" w:sz="4" w:space="0" w:color="000000"/>
            </w:tcBorders>
            <w:shd w:val="clear" w:color="auto" w:fill="D2D2D2"/>
          </w:tcPr>
          <w:p>
            <w:pPr/>
          </w:p>
        </w:tc>
        <w:tc>
          <w:tcPr>
            <w:tcW w:w="749"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exact"/>
              <w:ind w:right="2"/>
              <w:jc w:val="center"/>
              <w:rPr>
                <w:rFonts w:ascii="宋体" w:hAnsi="宋体" w:cs="宋体" w:eastAsia="宋体" w:hint="default"/>
                <w:sz w:val="21"/>
                <w:szCs w:val="21"/>
              </w:rPr>
            </w:pPr>
            <w:r>
              <w:rPr>
                <w:rFonts w:ascii="宋体" w:hAnsi="宋体" w:cs="宋体" w:eastAsia="宋体" w:hint="default"/>
                <w:sz w:val="21"/>
                <w:szCs w:val="21"/>
              </w:rPr>
              <w:t>业合并）</w:t>
            </w:r>
          </w:p>
        </w:tc>
        <w:tc>
          <w:tcPr>
            <w:tcW w:w="112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合并）</w:t>
            </w:r>
          </w:p>
        </w:tc>
        <w:tc>
          <w:tcPr>
            <w:tcW w:w="74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56" w:lineRule="exact"/>
              <w:ind w:right="1"/>
              <w:jc w:val="center"/>
              <w:rPr>
                <w:rFonts w:ascii="Times New Roman" w:hAnsi="Times New Roman" w:cs="Times New Roman" w:eastAsia="Times New Roman" w:hint="default"/>
                <w:sz w:val="21"/>
                <w:szCs w:val="21"/>
              </w:rPr>
            </w:pPr>
            <w:r>
              <w:rPr>
                <w:rFonts w:ascii="宋体" w:hAnsi="宋体" w:cs="宋体" w:eastAsia="宋体" w:hint="default"/>
                <w:sz w:val="21"/>
                <w:szCs w:val="21"/>
              </w:rPr>
              <w:t>率</w:t>
            </w:r>
            <w:r>
              <w:rPr>
                <w:rFonts w:ascii="Times New Roman" w:hAnsi="Times New Roman" w:cs="Times New Roman" w:eastAsia="Times New Roman" w:hint="default"/>
                <w:sz w:val="21"/>
                <w:szCs w:val="21"/>
              </w:rPr>
              <w:t>(%)</w:t>
            </w:r>
          </w:p>
        </w:tc>
        <w:tc>
          <w:tcPr>
            <w:tcW w:w="624" w:type="dxa"/>
            <w:tcBorders>
              <w:top w:val="nil" w:sz="6" w:space="0" w:color="auto"/>
              <w:left w:val="single" w:sz="4" w:space="0" w:color="000000"/>
              <w:bottom w:val="single" w:sz="4" w:space="0" w:color="000000"/>
              <w:right w:val="single" w:sz="4" w:space="0" w:color="000000"/>
            </w:tcBorders>
            <w:shd w:val="clear" w:color="auto" w:fill="D2D2D2"/>
          </w:tcPr>
          <w:p>
            <w:pPr/>
          </w:p>
        </w:tc>
        <w:tc>
          <w:tcPr>
            <w:tcW w:w="874" w:type="dxa"/>
            <w:tcBorders>
              <w:top w:val="nil" w:sz="6" w:space="0" w:color="auto"/>
              <w:left w:val="single" w:sz="4" w:space="0" w:color="000000"/>
              <w:bottom w:val="single" w:sz="4" w:space="0" w:color="000000"/>
              <w:right w:val="single" w:sz="4" w:space="0" w:color="000000"/>
            </w:tcBorders>
            <w:shd w:val="clear" w:color="auto" w:fill="D2D2D2"/>
          </w:tcPr>
          <w:p>
            <w:pPr/>
          </w:p>
        </w:tc>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998" w:type="dxa"/>
            <w:tcBorders>
              <w:top w:val="nil" w:sz="6" w:space="0" w:color="auto"/>
              <w:left w:val="single" w:sz="4" w:space="0" w:color="000000"/>
              <w:bottom w:val="single" w:sz="4" w:space="0" w:color="000000"/>
              <w:right w:val="single" w:sz="4" w:space="0" w:color="000000"/>
            </w:tcBorders>
            <w:shd w:val="clear" w:color="auto" w:fill="D2D2D2"/>
          </w:tcPr>
          <w:p>
            <w:pPr/>
          </w:p>
        </w:tc>
      </w:tr>
    </w:tbl>
    <w:p>
      <w:pPr>
        <w:spacing w:after="0"/>
        <w:sectPr>
          <w:pgSz w:w="11900" w:h="16840"/>
          <w:pgMar w:header="872" w:footer="957" w:top="1120" w:bottom="118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754"/>
        <w:gridCol w:w="749"/>
        <w:gridCol w:w="744"/>
        <w:gridCol w:w="749"/>
        <w:gridCol w:w="1214"/>
        <w:gridCol w:w="1123"/>
        <w:gridCol w:w="749"/>
        <w:gridCol w:w="624"/>
        <w:gridCol w:w="874"/>
        <w:gridCol w:w="994"/>
        <w:gridCol w:w="998"/>
      </w:tblGrid>
      <w:tr>
        <w:trPr>
          <w:trHeight w:val="272" w:hRule="exact"/>
        </w:trPr>
        <w:tc>
          <w:tcPr>
            <w:tcW w:w="754" w:type="dxa"/>
            <w:tcBorders>
              <w:top w:val="single" w:sz="4" w:space="0" w:color="000000"/>
              <w:left w:val="single" w:sz="4" w:space="0" w:color="000000"/>
              <w:bottom w:val="nil" w:sz="6" w:space="0" w:color="auto"/>
              <w:right w:val="single" w:sz="4" w:space="0" w:color="000000"/>
            </w:tcBorders>
          </w:tcPr>
          <w:p>
            <w:pPr/>
          </w:p>
        </w:tc>
        <w:tc>
          <w:tcPr>
            <w:tcW w:w="749" w:type="dxa"/>
            <w:tcBorders>
              <w:top w:val="single" w:sz="4" w:space="0" w:color="000000"/>
              <w:left w:val="single" w:sz="4" w:space="0" w:color="000000"/>
              <w:bottom w:val="nil" w:sz="6" w:space="0" w:color="auto"/>
              <w:right w:val="single" w:sz="4" w:space="0" w:color="000000"/>
            </w:tcBorders>
          </w:tcPr>
          <w:p>
            <w:pPr/>
          </w:p>
        </w:tc>
        <w:tc>
          <w:tcPr>
            <w:tcW w:w="744" w:type="dxa"/>
            <w:tcBorders>
              <w:top w:val="single" w:sz="4" w:space="0" w:color="000000"/>
              <w:left w:val="single" w:sz="4" w:space="0" w:color="000000"/>
              <w:bottom w:val="nil" w:sz="6" w:space="0" w:color="auto"/>
              <w:right w:val="single" w:sz="4" w:space="0" w:color="000000"/>
            </w:tcBorders>
          </w:tcPr>
          <w:p>
            <w:pPr/>
          </w:p>
        </w:tc>
        <w:tc>
          <w:tcPr>
            <w:tcW w:w="749"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本次股</w:t>
            </w:r>
          </w:p>
        </w:tc>
        <w:tc>
          <w:tcPr>
            <w:tcW w:w="1214"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
        </w:tc>
        <w:tc>
          <w:tcPr>
            <w:tcW w:w="749" w:type="dxa"/>
            <w:tcBorders>
              <w:top w:val="single" w:sz="4" w:space="0" w:color="000000"/>
              <w:left w:val="single" w:sz="4" w:space="0" w:color="000000"/>
              <w:bottom w:val="nil" w:sz="6" w:space="0" w:color="auto"/>
              <w:right w:val="single" w:sz="4" w:space="0" w:color="000000"/>
            </w:tcBorders>
          </w:tcPr>
          <w:p>
            <w:pPr/>
          </w:p>
        </w:tc>
        <w:tc>
          <w:tcPr>
            <w:tcW w:w="624"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994" w:type="dxa"/>
            <w:tcBorders>
              <w:top w:val="single" w:sz="4" w:space="0" w:color="000000"/>
              <w:left w:val="single" w:sz="4" w:space="0" w:color="000000"/>
              <w:bottom w:val="nil" w:sz="6" w:space="0" w:color="auto"/>
              <w:right w:val="single" w:sz="4" w:space="0" w:color="000000"/>
            </w:tcBorders>
          </w:tcPr>
          <w:p>
            <w:pPr/>
          </w:p>
        </w:tc>
        <w:tc>
          <w:tcPr>
            <w:tcW w:w="998"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75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4" w:right="0"/>
              <w:jc w:val="left"/>
              <w:rPr>
                <w:rFonts w:ascii="宋体" w:hAnsi="宋体" w:cs="宋体" w:eastAsia="宋体" w:hint="default"/>
                <w:sz w:val="21"/>
                <w:szCs w:val="21"/>
              </w:rPr>
            </w:pPr>
            <w:r>
              <w:rPr>
                <w:rFonts w:ascii="宋体" w:hAnsi="宋体" w:cs="宋体" w:eastAsia="宋体" w:hint="default"/>
                <w:sz w:val="21"/>
                <w:szCs w:val="21"/>
              </w:rPr>
              <w:t>权受让</w:t>
            </w:r>
          </w:p>
        </w:tc>
        <w:tc>
          <w:tcPr>
            <w:tcW w:w="1214"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r>
      <w:tr>
        <w:trPr>
          <w:trHeight w:val="271" w:hRule="exact"/>
        </w:trPr>
        <w:tc>
          <w:tcPr>
            <w:tcW w:w="75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事项的</w:t>
            </w:r>
          </w:p>
        </w:tc>
        <w:tc>
          <w:tcPr>
            <w:tcW w:w="1214"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r>
      <w:tr>
        <w:trPr>
          <w:trHeight w:val="2998" w:hRule="exact"/>
        </w:trPr>
        <w:tc>
          <w:tcPr>
            <w:tcW w:w="754"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13"/>
                <w:szCs w:val="13"/>
              </w:rPr>
            </w:pPr>
          </w:p>
          <w:p>
            <w:pPr>
              <w:pStyle w:val="TableParagraph"/>
              <w:spacing w:line="237" w:lineRule="auto"/>
              <w:ind w:left="24" w:right="84"/>
              <w:jc w:val="left"/>
              <w:rPr>
                <w:rFonts w:ascii="宋体" w:hAnsi="宋体" w:cs="宋体" w:eastAsia="宋体" w:hint="default"/>
                <w:sz w:val="21"/>
                <w:szCs w:val="21"/>
              </w:rPr>
            </w:pPr>
            <w:r>
              <w:rPr>
                <w:rFonts w:ascii="宋体" w:hAnsi="宋体" w:cs="宋体" w:eastAsia="宋体" w:hint="default"/>
                <w:sz w:val="21"/>
                <w:szCs w:val="21"/>
              </w:rPr>
              <w:t>中国宝</w:t>
            </w:r>
            <w:r>
              <w:rPr>
                <w:rFonts w:ascii="宋体" w:hAnsi="宋体" w:cs="宋体" w:eastAsia="宋体" w:hint="default"/>
                <w:spacing w:val="-102"/>
                <w:sz w:val="21"/>
                <w:szCs w:val="21"/>
              </w:rPr>
              <w:t> </w:t>
            </w:r>
            <w:r>
              <w:rPr>
                <w:rFonts w:ascii="宋体" w:hAnsi="宋体" w:cs="宋体" w:eastAsia="宋体" w:hint="default"/>
                <w:sz w:val="21"/>
                <w:szCs w:val="21"/>
              </w:rPr>
              <w:t>安集团</w:t>
            </w:r>
            <w:r>
              <w:rPr>
                <w:rFonts w:ascii="宋体" w:hAnsi="宋体" w:cs="宋体" w:eastAsia="宋体" w:hint="default"/>
                <w:spacing w:val="-102"/>
                <w:sz w:val="21"/>
                <w:szCs w:val="21"/>
              </w:rPr>
              <w:t> </w:t>
            </w:r>
            <w:r>
              <w:rPr>
                <w:rFonts w:ascii="宋体" w:hAnsi="宋体" w:cs="宋体" w:eastAsia="宋体" w:hint="default"/>
                <w:sz w:val="21"/>
                <w:szCs w:val="21"/>
              </w:rPr>
              <w:t>股份有</w:t>
            </w:r>
            <w:r>
              <w:rPr>
                <w:rFonts w:ascii="宋体" w:hAnsi="宋体" w:cs="宋体" w:eastAsia="宋体" w:hint="default"/>
                <w:spacing w:val="-102"/>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司、中</w:t>
            </w:r>
            <w:r>
              <w:rPr>
                <w:rFonts w:ascii="宋体" w:hAnsi="宋体" w:cs="宋体" w:eastAsia="宋体" w:hint="default"/>
                <w:spacing w:val="-102"/>
                <w:sz w:val="21"/>
                <w:szCs w:val="21"/>
              </w:rPr>
              <w:t> </w:t>
            </w:r>
            <w:r>
              <w:rPr>
                <w:rFonts w:ascii="宋体" w:hAnsi="宋体" w:cs="宋体" w:eastAsia="宋体" w:hint="default"/>
                <w:sz w:val="21"/>
                <w:szCs w:val="21"/>
              </w:rPr>
              <w:t>国宝安</w:t>
            </w:r>
            <w:r>
              <w:rPr>
                <w:rFonts w:ascii="宋体" w:hAnsi="宋体" w:cs="宋体" w:eastAsia="宋体" w:hint="default"/>
                <w:spacing w:val="-102"/>
                <w:sz w:val="21"/>
                <w:szCs w:val="21"/>
              </w:rPr>
              <w:t> </w:t>
            </w:r>
            <w:r>
              <w:rPr>
                <w:rFonts w:ascii="宋体" w:hAnsi="宋体" w:cs="宋体" w:eastAsia="宋体" w:hint="default"/>
                <w:sz w:val="21"/>
                <w:szCs w:val="21"/>
              </w:rPr>
              <w:t>集团投</w:t>
            </w:r>
            <w:r>
              <w:rPr>
                <w:rFonts w:ascii="宋体" w:hAnsi="宋体" w:cs="宋体" w:eastAsia="宋体" w:hint="default"/>
                <w:spacing w:val="-102"/>
                <w:sz w:val="21"/>
                <w:szCs w:val="21"/>
              </w:rPr>
              <w:t> </w:t>
            </w:r>
            <w:r>
              <w:rPr>
                <w:rFonts w:ascii="宋体" w:hAnsi="宋体" w:cs="宋体" w:eastAsia="宋体" w:hint="default"/>
                <w:sz w:val="21"/>
                <w:szCs w:val="21"/>
              </w:rPr>
              <w:t>资有限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7"/>
              <w:ind w:right="0"/>
              <w:jc w:val="left"/>
              <w:rPr>
                <w:rFonts w:ascii="Microsoft JhengHei" w:hAnsi="Microsoft JhengHei" w:cs="Microsoft JhengHei" w:eastAsia="Microsoft JhengHei" w:hint="default"/>
                <w:b/>
                <w:bCs/>
                <w:sz w:val="10"/>
                <w:szCs w:val="10"/>
              </w:rPr>
            </w:pPr>
          </w:p>
          <w:p>
            <w:pPr>
              <w:pStyle w:val="TableParagraph"/>
              <w:spacing w:line="242" w:lineRule="auto"/>
              <w:ind w:left="24" w:right="79"/>
              <w:jc w:val="left"/>
              <w:rPr>
                <w:rFonts w:ascii="Times New Roman" w:hAnsi="Times New Roman" w:cs="Times New Roman" w:eastAsia="Times New Roman" w:hint="default"/>
                <w:sz w:val="21"/>
                <w:szCs w:val="21"/>
              </w:rPr>
            </w:pPr>
            <w:r>
              <w:rPr>
                <w:rFonts w:ascii="宋体" w:hAnsi="宋体" w:cs="宋体" w:eastAsia="宋体" w:hint="default"/>
                <w:sz w:val="21"/>
                <w:szCs w:val="21"/>
              </w:rPr>
              <w:t>惠州市</w:t>
            </w:r>
            <w:r>
              <w:rPr>
                <w:rFonts w:ascii="宋体" w:hAnsi="宋体" w:cs="宋体" w:eastAsia="宋体" w:hint="default"/>
                <w:spacing w:val="-102"/>
                <w:sz w:val="21"/>
                <w:szCs w:val="21"/>
              </w:rPr>
              <w:t> </w:t>
            </w:r>
            <w:r>
              <w:rPr>
                <w:rFonts w:ascii="宋体" w:hAnsi="宋体" w:cs="宋体" w:eastAsia="宋体" w:hint="default"/>
                <w:sz w:val="21"/>
                <w:szCs w:val="21"/>
              </w:rPr>
              <w:t>宝安房</w:t>
            </w:r>
            <w:r>
              <w:rPr>
                <w:rFonts w:ascii="宋体" w:hAnsi="宋体" w:cs="宋体" w:eastAsia="宋体" w:hint="default"/>
                <w:spacing w:val="-102"/>
                <w:sz w:val="21"/>
                <w:szCs w:val="21"/>
              </w:rPr>
              <w:t> </w:t>
            </w:r>
            <w:r>
              <w:rPr>
                <w:rFonts w:ascii="宋体" w:hAnsi="宋体" w:cs="宋体" w:eastAsia="宋体" w:hint="default"/>
                <w:sz w:val="21"/>
                <w:szCs w:val="21"/>
              </w:rPr>
              <w:t>地产开</w:t>
            </w:r>
            <w:r>
              <w:rPr>
                <w:rFonts w:ascii="宋体" w:hAnsi="宋体" w:cs="宋体" w:eastAsia="宋体" w:hint="default"/>
                <w:spacing w:val="-102"/>
                <w:sz w:val="21"/>
                <w:szCs w:val="21"/>
              </w:rPr>
              <w:t> </w:t>
            </w:r>
            <w:r>
              <w:rPr>
                <w:rFonts w:ascii="宋体" w:hAnsi="宋体" w:cs="宋体" w:eastAsia="宋体" w:hint="default"/>
                <w:sz w:val="21"/>
                <w:szCs w:val="21"/>
              </w:rPr>
              <w:t>发有限</w:t>
            </w:r>
            <w:r>
              <w:rPr>
                <w:rFonts w:ascii="宋体" w:hAnsi="宋体" w:cs="宋体" w:eastAsia="宋体" w:hint="default"/>
                <w:spacing w:val="-102"/>
                <w:sz w:val="21"/>
                <w:szCs w:val="21"/>
              </w:rPr>
              <w:t> </w:t>
            </w:r>
            <w:r>
              <w:rPr>
                <w:rFonts w:ascii="宋体" w:hAnsi="宋体" w:cs="宋体" w:eastAsia="宋体" w:hint="default"/>
                <w:sz w:val="21"/>
                <w:szCs w:val="21"/>
              </w:rPr>
              <w:t>公司</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100%</w:t>
            </w:r>
          </w:p>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股权</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129" w:right="0"/>
              <w:jc w:val="left"/>
              <w:rPr>
                <w:rFonts w:ascii="Times New Roman" w:hAnsi="Times New Roman" w:cs="Times New Roman" w:eastAsia="Times New Roman" w:hint="default"/>
                <w:sz w:val="21"/>
                <w:szCs w:val="21"/>
              </w:rPr>
            </w:pPr>
            <w:r>
              <w:rPr>
                <w:rFonts w:ascii="Times New Roman"/>
                <w:sz w:val="21"/>
              </w:rPr>
              <w:t>17,000</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4" w:right="0"/>
              <w:jc w:val="left"/>
              <w:rPr>
                <w:rFonts w:ascii="宋体" w:hAnsi="宋体" w:cs="宋体" w:eastAsia="宋体" w:hint="default"/>
                <w:sz w:val="21"/>
                <w:szCs w:val="21"/>
              </w:rPr>
            </w:pPr>
            <w:r>
              <w:rPr>
                <w:rFonts w:ascii="宋体" w:hAnsi="宋体" w:cs="宋体" w:eastAsia="宋体" w:hint="default"/>
                <w:sz w:val="21"/>
                <w:szCs w:val="21"/>
              </w:rPr>
              <w:t>协议生</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效日为</w:t>
            </w:r>
          </w:p>
          <w:p>
            <w:pPr>
              <w:pStyle w:val="TableParagraph"/>
              <w:spacing w:line="279"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w:t>
            </w:r>
          </w:p>
          <w:p>
            <w:pPr>
              <w:pStyle w:val="TableParagraph"/>
              <w:spacing w:line="274" w:lineRule="exact" w:before="17"/>
              <w:ind w:left="24" w:right="26"/>
              <w:jc w:val="left"/>
              <w:rPr>
                <w:rFonts w:ascii="宋体" w:hAnsi="宋体" w:cs="宋体" w:eastAsia="宋体" w:hint="default"/>
                <w:sz w:val="21"/>
                <w:szCs w:val="21"/>
              </w:rPr>
            </w:pPr>
            <w:r>
              <w:rPr>
                <w:rFonts w:ascii="宋体" w:hAnsi="宋体" w:cs="宋体" w:eastAsia="宋体" w:hint="default"/>
                <w:sz w:val="21"/>
                <w:szCs w:val="21"/>
              </w:rPr>
              <w:t>日，并</w:t>
            </w:r>
            <w:r>
              <w:rPr>
                <w:rFonts w:ascii="宋体" w:hAnsi="宋体" w:cs="宋体" w:eastAsia="宋体" w:hint="default"/>
                <w:spacing w:val="-102"/>
                <w:sz w:val="21"/>
                <w:szCs w:val="21"/>
              </w:rPr>
              <w:t> </w:t>
            </w:r>
            <w:r>
              <w:rPr>
                <w:rFonts w:ascii="宋体" w:hAnsi="宋体" w:cs="宋体" w:eastAsia="宋体" w:hint="default"/>
                <w:sz w:val="21"/>
                <w:szCs w:val="21"/>
              </w:rPr>
              <w:t>已于</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51" w:lineRule="exact"/>
              <w:ind w:left="2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21</w:t>
            </w:r>
          </w:p>
          <w:p>
            <w:pPr>
              <w:pStyle w:val="TableParagraph"/>
              <w:spacing w:line="274" w:lineRule="exact" w:before="17"/>
              <w:ind w:left="24" w:right="79"/>
              <w:jc w:val="both"/>
              <w:rPr>
                <w:rFonts w:ascii="宋体" w:hAnsi="宋体" w:cs="宋体" w:eastAsia="宋体" w:hint="default"/>
                <w:sz w:val="21"/>
                <w:szCs w:val="21"/>
              </w:rPr>
            </w:pPr>
            <w:r>
              <w:rPr>
                <w:rFonts w:ascii="宋体" w:hAnsi="宋体" w:cs="宋体" w:eastAsia="宋体" w:hint="default"/>
                <w:sz w:val="21"/>
                <w:szCs w:val="21"/>
              </w:rPr>
              <w:t>日办理</w:t>
            </w:r>
            <w:r>
              <w:rPr>
                <w:rFonts w:ascii="宋体" w:hAnsi="宋体" w:cs="宋体" w:eastAsia="宋体" w:hint="default"/>
                <w:spacing w:val="-102"/>
                <w:sz w:val="21"/>
                <w:szCs w:val="21"/>
              </w:rPr>
              <w:t> </w:t>
            </w:r>
            <w:r>
              <w:rPr>
                <w:rFonts w:ascii="宋体" w:hAnsi="宋体" w:cs="宋体" w:eastAsia="宋体" w:hint="default"/>
                <w:sz w:val="21"/>
                <w:szCs w:val="21"/>
              </w:rPr>
              <w:t>了股权</w:t>
            </w:r>
            <w:r>
              <w:rPr>
                <w:rFonts w:ascii="宋体" w:hAnsi="宋体" w:cs="宋体" w:eastAsia="宋体" w:hint="default"/>
                <w:spacing w:val="-102"/>
                <w:sz w:val="21"/>
                <w:szCs w:val="21"/>
              </w:rPr>
              <w:t> </w:t>
            </w:r>
            <w:r>
              <w:rPr>
                <w:rFonts w:ascii="宋体" w:hAnsi="宋体" w:cs="宋体" w:eastAsia="宋体" w:hint="default"/>
                <w:sz w:val="21"/>
                <w:szCs w:val="21"/>
              </w:rPr>
              <w:t>工商变</w:t>
            </w:r>
          </w:p>
        </w:tc>
        <w:tc>
          <w:tcPr>
            <w:tcW w:w="121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528" w:right="0"/>
              <w:jc w:val="left"/>
              <w:rPr>
                <w:rFonts w:ascii="Times New Roman" w:hAnsi="Times New Roman" w:cs="Times New Roman" w:eastAsia="Times New Roman" w:hint="default"/>
                <w:sz w:val="21"/>
                <w:szCs w:val="21"/>
              </w:rPr>
            </w:pPr>
            <w:r>
              <w:rPr>
                <w:rFonts w:ascii="Times New Roman"/>
                <w:sz w:val="21"/>
              </w:rPr>
              <w:t>-723.16</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left="456"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95" w:right="0"/>
              <w:jc w:val="left"/>
              <w:rPr>
                <w:rFonts w:ascii="Times New Roman" w:hAnsi="Times New Roman" w:cs="Times New Roman" w:eastAsia="Times New Roman" w:hint="default"/>
                <w:sz w:val="21"/>
                <w:szCs w:val="21"/>
              </w:rPr>
            </w:pPr>
            <w:r>
              <w:rPr>
                <w:rFonts w:ascii="Times New Roman"/>
                <w:sz w:val="21"/>
              </w:rPr>
              <w:t>-3.73%</w:t>
            </w:r>
          </w:p>
        </w:tc>
        <w:tc>
          <w:tcPr>
            <w:tcW w:w="6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8"/>
              <w:ind w:right="0"/>
              <w:jc w:val="left"/>
              <w:rPr>
                <w:rFonts w:ascii="Microsoft JhengHei" w:hAnsi="Microsoft JhengHei" w:cs="Microsoft JhengHei" w:eastAsia="Microsoft JhengHei" w:hint="default"/>
                <w:b/>
                <w:bCs/>
                <w:sz w:val="16"/>
                <w:szCs w:val="16"/>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7" w:lineRule="auto" w:before="109"/>
              <w:ind w:left="23" w:right="-5"/>
              <w:jc w:val="left"/>
              <w:rPr>
                <w:rFonts w:ascii="宋体" w:hAnsi="宋体" w:cs="宋体" w:eastAsia="宋体" w:hint="default"/>
                <w:sz w:val="21"/>
                <w:szCs w:val="21"/>
              </w:rPr>
            </w:pPr>
            <w:r>
              <w:rPr>
                <w:rFonts w:ascii="宋体" w:hAnsi="宋体" w:cs="宋体" w:eastAsia="宋体" w:hint="default"/>
                <w:sz w:val="21"/>
                <w:szCs w:val="21"/>
              </w:rPr>
              <w:t>公司第</w:t>
            </w:r>
            <w:r>
              <w:rPr>
                <w:rFonts w:ascii="宋体" w:hAnsi="宋体" w:cs="宋体" w:eastAsia="宋体" w:hint="default"/>
                <w:spacing w:val="-102"/>
                <w:sz w:val="21"/>
                <w:szCs w:val="21"/>
              </w:rPr>
              <w:t> </w:t>
            </w:r>
            <w:r>
              <w:rPr>
                <w:rFonts w:ascii="宋体" w:hAnsi="宋体" w:cs="宋体" w:eastAsia="宋体" w:hint="default"/>
                <w:sz w:val="21"/>
                <w:szCs w:val="21"/>
              </w:rPr>
              <w:t>一大股</w:t>
            </w:r>
            <w:r>
              <w:rPr>
                <w:rFonts w:ascii="宋体" w:hAnsi="宋体" w:cs="宋体" w:eastAsia="宋体" w:hint="default"/>
                <w:spacing w:val="-102"/>
                <w:sz w:val="21"/>
                <w:szCs w:val="21"/>
              </w:rPr>
              <w:t> </w:t>
            </w:r>
            <w:r>
              <w:rPr>
                <w:rFonts w:ascii="宋体" w:hAnsi="宋体" w:cs="宋体" w:eastAsia="宋体" w:hint="default"/>
                <w:sz w:val="21"/>
                <w:szCs w:val="21"/>
              </w:rPr>
              <w:t>东的控</w:t>
            </w:r>
            <w:r>
              <w:rPr>
                <w:rFonts w:ascii="宋体" w:hAnsi="宋体" w:cs="宋体" w:eastAsia="宋体" w:hint="default"/>
                <w:spacing w:val="-102"/>
                <w:sz w:val="21"/>
                <w:szCs w:val="21"/>
              </w:rPr>
              <w:t> </w:t>
            </w:r>
            <w:r>
              <w:rPr>
                <w:rFonts w:ascii="宋体" w:hAnsi="宋体" w:cs="宋体" w:eastAsia="宋体" w:hint="default"/>
                <w:sz w:val="21"/>
                <w:szCs w:val="21"/>
              </w:rPr>
              <w:t>股股东、</w:t>
            </w:r>
            <w:r>
              <w:rPr>
                <w:rFonts w:ascii="宋体" w:hAnsi="宋体" w:cs="宋体" w:eastAsia="宋体" w:hint="default"/>
                <w:spacing w:val="-101"/>
                <w:sz w:val="21"/>
                <w:szCs w:val="21"/>
              </w:rPr>
              <w:t> </w:t>
            </w:r>
            <w:r>
              <w:rPr>
                <w:rFonts w:ascii="宋体" w:hAnsi="宋体" w:cs="宋体" w:eastAsia="宋体" w:hint="default"/>
                <w:sz w:val="21"/>
                <w:szCs w:val="21"/>
              </w:rPr>
              <w:t>第一大</w:t>
            </w:r>
            <w:r>
              <w:rPr>
                <w:rFonts w:ascii="宋体" w:hAnsi="宋体" w:cs="宋体" w:eastAsia="宋体" w:hint="default"/>
                <w:spacing w:val="-102"/>
                <w:sz w:val="21"/>
                <w:szCs w:val="21"/>
              </w:rPr>
              <w:t> </w:t>
            </w:r>
            <w:r>
              <w:rPr>
                <w:rFonts w:ascii="宋体" w:hAnsi="宋体" w:cs="宋体" w:eastAsia="宋体" w:hint="default"/>
                <w:sz w:val="21"/>
                <w:szCs w:val="21"/>
              </w:rPr>
              <w:t>股东的</w:t>
            </w:r>
            <w:r>
              <w:rPr>
                <w:rFonts w:ascii="宋体" w:hAnsi="宋体" w:cs="宋体" w:eastAsia="宋体" w:hint="default"/>
                <w:spacing w:val="-102"/>
                <w:sz w:val="21"/>
                <w:szCs w:val="21"/>
              </w:rPr>
              <w:t> </w:t>
            </w:r>
            <w:r>
              <w:rPr>
                <w:rFonts w:ascii="宋体" w:hAnsi="宋体" w:cs="宋体" w:eastAsia="宋体" w:hint="default"/>
                <w:sz w:val="21"/>
                <w:szCs w:val="21"/>
              </w:rPr>
              <w:t>控股股</w:t>
            </w:r>
            <w:r>
              <w:rPr>
                <w:rFonts w:ascii="宋体" w:hAnsi="宋体" w:cs="宋体" w:eastAsia="宋体" w:hint="default"/>
                <w:spacing w:val="-102"/>
                <w:sz w:val="21"/>
                <w:szCs w:val="21"/>
              </w:rPr>
              <w:t> </w:t>
            </w:r>
            <w:r>
              <w:rPr>
                <w:rFonts w:ascii="宋体" w:hAnsi="宋体" w:cs="宋体" w:eastAsia="宋体" w:hint="default"/>
                <w:sz w:val="21"/>
                <w:szCs w:val="21"/>
              </w:rPr>
              <w:t>东之控</w:t>
            </w:r>
            <w:r>
              <w:rPr>
                <w:rFonts w:ascii="宋体" w:hAnsi="宋体" w:cs="宋体" w:eastAsia="宋体" w:hint="default"/>
                <w:spacing w:val="-102"/>
                <w:sz w:val="21"/>
                <w:szCs w:val="21"/>
              </w:rPr>
              <w:t> </w:t>
            </w:r>
            <w:r>
              <w:rPr>
                <w:rFonts w:ascii="宋体" w:hAnsi="宋体" w:cs="宋体" w:eastAsia="宋体" w:hint="default"/>
                <w:sz w:val="21"/>
                <w:szCs w:val="21"/>
              </w:rPr>
              <w:t>股子公</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before="13"/>
              <w:ind w:right="0"/>
              <w:jc w:val="left"/>
              <w:rPr>
                <w:rFonts w:ascii="Microsoft JhengHei" w:hAnsi="Microsoft JhengHei" w:cs="Microsoft JhengHei" w:eastAsia="Microsoft JhengHei" w:hint="default"/>
                <w:b/>
                <w:bCs/>
                <w:sz w:val="24"/>
                <w:szCs w:val="24"/>
              </w:rPr>
            </w:pPr>
          </w:p>
          <w:p>
            <w:pPr>
              <w:pStyle w:val="TableParagraph"/>
              <w:spacing w:line="282" w:lineRule="exact"/>
              <w:ind w:left="1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04</w:t>
            </w:r>
          </w:p>
          <w:p>
            <w:pPr>
              <w:pStyle w:val="TableParagraph"/>
              <w:spacing w:line="282" w:lineRule="exact"/>
              <w:ind w:left="1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2012-10</w:t>
            </w:r>
          </w:p>
        </w:tc>
      </w:tr>
      <w:tr>
        <w:trPr>
          <w:trHeight w:val="271" w:hRule="exact"/>
        </w:trPr>
        <w:tc>
          <w:tcPr>
            <w:tcW w:w="75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更登记</w:t>
            </w:r>
          </w:p>
        </w:tc>
        <w:tc>
          <w:tcPr>
            <w:tcW w:w="1214"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75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4" w:right="0"/>
              <w:jc w:val="left"/>
              <w:rPr>
                <w:rFonts w:ascii="宋体" w:hAnsi="宋体" w:cs="宋体" w:eastAsia="宋体" w:hint="default"/>
                <w:sz w:val="21"/>
                <w:szCs w:val="21"/>
              </w:rPr>
            </w:pPr>
            <w:r>
              <w:rPr>
                <w:rFonts w:ascii="宋体" w:hAnsi="宋体" w:cs="宋体" w:eastAsia="宋体" w:hint="default"/>
                <w:sz w:val="21"/>
                <w:szCs w:val="21"/>
              </w:rPr>
              <w:t>过户手</w:t>
            </w:r>
          </w:p>
        </w:tc>
        <w:tc>
          <w:tcPr>
            <w:tcW w:w="1214"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
        </w:tc>
        <w:tc>
          <w:tcPr>
            <w:tcW w:w="749" w:type="dxa"/>
            <w:tcBorders>
              <w:top w:val="nil" w:sz="6" w:space="0" w:color="auto"/>
              <w:left w:val="single" w:sz="4" w:space="0" w:color="000000"/>
              <w:bottom w:val="nil" w:sz="6" w:space="0" w:color="auto"/>
              <w:right w:val="single" w:sz="4" w:space="0" w:color="000000"/>
            </w:tcBorders>
          </w:tcPr>
          <w:p>
            <w:pPr/>
          </w:p>
        </w:tc>
        <w:tc>
          <w:tcPr>
            <w:tcW w:w="624" w:type="dxa"/>
            <w:tcBorders>
              <w:top w:val="nil" w:sz="6" w:space="0" w:color="auto"/>
              <w:left w:val="single" w:sz="4" w:space="0" w:color="000000"/>
              <w:bottom w:val="nil" w:sz="6" w:space="0" w:color="auto"/>
              <w:right w:val="single" w:sz="4" w:space="0" w:color="000000"/>
            </w:tcBorders>
          </w:tcPr>
          <w:p>
            <w:pPr/>
          </w:p>
        </w:tc>
        <w:tc>
          <w:tcPr>
            <w:tcW w:w="874"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single" w:sz="4" w:space="0" w:color="000000"/>
            </w:tcBorders>
          </w:tcPr>
          <w:p>
            <w:pPr/>
          </w:p>
        </w:tc>
      </w:tr>
      <w:tr>
        <w:trPr>
          <w:trHeight w:val="285" w:hRule="exact"/>
        </w:trPr>
        <w:tc>
          <w:tcPr>
            <w:tcW w:w="754" w:type="dxa"/>
            <w:tcBorders>
              <w:top w:val="nil" w:sz="6" w:space="0" w:color="auto"/>
              <w:left w:val="single" w:sz="4" w:space="0" w:color="000000"/>
              <w:bottom w:val="single" w:sz="4" w:space="0" w:color="000000"/>
              <w:right w:val="single" w:sz="4" w:space="0" w:color="000000"/>
            </w:tcBorders>
          </w:tcPr>
          <w:p>
            <w:pPr/>
          </w:p>
        </w:tc>
        <w:tc>
          <w:tcPr>
            <w:tcW w:w="749" w:type="dxa"/>
            <w:tcBorders>
              <w:top w:val="nil" w:sz="6" w:space="0" w:color="auto"/>
              <w:left w:val="single" w:sz="4" w:space="0" w:color="000000"/>
              <w:bottom w:val="single" w:sz="4" w:space="0" w:color="000000"/>
              <w:right w:val="single" w:sz="4" w:space="0" w:color="000000"/>
            </w:tcBorders>
          </w:tcPr>
          <w:p>
            <w:pPr/>
          </w:p>
        </w:tc>
        <w:tc>
          <w:tcPr>
            <w:tcW w:w="744" w:type="dxa"/>
            <w:tcBorders>
              <w:top w:val="nil" w:sz="6" w:space="0" w:color="auto"/>
              <w:left w:val="single" w:sz="4" w:space="0" w:color="000000"/>
              <w:bottom w:val="single" w:sz="4" w:space="0" w:color="000000"/>
              <w:right w:val="single" w:sz="4" w:space="0" w:color="000000"/>
            </w:tcBorders>
          </w:tcPr>
          <w:p>
            <w:pPr/>
          </w:p>
        </w:tc>
        <w:tc>
          <w:tcPr>
            <w:tcW w:w="749"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24" w:right="0"/>
              <w:jc w:val="left"/>
              <w:rPr>
                <w:rFonts w:ascii="宋体" w:hAnsi="宋体" w:cs="宋体" w:eastAsia="宋体" w:hint="default"/>
                <w:sz w:val="21"/>
                <w:szCs w:val="21"/>
              </w:rPr>
            </w:pPr>
            <w:r>
              <w:rPr>
                <w:rFonts w:ascii="宋体" w:hAnsi="宋体" w:cs="宋体" w:eastAsia="宋体" w:hint="default"/>
                <w:sz w:val="21"/>
                <w:szCs w:val="21"/>
              </w:rPr>
              <w:t>续。</w:t>
            </w:r>
          </w:p>
        </w:tc>
        <w:tc>
          <w:tcPr>
            <w:tcW w:w="1214"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
        </w:tc>
        <w:tc>
          <w:tcPr>
            <w:tcW w:w="749" w:type="dxa"/>
            <w:tcBorders>
              <w:top w:val="nil" w:sz="6" w:space="0" w:color="auto"/>
              <w:left w:val="single" w:sz="4" w:space="0" w:color="000000"/>
              <w:bottom w:val="single" w:sz="4" w:space="0" w:color="000000"/>
              <w:right w:val="single" w:sz="4" w:space="0" w:color="000000"/>
            </w:tcBorders>
          </w:tcPr>
          <w:p>
            <w:pPr/>
          </w:p>
        </w:tc>
        <w:tc>
          <w:tcPr>
            <w:tcW w:w="624"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994" w:type="dxa"/>
            <w:tcBorders>
              <w:top w:val="nil" w:sz="6" w:space="0" w:color="auto"/>
              <w:left w:val="single" w:sz="4" w:space="0" w:color="000000"/>
              <w:bottom w:val="single" w:sz="4" w:space="0" w:color="000000"/>
              <w:right w:val="single" w:sz="4" w:space="0" w:color="000000"/>
            </w:tcBorders>
          </w:tcPr>
          <w:p>
            <w:pPr/>
          </w:p>
        </w:tc>
        <w:tc>
          <w:tcPr>
            <w:tcW w:w="998" w:type="dxa"/>
            <w:tcBorders>
              <w:top w:val="nil" w:sz="6" w:space="0" w:color="auto"/>
              <w:left w:val="single" w:sz="4" w:space="0" w:color="000000"/>
              <w:bottom w:val="single" w:sz="4" w:space="0" w:color="000000"/>
              <w:right w:val="single" w:sz="4" w:space="0" w:color="000000"/>
            </w:tcBorders>
          </w:tcPr>
          <w:p>
            <w:pPr/>
          </w:p>
        </w:tc>
      </w:tr>
    </w:tbl>
    <w:p>
      <w:pPr>
        <w:pStyle w:val="BodyText"/>
        <w:spacing w:line="200" w:lineRule="exact"/>
        <w:ind w:right="114"/>
        <w:jc w:val="left"/>
      </w:pPr>
      <w:r>
        <w:rPr/>
        <w:t>收购资产情况概述</w:t>
      </w:r>
    </w:p>
    <w:p>
      <w:pPr>
        <w:pStyle w:val="Heading6"/>
        <w:spacing w:line="329" w:lineRule="exact"/>
        <w:ind w:left="152" w:right="114"/>
        <w:jc w:val="left"/>
        <w:rPr>
          <w:rFonts w:ascii="Times New Roman" w:hAnsi="Times New Roman" w:cs="Times New Roman" w:eastAsia="Times New Roman" w:hint="default"/>
          <w:b w:val="0"/>
          <w:bCs w:val="0"/>
        </w:rPr>
      </w:pPr>
      <w:r>
        <w:rPr/>
        <w:t>详见本节</w:t>
      </w:r>
      <w:r>
        <w:rPr>
          <w:rFonts w:ascii="Times New Roman" w:hAnsi="Times New Roman" w:cs="Times New Roman" w:eastAsia="Times New Roman" w:hint="default"/>
        </w:rPr>
        <w:t>“</w:t>
      </w:r>
      <w:r>
        <w:rPr/>
        <w:t>三、重大关联交易 </w:t>
      </w:r>
      <w:r>
        <w:rPr>
          <w:spacing w:val="1"/>
        </w:rPr>
        <w:t> </w:t>
      </w:r>
      <w:r>
        <w:rPr>
          <w:rFonts w:ascii="Times New Roman" w:hAnsi="Times New Roman" w:cs="Times New Roman" w:eastAsia="Times New Roman" w:hint="default"/>
        </w:rPr>
        <w:t>2</w:t>
      </w:r>
      <w:r>
        <w:rPr/>
        <w:t>、重大关联交易概述</w:t>
      </w:r>
      <w:r>
        <w:rPr>
          <w:rFonts w:ascii="Times New Roman" w:hAnsi="Times New Roman" w:cs="Times New Roman" w:eastAsia="Times New Roman" w:hint="default"/>
        </w:rPr>
        <w:t>”</w:t>
      </w:r>
      <w:r>
        <w:rPr>
          <w:rFonts w:ascii="Times New Roman" w:hAnsi="Times New Roman" w:cs="Times New Roman" w:eastAsia="Times New Roman" w:hint="default"/>
          <w:b w:val="0"/>
          <w:bCs w:val="0"/>
        </w:rPr>
      </w:r>
    </w:p>
    <w:p>
      <w:pPr>
        <w:spacing w:line="240" w:lineRule="auto" w:before="0"/>
        <w:rPr>
          <w:rFonts w:ascii="Times New Roman" w:hAnsi="Times New Roman" w:cs="Times New Roman" w:eastAsia="Times New Roman" w:hint="default"/>
          <w:b/>
          <w:bCs/>
          <w:sz w:val="22"/>
          <w:szCs w:val="22"/>
        </w:rPr>
      </w:pPr>
    </w:p>
    <w:p>
      <w:pPr>
        <w:pStyle w:val="Heading4"/>
        <w:spacing w:line="240" w:lineRule="auto" w:before="186"/>
        <w:ind w:right="114"/>
        <w:jc w:val="left"/>
        <w:rPr>
          <w:b w:val="0"/>
          <w:bCs w:val="0"/>
        </w:rPr>
      </w:pPr>
      <w:r>
        <w:rPr/>
        <w:t>三、重大关联交易</w:t>
      </w:r>
      <w:r>
        <w:rPr>
          <w:b w:val="0"/>
          <w:bCs w:val="0"/>
        </w:rPr>
      </w:r>
    </w:p>
    <w:p>
      <w:pPr>
        <w:pStyle w:val="Heading6"/>
        <w:spacing w:line="240" w:lineRule="auto" w:before="207"/>
        <w:ind w:left="152" w:right="114"/>
        <w:jc w:val="left"/>
        <w:rPr>
          <w:b w:val="0"/>
          <w:bCs w:val="0"/>
        </w:rPr>
      </w:pPr>
      <w:r>
        <w:rPr>
          <w:rFonts w:ascii="Times New Roman" w:hAnsi="Times New Roman" w:cs="Times New Roman" w:eastAsia="Times New Roman" w:hint="default"/>
        </w:rPr>
        <w:t>1</w:t>
      </w:r>
      <w:r>
        <w:rPr/>
        <w:t>、资产收购、出售发生的关联交易</w:t>
      </w:r>
      <w:r>
        <w:rPr>
          <w:b w:val="0"/>
          <w:bCs w:val="0"/>
        </w:rPr>
      </w:r>
    </w:p>
    <w:p>
      <w:pPr>
        <w:spacing w:line="240" w:lineRule="auto" w:before="15"/>
        <w:rPr>
          <w:rFonts w:ascii="Microsoft JhengHei" w:hAnsi="Microsoft JhengHei" w:cs="Microsoft JhengHei" w:eastAsia="Microsoft JhengHei" w:hint="default"/>
          <w:b/>
          <w:bCs/>
          <w:sz w:val="17"/>
          <w:szCs w:val="17"/>
        </w:rPr>
      </w:pPr>
    </w:p>
    <w:tbl>
      <w:tblPr>
        <w:tblW w:w="0" w:type="auto"/>
        <w:jc w:val="left"/>
        <w:tblInd w:w="148" w:type="dxa"/>
        <w:tblLayout w:type="fixed"/>
        <w:tblCellMar>
          <w:top w:w="0" w:type="dxa"/>
          <w:left w:w="0" w:type="dxa"/>
          <w:bottom w:w="0" w:type="dxa"/>
          <w:right w:w="0" w:type="dxa"/>
        </w:tblCellMar>
        <w:tblLook w:val="01E0"/>
      </w:tblPr>
      <w:tblGrid>
        <w:gridCol w:w="739"/>
        <w:gridCol w:w="744"/>
        <w:gridCol w:w="739"/>
        <w:gridCol w:w="744"/>
        <w:gridCol w:w="730"/>
        <w:gridCol w:w="806"/>
        <w:gridCol w:w="816"/>
        <w:gridCol w:w="802"/>
        <w:gridCol w:w="686"/>
        <w:gridCol w:w="734"/>
        <w:gridCol w:w="739"/>
        <w:gridCol w:w="734"/>
        <w:gridCol w:w="730"/>
      </w:tblGrid>
      <w:tr>
        <w:trPr>
          <w:trHeight w:val="1373" w:hRule="exact"/>
        </w:trPr>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
              <w:ind w:right="0"/>
              <w:jc w:val="left"/>
              <w:rPr>
                <w:rFonts w:ascii="Microsoft JhengHei" w:hAnsi="Microsoft JhengHei" w:cs="Microsoft JhengHei" w:eastAsia="Microsoft JhengHei" w:hint="default"/>
                <w:b/>
                <w:bCs/>
                <w:sz w:val="28"/>
                <w:szCs w:val="28"/>
              </w:rPr>
            </w:pPr>
          </w:p>
          <w:p>
            <w:pPr>
              <w:pStyle w:val="TableParagraph"/>
              <w:spacing w:line="240" w:lineRule="auto"/>
              <w:ind w:left="48"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7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64" w:right="46" w:hanging="212"/>
              <w:jc w:val="left"/>
              <w:rPr>
                <w:rFonts w:ascii="宋体" w:hAnsi="宋体" w:cs="宋体" w:eastAsia="宋体" w:hint="default"/>
                <w:sz w:val="21"/>
                <w:szCs w:val="21"/>
              </w:rPr>
            </w:pPr>
            <w:r>
              <w:rPr>
                <w:rFonts w:ascii="宋体" w:hAnsi="宋体" w:cs="宋体" w:eastAsia="宋体" w:hint="default"/>
                <w:sz w:val="21"/>
                <w:szCs w:val="21"/>
              </w:rPr>
              <w:t>关联关</w:t>
            </w:r>
            <w:r>
              <w:rPr>
                <w:rFonts w:ascii="宋体" w:hAnsi="宋体" w:cs="宋体" w:eastAsia="宋体" w:hint="default"/>
                <w:spacing w:val="-102"/>
                <w:sz w:val="21"/>
                <w:szCs w:val="21"/>
              </w:rPr>
              <w:t> </w:t>
            </w:r>
            <w:r>
              <w:rPr>
                <w:rFonts w:ascii="宋体" w:hAnsi="宋体" w:cs="宋体" w:eastAsia="宋体" w:hint="default"/>
                <w:sz w:val="21"/>
                <w:szCs w:val="21"/>
              </w:rPr>
              <w:t>系</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47" w:right="46"/>
              <w:jc w:val="left"/>
              <w:rPr>
                <w:rFonts w:ascii="宋体" w:hAnsi="宋体" w:cs="宋体" w:eastAsia="宋体" w:hint="default"/>
                <w:sz w:val="21"/>
                <w:szCs w:val="21"/>
              </w:rPr>
            </w:pPr>
            <w:r>
              <w:rPr>
                <w:rFonts w:ascii="宋体" w:hAnsi="宋体" w:cs="宋体" w:eastAsia="宋体" w:hint="default"/>
                <w:sz w:val="21"/>
                <w:szCs w:val="21"/>
              </w:rPr>
              <w:t>关联交</w:t>
            </w:r>
            <w:r>
              <w:rPr>
                <w:rFonts w:ascii="宋体" w:hAnsi="宋体" w:cs="宋体" w:eastAsia="宋体" w:hint="default"/>
                <w:spacing w:val="-102"/>
                <w:sz w:val="21"/>
                <w:szCs w:val="21"/>
              </w:rPr>
              <w:t> </w:t>
            </w:r>
            <w:r>
              <w:rPr>
                <w:rFonts w:ascii="宋体" w:hAnsi="宋体" w:cs="宋体" w:eastAsia="宋体" w:hint="default"/>
                <w:sz w:val="21"/>
                <w:szCs w:val="21"/>
              </w:rPr>
              <w:t>易类型</w:t>
            </w:r>
          </w:p>
        </w:tc>
        <w:tc>
          <w:tcPr>
            <w:tcW w:w="7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48" w:right="46" w:firstLine="4"/>
              <w:jc w:val="left"/>
              <w:rPr>
                <w:rFonts w:ascii="宋体" w:hAnsi="宋体" w:cs="宋体" w:eastAsia="宋体" w:hint="default"/>
                <w:sz w:val="21"/>
                <w:szCs w:val="21"/>
              </w:rPr>
            </w:pPr>
            <w:r>
              <w:rPr>
                <w:rFonts w:ascii="宋体" w:hAnsi="宋体" w:cs="宋体" w:eastAsia="宋体" w:hint="default"/>
                <w:sz w:val="21"/>
                <w:szCs w:val="21"/>
              </w:rPr>
              <w:t>关联交</w:t>
            </w:r>
            <w:r>
              <w:rPr>
                <w:rFonts w:ascii="宋体" w:hAnsi="宋体" w:cs="宋体" w:eastAsia="宋体" w:hint="default"/>
                <w:w w:val="100"/>
                <w:sz w:val="21"/>
                <w:szCs w:val="21"/>
              </w:rPr>
              <w:t> </w:t>
            </w:r>
            <w:r>
              <w:rPr>
                <w:rFonts w:ascii="宋体" w:hAnsi="宋体" w:cs="宋体" w:eastAsia="宋体" w:hint="default"/>
                <w:sz w:val="21"/>
                <w:szCs w:val="21"/>
              </w:rPr>
              <w:t>易内容</w:t>
            </w:r>
          </w:p>
        </w:tc>
        <w:tc>
          <w:tcPr>
            <w:tcW w:w="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41"/>
              <w:jc w:val="both"/>
              <w:rPr>
                <w:rFonts w:ascii="宋体" w:hAnsi="宋体" w:cs="宋体" w:eastAsia="宋体" w:hint="default"/>
                <w:sz w:val="21"/>
                <w:szCs w:val="21"/>
              </w:rPr>
            </w:pPr>
            <w:r>
              <w:rPr>
                <w:rFonts w:ascii="宋体" w:hAnsi="宋体" w:cs="宋体" w:eastAsia="宋体" w:hint="default"/>
                <w:sz w:val="21"/>
                <w:szCs w:val="21"/>
              </w:rPr>
              <w:t>关联交</w:t>
            </w:r>
            <w:r>
              <w:rPr>
                <w:rFonts w:ascii="宋体" w:hAnsi="宋体" w:cs="宋体" w:eastAsia="宋体" w:hint="default"/>
                <w:spacing w:val="-102"/>
                <w:sz w:val="21"/>
                <w:szCs w:val="21"/>
              </w:rPr>
              <w:t> </w:t>
            </w:r>
            <w:r>
              <w:rPr>
                <w:rFonts w:ascii="宋体" w:hAnsi="宋体" w:cs="宋体" w:eastAsia="宋体" w:hint="default"/>
                <w:sz w:val="21"/>
                <w:szCs w:val="21"/>
              </w:rPr>
              <w:t>易定价</w:t>
            </w:r>
            <w:r>
              <w:rPr>
                <w:rFonts w:ascii="宋体" w:hAnsi="宋体" w:cs="宋体" w:eastAsia="宋体" w:hint="default"/>
                <w:spacing w:val="-102"/>
                <w:sz w:val="21"/>
                <w:szCs w:val="21"/>
              </w:rPr>
              <w:t> </w:t>
            </w:r>
            <w:r>
              <w:rPr>
                <w:rFonts w:ascii="宋体" w:hAnsi="宋体" w:cs="宋体" w:eastAsia="宋体" w:hint="default"/>
                <w:sz w:val="21"/>
                <w:szCs w:val="21"/>
              </w:rPr>
              <w:t>原则</w:t>
            </w:r>
          </w:p>
        </w:tc>
        <w:tc>
          <w:tcPr>
            <w:tcW w:w="8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81" w:right="79"/>
              <w:jc w:val="both"/>
              <w:rPr>
                <w:rFonts w:ascii="宋体" w:hAnsi="宋体" w:cs="宋体" w:eastAsia="宋体" w:hint="default"/>
                <w:sz w:val="21"/>
                <w:szCs w:val="21"/>
              </w:rPr>
            </w:pPr>
            <w:r>
              <w:rPr>
                <w:rFonts w:ascii="宋体" w:hAnsi="宋体" w:cs="宋体" w:eastAsia="宋体" w:hint="default"/>
                <w:sz w:val="21"/>
                <w:szCs w:val="21"/>
              </w:rPr>
              <w:t>转让资</w:t>
            </w:r>
            <w:r>
              <w:rPr>
                <w:rFonts w:ascii="宋体" w:hAnsi="宋体" w:cs="宋体" w:eastAsia="宋体" w:hint="default"/>
                <w:spacing w:val="-102"/>
                <w:sz w:val="21"/>
                <w:szCs w:val="21"/>
              </w:rPr>
              <w:t> </w:t>
            </w:r>
            <w:r>
              <w:rPr>
                <w:rFonts w:ascii="宋体" w:hAnsi="宋体" w:cs="宋体" w:eastAsia="宋体" w:hint="default"/>
                <w:sz w:val="21"/>
                <w:szCs w:val="21"/>
              </w:rPr>
              <w:t>产的账</w:t>
            </w:r>
            <w:r>
              <w:rPr>
                <w:rFonts w:ascii="宋体" w:hAnsi="宋体" w:cs="宋体" w:eastAsia="宋体" w:hint="default"/>
                <w:spacing w:val="-102"/>
                <w:sz w:val="21"/>
                <w:szCs w:val="21"/>
              </w:rPr>
              <w:t> </w:t>
            </w:r>
            <w:r>
              <w:rPr>
                <w:rFonts w:ascii="宋体" w:hAnsi="宋体" w:cs="宋体" w:eastAsia="宋体" w:hint="default"/>
                <w:sz w:val="21"/>
                <w:szCs w:val="21"/>
              </w:rPr>
              <w:t>面价值</w:t>
            </w:r>
          </w:p>
          <w:p>
            <w:pPr>
              <w:pStyle w:val="TableParagraph"/>
              <w:spacing w:line="269" w:lineRule="exact"/>
              <w:ind w:left="23" w:right="0"/>
              <w:jc w:val="both"/>
              <w:rPr>
                <w:rFonts w:ascii="宋体" w:hAnsi="宋体" w:cs="宋体" w:eastAsia="宋体" w:hint="default"/>
                <w:sz w:val="21"/>
                <w:szCs w:val="21"/>
              </w:rPr>
            </w:pPr>
            <w:r>
              <w:rPr>
                <w:rFonts w:ascii="宋体" w:hAnsi="宋体" w:cs="宋体" w:eastAsia="宋体" w:hint="default"/>
                <w:w w:val="100"/>
                <w:sz w:val="21"/>
                <w:szCs w:val="21"/>
              </w:rPr>
              <w:t>（万元</w:t>
            </w:r>
            <w:r>
              <w:rPr>
                <w:rFonts w:ascii="宋体" w:hAnsi="宋体" w:cs="宋体" w:eastAsia="宋体" w:hint="default"/>
                <w:spacing w:val="-44"/>
                <w:w w:val="100"/>
                <w:sz w:val="21"/>
                <w:szCs w:val="21"/>
              </w:rPr>
              <w:t>）</w:t>
            </w:r>
            <w:r>
              <w:rPr>
                <w:rFonts w:ascii="宋体" w:hAnsi="宋体" w:cs="宋体" w:eastAsia="宋体" w:hint="default"/>
                <w:w w:val="100"/>
                <w:sz w:val="21"/>
                <w:szCs w:val="21"/>
              </w:rPr>
            </w:r>
          </w:p>
        </w:tc>
        <w:tc>
          <w:tcPr>
            <w:tcW w:w="8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86" w:right="84"/>
              <w:jc w:val="both"/>
              <w:rPr>
                <w:rFonts w:ascii="宋体" w:hAnsi="宋体" w:cs="宋体" w:eastAsia="宋体" w:hint="default"/>
                <w:sz w:val="21"/>
                <w:szCs w:val="21"/>
              </w:rPr>
            </w:pPr>
            <w:r>
              <w:rPr>
                <w:rFonts w:ascii="宋体" w:hAnsi="宋体" w:cs="宋体" w:eastAsia="宋体" w:hint="default"/>
                <w:sz w:val="21"/>
                <w:szCs w:val="21"/>
              </w:rPr>
              <w:t>转让资</w:t>
            </w:r>
            <w:r>
              <w:rPr>
                <w:rFonts w:ascii="宋体" w:hAnsi="宋体" w:cs="宋体" w:eastAsia="宋体" w:hint="default"/>
                <w:spacing w:val="-102"/>
                <w:sz w:val="21"/>
                <w:szCs w:val="21"/>
              </w:rPr>
              <w:t> </w:t>
            </w:r>
            <w:r>
              <w:rPr>
                <w:rFonts w:ascii="宋体" w:hAnsi="宋体" w:cs="宋体" w:eastAsia="宋体" w:hint="default"/>
                <w:sz w:val="21"/>
                <w:szCs w:val="21"/>
              </w:rPr>
              <w:t>产的评</w:t>
            </w:r>
            <w:r>
              <w:rPr>
                <w:rFonts w:ascii="宋体" w:hAnsi="宋体" w:cs="宋体" w:eastAsia="宋体" w:hint="default"/>
                <w:spacing w:val="-102"/>
                <w:sz w:val="21"/>
                <w:szCs w:val="21"/>
              </w:rPr>
              <w:t> </w:t>
            </w:r>
            <w:r>
              <w:rPr>
                <w:rFonts w:ascii="宋体" w:hAnsi="宋体" w:cs="宋体" w:eastAsia="宋体" w:hint="default"/>
                <w:sz w:val="21"/>
                <w:szCs w:val="21"/>
              </w:rPr>
              <w:t>估价值</w:t>
            </w:r>
          </w:p>
          <w:p>
            <w:pPr>
              <w:pStyle w:val="TableParagraph"/>
              <w:spacing w:line="269" w:lineRule="exact"/>
              <w:ind w:left="19" w:right="0"/>
              <w:jc w:val="both"/>
              <w:rPr>
                <w:rFonts w:ascii="宋体" w:hAnsi="宋体" w:cs="宋体" w:eastAsia="宋体" w:hint="default"/>
                <w:sz w:val="21"/>
                <w:szCs w:val="21"/>
              </w:rPr>
            </w:pPr>
            <w:r>
              <w:rPr>
                <w:rFonts w:ascii="宋体" w:hAnsi="宋体" w:cs="宋体" w:eastAsia="宋体" w:hint="default"/>
                <w:sz w:val="21"/>
                <w:szCs w:val="21"/>
              </w:rPr>
              <w:t>（万元</w:t>
            </w:r>
          </w:p>
        </w:tc>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13"/>
                <w:szCs w:val="13"/>
              </w:rPr>
            </w:pPr>
          </w:p>
          <w:p>
            <w:pPr>
              <w:pStyle w:val="TableParagraph"/>
              <w:spacing w:line="240" w:lineRule="auto"/>
              <w:ind w:left="81" w:right="74"/>
              <w:jc w:val="left"/>
              <w:rPr>
                <w:rFonts w:ascii="宋体" w:hAnsi="宋体" w:cs="宋体" w:eastAsia="宋体" w:hint="default"/>
                <w:sz w:val="21"/>
                <w:szCs w:val="21"/>
              </w:rPr>
            </w:pPr>
            <w:r>
              <w:rPr>
                <w:rFonts w:ascii="宋体" w:hAnsi="宋体" w:cs="宋体" w:eastAsia="宋体" w:hint="default"/>
                <w:sz w:val="21"/>
                <w:szCs w:val="21"/>
              </w:rPr>
              <w:t>市场公</w:t>
            </w:r>
            <w:r>
              <w:rPr>
                <w:rFonts w:ascii="宋体" w:hAnsi="宋体" w:cs="宋体" w:eastAsia="宋体" w:hint="default"/>
                <w:spacing w:val="-102"/>
                <w:sz w:val="21"/>
                <w:szCs w:val="21"/>
              </w:rPr>
              <w:t> </w:t>
            </w:r>
            <w:r>
              <w:rPr>
                <w:rFonts w:ascii="宋体" w:hAnsi="宋体" w:cs="宋体" w:eastAsia="宋体" w:hint="default"/>
                <w:sz w:val="21"/>
                <w:szCs w:val="21"/>
              </w:rPr>
              <w:t>允价值</w:t>
            </w:r>
          </w:p>
          <w:p>
            <w:pPr>
              <w:pStyle w:val="TableParagraph"/>
              <w:spacing w:line="201" w:lineRule="exact"/>
              <w:ind w:left="23" w:right="0"/>
              <w:jc w:val="left"/>
              <w:rPr>
                <w:rFonts w:ascii="宋体" w:hAnsi="宋体" w:cs="宋体" w:eastAsia="宋体" w:hint="default"/>
                <w:sz w:val="21"/>
                <w:szCs w:val="21"/>
              </w:rPr>
            </w:pPr>
            <w:r>
              <w:rPr>
                <w:rFonts w:ascii="宋体" w:hAnsi="宋体" w:cs="宋体" w:eastAsia="宋体" w:hint="default"/>
                <w:sz w:val="21"/>
                <w:szCs w:val="21"/>
              </w:rPr>
              <w:t>（万元</w:t>
            </w:r>
          </w:p>
          <w:p>
            <w:pPr>
              <w:pStyle w:val="TableParagraph"/>
              <w:spacing w:line="202" w:lineRule="exact"/>
              <w:ind w:left="-164"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13"/>
                <w:szCs w:val="13"/>
              </w:rPr>
            </w:pPr>
          </w:p>
          <w:p>
            <w:pPr>
              <w:pStyle w:val="TableParagraph"/>
              <w:spacing w:line="240" w:lineRule="auto"/>
              <w:ind w:left="23" w:right="17"/>
              <w:jc w:val="left"/>
              <w:rPr>
                <w:rFonts w:ascii="宋体" w:hAnsi="宋体" w:cs="宋体" w:eastAsia="宋体" w:hint="default"/>
                <w:sz w:val="21"/>
                <w:szCs w:val="21"/>
              </w:rPr>
            </w:pPr>
            <w:r>
              <w:rPr>
                <w:rFonts w:ascii="宋体" w:hAnsi="宋体" w:cs="宋体" w:eastAsia="宋体" w:hint="default"/>
                <w:sz w:val="21"/>
                <w:szCs w:val="21"/>
              </w:rPr>
              <w:t>转让价</w:t>
            </w:r>
            <w:r>
              <w:rPr>
                <w:rFonts w:ascii="宋体" w:hAnsi="宋体" w:cs="宋体" w:eastAsia="宋体" w:hint="default"/>
                <w:spacing w:val="-102"/>
                <w:sz w:val="21"/>
                <w:szCs w:val="21"/>
              </w:rPr>
              <w:t> </w:t>
            </w:r>
            <w:r>
              <w:rPr>
                <w:rFonts w:ascii="宋体" w:hAnsi="宋体" w:cs="宋体" w:eastAsia="宋体" w:hint="default"/>
                <w:sz w:val="21"/>
                <w:szCs w:val="21"/>
              </w:rPr>
              <w:t>格（万</w:t>
            </w:r>
          </w:p>
          <w:p>
            <w:pPr>
              <w:pStyle w:val="TableParagraph"/>
              <w:spacing w:line="274" w:lineRule="exact"/>
              <w:ind w:left="-14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40"/>
                <w:sz w:val="21"/>
                <w:szCs w:val="21"/>
              </w:rPr>
              <w:t> </w:t>
            </w:r>
            <w:r>
              <w:rPr>
                <w:rFonts w:ascii="宋体" w:hAnsi="宋体" w:cs="宋体" w:eastAsia="宋体" w:hint="default"/>
                <w:sz w:val="21"/>
                <w:szCs w:val="21"/>
              </w:rPr>
              <w:t>元）</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13"/>
                <w:szCs w:val="13"/>
              </w:rPr>
            </w:pPr>
          </w:p>
          <w:p>
            <w:pPr>
              <w:pStyle w:val="TableParagraph"/>
              <w:spacing w:line="240" w:lineRule="auto"/>
              <w:ind w:left="47" w:right="41"/>
              <w:jc w:val="both"/>
              <w:rPr>
                <w:rFonts w:ascii="宋体" w:hAnsi="宋体" w:cs="宋体" w:eastAsia="宋体" w:hint="default"/>
                <w:sz w:val="21"/>
                <w:szCs w:val="21"/>
              </w:rPr>
            </w:pPr>
            <w:r>
              <w:rPr>
                <w:rFonts w:ascii="宋体" w:hAnsi="宋体" w:cs="宋体" w:eastAsia="宋体" w:hint="default"/>
                <w:sz w:val="21"/>
                <w:szCs w:val="21"/>
              </w:rPr>
              <w:t>关联交</w:t>
            </w:r>
            <w:r>
              <w:rPr>
                <w:rFonts w:ascii="宋体" w:hAnsi="宋体" w:cs="宋体" w:eastAsia="宋体" w:hint="default"/>
                <w:spacing w:val="-102"/>
                <w:sz w:val="21"/>
                <w:szCs w:val="21"/>
              </w:rPr>
              <w:t> </w:t>
            </w:r>
            <w:r>
              <w:rPr>
                <w:rFonts w:ascii="宋体" w:hAnsi="宋体" w:cs="宋体" w:eastAsia="宋体" w:hint="default"/>
                <w:sz w:val="21"/>
                <w:szCs w:val="21"/>
              </w:rPr>
              <w:t>易结算</w:t>
            </w:r>
            <w:r>
              <w:rPr>
                <w:rFonts w:ascii="宋体" w:hAnsi="宋体" w:cs="宋体" w:eastAsia="宋体" w:hint="default"/>
                <w:spacing w:val="-102"/>
                <w:sz w:val="21"/>
                <w:szCs w:val="21"/>
              </w:rPr>
              <w:t> </w:t>
            </w:r>
            <w:r>
              <w:rPr>
                <w:rFonts w:ascii="宋体" w:hAnsi="宋体" w:cs="宋体" w:eastAsia="宋体" w:hint="default"/>
                <w:sz w:val="21"/>
                <w:szCs w:val="21"/>
              </w:rPr>
              <w:t>方式</w:t>
            </w:r>
          </w:p>
        </w:tc>
        <w:tc>
          <w:tcPr>
            <w:tcW w:w="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right="0"/>
              <w:jc w:val="center"/>
              <w:rPr>
                <w:rFonts w:ascii="宋体" w:hAnsi="宋体" w:cs="宋体" w:eastAsia="宋体" w:hint="default"/>
                <w:sz w:val="21"/>
                <w:szCs w:val="21"/>
              </w:rPr>
            </w:pPr>
            <w:r>
              <w:rPr>
                <w:rFonts w:ascii="宋体" w:hAnsi="宋体" w:cs="宋体" w:eastAsia="宋体" w:hint="default"/>
                <w:sz w:val="21"/>
                <w:szCs w:val="21"/>
              </w:rPr>
              <w:t>转让资</w:t>
            </w:r>
          </w:p>
          <w:p>
            <w:pPr>
              <w:pStyle w:val="TableParagraph"/>
              <w:spacing w:line="240" w:lineRule="auto"/>
              <w:ind w:left="47" w:right="46"/>
              <w:jc w:val="center"/>
              <w:rPr>
                <w:rFonts w:ascii="宋体" w:hAnsi="宋体" w:cs="宋体" w:eastAsia="宋体" w:hint="default"/>
                <w:sz w:val="21"/>
                <w:szCs w:val="21"/>
              </w:rPr>
            </w:pPr>
            <w:r>
              <w:rPr>
                <w:rFonts w:ascii="宋体" w:hAnsi="宋体" w:cs="宋体" w:eastAsia="宋体" w:hint="default"/>
                <w:sz w:val="21"/>
                <w:szCs w:val="21"/>
              </w:rPr>
              <w:t>产获得</w:t>
            </w:r>
            <w:r>
              <w:rPr>
                <w:rFonts w:ascii="宋体" w:hAnsi="宋体" w:cs="宋体" w:eastAsia="宋体" w:hint="default"/>
                <w:w w:val="100"/>
                <w:sz w:val="21"/>
                <w:szCs w:val="21"/>
              </w:rPr>
              <w:t> </w:t>
            </w:r>
            <w:r>
              <w:rPr>
                <w:rFonts w:ascii="宋体" w:hAnsi="宋体" w:cs="宋体" w:eastAsia="宋体" w:hint="default"/>
                <w:sz w:val="21"/>
                <w:szCs w:val="21"/>
              </w:rPr>
              <w:t>的收益</w:t>
            </w:r>
          </w:p>
          <w:p>
            <w:pPr>
              <w:pStyle w:val="TableParagraph"/>
              <w:spacing w:line="274" w:lineRule="exact" w:before="20"/>
              <w:ind w:left="153" w:right="151"/>
              <w:jc w:val="center"/>
              <w:rPr>
                <w:rFonts w:ascii="宋体" w:hAnsi="宋体" w:cs="宋体" w:eastAsia="宋体" w:hint="default"/>
                <w:sz w:val="21"/>
                <w:szCs w:val="21"/>
              </w:rPr>
            </w:pP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z w:val="21"/>
                <w:szCs w:val="21"/>
              </w:rPr>
              <w:t>元）</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54" w:right="41" w:hanging="207"/>
              <w:jc w:val="left"/>
              <w:rPr>
                <w:rFonts w:ascii="宋体" w:hAnsi="宋体" w:cs="宋体" w:eastAsia="宋体" w:hint="default"/>
                <w:sz w:val="21"/>
                <w:szCs w:val="21"/>
              </w:rPr>
            </w:pPr>
            <w:r>
              <w:rPr>
                <w:rFonts w:ascii="宋体" w:hAnsi="宋体" w:cs="宋体" w:eastAsia="宋体" w:hint="default"/>
                <w:sz w:val="21"/>
                <w:szCs w:val="21"/>
              </w:rPr>
              <w:t>披露日</w:t>
            </w:r>
            <w:r>
              <w:rPr>
                <w:rFonts w:ascii="宋体" w:hAnsi="宋体" w:cs="宋体" w:eastAsia="宋体" w:hint="default"/>
                <w:spacing w:val="-102"/>
                <w:sz w:val="21"/>
                <w:szCs w:val="21"/>
              </w:rPr>
              <w:t> </w:t>
            </w:r>
            <w:r>
              <w:rPr>
                <w:rFonts w:ascii="宋体" w:hAnsi="宋体" w:cs="宋体" w:eastAsia="宋体" w:hint="default"/>
                <w:sz w:val="21"/>
                <w:szCs w:val="21"/>
              </w:rPr>
              <w:t>期</w:t>
            </w:r>
          </w:p>
        </w:tc>
        <w:tc>
          <w:tcPr>
            <w:tcW w:w="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54" w:right="41" w:hanging="212"/>
              <w:jc w:val="left"/>
              <w:rPr>
                <w:rFonts w:ascii="宋体" w:hAnsi="宋体" w:cs="宋体" w:eastAsia="宋体" w:hint="default"/>
                <w:sz w:val="21"/>
                <w:szCs w:val="21"/>
              </w:rPr>
            </w:pPr>
            <w:r>
              <w:rPr>
                <w:rFonts w:ascii="宋体" w:hAnsi="宋体" w:cs="宋体" w:eastAsia="宋体" w:hint="default"/>
                <w:sz w:val="21"/>
                <w:szCs w:val="21"/>
              </w:rPr>
              <w:t>披露索</w:t>
            </w:r>
            <w:r>
              <w:rPr>
                <w:rFonts w:ascii="宋体" w:hAnsi="宋体" w:cs="宋体" w:eastAsia="宋体" w:hint="default"/>
                <w:spacing w:val="-102"/>
                <w:sz w:val="21"/>
                <w:szCs w:val="21"/>
              </w:rPr>
              <w:t> </w:t>
            </w:r>
            <w:r>
              <w:rPr>
                <w:rFonts w:ascii="宋体" w:hAnsi="宋体" w:cs="宋体" w:eastAsia="宋体" w:hint="default"/>
                <w:sz w:val="21"/>
                <w:szCs w:val="21"/>
              </w:rPr>
              <w:t>引</w:t>
            </w:r>
          </w:p>
        </w:tc>
      </w:tr>
      <w:tr>
        <w:trPr>
          <w:trHeight w:val="272" w:hRule="exact"/>
        </w:trPr>
        <w:tc>
          <w:tcPr>
            <w:tcW w:w="739" w:type="dxa"/>
            <w:tcBorders>
              <w:top w:val="single" w:sz="4" w:space="0" w:color="000000"/>
              <w:left w:val="single" w:sz="4" w:space="0" w:color="000000"/>
              <w:bottom w:val="nil" w:sz="6" w:space="0" w:color="auto"/>
              <w:right w:val="single" w:sz="4" w:space="0" w:color="000000"/>
            </w:tcBorders>
          </w:tcPr>
          <w:p>
            <w:pPr/>
          </w:p>
        </w:tc>
        <w:tc>
          <w:tcPr>
            <w:tcW w:w="74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44"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收购中</w:t>
            </w:r>
          </w:p>
        </w:tc>
        <w:tc>
          <w:tcPr>
            <w:tcW w:w="730" w:type="dxa"/>
            <w:tcBorders>
              <w:top w:val="single" w:sz="4" w:space="0" w:color="000000"/>
              <w:left w:val="single" w:sz="4" w:space="0" w:color="000000"/>
              <w:bottom w:val="nil" w:sz="6" w:space="0" w:color="auto"/>
              <w:right w:val="single" w:sz="4" w:space="0" w:color="000000"/>
            </w:tcBorders>
          </w:tcPr>
          <w:p>
            <w:pPr/>
          </w:p>
        </w:tc>
        <w:tc>
          <w:tcPr>
            <w:tcW w:w="806" w:type="dxa"/>
            <w:tcBorders>
              <w:top w:val="single" w:sz="4" w:space="0" w:color="000000"/>
              <w:left w:val="single" w:sz="4" w:space="0" w:color="000000"/>
              <w:bottom w:val="nil" w:sz="6" w:space="0" w:color="auto"/>
              <w:right w:val="single" w:sz="4" w:space="0" w:color="000000"/>
            </w:tcBorders>
          </w:tcPr>
          <w:p>
            <w:pPr/>
          </w:p>
        </w:tc>
        <w:tc>
          <w:tcPr>
            <w:tcW w:w="816" w:type="dxa"/>
            <w:tcBorders>
              <w:top w:val="single" w:sz="4" w:space="0" w:color="000000"/>
              <w:left w:val="single" w:sz="4" w:space="0" w:color="000000"/>
              <w:bottom w:val="nil" w:sz="6" w:space="0" w:color="auto"/>
              <w:right w:val="single" w:sz="4" w:space="0" w:color="000000"/>
            </w:tcBorders>
          </w:tcPr>
          <w:p>
            <w:pPr/>
          </w:p>
        </w:tc>
        <w:tc>
          <w:tcPr>
            <w:tcW w:w="802" w:type="dxa"/>
            <w:tcBorders>
              <w:top w:val="single" w:sz="4" w:space="0" w:color="000000"/>
              <w:left w:val="single" w:sz="4" w:space="0" w:color="000000"/>
              <w:bottom w:val="nil" w:sz="6" w:space="0" w:color="auto"/>
              <w:right w:val="single" w:sz="4" w:space="0" w:color="000000"/>
            </w:tcBorders>
          </w:tcPr>
          <w:p>
            <w:pPr/>
          </w:p>
        </w:tc>
        <w:tc>
          <w:tcPr>
            <w:tcW w:w="686"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9"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0"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国宝安</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集团股</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71" w:hRule="exact"/>
        </w:trPr>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公司第</w:t>
            </w: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9" w:lineRule="exact"/>
              <w:ind w:left="23" w:right="0"/>
              <w:jc w:val="left"/>
              <w:rPr>
                <w:rFonts w:ascii="宋体" w:hAnsi="宋体" w:cs="宋体" w:eastAsia="宋体" w:hint="default"/>
                <w:sz w:val="21"/>
                <w:szCs w:val="21"/>
              </w:rPr>
            </w:pPr>
            <w:r>
              <w:rPr>
                <w:rFonts w:ascii="宋体" w:hAnsi="宋体" w:cs="宋体" w:eastAsia="宋体" w:hint="default"/>
                <w:sz w:val="21"/>
                <w:szCs w:val="21"/>
              </w:rPr>
              <w:t>份有限</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739"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中国宝</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24" w:right="0"/>
              <w:jc w:val="left"/>
              <w:rPr>
                <w:rFonts w:ascii="宋体" w:hAnsi="宋体" w:cs="宋体" w:eastAsia="宋体" w:hint="default"/>
                <w:sz w:val="21"/>
                <w:szCs w:val="21"/>
              </w:rPr>
            </w:pPr>
            <w:r>
              <w:rPr>
                <w:rFonts w:ascii="宋体" w:hAnsi="宋体" w:cs="宋体" w:eastAsia="宋体" w:hint="default"/>
                <w:sz w:val="21"/>
                <w:szCs w:val="21"/>
              </w:rPr>
              <w:t>一大股</w:t>
            </w: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1906" w:hRule="exact"/>
        </w:trPr>
        <w:tc>
          <w:tcPr>
            <w:tcW w:w="739"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24" w:right="0"/>
              <w:jc w:val="left"/>
              <w:rPr>
                <w:rFonts w:ascii="宋体" w:hAnsi="宋体" w:cs="宋体" w:eastAsia="宋体" w:hint="default"/>
                <w:sz w:val="21"/>
                <w:szCs w:val="21"/>
              </w:rPr>
            </w:pPr>
            <w:r>
              <w:rPr>
                <w:rFonts w:ascii="宋体" w:hAnsi="宋体" w:cs="宋体" w:eastAsia="宋体" w:hint="default"/>
                <w:sz w:val="21"/>
                <w:szCs w:val="21"/>
              </w:rPr>
              <w:t>安集团</w:t>
            </w:r>
          </w:p>
          <w:p>
            <w:pPr>
              <w:pStyle w:val="TableParagraph"/>
              <w:spacing w:line="237" w:lineRule="auto"/>
              <w:ind w:left="24" w:right="70"/>
              <w:jc w:val="left"/>
              <w:rPr>
                <w:rFonts w:ascii="宋体" w:hAnsi="宋体" w:cs="宋体" w:eastAsia="宋体" w:hint="default"/>
                <w:sz w:val="21"/>
                <w:szCs w:val="21"/>
              </w:rPr>
            </w:pPr>
            <w:r>
              <w:rPr>
                <w:rFonts w:ascii="宋体" w:hAnsi="宋体" w:cs="宋体" w:eastAsia="宋体" w:hint="default"/>
                <w:sz w:val="21"/>
                <w:szCs w:val="21"/>
              </w:rPr>
              <w:t>股份有</w:t>
            </w:r>
            <w:r>
              <w:rPr>
                <w:rFonts w:ascii="宋体" w:hAnsi="宋体" w:cs="宋体" w:eastAsia="宋体" w:hint="default"/>
                <w:spacing w:val="-102"/>
                <w:sz w:val="21"/>
                <w:szCs w:val="21"/>
              </w:rPr>
              <w:t> </w:t>
            </w:r>
            <w:r>
              <w:rPr>
                <w:rFonts w:ascii="宋体" w:hAnsi="宋体" w:cs="宋体" w:eastAsia="宋体" w:hint="default"/>
                <w:sz w:val="21"/>
                <w:szCs w:val="21"/>
              </w:rPr>
              <w:t>限公</w:t>
            </w:r>
            <w:r>
              <w:rPr>
                <w:rFonts w:ascii="宋体" w:hAnsi="宋体" w:cs="宋体" w:eastAsia="宋体" w:hint="default"/>
                <w:spacing w:val="-103"/>
                <w:sz w:val="21"/>
                <w:szCs w:val="21"/>
              </w:rPr>
              <w:t> </w:t>
            </w:r>
            <w:r>
              <w:rPr>
                <w:rFonts w:ascii="宋体" w:hAnsi="宋体" w:cs="宋体" w:eastAsia="宋体" w:hint="default"/>
                <w:sz w:val="21"/>
                <w:szCs w:val="21"/>
              </w:rPr>
              <w:t>司、中</w:t>
            </w:r>
            <w:r>
              <w:rPr>
                <w:rFonts w:ascii="宋体" w:hAnsi="宋体" w:cs="宋体" w:eastAsia="宋体" w:hint="default"/>
                <w:spacing w:val="-102"/>
                <w:sz w:val="21"/>
                <w:szCs w:val="21"/>
              </w:rPr>
              <w:t> </w:t>
            </w:r>
            <w:r>
              <w:rPr>
                <w:rFonts w:ascii="宋体" w:hAnsi="宋体" w:cs="宋体" w:eastAsia="宋体" w:hint="default"/>
                <w:sz w:val="21"/>
                <w:szCs w:val="21"/>
              </w:rPr>
              <w:t>国宝安</w:t>
            </w:r>
            <w:r>
              <w:rPr>
                <w:rFonts w:ascii="宋体" w:hAnsi="宋体" w:cs="宋体" w:eastAsia="宋体" w:hint="default"/>
                <w:spacing w:val="-102"/>
                <w:sz w:val="21"/>
                <w:szCs w:val="21"/>
              </w:rPr>
              <w:t> </w:t>
            </w:r>
            <w:r>
              <w:rPr>
                <w:rFonts w:ascii="宋体" w:hAnsi="宋体" w:cs="宋体" w:eastAsia="宋体" w:hint="default"/>
                <w:sz w:val="21"/>
                <w:szCs w:val="21"/>
              </w:rPr>
              <w:t>集团投</w:t>
            </w:r>
            <w:r>
              <w:rPr>
                <w:rFonts w:ascii="宋体" w:hAnsi="宋体" w:cs="宋体" w:eastAsia="宋体" w:hint="default"/>
                <w:spacing w:val="-102"/>
                <w:sz w:val="21"/>
                <w:szCs w:val="21"/>
              </w:rPr>
              <w:t> </w:t>
            </w:r>
            <w:r>
              <w:rPr>
                <w:rFonts w:ascii="宋体" w:hAnsi="宋体" w:cs="宋体" w:eastAsia="宋体" w:hint="default"/>
                <w:sz w:val="21"/>
                <w:szCs w:val="21"/>
              </w:rPr>
              <w:t>资有限</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32" w:lineRule="exact"/>
              <w:ind w:left="24" w:right="0"/>
              <w:jc w:val="left"/>
              <w:rPr>
                <w:rFonts w:ascii="宋体" w:hAnsi="宋体" w:cs="宋体" w:eastAsia="宋体" w:hint="default"/>
                <w:sz w:val="21"/>
                <w:szCs w:val="21"/>
              </w:rPr>
            </w:pPr>
            <w:r>
              <w:rPr>
                <w:rFonts w:ascii="宋体" w:hAnsi="宋体" w:cs="宋体" w:eastAsia="宋体" w:hint="default"/>
                <w:sz w:val="21"/>
                <w:szCs w:val="21"/>
              </w:rPr>
              <w:t>东的控</w:t>
            </w:r>
          </w:p>
          <w:p>
            <w:pPr>
              <w:pStyle w:val="TableParagraph"/>
              <w:spacing w:line="237" w:lineRule="auto" w:before="2"/>
              <w:ind w:left="24" w:right="74"/>
              <w:jc w:val="left"/>
              <w:rPr>
                <w:rFonts w:ascii="宋体" w:hAnsi="宋体" w:cs="宋体" w:eastAsia="宋体" w:hint="default"/>
                <w:sz w:val="21"/>
                <w:szCs w:val="21"/>
              </w:rPr>
            </w:pPr>
            <w:r>
              <w:rPr>
                <w:rFonts w:ascii="宋体" w:hAnsi="宋体" w:cs="宋体" w:eastAsia="宋体" w:hint="default"/>
                <w:sz w:val="21"/>
                <w:szCs w:val="21"/>
              </w:rPr>
              <w:t>股股</w:t>
            </w:r>
            <w:r>
              <w:rPr>
                <w:rFonts w:ascii="宋体" w:hAnsi="宋体" w:cs="宋体" w:eastAsia="宋体" w:hint="default"/>
                <w:spacing w:val="-103"/>
                <w:sz w:val="21"/>
                <w:szCs w:val="21"/>
              </w:rPr>
              <w:t> </w:t>
            </w:r>
            <w:r>
              <w:rPr>
                <w:rFonts w:ascii="宋体" w:hAnsi="宋体" w:cs="宋体" w:eastAsia="宋体" w:hint="default"/>
                <w:sz w:val="21"/>
                <w:szCs w:val="21"/>
              </w:rPr>
              <w:t>东、公</w:t>
            </w:r>
            <w:r>
              <w:rPr>
                <w:rFonts w:ascii="宋体" w:hAnsi="宋体" w:cs="宋体" w:eastAsia="宋体" w:hint="default"/>
                <w:spacing w:val="-102"/>
                <w:sz w:val="21"/>
                <w:szCs w:val="21"/>
              </w:rPr>
              <w:t> </w:t>
            </w:r>
            <w:r>
              <w:rPr>
                <w:rFonts w:ascii="宋体" w:hAnsi="宋体" w:cs="宋体" w:eastAsia="宋体" w:hint="default"/>
                <w:sz w:val="21"/>
                <w:szCs w:val="21"/>
              </w:rPr>
              <w:t>司第一</w:t>
            </w:r>
            <w:r>
              <w:rPr>
                <w:rFonts w:ascii="宋体" w:hAnsi="宋体" w:cs="宋体" w:eastAsia="宋体" w:hint="default"/>
                <w:spacing w:val="-102"/>
                <w:sz w:val="21"/>
                <w:szCs w:val="21"/>
              </w:rPr>
              <w:t> </w:t>
            </w:r>
            <w:r>
              <w:rPr>
                <w:rFonts w:ascii="宋体" w:hAnsi="宋体" w:cs="宋体" w:eastAsia="宋体" w:hint="default"/>
                <w:sz w:val="21"/>
                <w:szCs w:val="21"/>
              </w:rPr>
              <w:t>大股东</w:t>
            </w:r>
            <w:r>
              <w:rPr>
                <w:rFonts w:ascii="宋体" w:hAnsi="宋体" w:cs="宋体" w:eastAsia="宋体" w:hint="default"/>
                <w:spacing w:val="-102"/>
                <w:sz w:val="21"/>
                <w:szCs w:val="21"/>
              </w:rPr>
              <w:t> </w:t>
            </w:r>
            <w:r>
              <w:rPr>
                <w:rFonts w:ascii="宋体" w:hAnsi="宋体" w:cs="宋体" w:eastAsia="宋体" w:hint="default"/>
                <w:sz w:val="21"/>
                <w:szCs w:val="21"/>
              </w:rPr>
              <w:t>的控股</w:t>
            </w:r>
            <w:r>
              <w:rPr>
                <w:rFonts w:ascii="宋体" w:hAnsi="宋体" w:cs="宋体" w:eastAsia="宋体" w:hint="default"/>
                <w:spacing w:val="-102"/>
                <w:sz w:val="21"/>
                <w:szCs w:val="21"/>
              </w:rPr>
              <w:t> </w:t>
            </w:r>
            <w:r>
              <w:rPr>
                <w:rFonts w:ascii="宋体" w:hAnsi="宋体" w:cs="宋体" w:eastAsia="宋体" w:hint="default"/>
                <w:sz w:val="21"/>
                <w:szCs w:val="21"/>
              </w:rPr>
              <w:t>股东之</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4" w:lineRule="auto" w:before="111"/>
              <w:ind w:left="23" w:right="70"/>
              <w:jc w:val="both"/>
              <w:rPr>
                <w:rFonts w:ascii="Times New Roman" w:hAnsi="Times New Roman" w:cs="Times New Roman" w:eastAsia="Times New Roman" w:hint="default"/>
                <w:sz w:val="21"/>
                <w:szCs w:val="21"/>
              </w:rPr>
            </w:pPr>
            <w:r>
              <w:rPr>
                <w:rFonts w:ascii="宋体" w:hAnsi="宋体" w:cs="宋体" w:eastAsia="宋体" w:hint="default"/>
                <w:sz w:val="21"/>
                <w:szCs w:val="21"/>
              </w:rPr>
              <w:t>收购关</w:t>
            </w:r>
            <w:r>
              <w:rPr>
                <w:rFonts w:ascii="宋体" w:hAnsi="宋体" w:cs="宋体" w:eastAsia="宋体" w:hint="default"/>
                <w:spacing w:val="-102"/>
                <w:sz w:val="21"/>
                <w:szCs w:val="21"/>
              </w:rPr>
              <w:t> </w:t>
            </w:r>
            <w:r>
              <w:rPr>
                <w:rFonts w:ascii="宋体" w:hAnsi="宋体" w:cs="宋体" w:eastAsia="宋体" w:hint="default"/>
                <w:sz w:val="21"/>
                <w:szCs w:val="21"/>
              </w:rPr>
              <w:t>联方持</w:t>
            </w:r>
            <w:r>
              <w:rPr>
                <w:rFonts w:ascii="宋体" w:hAnsi="宋体" w:cs="宋体" w:eastAsia="宋体" w:hint="default"/>
                <w:spacing w:val="-102"/>
                <w:sz w:val="21"/>
                <w:szCs w:val="21"/>
              </w:rPr>
              <w:t> </w:t>
            </w:r>
            <w:r>
              <w:rPr>
                <w:rFonts w:ascii="宋体" w:hAnsi="宋体" w:cs="宋体" w:eastAsia="宋体" w:hint="default"/>
                <w:sz w:val="21"/>
                <w:szCs w:val="21"/>
              </w:rPr>
              <w:t>有的标</w:t>
            </w:r>
            <w:r>
              <w:rPr>
                <w:rFonts w:ascii="宋体" w:hAnsi="宋体" w:cs="宋体" w:eastAsia="宋体" w:hint="default"/>
                <w:spacing w:val="-102"/>
                <w:sz w:val="21"/>
                <w:szCs w:val="21"/>
              </w:rPr>
              <w:t> </w:t>
            </w:r>
            <w:r>
              <w:rPr>
                <w:rFonts w:ascii="宋体" w:hAnsi="宋体" w:cs="宋体" w:eastAsia="宋体" w:hint="default"/>
                <w:sz w:val="21"/>
                <w:szCs w:val="21"/>
              </w:rPr>
              <w:t>的公司</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100%</w:t>
            </w:r>
          </w:p>
          <w:p>
            <w:pPr>
              <w:pStyle w:val="TableParagraph"/>
              <w:spacing w:line="239" w:lineRule="exact"/>
              <w:ind w:left="23" w:right="0"/>
              <w:jc w:val="both"/>
              <w:rPr>
                <w:rFonts w:ascii="宋体" w:hAnsi="宋体" w:cs="宋体" w:eastAsia="宋体" w:hint="default"/>
                <w:sz w:val="21"/>
                <w:szCs w:val="21"/>
              </w:rPr>
            </w:pPr>
            <w:r>
              <w:rPr>
                <w:rFonts w:ascii="宋体" w:hAnsi="宋体" w:cs="宋体" w:eastAsia="宋体" w:hint="default"/>
                <w:sz w:val="21"/>
                <w:szCs w:val="21"/>
              </w:rPr>
              <w:t>股权</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68" w:lineRule="exact" w:before="8"/>
              <w:ind w:left="23" w:right="74"/>
              <w:jc w:val="left"/>
              <w:rPr>
                <w:rFonts w:ascii="宋体" w:hAnsi="宋体" w:cs="宋体" w:eastAsia="宋体" w:hint="default"/>
                <w:sz w:val="21"/>
                <w:szCs w:val="21"/>
              </w:rPr>
            </w:pPr>
            <w:r>
              <w:rPr>
                <w:rFonts w:ascii="宋体" w:hAnsi="宋体" w:cs="宋体" w:eastAsia="宋体" w:hint="default"/>
                <w:sz w:val="21"/>
                <w:szCs w:val="21"/>
              </w:rPr>
              <w:t>中国宝</w:t>
            </w:r>
            <w:r>
              <w:rPr>
                <w:rFonts w:ascii="宋体" w:hAnsi="宋体" w:cs="宋体" w:eastAsia="宋体" w:hint="default"/>
                <w:spacing w:val="-102"/>
                <w:sz w:val="21"/>
                <w:szCs w:val="21"/>
              </w:rPr>
              <w:t> </w:t>
            </w:r>
            <w:r>
              <w:rPr>
                <w:rFonts w:ascii="宋体" w:hAnsi="宋体" w:cs="宋体" w:eastAsia="宋体" w:hint="default"/>
                <w:sz w:val="21"/>
                <w:szCs w:val="21"/>
              </w:rPr>
              <w:t>安集团</w:t>
            </w:r>
          </w:p>
          <w:p>
            <w:pPr>
              <w:pStyle w:val="TableParagraph"/>
              <w:spacing w:line="274" w:lineRule="exact"/>
              <w:ind w:left="23" w:right="74"/>
              <w:jc w:val="left"/>
              <w:rPr>
                <w:rFonts w:ascii="宋体" w:hAnsi="宋体" w:cs="宋体" w:eastAsia="宋体" w:hint="default"/>
                <w:sz w:val="21"/>
                <w:szCs w:val="21"/>
              </w:rPr>
            </w:pPr>
            <w:r>
              <w:rPr>
                <w:rFonts w:ascii="宋体" w:hAnsi="宋体" w:cs="宋体" w:eastAsia="宋体" w:hint="default"/>
                <w:sz w:val="21"/>
                <w:szCs w:val="21"/>
              </w:rPr>
              <w:t>投资有</w:t>
            </w:r>
            <w:r>
              <w:rPr>
                <w:rFonts w:ascii="宋体" w:hAnsi="宋体" w:cs="宋体" w:eastAsia="宋体" w:hint="default"/>
                <w:spacing w:val="-102"/>
                <w:sz w:val="21"/>
                <w:szCs w:val="21"/>
              </w:rPr>
              <w:t> </w:t>
            </w:r>
            <w:r>
              <w:rPr>
                <w:rFonts w:ascii="宋体" w:hAnsi="宋体" w:cs="宋体" w:eastAsia="宋体" w:hint="default"/>
                <w:sz w:val="21"/>
                <w:szCs w:val="21"/>
              </w:rPr>
              <w:t>限公司</w:t>
            </w:r>
          </w:p>
          <w:p>
            <w:pPr>
              <w:pStyle w:val="TableParagraph"/>
              <w:spacing w:line="268" w:lineRule="exact" w:before="4"/>
              <w:ind w:left="23" w:right="74"/>
              <w:jc w:val="left"/>
              <w:rPr>
                <w:rFonts w:ascii="宋体" w:hAnsi="宋体" w:cs="宋体" w:eastAsia="宋体" w:hint="default"/>
                <w:sz w:val="21"/>
                <w:szCs w:val="21"/>
              </w:rPr>
            </w:pPr>
            <w:r>
              <w:rPr>
                <w:rFonts w:ascii="宋体" w:hAnsi="宋体" w:cs="宋体" w:eastAsia="宋体" w:hint="default"/>
                <w:sz w:val="21"/>
                <w:szCs w:val="21"/>
              </w:rPr>
              <w:t>持有的</w:t>
            </w:r>
            <w:r>
              <w:rPr>
                <w:rFonts w:ascii="宋体" w:hAnsi="宋体" w:cs="宋体" w:eastAsia="宋体" w:hint="default"/>
                <w:spacing w:val="-102"/>
                <w:sz w:val="21"/>
                <w:szCs w:val="21"/>
              </w:rPr>
              <w:t> </w:t>
            </w:r>
            <w:r>
              <w:rPr>
                <w:rFonts w:ascii="宋体" w:hAnsi="宋体" w:cs="宋体" w:eastAsia="宋体" w:hint="default"/>
                <w:sz w:val="21"/>
                <w:szCs w:val="21"/>
              </w:rPr>
              <w:t>惠州市</w:t>
            </w:r>
          </w:p>
          <w:p>
            <w:pPr>
              <w:pStyle w:val="TableParagraph"/>
              <w:spacing w:line="250" w:lineRule="exact"/>
              <w:ind w:left="23" w:right="0"/>
              <w:jc w:val="left"/>
              <w:rPr>
                <w:rFonts w:ascii="宋体" w:hAnsi="宋体" w:cs="宋体" w:eastAsia="宋体" w:hint="default"/>
                <w:sz w:val="21"/>
                <w:szCs w:val="21"/>
              </w:rPr>
            </w:pPr>
            <w:r>
              <w:rPr>
                <w:rFonts w:ascii="宋体" w:hAnsi="宋体" w:cs="宋体" w:eastAsia="宋体" w:hint="default"/>
                <w:sz w:val="21"/>
                <w:szCs w:val="21"/>
              </w:rPr>
              <w:t>宝安房</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3"/>
                <w:szCs w:val="13"/>
              </w:rPr>
            </w:pPr>
          </w:p>
          <w:p>
            <w:pPr>
              <w:pStyle w:val="TableParagraph"/>
              <w:spacing w:line="237" w:lineRule="auto"/>
              <w:ind w:left="19" w:right="65"/>
              <w:jc w:val="both"/>
              <w:rPr>
                <w:rFonts w:ascii="宋体" w:hAnsi="宋体" w:cs="宋体" w:eastAsia="宋体" w:hint="default"/>
                <w:sz w:val="21"/>
                <w:szCs w:val="21"/>
              </w:rPr>
            </w:pPr>
            <w:r>
              <w:rPr>
                <w:rFonts w:ascii="宋体" w:hAnsi="宋体" w:cs="宋体" w:eastAsia="宋体" w:hint="default"/>
                <w:sz w:val="21"/>
                <w:szCs w:val="21"/>
              </w:rPr>
              <w:t>以净资</w:t>
            </w:r>
            <w:r>
              <w:rPr>
                <w:rFonts w:ascii="宋体" w:hAnsi="宋体" w:cs="宋体" w:eastAsia="宋体" w:hint="default"/>
                <w:spacing w:val="-102"/>
                <w:sz w:val="21"/>
                <w:szCs w:val="21"/>
              </w:rPr>
              <w:t> </w:t>
            </w:r>
            <w:r>
              <w:rPr>
                <w:rFonts w:ascii="宋体" w:hAnsi="宋体" w:cs="宋体" w:eastAsia="宋体" w:hint="default"/>
                <w:sz w:val="21"/>
                <w:szCs w:val="21"/>
              </w:rPr>
              <w:t>产评估</w:t>
            </w:r>
            <w:r>
              <w:rPr>
                <w:rFonts w:ascii="宋体" w:hAnsi="宋体" w:cs="宋体" w:eastAsia="宋体" w:hint="default"/>
                <w:spacing w:val="-102"/>
                <w:sz w:val="21"/>
                <w:szCs w:val="21"/>
              </w:rPr>
              <w:t> </w:t>
            </w:r>
            <w:r>
              <w:rPr>
                <w:rFonts w:ascii="宋体" w:hAnsi="宋体" w:cs="宋体" w:eastAsia="宋体" w:hint="default"/>
                <w:sz w:val="21"/>
                <w:szCs w:val="21"/>
              </w:rPr>
              <w:t>值为依</w:t>
            </w:r>
            <w:r>
              <w:rPr>
                <w:rFonts w:ascii="宋体" w:hAnsi="宋体" w:cs="宋体" w:eastAsia="宋体" w:hint="default"/>
                <w:spacing w:val="-102"/>
                <w:sz w:val="21"/>
                <w:szCs w:val="21"/>
              </w:rPr>
              <w:t> </w:t>
            </w:r>
            <w:r>
              <w:rPr>
                <w:rFonts w:ascii="宋体" w:hAnsi="宋体" w:cs="宋体" w:eastAsia="宋体" w:hint="default"/>
                <w:sz w:val="21"/>
                <w:szCs w:val="21"/>
              </w:rPr>
              <w:t>据，协</w:t>
            </w:r>
            <w:r>
              <w:rPr>
                <w:rFonts w:ascii="宋体" w:hAnsi="宋体" w:cs="宋体" w:eastAsia="宋体" w:hint="default"/>
                <w:spacing w:val="-102"/>
                <w:sz w:val="21"/>
                <w:szCs w:val="21"/>
              </w:rPr>
              <w:t> </w:t>
            </w:r>
            <w:r>
              <w:rPr>
                <w:rFonts w:ascii="宋体" w:hAnsi="宋体" w:cs="宋体" w:eastAsia="宋体" w:hint="default"/>
                <w:sz w:val="21"/>
                <w:szCs w:val="21"/>
              </w:rPr>
              <w:t>商定价</w:t>
            </w:r>
          </w:p>
        </w:tc>
        <w:tc>
          <w:tcPr>
            <w:tcW w:w="80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sz w:val="21"/>
              </w:rPr>
              <w:t>12,623.3</w:t>
            </w:r>
          </w:p>
          <w:p>
            <w:pPr>
              <w:pStyle w:val="TableParagraph"/>
              <w:spacing w:line="241" w:lineRule="exact"/>
              <w:ind w:right="26"/>
              <w:jc w:val="right"/>
              <w:rPr>
                <w:rFonts w:ascii="Times New Roman" w:hAnsi="Times New Roman" w:cs="Times New Roman" w:eastAsia="Times New Roman" w:hint="default"/>
                <w:sz w:val="21"/>
                <w:szCs w:val="21"/>
              </w:rPr>
            </w:pPr>
            <w:r>
              <w:rPr>
                <w:rFonts w:ascii="Times New Roman"/>
                <w:w w:val="100"/>
                <w:sz w:val="21"/>
              </w:rPr>
              <w:t>6</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sz w:val="21"/>
              </w:rPr>
              <w:t>16,953.3</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6</w:t>
            </w:r>
          </w:p>
        </w:tc>
        <w:tc>
          <w:tcPr>
            <w:tcW w:w="8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1" w:lineRule="exact"/>
              <w:ind w:right="17"/>
              <w:jc w:val="right"/>
              <w:rPr>
                <w:rFonts w:ascii="Times New Roman" w:hAnsi="Times New Roman" w:cs="Times New Roman" w:eastAsia="Times New Roman" w:hint="default"/>
                <w:sz w:val="21"/>
                <w:szCs w:val="21"/>
              </w:rPr>
            </w:pPr>
            <w:r>
              <w:rPr>
                <w:rFonts w:ascii="Times New Roman"/>
                <w:sz w:val="21"/>
              </w:rPr>
              <w:t>16,482.2</w:t>
            </w:r>
          </w:p>
          <w:p>
            <w:pPr>
              <w:pStyle w:val="TableParagraph"/>
              <w:spacing w:line="241" w:lineRule="exact"/>
              <w:ind w:right="22"/>
              <w:jc w:val="right"/>
              <w:rPr>
                <w:rFonts w:ascii="Times New Roman" w:hAnsi="Times New Roman" w:cs="Times New Roman" w:eastAsia="Times New Roman" w:hint="default"/>
                <w:sz w:val="21"/>
                <w:szCs w:val="21"/>
              </w:rPr>
            </w:pPr>
            <w:r>
              <w:rPr>
                <w:rFonts w:ascii="Times New Roman"/>
                <w:w w:val="100"/>
                <w:sz w:val="21"/>
              </w:rPr>
              <w:t>4</w:t>
            </w:r>
          </w:p>
        </w:tc>
        <w:tc>
          <w:tcPr>
            <w:tcW w:w="68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5"/>
              <w:ind w:right="0"/>
              <w:jc w:val="left"/>
              <w:rPr>
                <w:rFonts w:ascii="Microsoft JhengHei" w:hAnsi="Microsoft JhengHei" w:cs="Microsoft JhengHei" w:eastAsia="Microsoft JhengHei" w:hint="default"/>
                <w:b/>
                <w:bCs/>
                <w:sz w:val="27"/>
                <w:szCs w:val="27"/>
              </w:rPr>
            </w:pPr>
          </w:p>
          <w:p>
            <w:pPr>
              <w:pStyle w:val="TableParagraph"/>
              <w:spacing w:line="240" w:lineRule="auto"/>
              <w:ind w:left="76" w:right="0"/>
              <w:jc w:val="left"/>
              <w:rPr>
                <w:rFonts w:ascii="Times New Roman" w:hAnsi="Times New Roman" w:cs="Times New Roman" w:eastAsia="Times New Roman" w:hint="default"/>
                <w:sz w:val="21"/>
                <w:szCs w:val="21"/>
              </w:rPr>
            </w:pPr>
            <w:r>
              <w:rPr>
                <w:rFonts w:ascii="Times New Roman"/>
                <w:sz w:val="21"/>
              </w:rPr>
              <w:t>17,000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3"/>
              <w:ind w:right="0"/>
              <w:jc w:val="left"/>
              <w:rPr>
                <w:rFonts w:ascii="Microsoft JhengHei" w:hAnsi="Microsoft JhengHei" w:cs="Microsoft JhengHei" w:eastAsia="Microsoft JhengHei" w:hint="default"/>
                <w:b/>
                <w:bCs/>
                <w:sz w:val="16"/>
                <w:szCs w:val="16"/>
              </w:rPr>
            </w:pPr>
          </w:p>
          <w:p>
            <w:pPr>
              <w:pStyle w:val="TableParagraph"/>
              <w:spacing w:line="240" w:lineRule="auto"/>
              <w:ind w:left="23" w:right="65"/>
              <w:jc w:val="left"/>
              <w:rPr>
                <w:rFonts w:ascii="宋体" w:hAnsi="宋体" w:cs="宋体" w:eastAsia="宋体" w:hint="default"/>
                <w:sz w:val="21"/>
                <w:szCs w:val="21"/>
              </w:rPr>
            </w:pPr>
            <w:r>
              <w:rPr>
                <w:rFonts w:ascii="宋体" w:hAnsi="宋体" w:cs="宋体" w:eastAsia="宋体" w:hint="default"/>
                <w:sz w:val="21"/>
                <w:szCs w:val="21"/>
              </w:rPr>
              <w:t>现金支</w:t>
            </w:r>
            <w:r>
              <w:rPr>
                <w:rFonts w:ascii="宋体" w:hAnsi="宋体" w:cs="宋体" w:eastAsia="宋体" w:hint="default"/>
                <w:spacing w:val="-102"/>
                <w:sz w:val="21"/>
                <w:szCs w:val="21"/>
              </w:rPr>
              <w:t> </w:t>
            </w:r>
            <w:r>
              <w:rPr>
                <w:rFonts w:ascii="宋体" w:hAnsi="宋体" w:cs="宋体" w:eastAsia="宋体" w:hint="default"/>
                <w:sz w:val="21"/>
                <w:szCs w:val="21"/>
              </w:rPr>
              <w:t>付</w:t>
            </w:r>
          </w:p>
        </w:tc>
        <w:tc>
          <w:tcPr>
            <w:tcW w:w="7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5"/>
              <w:ind w:right="0"/>
              <w:jc w:val="left"/>
              <w:rPr>
                <w:rFonts w:ascii="Microsoft JhengHei" w:hAnsi="Microsoft JhengHei" w:cs="Microsoft JhengHei" w:eastAsia="Microsoft JhengHei" w:hint="default"/>
                <w:b/>
                <w:bCs/>
                <w:sz w:val="27"/>
                <w:szCs w:val="2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29"/>
                <w:szCs w:val="29"/>
              </w:rPr>
            </w:pP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pStyle w:val="TableParagraph"/>
              <w:spacing w:line="28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7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1" w:lineRule="exact"/>
              <w:ind w:left="23" w:right="0"/>
              <w:jc w:val="left"/>
              <w:rPr>
                <w:rFonts w:ascii="Times New Roman" w:hAnsi="Times New Roman" w:cs="Times New Roman" w:eastAsia="Times New Roman" w:hint="default"/>
                <w:sz w:val="21"/>
                <w:szCs w:val="21"/>
              </w:rPr>
            </w:pPr>
            <w:r>
              <w:rPr>
                <w:rFonts w:ascii="Times New Roman"/>
                <w:sz w:val="21"/>
              </w:rPr>
              <w:t>2012-1</w:t>
            </w:r>
          </w:p>
          <w:p>
            <w:pPr>
              <w:pStyle w:val="TableParagraph"/>
              <w:spacing w:line="241" w:lineRule="exact"/>
              <w:ind w:left="23" w:right="0"/>
              <w:jc w:val="left"/>
              <w:rPr>
                <w:rFonts w:ascii="Times New Roman" w:hAnsi="Times New Roman" w:cs="Times New Roman" w:eastAsia="Times New Roman" w:hint="default"/>
                <w:sz w:val="21"/>
                <w:szCs w:val="21"/>
              </w:rPr>
            </w:pPr>
            <w:r>
              <w:rPr>
                <w:rFonts w:ascii="Times New Roman"/>
                <w:w w:val="100"/>
                <w:sz w:val="21"/>
              </w:rPr>
              <w:t>0</w:t>
            </w:r>
          </w:p>
        </w:tc>
      </w:tr>
      <w:tr>
        <w:trPr>
          <w:trHeight w:val="274" w:hRule="exact"/>
        </w:trPr>
        <w:tc>
          <w:tcPr>
            <w:tcW w:w="739"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24" w:right="0"/>
              <w:jc w:val="left"/>
              <w:rPr>
                <w:rFonts w:ascii="宋体" w:hAnsi="宋体" w:cs="宋体" w:eastAsia="宋体" w:hint="default"/>
                <w:sz w:val="21"/>
                <w:szCs w:val="21"/>
              </w:rPr>
            </w:pPr>
            <w:r>
              <w:rPr>
                <w:rFonts w:ascii="宋体" w:hAnsi="宋体" w:cs="宋体" w:eastAsia="宋体" w:hint="default"/>
                <w:sz w:val="21"/>
                <w:szCs w:val="21"/>
              </w:rPr>
              <w:t>控股子</w:t>
            </w: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宋体" w:hAnsi="宋体" w:cs="宋体" w:eastAsia="宋体" w:hint="default"/>
                <w:sz w:val="21"/>
                <w:szCs w:val="21"/>
              </w:rPr>
              <w:t>地产开</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78" w:hRule="exact"/>
        </w:trPr>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7" w:lineRule="exact"/>
              <w:ind w:left="23" w:right="0"/>
              <w:jc w:val="left"/>
              <w:rPr>
                <w:rFonts w:ascii="宋体" w:hAnsi="宋体" w:cs="宋体" w:eastAsia="宋体" w:hint="default"/>
                <w:sz w:val="21"/>
                <w:szCs w:val="21"/>
              </w:rPr>
            </w:pPr>
            <w:r>
              <w:rPr>
                <w:rFonts w:ascii="宋体" w:hAnsi="宋体" w:cs="宋体" w:eastAsia="宋体" w:hint="default"/>
                <w:sz w:val="21"/>
                <w:szCs w:val="21"/>
              </w:rPr>
              <w:t>发有限</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70" w:hRule="exact"/>
        </w:trPr>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57" w:hRule="exact"/>
        </w:trPr>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4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Times New Roman" w:hAnsi="Times New Roman" w:cs="Times New Roman" w:eastAsia="Times New Roman" w:hint="default"/>
                <w:sz w:val="21"/>
                <w:szCs w:val="21"/>
              </w:rPr>
            </w:pPr>
            <w:r>
              <w:rPr>
                <w:rFonts w:ascii="Times New Roman"/>
                <w:sz w:val="21"/>
              </w:rPr>
              <w:t>100%</w:t>
            </w:r>
          </w:p>
        </w:tc>
        <w:tc>
          <w:tcPr>
            <w:tcW w:w="730" w:type="dxa"/>
            <w:tcBorders>
              <w:top w:val="nil" w:sz="6" w:space="0" w:color="auto"/>
              <w:left w:val="single" w:sz="4" w:space="0" w:color="000000"/>
              <w:bottom w:val="nil" w:sz="6" w:space="0" w:color="auto"/>
              <w:right w:val="single" w:sz="4" w:space="0" w:color="000000"/>
            </w:tcBorders>
          </w:tcPr>
          <w:p>
            <w:pPr/>
          </w:p>
        </w:tc>
        <w:tc>
          <w:tcPr>
            <w:tcW w:w="806" w:type="dxa"/>
            <w:tcBorders>
              <w:top w:val="nil" w:sz="6" w:space="0" w:color="auto"/>
              <w:left w:val="single" w:sz="4" w:space="0" w:color="000000"/>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
        </w:tc>
        <w:tc>
          <w:tcPr>
            <w:tcW w:w="802" w:type="dxa"/>
            <w:tcBorders>
              <w:top w:val="nil" w:sz="6" w:space="0" w:color="auto"/>
              <w:left w:val="single" w:sz="4" w:space="0" w:color="000000"/>
              <w:bottom w:val="nil" w:sz="6" w:space="0" w:color="auto"/>
              <w:right w:val="single" w:sz="4" w:space="0" w:color="000000"/>
            </w:tcBorders>
          </w:tcPr>
          <w:p>
            <w:pPr/>
          </w:p>
        </w:tc>
        <w:tc>
          <w:tcPr>
            <w:tcW w:w="686"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9"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0" w:type="dxa"/>
            <w:tcBorders>
              <w:top w:val="nil" w:sz="6" w:space="0" w:color="auto"/>
              <w:left w:val="single" w:sz="4" w:space="0" w:color="000000"/>
              <w:bottom w:val="nil" w:sz="6" w:space="0" w:color="auto"/>
              <w:right w:val="single" w:sz="4" w:space="0" w:color="000000"/>
            </w:tcBorders>
          </w:tcPr>
          <w:p>
            <w:pPr/>
          </w:p>
        </w:tc>
      </w:tr>
      <w:tr>
        <w:trPr>
          <w:trHeight w:val="272" w:hRule="exact"/>
        </w:trPr>
        <w:tc>
          <w:tcPr>
            <w:tcW w:w="739" w:type="dxa"/>
            <w:tcBorders>
              <w:top w:val="nil" w:sz="6" w:space="0" w:color="auto"/>
              <w:left w:val="single" w:sz="4" w:space="0" w:color="000000"/>
              <w:bottom w:val="single" w:sz="4" w:space="0" w:color="000000"/>
              <w:right w:val="single" w:sz="4" w:space="0" w:color="000000"/>
            </w:tcBorders>
          </w:tcPr>
          <w:p>
            <w:pPr/>
          </w:p>
        </w:tc>
        <w:tc>
          <w:tcPr>
            <w:tcW w:w="74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44" w:type="dxa"/>
            <w:tcBorders>
              <w:top w:val="nil" w:sz="6" w:space="0" w:color="auto"/>
              <w:left w:val="single" w:sz="4" w:space="0" w:color="000000"/>
              <w:bottom w:val="single" w:sz="4" w:space="0" w:color="000000"/>
              <w:right w:val="single" w:sz="4" w:space="0" w:color="000000"/>
            </w:tcBorders>
          </w:tcPr>
          <w:p>
            <w:pPr>
              <w:pStyle w:val="TableParagraph"/>
              <w:spacing w:line="229" w:lineRule="exact"/>
              <w:ind w:left="23" w:right="0"/>
              <w:jc w:val="left"/>
              <w:rPr>
                <w:rFonts w:ascii="宋体" w:hAnsi="宋体" w:cs="宋体" w:eastAsia="宋体" w:hint="default"/>
                <w:sz w:val="21"/>
                <w:szCs w:val="21"/>
              </w:rPr>
            </w:pPr>
            <w:r>
              <w:rPr>
                <w:rFonts w:ascii="宋体" w:hAnsi="宋体" w:cs="宋体" w:eastAsia="宋体" w:hint="default"/>
                <w:sz w:val="21"/>
                <w:szCs w:val="21"/>
              </w:rPr>
              <w:t>股权</w:t>
            </w:r>
          </w:p>
        </w:tc>
        <w:tc>
          <w:tcPr>
            <w:tcW w:w="730" w:type="dxa"/>
            <w:tcBorders>
              <w:top w:val="nil" w:sz="6" w:space="0" w:color="auto"/>
              <w:left w:val="single" w:sz="4" w:space="0" w:color="000000"/>
              <w:bottom w:val="single" w:sz="4" w:space="0" w:color="000000"/>
              <w:right w:val="single" w:sz="4" w:space="0" w:color="000000"/>
            </w:tcBorders>
          </w:tcPr>
          <w:p>
            <w:pPr/>
          </w:p>
        </w:tc>
        <w:tc>
          <w:tcPr>
            <w:tcW w:w="806" w:type="dxa"/>
            <w:tcBorders>
              <w:top w:val="nil" w:sz="6" w:space="0" w:color="auto"/>
              <w:left w:val="single" w:sz="4" w:space="0" w:color="000000"/>
              <w:bottom w:val="single" w:sz="4" w:space="0" w:color="000000"/>
              <w:right w:val="single" w:sz="4" w:space="0" w:color="000000"/>
            </w:tcBorders>
          </w:tcPr>
          <w:p>
            <w:pPr/>
          </w:p>
        </w:tc>
        <w:tc>
          <w:tcPr>
            <w:tcW w:w="816"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single" w:sz="4" w:space="0" w:color="000000"/>
            </w:tcBorders>
          </w:tcPr>
          <w:p>
            <w:pPr/>
          </w:p>
        </w:tc>
        <w:tc>
          <w:tcPr>
            <w:tcW w:w="686"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9"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0" w:type="dxa"/>
            <w:tcBorders>
              <w:top w:val="nil" w:sz="6" w:space="0" w:color="auto"/>
              <w:left w:val="single" w:sz="4" w:space="0" w:color="000000"/>
              <w:bottom w:val="single" w:sz="4" w:space="0" w:color="000000"/>
              <w:right w:val="single" w:sz="4" w:space="0" w:color="000000"/>
            </w:tcBorders>
          </w:tcPr>
          <w:p>
            <w:pPr/>
          </w:p>
        </w:tc>
      </w:tr>
      <w:tr>
        <w:trPr>
          <w:trHeight w:val="557" w:hRule="exact"/>
        </w:trPr>
        <w:tc>
          <w:tcPr>
            <w:tcW w:w="296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left="24" w:right="0"/>
              <w:jc w:val="left"/>
              <w:rPr>
                <w:rFonts w:ascii="宋体" w:hAnsi="宋体" w:cs="宋体" w:eastAsia="宋体" w:hint="default"/>
                <w:sz w:val="21"/>
                <w:szCs w:val="21"/>
              </w:rPr>
            </w:pPr>
            <w:r>
              <w:rPr>
                <w:rFonts w:ascii="宋体" w:hAnsi="宋体" w:cs="宋体" w:eastAsia="宋体" w:hint="default"/>
                <w:sz w:val="21"/>
                <w:szCs w:val="21"/>
              </w:rPr>
              <w:t>转让价格与账面价值或评估价</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值差异较大的原因</w:t>
            </w:r>
          </w:p>
        </w:tc>
        <w:tc>
          <w:tcPr>
            <w:tcW w:w="6778" w:type="dxa"/>
            <w:gridSpan w:val="9"/>
            <w:tcBorders>
              <w:top w:val="single" w:sz="4" w:space="0" w:color="000000"/>
              <w:left w:val="single" w:sz="10" w:space="0" w:color="D2D2D2"/>
              <w:bottom w:val="single" w:sz="4" w:space="0" w:color="000000"/>
              <w:right w:val="single" w:sz="4" w:space="0" w:color="000000"/>
            </w:tcBorders>
          </w:tcPr>
          <w:p>
            <w:pPr>
              <w:pStyle w:val="TableParagraph"/>
              <w:spacing w:line="240" w:lineRule="auto" w:before="95"/>
              <w:ind w:left="12" w:right="0"/>
              <w:jc w:val="left"/>
              <w:rPr>
                <w:rFonts w:ascii="宋体" w:hAnsi="宋体" w:cs="宋体" w:eastAsia="宋体" w:hint="default"/>
                <w:sz w:val="21"/>
                <w:szCs w:val="21"/>
              </w:rPr>
            </w:pPr>
            <w:r>
              <w:rPr>
                <w:rFonts w:ascii="宋体" w:hAnsi="宋体" w:cs="宋体" w:eastAsia="宋体" w:hint="default"/>
                <w:sz w:val="21"/>
                <w:szCs w:val="21"/>
              </w:rPr>
              <w:t>存货及固定资产评估值增值所致</w:t>
            </w:r>
          </w:p>
        </w:tc>
      </w:tr>
    </w:tbl>
    <w:p>
      <w:pPr>
        <w:spacing w:after="0" w:line="240" w:lineRule="auto"/>
        <w:jc w:val="left"/>
        <w:rPr>
          <w:rFonts w:ascii="宋体" w:hAnsi="宋体" w:cs="宋体" w:eastAsia="宋体" w:hint="default"/>
          <w:sz w:val="21"/>
          <w:szCs w:val="21"/>
        </w:rPr>
        <w:sectPr>
          <w:pgSz w:w="11900" w:h="16840"/>
          <w:pgMar w:header="872" w:footer="957" w:top="1120" w:bottom="1180" w:left="980" w:right="900"/>
        </w:sectPr>
      </w:pPr>
    </w:p>
    <w:p>
      <w:pPr>
        <w:spacing w:line="240" w:lineRule="auto" w:before="3"/>
        <w:rPr>
          <w:rFonts w:ascii="Microsoft JhengHei" w:hAnsi="Microsoft JhengHei" w:cs="Microsoft JhengHei" w:eastAsia="Microsoft JhengHei" w:hint="default"/>
          <w:b/>
          <w:bCs/>
          <w:sz w:val="14"/>
          <w:szCs w:val="14"/>
        </w:rPr>
      </w:pPr>
    </w:p>
    <w:p>
      <w:pPr>
        <w:pStyle w:val="Heading6"/>
        <w:spacing w:line="335" w:lineRule="exact"/>
        <w:ind w:left="152" w:right="0"/>
        <w:jc w:val="left"/>
        <w:rPr>
          <w:b w:val="0"/>
          <w:bCs w:val="0"/>
        </w:rPr>
      </w:pPr>
      <w:r>
        <w:rPr>
          <w:rFonts w:ascii="Times New Roman" w:hAnsi="Times New Roman" w:cs="Times New Roman" w:eastAsia="Times New Roman" w:hint="default"/>
        </w:rPr>
        <w:t>2</w:t>
      </w:r>
      <w:r>
        <w:rPr/>
        <w:t>、 </w:t>
      </w:r>
      <w:r>
        <w:rPr>
          <w:spacing w:val="11"/>
        </w:rPr>
        <w:t> </w:t>
      </w:r>
      <w:r>
        <w:rPr/>
        <w:t>重大关联交易概述</w:t>
      </w:r>
      <w:r>
        <w:rPr>
          <w:b w:val="0"/>
          <w:bCs w:val="0"/>
        </w:rPr>
      </w:r>
    </w:p>
    <w:p>
      <w:pPr>
        <w:spacing w:line="240" w:lineRule="auto" w:before="16"/>
        <w:rPr>
          <w:rFonts w:ascii="Microsoft JhengHei" w:hAnsi="Microsoft JhengHei" w:cs="Microsoft JhengHei" w:eastAsia="Microsoft JhengHei" w:hint="default"/>
          <w:b/>
          <w:bCs/>
          <w:sz w:val="15"/>
          <w:szCs w:val="15"/>
        </w:rPr>
      </w:pPr>
    </w:p>
    <w:p>
      <w:pPr>
        <w:pStyle w:val="BodyText"/>
        <w:spacing w:line="357" w:lineRule="auto"/>
        <w:ind w:right="0" w:firstLine="340"/>
        <w:jc w:val="left"/>
      </w:pPr>
      <w:r>
        <w:rPr>
          <w:spacing w:val="-2"/>
        </w:rPr>
        <w:t>为推进公司在深莞惠区域内的房地产项目战略布局，同时为解决公司与第一大股东中国宝安集团控股</w:t>
      </w:r>
      <w:r>
        <w:rPr>
          <w:w w:val="100"/>
        </w:rPr>
        <w:t> </w:t>
      </w:r>
      <w:r>
        <w:rPr>
          <w:spacing w:val="-2"/>
        </w:rPr>
        <w:t>有限公司之控股股东——中国宝安集团股份有限公司在惠州地区存在的同城同业竞争，宝安鸿基地产集团</w:t>
      </w:r>
      <w:r>
        <w:rPr>
          <w:spacing w:val="-34"/>
        </w:rPr>
        <w:t> </w:t>
      </w:r>
      <w:r>
        <w:rPr>
          <w:spacing w:val="-34"/>
        </w:rPr>
      </w:r>
      <w:r>
        <w:rPr>
          <w:spacing w:val="-2"/>
        </w:rPr>
        <w:t>股份有限公司（以下简称“本公司”、“公司”）与第一大股东之控股股东——中国宝安集团股份有限公</w:t>
      </w:r>
      <w:r>
        <w:rPr>
          <w:spacing w:val="-35"/>
        </w:rPr>
        <w:t> </w:t>
      </w:r>
      <w:r>
        <w:rPr>
          <w:spacing w:val="-35"/>
        </w:rPr>
      </w:r>
      <w:r>
        <w:rPr>
          <w:spacing w:val="-2"/>
        </w:rPr>
        <w:t>司（以下简称“中国宝安集团”）及中国宝安集团投资有限公司签署《惠州市宝安房地产开发有限公司股</w:t>
      </w:r>
      <w:r>
        <w:rPr>
          <w:spacing w:val="-40"/>
        </w:rPr>
        <w:t> </w:t>
      </w:r>
      <w:r>
        <w:rPr>
          <w:spacing w:val="-40"/>
        </w:rPr>
      </w:r>
      <w:r>
        <w:rPr/>
        <w:t>权转让协议》，公司以17000万元受让惠州宝安房地产开发有限公司（以下简称“惠州宝安地产”）100%</w:t>
      </w:r>
      <w:r>
        <w:rPr>
          <w:w w:val="100"/>
        </w:rPr>
        <w:t> </w:t>
      </w:r>
      <w:r>
        <w:rPr>
          <w:spacing w:val="-2"/>
        </w:rPr>
        <w:t>股权，其中以16966万元受让中国宝安集团所持99.8%的惠州宝安地产股权，以34万元受让中国宝安集团投</w:t>
      </w:r>
      <w:r>
        <w:rPr>
          <w:spacing w:val="-24"/>
        </w:rPr>
        <w:t> </w:t>
      </w:r>
      <w:r>
        <w:rPr>
          <w:spacing w:val="-24"/>
        </w:rPr>
      </w:r>
      <w:r>
        <w:rPr/>
        <w:t>资有限公司所持0.2%的惠州宝安地产股权。</w:t>
      </w:r>
    </w:p>
    <w:p>
      <w:pPr>
        <w:pStyle w:val="BodyText"/>
        <w:spacing w:line="357" w:lineRule="auto" w:before="30"/>
        <w:ind w:right="142" w:firstLine="436"/>
        <w:jc w:val="both"/>
      </w:pPr>
      <w:r>
        <w:rPr>
          <w:spacing w:val="-2"/>
        </w:rPr>
        <w:t>中国宝安集团作为公司第一大股东之控股股东，公司董事陈泰泉、钟征宇先生在中国宝安集团担任董</w:t>
      </w:r>
      <w:r>
        <w:rPr>
          <w:w w:val="100"/>
        </w:rPr>
        <w:t> </w:t>
      </w:r>
      <w:r>
        <w:rPr>
          <w:spacing w:val="-2"/>
        </w:rPr>
        <w:t>事、高管；公司董事郭山清先生在中国宝安投资担任董事，故中国宝安集团、中国宝安投资均与公司存在</w:t>
      </w:r>
      <w:r>
        <w:rPr>
          <w:spacing w:val="-35"/>
        </w:rPr>
        <w:t> </w:t>
      </w:r>
      <w:r>
        <w:rPr>
          <w:spacing w:val="-35"/>
        </w:rPr>
      </w:r>
      <w:r>
        <w:rPr>
          <w:spacing w:val="-2"/>
        </w:rPr>
        <w:t>关联关系。本次股权受让事项构成了关联交易。本次关联交易事项经公司2012年度第一次临时股东大会审</w:t>
      </w:r>
      <w:r>
        <w:rPr>
          <w:spacing w:val="-32"/>
        </w:rPr>
        <w:t> </w:t>
      </w:r>
      <w:r>
        <w:rPr>
          <w:spacing w:val="-32"/>
        </w:rPr>
      </w:r>
      <w:r>
        <w:rPr/>
        <w:t>议通过。</w:t>
      </w:r>
    </w:p>
    <w:p>
      <w:pPr>
        <w:pStyle w:val="BodyText"/>
        <w:spacing w:line="355" w:lineRule="auto" w:before="30"/>
        <w:ind w:right="0" w:firstLine="436"/>
        <w:jc w:val="left"/>
      </w:pPr>
      <w:r>
        <w:rPr/>
        <w:t>本次股权受让事项于2012年6月21日办理了工商变更登记过户手续。截止本期末，该股权受让款项已</w:t>
      </w:r>
      <w:r>
        <w:rPr>
          <w:w w:val="100"/>
        </w:rPr>
        <w:t> </w:t>
      </w:r>
      <w:r>
        <w:rPr/>
        <w:t>支付完毕。</w:t>
      </w:r>
    </w:p>
    <w:p>
      <w:pPr>
        <w:spacing w:line="240" w:lineRule="auto" w:before="10"/>
        <w:rPr>
          <w:rFonts w:ascii="宋体" w:hAnsi="宋体" w:cs="宋体" w:eastAsia="宋体" w:hint="default"/>
          <w:sz w:val="19"/>
          <w:szCs w:val="19"/>
        </w:rPr>
      </w:pPr>
    </w:p>
    <w:p>
      <w:pPr>
        <w:pStyle w:val="Heading6"/>
        <w:spacing w:line="240" w:lineRule="auto"/>
        <w:ind w:left="152" w:right="0"/>
        <w:jc w:val="left"/>
        <w:rPr>
          <w:b w:val="0"/>
          <w:bCs w:val="0"/>
        </w:rPr>
      </w:pPr>
      <w:r>
        <w:rPr>
          <w:rFonts w:ascii="Times New Roman" w:hAnsi="Times New Roman" w:cs="Times New Roman" w:eastAsia="Times New Roman" w:hint="default"/>
        </w:rPr>
        <w:t>3</w:t>
      </w:r>
      <w:r>
        <w:rPr/>
        <w:t>、关联债权债务往来</w:t>
      </w:r>
      <w:r>
        <w:rPr>
          <w:b w:val="0"/>
          <w:bCs w:val="0"/>
        </w:rPr>
      </w:r>
    </w:p>
    <w:p>
      <w:pPr>
        <w:spacing w:line="240" w:lineRule="auto" w:before="4"/>
        <w:rPr>
          <w:rFonts w:ascii="Microsoft JhengHei" w:hAnsi="Microsoft JhengHei" w:cs="Microsoft JhengHei" w:eastAsia="Microsoft JhengHei" w:hint="default"/>
          <w:b/>
          <w:bCs/>
          <w:sz w:val="16"/>
          <w:szCs w:val="16"/>
        </w:rPr>
      </w:pPr>
    </w:p>
    <w:p>
      <w:pPr>
        <w:pStyle w:val="BodyText"/>
        <w:spacing w:line="240" w:lineRule="auto"/>
        <w:ind w:right="0"/>
        <w:jc w:val="left"/>
      </w:pPr>
      <w:r>
        <w:rPr/>
        <w:t>是否存在非经营性关联债权债务往来</w:t>
      </w:r>
    </w:p>
    <w:p>
      <w:pPr>
        <w:pStyle w:val="BodyText"/>
        <w:spacing w:line="240" w:lineRule="auto" w:before="133"/>
        <w:ind w:right="0"/>
        <w:jc w:val="left"/>
      </w:pPr>
      <w:r>
        <w:rPr/>
        <w:t>√ 是 □</w:t>
      </w:r>
      <w:r>
        <w:rPr>
          <w:spacing w:val="4"/>
        </w:rPr>
        <w:t> </w:t>
      </w:r>
      <w:r>
        <w:rPr/>
        <w:t>否</w:t>
      </w:r>
    </w:p>
    <w:p>
      <w:pPr>
        <w:spacing w:line="240" w:lineRule="auto" w:before="10"/>
        <w:rPr>
          <w:rFonts w:ascii="宋体" w:hAnsi="宋体" w:cs="宋体" w:eastAsia="宋体"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33"/>
        <w:gridCol w:w="1123"/>
        <w:gridCol w:w="1118"/>
        <w:gridCol w:w="1118"/>
        <w:gridCol w:w="1118"/>
        <w:gridCol w:w="1118"/>
        <w:gridCol w:w="1118"/>
        <w:gridCol w:w="1118"/>
      </w:tblGrid>
      <w:tr>
        <w:trPr>
          <w:trHeight w:val="1234"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547"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1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1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167"/>
              <w:ind w:left="441" w:right="27" w:hanging="418"/>
              <w:jc w:val="left"/>
              <w:rPr>
                <w:rFonts w:ascii="宋体" w:hAnsi="宋体" w:cs="宋体" w:eastAsia="宋体" w:hint="default"/>
                <w:sz w:val="21"/>
                <w:szCs w:val="21"/>
              </w:rPr>
            </w:pPr>
            <w:r>
              <w:rPr>
                <w:rFonts w:ascii="宋体" w:hAnsi="宋体" w:cs="宋体" w:eastAsia="宋体" w:hint="default"/>
                <w:sz w:val="21"/>
                <w:szCs w:val="21"/>
              </w:rPr>
              <w:t>债权债务类</w:t>
            </w:r>
            <w:r>
              <w:rPr>
                <w:rFonts w:ascii="宋体" w:hAnsi="宋体" w:cs="宋体" w:eastAsia="宋体" w:hint="default"/>
                <w:spacing w:val="-100"/>
                <w:sz w:val="21"/>
                <w:szCs w:val="21"/>
              </w:rPr>
              <w:t> </w:t>
            </w:r>
            <w:r>
              <w:rPr>
                <w:rFonts w:ascii="宋体" w:hAnsi="宋体" w:cs="宋体" w:eastAsia="宋体" w:hint="default"/>
                <w:sz w:val="21"/>
                <w:szCs w:val="21"/>
              </w:rPr>
              <w:t>型</w:t>
            </w:r>
          </w:p>
        </w:tc>
        <w:tc>
          <w:tcPr>
            <w:tcW w:w="1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29" w:right="0"/>
              <w:jc w:val="left"/>
              <w:rPr>
                <w:rFonts w:ascii="宋体" w:hAnsi="宋体" w:cs="宋体" w:eastAsia="宋体" w:hint="default"/>
                <w:sz w:val="21"/>
                <w:szCs w:val="21"/>
              </w:rPr>
            </w:pPr>
            <w:r>
              <w:rPr>
                <w:rFonts w:ascii="宋体" w:hAnsi="宋体" w:cs="宋体" w:eastAsia="宋体" w:hint="default"/>
                <w:sz w:val="21"/>
                <w:szCs w:val="21"/>
              </w:rPr>
              <w:t>形成原因</w:t>
            </w:r>
          </w:p>
        </w:tc>
        <w:tc>
          <w:tcPr>
            <w:tcW w:w="1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8" w:right="0"/>
              <w:jc w:val="left"/>
              <w:rPr>
                <w:rFonts w:ascii="宋体" w:hAnsi="宋体" w:cs="宋体" w:eastAsia="宋体" w:hint="default"/>
                <w:sz w:val="21"/>
                <w:szCs w:val="21"/>
              </w:rPr>
            </w:pPr>
            <w:r>
              <w:rPr>
                <w:rFonts w:ascii="宋体" w:hAnsi="宋体" w:cs="宋体" w:eastAsia="宋体" w:hint="default"/>
                <w:sz w:val="21"/>
                <w:szCs w:val="21"/>
              </w:rPr>
              <w:t>是否存在非</w:t>
            </w:r>
          </w:p>
          <w:p>
            <w:pPr>
              <w:pStyle w:val="TableParagraph"/>
              <w:spacing w:line="355" w:lineRule="auto" w:before="133"/>
              <w:ind w:left="340" w:right="22" w:hanging="312"/>
              <w:jc w:val="left"/>
              <w:rPr>
                <w:rFonts w:ascii="宋体" w:hAnsi="宋体" w:cs="宋体" w:eastAsia="宋体" w:hint="default"/>
                <w:sz w:val="21"/>
                <w:szCs w:val="21"/>
              </w:rPr>
            </w:pPr>
            <w:r>
              <w:rPr>
                <w:rFonts w:ascii="宋体" w:hAnsi="宋体" w:cs="宋体" w:eastAsia="宋体" w:hint="default"/>
                <w:sz w:val="21"/>
                <w:szCs w:val="21"/>
              </w:rPr>
              <w:t>经营性资金</w:t>
            </w:r>
            <w:r>
              <w:rPr>
                <w:rFonts w:ascii="宋体" w:hAnsi="宋体" w:cs="宋体" w:eastAsia="宋体" w:hint="default"/>
                <w:spacing w:val="-100"/>
                <w:sz w:val="21"/>
                <w:szCs w:val="21"/>
              </w:rPr>
              <w:t> </w:t>
            </w:r>
            <w:r>
              <w:rPr>
                <w:rFonts w:ascii="宋体" w:hAnsi="宋体" w:cs="宋体" w:eastAsia="宋体" w:hint="default"/>
                <w:sz w:val="21"/>
                <w:szCs w:val="21"/>
              </w:rPr>
              <w:t>占用</w:t>
            </w:r>
          </w:p>
        </w:tc>
        <w:tc>
          <w:tcPr>
            <w:tcW w:w="1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7"/>
              <w:ind w:left="134" w:right="0"/>
              <w:jc w:val="left"/>
              <w:rPr>
                <w:rFonts w:ascii="宋体" w:hAnsi="宋体" w:cs="宋体" w:eastAsia="宋体" w:hint="default"/>
                <w:sz w:val="21"/>
                <w:szCs w:val="21"/>
              </w:rPr>
            </w:pPr>
            <w:r>
              <w:rPr>
                <w:rFonts w:ascii="宋体" w:hAnsi="宋体" w:cs="宋体" w:eastAsia="宋体" w:hint="default"/>
                <w:sz w:val="21"/>
                <w:szCs w:val="21"/>
              </w:rPr>
              <w:t>期初余额</w:t>
            </w:r>
          </w:p>
          <w:p>
            <w:pPr>
              <w:pStyle w:val="TableParagraph"/>
              <w:spacing w:line="240" w:lineRule="auto" w:before="133"/>
              <w:ind w:left="129"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1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7"/>
              <w:ind w:left="4" w:right="0"/>
              <w:jc w:val="center"/>
              <w:rPr>
                <w:rFonts w:ascii="宋体" w:hAnsi="宋体" w:cs="宋体" w:eastAsia="宋体" w:hint="default"/>
                <w:sz w:val="21"/>
                <w:szCs w:val="21"/>
              </w:rPr>
            </w:pPr>
            <w:r>
              <w:rPr>
                <w:rFonts w:ascii="宋体" w:hAnsi="宋体" w:cs="宋体" w:eastAsia="宋体" w:hint="default"/>
                <w:sz w:val="21"/>
                <w:szCs w:val="21"/>
              </w:rPr>
              <w:t>本期发生额</w:t>
            </w:r>
          </w:p>
          <w:p>
            <w:pPr>
              <w:pStyle w:val="TableParagraph"/>
              <w:spacing w:line="240" w:lineRule="auto" w:before="133"/>
              <w:ind w:right="2"/>
              <w:jc w:val="center"/>
              <w:rPr>
                <w:rFonts w:ascii="宋体" w:hAnsi="宋体" w:cs="宋体" w:eastAsia="宋体" w:hint="default"/>
                <w:sz w:val="21"/>
                <w:szCs w:val="21"/>
              </w:rPr>
            </w:pPr>
            <w:r>
              <w:rPr>
                <w:rFonts w:ascii="宋体" w:hAnsi="宋体" w:cs="宋体" w:eastAsia="宋体" w:hint="default"/>
                <w:sz w:val="21"/>
                <w:szCs w:val="21"/>
              </w:rPr>
              <w:t>（万元）</w:t>
            </w:r>
          </w:p>
        </w:tc>
        <w:tc>
          <w:tcPr>
            <w:tcW w:w="1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67"/>
              <w:ind w:left="134" w:right="0"/>
              <w:jc w:val="left"/>
              <w:rPr>
                <w:rFonts w:ascii="宋体" w:hAnsi="宋体" w:cs="宋体" w:eastAsia="宋体" w:hint="default"/>
                <w:sz w:val="21"/>
                <w:szCs w:val="21"/>
              </w:rPr>
            </w:pPr>
            <w:r>
              <w:rPr>
                <w:rFonts w:ascii="宋体" w:hAnsi="宋体" w:cs="宋体" w:eastAsia="宋体" w:hint="default"/>
                <w:sz w:val="21"/>
                <w:szCs w:val="21"/>
              </w:rPr>
              <w:t>期末余额</w:t>
            </w:r>
          </w:p>
          <w:p>
            <w:pPr>
              <w:pStyle w:val="TableParagraph"/>
              <w:spacing w:line="240" w:lineRule="auto" w:before="133"/>
              <w:ind w:left="129" w:right="0"/>
              <w:jc w:val="left"/>
              <w:rPr>
                <w:rFonts w:ascii="宋体" w:hAnsi="宋体" w:cs="宋体" w:eastAsia="宋体" w:hint="default"/>
                <w:sz w:val="21"/>
                <w:szCs w:val="21"/>
              </w:rPr>
            </w:pPr>
            <w:r>
              <w:rPr>
                <w:rFonts w:ascii="宋体" w:hAnsi="宋体" w:cs="宋体" w:eastAsia="宋体" w:hint="default"/>
                <w:sz w:val="21"/>
                <w:szCs w:val="21"/>
              </w:rPr>
              <w:t>（万元）</w:t>
            </w:r>
          </w:p>
        </w:tc>
      </w:tr>
      <w:tr>
        <w:trPr>
          <w:trHeight w:val="347" w:hRule="exact"/>
        </w:trPr>
        <w:tc>
          <w:tcPr>
            <w:tcW w:w="1733" w:type="dxa"/>
            <w:tcBorders>
              <w:top w:val="single" w:sz="4" w:space="0" w:color="000000"/>
              <w:left w:val="single" w:sz="4" w:space="0" w:color="000000"/>
              <w:bottom w:val="nil" w:sz="6" w:space="0" w:color="auto"/>
              <w:right w:val="single" w:sz="4" w:space="0" w:color="000000"/>
            </w:tcBorders>
          </w:tcPr>
          <w:p>
            <w:pPr/>
          </w:p>
        </w:tc>
        <w:tc>
          <w:tcPr>
            <w:tcW w:w="1123" w:type="dxa"/>
            <w:tcBorders>
              <w:top w:val="single" w:sz="4" w:space="0" w:color="000000"/>
              <w:left w:val="single" w:sz="4" w:space="0" w:color="000000"/>
              <w:bottom w:val="nil" w:sz="6" w:space="0" w:color="auto"/>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持有本公司</w:t>
            </w:r>
          </w:p>
        </w:tc>
        <w:tc>
          <w:tcPr>
            <w:tcW w:w="1118"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
        </w:tc>
      </w:tr>
      <w:tr>
        <w:trPr>
          <w:trHeight w:val="416" w:hRule="exact"/>
        </w:trPr>
        <w:tc>
          <w:tcPr>
            <w:tcW w:w="1733"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19.80</w:t>
            </w:r>
            <w:r>
              <w:rPr>
                <w:rFonts w:ascii="宋体" w:hAnsi="宋体" w:cs="宋体" w:eastAsia="宋体" w:hint="default"/>
                <w:sz w:val="21"/>
                <w:szCs w:val="21"/>
              </w:rPr>
              <w:t>％股</w:t>
            </w: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r>
      <w:tr>
        <w:trPr>
          <w:trHeight w:val="400" w:hRule="exact"/>
        </w:trPr>
        <w:tc>
          <w:tcPr>
            <w:tcW w:w="1733"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份的第一大</w:t>
            </w: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r>
      <w:tr>
        <w:trPr>
          <w:trHeight w:val="818" w:hRule="exact"/>
        </w:trPr>
        <w:tc>
          <w:tcPr>
            <w:tcW w:w="1733" w:type="dxa"/>
            <w:tcBorders>
              <w:top w:val="nil" w:sz="6" w:space="0" w:color="auto"/>
              <w:left w:val="single" w:sz="4" w:space="0" w:color="000000"/>
              <w:bottom w:val="nil" w:sz="6" w:space="0" w:color="auto"/>
              <w:right w:val="single" w:sz="4" w:space="0" w:color="000000"/>
            </w:tcBorders>
          </w:tcPr>
          <w:p>
            <w:pPr>
              <w:pStyle w:val="TableParagraph"/>
              <w:spacing w:line="360" w:lineRule="auto" w:before="32"/>
              <w:ind w:left="24" w:right="223"/>
              <w:jc w:val="left"/>
              <w:rPr>
                <w:rFonts w:ascii="宋体" w:hAnsi="宋体" w:cs="宋体" w:eastAsia="宋体" w:hint="default"/>
                <w:sz w:val="21"/>
                <w:szCs w:val="21"/>
              </w:rPr>
            </w:pPr>
            <w:r>
              <w:rPr>
                <w:rFonts w:ascii="宋体" w:hAnsi="宋体" w:cs="宋体" w:eastAsia="宋体" w:hint="default"/>
                <w:sz w:val="21"/>
                <w:szCs w:val="21"/>
              </w:rPr>
              <w:t>中国宝安集团股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份有限公司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336" w:lineRule="auto" w:before="37"/>
              <w:ind w:left="24" w:right="31"/>
              <w:jc w:val="left"/>
              <w:rPr>
                <w:rFonts w:ascii="宋体" w:hAnsi="宋体" w:cs="宋体" w:eastAsia="宋体" w:hint="default"/>
                <w:sz w:val="21"/>
                <w:szCs w:val="21"/>
              </w:rPr>
            </w:pPr>
            <w:r>
              <w:rPr>
                <w:rFonts w:ascii="宋体" w:hAnsi="宋体" w:cs="宋体" w:eastAsia="宋体" w:hint="default"/>
                <w:sz w:val="21"/>
                <w:szCs w:val="21"/>
              </w:rPr>
              <w:t>股东</w:t>
            </w:r>
            <w:r>
              <w:rPr>
                <w:rFonts w:ascii="Times New Roman" w:hAnsi="Times New Roman" w:cs="Times New Roman" w:eastAsia="Times New Roman" w:hint="default"/>
                <w:sz w:val="21"/>
                <w:szCs w:val="21"/>
              </w:rPr>
              <w:t>——</w:t>
            </w:r>
            <w:r>
              <w:rPr>
                <w:rFonts w:ascii="宋体" w:hAnsi="宋体" w:cs="宋体" w:eastAsia="宋体" w:hint="default"/>
                <w:sz w:val="21"/>
                <w:szCs w:val="21"/>
              </w:rPr>
              <w:t>中</w:t>
            </w:r>
            <w:r>
              <w:rPr>
                <w:rFonts w:ascii="宋体" w:hAnsi="宋体" w:cs="宋体" w:eastAsia="宋体" w:hint="default"/>
                <w:spacing w:val="-100"/>
                <w:sz w:val="21"/>
                <w:szCs w:val="21"/>
              </w:rPr>
              <w:t> </w:t>
            </w:r>
            <w:r>
              <w:rPr>
                <w:rFonts w:ascii="宋体" w:hAnsi="宋体" w:cs="宋体" w:eastAsia="宋体" w:hint="default"/>
                <w:sz w:val="21"/>
                <w:szCs w:val="21"/>
              </w:rPr>
              <w:t>国宝安集团</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360" w:lineRule="auto" w:before="32"/>
              <w:ind w:left="19" w:right="31"/>
              <w:jc w:val="left"/>
              <w:rPr>
                <w:rFonts w:ascii="宋体" w:hAnsi="宋体" w:cs="宋体" w:eastAsia="宋体" w:hint="default"/>
                <w:sz w:val="21"/>
                <w:szCs w:val="21"/>
              </w:rPr>
            </w:pPr>
            <w:r>
              <w:rPr>
                <w:rFonts w:ascii="宋体" w:hAnsi="宋体" w:cs="宋体" w:eastAsia="宋体" w:hint="default"/>
                <w:sz w:val="21"/>
                <w:szCs w:val="21"/>
              </w:rPr>
              <w:t>应付关联方</w:t>
            </w:r>
            <w:r>
              <w:rPr>
                <w:rFonts w:ascii="宋体" w:hAnsi="宋体" w:cs="宋体" w:eastAsia="宋体" w:hint="default"/>
                <w:spacing w:val="-100"/>
                <w:sz w:val="21"/>
                <w:szCs w:val="21"/>
              </w:rPr>
              <w:t> </w:t>
            </w:r>
            <w:r>
              <w:rPr>
                <w:rFonts w:ascii="宋体" w:hAnsi="宋体" w:cs="宋体" w:eastAsia="宋体" w:hint="default"/>
                <w:sz w:val="21"/>
                <w:szCs w:val="21"/>
              </w:rPr>
              <w:t>债务</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40" w:right="0"/>
              <w:jc w:val="left"/>
              <w:rPr>
                <w:rFonts w:ascii="Times New Roman" w:hAnsi="Times New Roman" w:cs="Times New Roman" w:eastAsia="Times New Roman" w:hint="default"/>
                <w:sz w:val="21"/>
                <w:szCs w:val="21"/>
              </w:rPr>
            </w:pPr>
            <w:r>
              <w:rPr>
                <w:rFonts w:ascii="Times New Roman"/>
                <w:sz w:val="21"/>
              </w:rPr>
              <w:t>33,342.54</w:t>
            </w:r>
          </w:p>
        </w:tc>
        <w:tc>
          <w:tcPr>
            <w:tcW w:w="1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239" w:right="0"/>
              <w:jc w:val="left"/>
              <w:rPr>
                <w:rFonts w:ascii="Times New Roman" w:hAnsi="Times New Roman" w:cs="Times New Roman" w:eastAsia="Times New Roman" w:hint="default"/>
                <w:sz w:val="21"/>
                <w:szCs w:val="21"/>
              </w:rPr>
            </w:pPr>
            <w:r>
              <w:rPr>
                <w:rFonts w:ascii="Times New Roman"/>
                <w:sz w:val="21"/>
              </w:rPr>
              <w:t>33,342.54</w:t>
            </w:r>
          </w:p>
        </w:tc>
      </w:tr>
      <w:tr>
        <w:trPr>
          <w:trHeight w:val="408" w:hRule="exact"/>
        </w:trPr>
        <w:tc>
          <w:tcPr>
            <w:tcW w:w="1733"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宋体" w:hAnsi="宋体" w:cs="宋体" w:eastAsia="宋体" w:hint="default"/>
                <w:sz w:val="21"/>
                <w:szCs w:val="21"/>
              </w:rPr>
              <w:t>控股有限公</w:t>
            </w: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r>
      <w:tr>
        <w:trPr>
          <w:trHeight w:val="408" w:hRule="exact"/>
        </w:trPr>
        <w:tc>
          <w:tcPr>
            <w:tcW w:w="1733" w:type="dxa"/>
            <w:tcBorders>
              <w:top w:val="nil" w:sz="6" w:space="0" w:color="auto"/>
              <w:left w:val="single" w:sz="4" w:space="0" w:color="000000"/>
              <w:bottom w:val="nil" w:sz="6" w:space="0" w:color="auto"/>
              <w:right w:val="single" w:sz="4" w:space="0" w:color="000000"/>
            </w:tcBorders>
          </w:tcPr>
          <w:p>
            <w:pP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宋体" w:hAnsi="宋体" w:cs="宋体" w:eastAsia="宋体" w:hint="default"/>
                <w:sz w:val="21"/>
                <w:szCs w:val="21"/>
              </w:rPr>
              <w:t>司之控股股</w:t>
            </w: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r>
      <w:tr>
        <w:trPr>
          <w:trHeight w:val="481" w:hRule="exact"/>
        </w:trPr>
        <w:tc>
          <w:tcPr>
            <w:tcW w:w="1733" w:type="dxa"/>
            <w:tcBorders>
              <w:top w:val="nil" w:sz="6" w:space="0" w:color="auto"/>
              <w:left w:val="single" w:sz="4" w:space="0" w:color="000000"/>
              <w:bottom w:val="single" w:sz="4" w:space="0" w:color="000000"/>
              <w:right w:val="single" w:sz="4" w:space="0" w:color="000000"/>
            </w:tcBorders>
          </w:tcPr>
          <w:p>
            <w:pPr/>
          </w:p>
        </w:tc>
        <w:tc>
          <w:tcPr>
            <w:tcW w:w="112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4"/>
              <w:ind w:left="24" w:right="0"/>
              <w:jc w:val="left"/>
              <w:rPr>
                <w:rFonts w:ascii="宋体" w:hAnsi="宋体" w:cs="宋体" w:eastAsia="宋体" w:hint="default"/>
                <w:sz w:val="21"/>
                <w:szCs w:val="21"/>
              </w:rPr>
            </w:pPr>
            <w:r>
              <w:rPr>
                <w:rFonts w:ascii="宋体" w:hAnsi="宋体" w:cs="宋体" w:eastAsia="宋体" w:hint="default"/>
                <w:w w:val="100"/>
                <w:sz w:val="21"/>
                <w:szCs w:val="21"/>
              </w:rPr>
              <w:t>东</w:t>
            </w:r>
          </w:p>
        </w:tc>
        <w:tc>
          <w:tcPr>
            <w:tcW w:w="1118" w:type="dxa"/>
            <w:tcBorders>
              <w:top w:val="nil" w:sz="6" w:space="0" w:color="auto"/>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
        </w:tc>
        <w:tc>
          <w:tcPr>
            <w:tcW w:w="1118"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57" w:top="112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4"/>
        <w:spacing w:line="367" w:lineRule="exact"/>
        <w:ind w:right="0"/>
        <w:jc w:val="left"/>
        <w:rPr>
          <w:b w:val="0"/>
          <w:bCs w:val="0"/>
        </w:rPr>
      </w:pPr>
      <w:r>
        <w:rPr/>
        <w:t>四、重大合同及其履行情况</w:t>
      </w:r>
      <w:r>
        <w:rPr>
          <w:b w:val="0"/>
          <w:bCs w:val="0"/>
        </w:rPr>
      </w:r>
    </w:p>
    <w:p>
      <w:pPr>
        <w:pStyle w:val="Heading6"/>
        <w:spacing w:line="240" w:lineRule="auto" w:before="212"/>
        <w:ind w:left="152" w:right="0"/>
        <w:jc w:val="left"/>
        <w:rPr>
          <w:b w:val="0"/>
          <w:bCs w:val="0"/>
        </w:rPr>
      </w:pPr>
      <w:r>
        <w:rPr>
          <w:rFonts w:ascii="Times New Roman" w:hAnsi="Times New Roman" w:cs="Times New Roman" w:eastAsia="Times New Roman" w:hint="default"/>
        </w:rPr>
        <w:t>1</w:t>
      </w:r>
      <w:r>
        <w:rPr/>
        <w:t>、担保情况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BodyText"/>
        <w:spacing w:line="240" w:lineRule="auto" w:before="36"/>
        <w:ind w:left="0" w:right="146"/>
        <w:jc w:val="right"/>
      </w:pPr>
      <w:r>
        <w:rPr/>
        <w:t>单位：万元</w:t>
      </w:r>
    </w:p>
    <w:p>
      <w:pPr>
        <w:spacing w:line="240" w:lineRule="auto" w:before="1"/>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603"/>
        <w:gridCol w:w="934"/>
        <w:gridCol w:w="938"/>
        <w:gridCol w:w="1214"/>
        <w:gridCol w:w="1172"/>
        <w:gridCol w:w="1090"/>
        <w:gridCol w:w="1017"/>
        <w:gridCol w:w="802"/>
        <w:gridCol w:w="787"/>
      </w:tblGrid>
      <w:tr>
        <w:trPr>
          <w:trHeight w:val="288" w:hRule="exact"/>
        </w:trPr>
        <w:tc>
          <w:tcPr>
            <w:tcW w:w="9557"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8" w:lineRule="exact"/>
              <w:ind w:left="2668" w:right="0"/>
              <w:jc w:val="left"/>
              <w:rPr>
                <w:rFonts w:ascii="宋体" w:hAnsi="宋体" w:cs="宋体" w:eastAsia="宋体" w:hint="default"/>
                <w:sz w:val="21"/>
                <w:szCs w:val="21"/>
              </w:rPr>
            </w:pPr>
            <w:r>
              <w:rPr>
                <w:rFonts w:ascii="宋体" w:hAnsi="宋体" w:cs="宋体" w:eastAsia="宋体" w:hint="default"/>
                <w:sz w:val="21"/>
                <w:szCs w:val="21"/>
              </w:rPr>
              <w:t>公司对外担保情况（不包括对子公司的担保）</w:t>
            </w:r>
          </w:p>
        </w:tc>
      </w:tr>
      <w:tr>
        <w:trPr>
          <w:trHeight w:val="309" w:hRule="exact"/>
        </w:trPr>
        <w:tc>
          <w:tcPr>
            <w:tcW w:w="160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8"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90" w:type="dxa"/>
            <w:tcBorders>
              <w:top w:val="single" w:sz="4" w:space="0" w:color="000000"/>
              <w:left w:val="single" w:sz="4" w:space="0" w:color="000000"/>
              <w:bottom w:val="nil" w:sz="6" w:space="0" w:color="auto"/>
              <w:right w:val="single" w:sz="4" w:space="0" w:color="000000"/>
            </w:tcBorders>
            <w:shd w:val="clear" w:color="auto" w:fill="D2D2D2"/>
          </w:tcPr>
          <w:p>
            <w:pPr/>
          </w:p>
        </w:tc>
        <w:tc>
          <w:tcPr>
            <w:tcW w:w="101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72" w:lineRule="exact"/>
              <w:ind w:left="71" w:right="0"/>
              <w:jc w:val="left"/>
              <w:rPr>
                <w:rFonts w:ascii="宋体" w:hAnsi="宋体" w:cs="宋体" w:eastAsia="宋体" w:hint="default"/>
                <w:sz w:val="21"/>
                <w:szCs w:val="21"/>
              </w:rPr>
            </w:pPr>
            <w:r>
              <w:rPr>
                <w:rFonts w:ascii="宋体" w:hAnsi="宋体" w:cs="宋体" w:eastAsia="宋体" w:hint="default"/>
                <w:sz w:val="21"/>
                <w:szCs w:val="21"/>
              </w:rPr>
              <w:t>是否为</w:t>
            </w:r>
          </w:p>
        </w:tc>
      </w:tr>
      <w:tr>
        <w:trPr>
          <w:trHeight w:val="818" w:hRule="exact"/>
        </w:trPr>
        <w:tc>
          <w:tcPr>
            <w:tcW w:w="160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担保对象名称</w:t>
            </w:r>
          </w:p>
        </w:tc>
        <w:tc>
          <w:tcPr>
            <w:tcW w:w="9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47" w:right="0"/>
              <w:jc w:val="left"/>
              <w:rPr>
                <w:rFonts w:ascii="宋体" w:hAnsi="宋体" w:cs="宋体" w:eastAsia="宋体" w:hint="default"/>
                <w:sz w:val="21"/>
                <w:szCs w:val="21"/>
              </w:rPr>
            </w:pPr>
            <w:r>
              <w:rPr>
                <w:rFonts w:ascii="宋体" w:hAnsi="宋体" w:cs="宋体" w:eastAsia="宋体" w:hint="default"/>
                <w:sz w:val="21"/>
                <w:szCs w:val="21"/>
              </w:rPr>
              <w:t>担保额度</w:t>
            </w:r>
          </w:p>
          <w:p>
            <w:pPr>
              <w:pStyle w:val="TableParagraph"/>
              <w:spacing w:line="240" w:lineRule="auto"/>
              <w:ind w:left="43" w:right="29" w:firstLine="4"/>
              <w:jc w:val="left"/>
              <w:rPr>
                <w:rFonts w:ascii="宋体" w:hAnsi="宋体" w:cs="宋体" w:eastAsia="宋体" w:hint="default"/>
                <w:sz w:val="21"/>
                <w:szCs w:val="21"/>
              </w:rPr>
            </w:pPr>
            <w:r>
              <w:rPr>
                <w:rFonts w:ascii="宋体" w:hAnsi="宋体" w:cs="宋体" w:eastAsia="宋体" w:hint="default"/>
                <w:sz w:val="21"/>
                <w:szCs w:val="21"/>
              </w:rPr>
              <w:t>相关公告</w:t>
            </w:r>
            <w:r>
              <w:rPr>
                <w:rFonts w:ascii="宋体" w:hAnsi="宋体" w:cs="宋体" w:eastAsia="宋体" w:hint="default"/>
                <w:w w:val="100"/>
                <w:sz w:val="21"/>
                <w:szCs w:val="21"/>
              </w:rPr>
              <w:t> </w:t>
            </w:r>
            <w:r>
              <w:rPr>
                <w:rFonts w:ascii="宋体" w:hAnsi="宋体" w:cs="宋体" w:eastAsia="宋体" w:hint="default"/>
                <w:sz w:val="21"/>
                <w:szCs w:val="21"/>
              </w:rPr>
              <w:t>披露日期</w:t>
            </w:r>
          </w:p>
        </w:tc>
        <w:tc>
          <w:tcPr>
            <w:tcW w:w="9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6"/>
              <w:jc w:val="right"/>
              <w:rPr>
                <w:rFonts w:ascii="宋体" w:hAnsi="宋体" w:cs="宋体" w:eastAsia="宋体" w:hint="default"/>
                <w:sz w:val="21"/>
                <w:szCs w:val="21"/>
              </w:rPr>
            </w:pPr>
            <w:r>
              <w:rPr>
                <w:rFonts w:ascii="宋体" w:hAnsi="宋体" w:cs="宋体" w:eastAsia="宋体" w:hint="default"/>
                <w:sz w:val="21"/>
                <w:szCs w:val="21"/>
              </w:rPr>
              <w:t>担保额度</w:t>
            </w:r>
          </w:p>
        </w:tc>
        <w:tc>
          <w:tcPr>
            <w:tcW w:w="12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72" w:right="0"/>
              <w:jc w:val="left"/>
              <w:rPr>
                <w:rFonts w:ascii="宋体" w:hAnsi="宋体" w:cs="宋体" w:eastAsia="宋体" w:hint="default"/>
                <w:sz w:val="21"/>
                <w:szCs w:val="21"/>
              </w:rPr>
            </w:pPr>
            <w:r>
              <w:rPr>
                <w:rFonts w:ascii="宋体" w:hAnsi="宋体" w:cs="宋体" w:eastAsia="宋体" w:hint="default"/>
                <w:sz w:val="21"/>
                <w:szCs w:val="21"/>
              </w:rPr>
              <w:t>实际发生日</w:t>
            </w:r>
          </w:p>
          <w:p>
            <w:pPr>
              <w:pStyle w:val="TableParagraph"/>
              <w:spacing w:line="240" w:lineRule="auto"/>
              <w:ind w:left="283" w:right="74" w:hanging="212"/>
              <w:jc w:val="left"/>
              <w:rPr>
                <w:rFonts w:ascii="宋体" w:hAnsi="宋体" w:cs="宋体" w:eastAsia="宋体" w:hint="default"/>
                <w:sz w:val="21"/>
                <w:szCs w:val="21"/>
              </w:rPr>
            </w:pPr>
            <w:r>
              <w:rPr>
                <w:rFonts w:ascii="宋体" w:hAnsi="宋体" w:cs="宋体" w:eastAsia="宋体" w:hint="default"/>
                <w:sz w:val="21"/>
                <w:szCs w:val="21"/>
              </w:rPr>
              <w:t>期（协议签</w:t>
            </w:r>
            <w:r>
              <w:rPr>
                <w:rFonts w:ascii="宋体" w:hAnsi="宋体" w:cs="宋体" w:eastAsia="宋体" w:hint="default"/>
                <w:spacing w:val="-100"/>
                <w:sz w:val="21"/>
                <w:szCs w:val="21"/>
              </w:rPr>
              <w:t> </w:t>
            </w:r>
            <w:r>
              <w:rPr>
                <w:rFonts w:ascii="宋体" w:hAnsi="宋体" w:cs="宋体" w:eastAsia="宋体" w:hint="default"/>
                <w:sz w:val="21"/>
                <w:szCs w:val="21"/>
              </w:rPr>
              <w:t>署日）</w:t>
            </w:r>
          </w:p>
        </w:tc>
        <w:tc>
          <w:tcPr>
            <w:tcW w:w="11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2"/>
              <w:ind w:left="471" w:right="51" w:hanging="418"/>
              <w:jc w:val="left"/>
              <w:rPr>
                <w:rFonts w:ascii="宋体" w:hAnsi="宋体" w:cs="宋体" w:eastAsia="宋体" w:hint="default"/>
                <w:sz w:val="21"/>
                <w:szCs w:val="21"/>
              </w:rPr>
            </w:pPr>
            <w:r>
              <w:rPr>
                <w:rFonts w:ascii="宋体" w:hAnsi="宋体" w:cs="宋体" w:eastAsia="宋体" w:hint="default"/>
                <w:sz w:val="21"/>
                <w:szCs w:val="21"/>
              </w:rPr>
              <w:t>实际担保金</w:t>
            </w:r>
            <w:r>
              <w:rPr>
                <w:rFonts w:ascii="宋体" w:hAnsi="宋体" w:cs="宋体" w:eastAsia="宋体" w:hint="default"/>
                <w:spacing w:val="-100"/>
                <w:sz w:val="21"/>
                <w:szCs w:val="21"/>
              </w:rPr>
              <w:t> </w:t>
            </w:r>
            <w:r>
              <w:rPr>
                <w:rFonts w:ascii="宋体" w:hAnsi="宋体" w:cs="宋体" w:eastAsia="宋体" w:hint="default"/>
                <w:sz w:val="21"/>
                <w:szCs w:val="21"/>
              </w:rPr>
              <w:t>额</w:t>
            </w:r>
          </w:p>
        </w:tc>
        <w:tc>
          <w:tcPr>
            <w:tcW w:w="10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4"/>
              <w:jc w:val="right"/>
              <w:rPr>
                <w:rFonts w:ascii="宋体" w:hAnsi="宋体" w:cs="宋体" w:eastAsia="宋体" w:hint="default"/>
                <w:sz w:val="21"/>
                <w:szCs w:val="21"/>
              </w:rPr>
            </w:pPr>
            <w:r>
              <w:rPr>
                <w:rFonts w:ascii="宋体" w:hAnsi="宋体" w:cs="宋体" w:eastAsia="宋体" w:hint="default"/>
                <w:sz w:val="21"/>
                <w:szCs w:val="21"/>
              </w:rPr>
              <w:t>担保类型</w:t>
            </w:r>
          </w:p>
        </w:tc>
        <w:tc>
          <w:tcPr>
            <w:tcW w:w="10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1" w:right="0"/>
              <w:jc w:val="left"/>
              <w:rPr>
                <w:rFonts w:ascii="宋体" w:hAnsi="宋体" w:cs="宋体" w:eastAsia="宋体" w:hint="default"/>
                <w:sz w:val="21"/>
                <w:szCs w:val="21"/>
              </w:rPr>
            </w:pPr>
            <w:r>
              <w:rPr>
                <w:rFonts w:ascii="宋体" w:hAnsi="宋体" w:cs="宋体" w:eastAsia="宋体" w:hint="default"/>
                <w:sz w:val="21"/>
                <w:szCs w:val="21"/>
              </w:rPr>
              <w:t>担保期</w:t>
            </w:r>
          </w:p>
        </w:tc>
        <w:tc>
          <w:tcPr>
            <w:tcW w:w="8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2"/>
              <w:ind w:left="76" w:right="74" w:firstLine="4"/>
              <w:jc w:val="left"/>
              <w:rPr>
                <w:rFonts w:ascii="宋体" w:hAnsi="宋体" w:cs="宋体" w:eastAsia="宋体" w:hint="default"/>
                <w:sz w:val="21"/>
                <w:szCs w:val="21"/>
              </w:rPr>
            </w:pPr>
            <w:r>
              <w:rPr>
                <w:rFonts w:ascii="宋体" w:hAnsi="宋体" w:cs="宋体" w:eastAsia="宋体" w:hint="default"/>
                <w:sz w:val="21"/>
                <w:szCs w:val="21"/>
              </w:rPr>
              <w:t>是否履</w:t>
            </w:r>
            <w:r>
              <w:rPr>
                <w:rFonts w:ascii="宋体" w:hAnsi="宋体" w:cs="宋体" w:eastAsia="宋体" w:hint="default"/>
                <w:w w:val="100"/>
                <w:sz w:val="21"/>
                <w:szCs w:val="21"/>
              </w:rPr>
              <w:t> </w:t>
            </w:r>
            <w:r>
              <w:rPr>
                <w:rFonts w:ascii="宋体" w:hAnsi="宋体" w:cs="宋体" w:eastAsia="宋体" w:hint="default"/>
                <w:sz w:val="21"/>
                <w:szCs w:val="21"/>
              </w:rPr>
              <w:t>行完毕</w:t>
            </w:r>
          </w:p>
        </w:tc>
        <w:tc>
          <w:tcPr>
            <w:tcW w:w="78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关联方</w:t>
            </w:r>
          </w:p>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担保</w:t>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（是或</w:t>
            </w:r>
          </w:p>
        </w:tc>
      </w:tr>
      <w:tr>
        <w:trPr>
          <w:trHeight w:val="316" w:hRule="exact"/>
        </w:trPr>
        <w:tc>
          <w:tcPr>
            <w:tcW w:w="160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9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1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exact"/>
              <w:ind w:left="177"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93" w:hRule="exact"/>
        </w:trPr>
        <w:tc>
          <w:tcPr>
            <w:tcW w:w="9557"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公司对子公司的担保情况</w:t>
            </w:r>
          </w:p>
        </w:tc>
      </w:tr>
      <w:tr>
        <w:trPr>
          <w:trHeight w:val="296" w:hRule="exact"/>
        </w:trPr>
        <w:tc>
          <w:tcPr>
            <w:tcW w:w="160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4" w:type="dxa"/>
            <w:tcBorders>
              <w:top w:val="single" w:sz="4" w:space="0" w:color="000000"/>
              <w:left w:val="single" w:sz="4" w:space="0" w:color="000000"/>
              <w:bottom w:val="nil" w:sz="6" w:space="0" w:color="auto"/>
              <w:right w:val="single" w:sz="4" w:space="0" w:color="000000"/>
            </w:tcBorders>
            <w:shd w:val="clear" w:color="auto" w:fill="D2D2D2"/>
          </w:tcPr>
          <w:p>
            <w:pPr/>
          </w:p>
        </w:tc>
        <w:tc>
          <w:tcPr>
            <w:tcW w:w="938" w:type="dxa"/>
            <w:tcBorders>
              <w:top w:val="single" w:sz="4" w:space="0" w:color="000000"/>
              <w:left w:val="single" w:sz="4" w:space="0" w:color="000000"/>
              <w:bottom w:val="nil" w:sz="6" w:space="0" w:color="auto"/>
              <w:right w:val="single" w:sz="4" w:space="0" w:color="000000"/>
            </w:tcBorders>
            <w:shd w:val="clear" w:color="auto" w:fill="D2D2D2"/>
          </w:tcPr>
          <w:p>
            <w:pPr/>
          </w:p>
        </w:tc>
        <w:tc>
          <w:tcPr>
            <w:tcW w:w="121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7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90" w:type="dxa"/>
            <w:tcBorders>
              <w:top w:val="single" w:sz="4" w:space="0" w:color="000000"/>
              <w:left w:val="single" w:sz="4" w:space="0" w:color="000000"/>
              <w:bottom w:val="nil" w:sz="6" w:space="0" w:color="auto"/>
              <w:right w:val="single" w:sz="4" w:space="0" w:color="000000"/>
            </w:tcBorders>
            <w:shd w:val="clear" w:color="auto" w:fill="D2D2D2"/>
          </w:tcPr>
          <w:p>
            <w:pPr/>
          </w:p>
        </w:tc>
        <w:tc>
          <w:tcPr>
            <w:tcW w:w="1017" w:type="dxa"/>
            <w:tcBorders>
              <w:top w:val="single" w:sz="4" w:space="0" w:color="000000"/>
              <w:left w:val="single" w:sz="4" w:space="0" w:color="000000"/>
              <w:bottom w:val="nil" w:sz="6" w:space="0" w:color="auto"/>
              <w:right w:val="single" w:sz="4" w:space="0" w:color="000000"/>
            </w:tcBorders>
            <w:shd w:val="clear" w:color="auto" w:fill="D2D2D2"/>
          </w:tcPr>
          <w:p>
            <w:pPr/>
          </w:p>
        </w:tc>
        <w:tc>
          <w:tcPr>
            <w:tcW w:w="802" w:type="dxa"/>
            <w:tcBorders>
              <w:top w:val="single" w:sz="4" w:space="0" w:color="000000"/>
              <w:left w:val="single" w:sz="4" w:space="0" w:color="000000"/>
              <w:bottom w:val="nil" w:sz="6" w:space="0" w:color="auto"/>
              <w:right w:val="single" w:sz="4" w:space="0" w:color="000000"/>
            </w:tcBorders>
            <w:shd w:val="clear" w:color="auto" w:fill="D2D2D2"/>
          </w:tcPr>
          <w:p>
            <w:pPr/>
          </w:p>
        </w:tc>
        <w:tc>
          <w:tcPr>
            <w:tcW w:w="78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60" w:lineRule="exact"/>
              <w:ind w:left="71" w:right="0"/>
              <w:jc w:val="left"/>
              <w:rPr>
                <w:rFonts w:ascii="宋体" w:hAnsi="宋体" w:cs="宋体" w:eastAsia="宋体" w:hint="default"/>
                <w:sz w:val="21"/>
                <w:szCs w:val="21"/>
              </w:rPr>
            </w:pPr>
            <w:r>
              <w:rPr>
                <w:rFonts w:ascii="宋体" w:hAnsi="宋体" w:cs="宋体" w:eastAsia="宋体" w:hint="default"/>
                <w:sz w:val="21"/>
                <w:szCs w:val="21"/>
              </w:rPr>
              <w:t>是否为</w:t>
            </w:r>
          </w:p>
        </w:tc>
      </w:tr>
      <w:tr>
        <w:trPr>
          <w:trHeight w:val="818" w:hRule="exact"/>
        </w:trPr>
        <w:tc>
          <w:tcPr>
            <w:tcW w:w="160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担保对象名称</w:t>
            </w:r>
          </w:p>
        </w:tc>
        <w:tc>
          <w:tcPr>
            <w:tcW w:w="9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43" w:right="0"/>
              <w:jc w:val="left"/>
              <w:rPr>
                <w:rFonts w:ascii="宋体" w:hAnsi="宋体" w:cs="宋体" w:eastAsia="宋体" w:hint="default"/>
                <w:sz w:val="21"/>
                <w:szCs w:val="21"/>
              </w:rPr>
            </w:pPr>
            <w:r>
              <w:rPr>
                <w:rFonts w:ascii="宋体" w:hAnsi="宋体" w:cs="宋体" w:eastAsia="宋体" w:hint="default"/>
                <w:sz w:val="21"/>
                <w:szCs w:val="21"/>
              </w:rPr>
              <w:t>担保额度</w:t>
            </w:r>
          </w:p>
          <w:p>
            <w:pPr>
              <w:pStyle w:val="TableParagraph"/>
              <w:spacing w:line="240" w:lineRule="auto"/>
              <w:ind w:left="38" w:right="34" w:firstLine="4"/>
              <w:jc w:val="left"/>
              <w:rPr>
                <w:rFonts w:ascii="宋体" w:hAnsi="宋体" w:cs="宋体" w:eastAsia="宋体" w:hint="default"/>
                <w:sz w:val="21"/>
                <w:szCs w:val="21"/>
              </w:rPr>
            </w:pPr>
            <w:r>
              <w:rPr>
                <w:rFonts w:ascii="宋体" w:hAnsi="宋体" w:cs="宋体" w:eastAsia="宋体" w:hint="default"/>
                <w:sz w:val="21"/>
                <w:szCs w:val="21"/>
              </w:rPr>
              <w:t>相关公告</w:t>
            </w:r>
            <w:r>
              <w:rPr>
                <w:rFonts w:ascii="宋体" w:hAnsi="宋体" w:cs="宋体" w:eastAsia="宋体" w:hint="default"/>
                <w:w w:val="100"/>
                <w:sz w:val="21"/>
                <w:szCs w:val="21"/>
              </w:rPr>
              <w:t> </w:t>
            </w:r>
            <w:r>
              <w:rPr>
                <w:rFonts w:ascii="宋体" w:hAnsi="宋体" w:cs="宋体" w:eastAsia="宋体" w:hint="default"/>
                <w:sz w:val="21"/>
                <w:szCs w:val="21"/>
              </w:rPr>
              <w:t>披露日期</w:t>
            </w:r>
          </w:p>
        </w:tc>
        <w:tc>
          <w:tcPr>
            <w:tcW w:w="9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36"/>
              <w:jc w:val="right"/>
              <w:rPr>
                <w:rFonts w:ascii="宋体" w:hAnsi="宋体" w:cs="宋体" w:eastAsia="宋体" w:hint="default"/>
                <w:sz w:val="21"/>
                <w:szCs w:val="21"/>
              </w:rPr>
            </w:pPr>
            <w:r>
              <w:rPr>
                <w:rFonts w:ascii="宋体" w:hAnsi="宋体" w:cs="宋体" w:eastAsia="宋体" w:hint="default"/>
                <w:sz w:val="21"/>
                <w:szCs w:val="21"/>
              </w:rPr>
              <w:t>担保额度</w:t>
            </w:r>
          </w:p>
        </w:tc>
        <w:tc>
          <w:tcPr>
            <w:tcW w:w="12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left="72" w:right="0"/>
              <w:jc w:val="left"/>
              <w:rPr>
                <w:rFonts w:ascii="宋体" w:hAnsi="宋体" w:cs="宋体" w:eastAsia="宋体" w:hint="default"/>
                <w:sz w:val="21"/>
                <w:szCs w:val="21"/>
              </w:rPr>
            </w:pPr>
            <w:r>
              <w:rPr>
                <w:rFonts w:ascii="宋体" w:hAnsi="宋体" w:cs="宋体" w:eastAsia="宋体" w:hint="default"/>
                <w:sz w:val="21"/>
                <w:szCs w:val="21"/>
              </w:rPr>
              <w:t>实际发生日</w:t>
            </w:r>
          </w:p>
          <w:p>
            <w:pPr>
              <w:pStyle w:val="TableParagraph"/>
              <w:spacing w:line="240" w:lineRule="auto"/>
              <w:ind w:left="283" w:right="74" w:hanging="212"/>
              <w:jc w:val="left"/>
              <w:rPr>
                <w:rFonts w:ascii="宋体" w:hAnsi="宋体" w:cs="宋体" w:eastAsia="宋体" w:hint="default"/>
                <w:sz w:val="21"/>
                <w:szCs w:val="21"/>
              </w:rPr>
            </w:pPr>
            <w:r>
              <w:rPr>
                <w:rFonts w:ascii="宋体" w:hAnsi="宋体" w:cs="宋体" w:eastAsia="宋体" w:hint="default"/>
                <w:sz w:val="21"/>
                <w:szCs w:val="21"/>
              </w:rPr>
              <w:t>期（协议签</w:t>
            </w:r>
            <w:r>
              <w:rPr>
                <w:rFonts w:ascii="宋体" w:hAnsi="宋体" w:cs="宋体" w:eastAsia="宋体" w:hint="default"/>
                <w:spacing w:val="-100"/>
                <w:sz w:val="21"/>
                <w:szCs w:val="21"/>
              </w:rPr>
              <w:t> </w:t>
            </w:r>
            <w:r>
              <w:rPr>
                <w:rFonts w:ascii="宋体" w:hAnsi="宋体" w:cs="宋体" w:eastAsia="宋体" w:hint="default"/>
                <w:sz w:val="21"/>
                <w:szCs w:val="21"/>
              </w:rPr>
              <w:t>署日）</w:t>
            </w:r>
          </w:p>
        </w:tc>
        <w:tc>
          <w:tcPr>
            <w:tcW w:w="117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6"/>
              <w:ind w:left="471" w:right="51" w:hanging="418"/>
              <w:jc w:val="left"/>
              <w:rPr>
                <w:rFonts w:ascii="宋体" w:hAnsi="宋体" w:cs="宋体" w:eastAsia="宋体" w:hint="default"/>
                <w:sz w:val="21"/>
                <w:szCs w:val="21"/>
              </w:rPr>
            </w:pPr>
            <w:r>
              <w:rPr>
                <w:rFonts w:ascii="宋体" w:hAnsi="宋体" w:cs="宋体" w:eastAsia="宋体" w:hint="default"/>
                <w:sz w:val="21"/>
                <w:szCs w:val="21"/>
              </w:rPr>
              <w:t>实际担保金</w:t>
            </w:r>
            <w:r>
              <w:rPr>
                <w:rFonts w:ascii="宋体" w:hAnsi="宋体" w:cs="宋体" w:eastAsia="宋体" w:hint="default"/>
                <w:spacing w:val="-100"/>
                <w:sz w:val="21"/>
                <w:szCs w:val="21"/>
              </w:rPr>
              <w:t> </w:t>
            </w:r>
            <w:r>
              <w:rPr>
                <w:rFonts w:ascii="宋体" w:hAnsi="宋体" w:cs="宋体" w:eastAsia="宋体" w:hint="default"/>
                <w:sz w:val="21"/>
                <w:szCs w:val="21"/>
              </w:rPr>
              <w:t>额</w:t>
            </w:r>
          </w:p>
        </w:tc>
        <w:tc>
          <w:tcPr>
            <w:tcW w:w="10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4"/>
              <w:jc w:val="right"/>
              <w:rPr>
                <w:rFonts w:ascii="宋体" w:hAnsi="宋体" w:cs="宋体" w:eastAsia="宋体" w:hint="default"/>
                <w:sz w:val="21"/>
                <w:szCs w:val="21"/>
              </w:rPr>
            </w:pPr>
            <w:r>
              <w:rPr>
                <w:rFonts w:ascii="宋体" w:hAnsi="宋体" w:cs="宋体" w:eastAsia="宋体" w:hint="default"/>
                <w:sz w:val="21"/>
                <w:szCs w:val="21"/>
              </w:rPr>
              <w:t>担保类型</w:t>
            </w:r>
          </w:p>
        </w:tc>
        <w:tc>
          <w:tcPr>
            <w:tcW w:w="10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86" w:right="0"/>
              <w:jc w:val="left"/>
              <w:rPr>
                <w:rFonts w:ascii="宋体" w:hAnsi="宋体" w:cs="宋体" w:eastAsia="宋体" w:hint="default"/>
                <w:sz w:val="21"/>
                <w:szCs w:val="21"/>
              </w:rPr>
            </w:pPr>
            <w:r>
              <w:rPr>
                <w:rFonts w:ascii="宋体" w:hAnsi="宋体" w:cs="宋体" w:eastAsia="宋体" w:hint="default"/>
                <w:sz w:val="21"/>
                <w:szCs w:val="21"/>
              </w:rPr>
              <w:t>担保期</w:t>
            </w:r>
          </w:p>
        </w:tc>
        <w:tc>
          <w:tcPr>
            <w:tcW w:w="8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6"/>
              <w:ind w:left="76" w:right="79"/>
              <w:jc w:val="left"/>
              <w:rPr>
                <w:rFonts w:ascii="宋体" w:hAnsi="宋体" w:cs="宋体" w:eastAsia="宋体" w:hint="default"/>
                <w:sz w:val="21"/>
                <w:szCs w:val="21"/>
              </w:rPr>
            </w:pPr>
            <w:r>
              <w:rPr>
                <w:rFonts w:ascii="宋体" w:hAnsi="宋体" w:cs="宋体" w:eastAsia="宋体" w:hint="default"/>
                <w:sz w:val="21"/>
                <w:szCs w:val="21"/>
              </w:rPr>
              <w:t>是否履</w:t>
            </w:r>
            <w:r>
              <w:rPr>
                <w:rFonts w:ascii="宋体" w:hAnsi="宋体" w:cs="宋体" w:eastAsia="宋体" w:hint="default"/>
                <w:spacing w:val="-102"/>
                <w:sz w:val="21"/>
                <w:szCs w:val="21"/>
              </w:rPr>
              <w:t> </w:t>
            </w:r>
            <w:r>
              <w:rPr>
                <w:rFonts w:ascii="宋体" w:hAnsi="宋体" w:cs="宋体" w:eastAsia="宋体" w:hint="default"/>
                <w:sz w:val="21"/>
                <w:szCs w:val="21"/>
              </w:rPr>
              <w:t>行完毕</w:t>
            </w:r>
          </w:p>
        </w:tc>
        <w:tc>
          <w:tcPr>
            <w:tcW w:w="78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关联方</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担保</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（是或</w:t>
            </w:r>
          </w:p>
        </w:tc>
      </w:tr>
      <w:tr>
        <w:trPr>
          <w:trHeight w:val="311" w:hRule="exact"/>
        </w:trPr>
        <w:tc>
          <w:tcPr>
            <w:tcW w:w="160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4" w:type="dxa"/>
            <w:tcBorders>
              <w:top w:val="nil" w:sz="6" w:space="0" w:color="auto"/>
              <w:left w:val="single" w:sz="4" w:space="0" w:color="000000"/>
              <w:bottom w:val="single" w:sz="4" w:space="0" w:color="000000"/>
              <w:right w:val="single" w:sz="4" w:space="0" w:color="000000"/>
            </w:tcBorders>
            <w:shd w:val="clear" w:color="auto" w:fill="D2D2D2"/>
          </w:tcPr>
          <w:p>
            <w:pPr/>
          </w:p>
        </w:tc>
        <w:tc>
          <w:tcPr>
            <w:tcW w:w="938" w:type="dxa"/>
            <w:tcBorders>
              <w:top w:val="nil" w:sz="6" w:space="0" w:color="auto"/>
              <w:left w:val="single" w:sz="4" w:space="0" w:color="000000"/>
              <w:bottom w:val="single" w:sz="4" w:space="0" w:color="000000"/>
              <w:right w:val="single" w:sz="4" w:space="0" w:color="000000"/>
            </w:tcBorders>
            <w:shd w:val="clear" w:color="auto" w:fill="D2D2D2"/>
          </w:tcPr>
          <w:p>
            <w:pPr/>
          </w:p>
        </w:tc>
        <w:tc>
          <w:tcPr>
            <w:tcW w:w="121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7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90" w:type="dxa"/>
            <w:tcBorders>
              <w:top w:val="nil" w:sz="6" w:space="0" w:color="auto"/>
              <w:left w:val="single" w:sz="4" w:space="0" w:color="000000"/>
              <w:bottom w:val="single" w:sz="4" w:space="0" w:color="000000"/>
              <w:right w:val="single" w:sz="4" w:space="0" w:color="000000"/>
            </w:tcBorders>
            <w:shd w:val="clear" w:color="auto" w:fill="D2D2D2"/>
          </w:tcPr>
          <w:p>
            <w:pPr/>
          </w:p>
        </w:tc>
        <w:tc>
          <w:tcPr>
            <w:tcW w:w="1017" w:type="dxa"/>
            <w:tcBorders>
              <w:top w:val="nil" w:sz="6" w:space="0" w:color="auto"/>
              <w:left w:val="single" w:sz="4" w:space="0" w:color="000000"/>
              <w:bottom w:val="single" w:sz="4" w:space="0" w:color="000000"/>
              <w:right w:val="single" w:sz="4" w:space="0" w:color="000000"/>
            </w:tcBorders>
            <w:shd w:val="clear" w:color="auto" w:fill="D2D2D2"/>
          </w:tcPr>
          <w:p>
            <w:pPr/>
          </w:p>
        </w:tc>
        <w:tc>
          <w:tcPr>
            <w:tcW w:w="802" w:type="dxa"/>
            <w:tcBorders>
              <w:top w:val="nil" w:sz="6" w:space="0" w:color="auto"/>
              <w:left w:val="single" w:sz="4" w:space="0" w:color="000000"/>
              <w:bottom w:val="single" w:sz="4" w:space="0" w:color="000000"/>
              <w:right w:val="single" w:sz="4" w:space="0" w:color="000000"/>
            </w:tcBorders>
            <w:shd w:val="clear" w:color="auto" w:fill="D2D2D2"/>
          </w:tcPr>
          <w:p>
            <w:pPr/>
          </w:p>
        </w:tc>
        <w:tc>
          <w:tcPr>
            <w:tcW w:w="78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exact"/>
              <w:ind w:left="177"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859"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4" w:right="94"/>
              <w:jc w:val="left"/>
              <w:rPr>
                <w:rFonts w:ascii="宋体" w:hAnsi="宋体" w:cs="宋体" w:eastAsia="宋体" w:hint="default"/>
                <w:sz w:val="21"/>
                <w:szCs w:val="21"/>
              </w:rPr>
            </w:pPr>
            <w:r>
              <w:rPr>
                <w:rFonts w:ascii="宋体" w:hAnsi="宋体" w:cs="宋体" w:eastAsia="宋体" w:hint="default"/>
                <w:sz w:val="21"/>
                <w:szCs w:val="21"/>
              </w:rPr>
              <w:t>深圳市宝鹏物流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有限公司</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04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21</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2,000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14"/>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2,000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3" w:right="210"/>
              <w:jc w:val="left"/>
              <w:rPr>
                <w:rFonts w:ascii="宋体" w:hAnsi="宋体" w:cs="宋体" w:eastAsia="宋体" w:hint="default"/>
                <w:sz w:val="21"/>
                <w:szCs w:val="21"/>
              </w:rPr>
            </w:pPr>
            <w:r>
              <w:rPr>
                <w:rFonts w:ascii="宋体" w:hAnsi="宋体" w:cs="宋体" w:eastAsia="宋体" w:hint="default"/>
                <w:sz w:val="21"/>
                <w:szCs w:val="21"/>
              </w:rPr>
              <w:t>连带责任</w:t>
            </w:r>
            <w:r>
              <w:rPr>
                <w:rFonts w:ascii="宋体" w:hAnsi="宋体" w:cs="宋体" w:eastAsia="宋体" w:hint="default"/>
                <w:spacing w:val="-101"/>
                <w:sz w:val="21"/>
                <w:szCs w:val="21"/>
              </w:rPr>
              <w:t> </w:t>
            </w:r>
            <w:r>
              <w:rPr>
                <w:rFonts w:ascii="宋体" w:hAnsi="宋体" w:cs="宋体" w:eastAsia="宋体" w:hint="default"/>
                <w:sz w:val="21"/>
                <w:szCs w:val="21"/>
              </w:rPr>
              <w:t>保证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27" w:right="0"/>
              <w:jc w:val="left"/>
              <w:rPr>
                <w:rFonts w:ascii="Times New Roman" w:hAnsi="Times New Roman" w:cs="Times New Roman" w:eastAsia="Times New Roman" w:hint="default"/>
                <w:sz w:val="21"/>
                <w:szCs w:val="21"/>
              </w:rPr>
            </w:pPr>
            <w:r>
              <w:rPr>
                <w:rFonts w:ascii="Times New Roman"/>
                <w:sz w:val="21"/>
              </w:rPr>
              <w:t>2012.5.24-</w:t>
            </w:r>
          </w:p>
          <w:p>
            <w:pPr>
              <w:pStyle w:val="TableParagraph"/>
              <w:spacing w:line="240" w:lineRule="auto" w:before="3"/>
              <w:ind w:left="27" w:right="0"/>
              <w:jc w:val="left"/>
              <w:rPr>
                <w:rFonts w:ascii="Times New Roman" w:hAnsi="Times New Roman" w:cs="Times New Roman" w:eastAsia="Times New Roman" w:hint="default"/>
                <w:sz w:val="21"/>
                <w:szCs w:val="21"/>
              </w:rPr>
            </w:pPr>
            <w:r>
              <w:rPr>
                <w:rFonts w:ascii="Times New Roman"/>
                <w:sz w:val="21"/>
              </w:rPr>
              <w:t>2014.5.24</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59"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4" w:right="94"/>
              <w:jc w:val="left"/>
              <w:rPr>
                <w:rFonts w:ascii="宋体" w:hAnsi="宋体" w:cs="宋体" w:eastAsia="宋体" w:hint="default"/>
                <w:sz w:val="21"/>
                <w:szCs w:val="21"/>
              </w:rPr>
            </w:pPr>
            <w:r>
              <w:rPr>
                <w:rFonts w:ascii="宋体" w:hAnsi="宋体" w:cs="宋体" w:eastAsia="宋体" w:hint="default"/>
                <w:sz w:val="21"/>
                <w:szCs w:val="21"/>
              </w:rPr>
              <w:t>深圳市鸿基物流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有限公司</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9,850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14"/>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9,850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一般保证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73"/>
              <w:ind w:left="27" w:right="0"/>
              <w:jc w:val="left"/>
              <w:rPr>
                <w:rFonts w:ascii="Times New Roman" w:hAnsi="Times New Roman" w:cs="Times New Roman" w:eastAsia="Times New Roman" w:hint="default"/>
                <w:sz w:val="21"/>
                <w:szCs w:val="21"/>
              </w:rPr>
            </w:pPr>
            <w:r>
              <w:rPr>
                <w:rFonts w:ascii="Times New Roman"/>
                <w:sz w:val="21"/>
              </w:rPr>
              <w:t>2012.7.6-2</w:t>
            </w:r>
          </w:p>
          <w:p>
            <w:pPr>
              <w:pStyle w:val="TableParagraph"/>
              <w:spacing w:line="241" w:lineRule="exact"/>
              <w:ind w:left="27" w:right="0"/>
              <w:jc w:val="left"/>
              <w:rPr>
                <w:rFonts w:ascii="Times New Roman" w:hAnsi="Times New Roman" w:cs="Times New Roman" w:eastAsia="Times New Roman" w:hint="default"/>
                <w:sz w:val="21"/>
                <w:szCs w:val="21"/>
              </w:rPr>
            </w:pPr>
            <w:r>
              <w:rPr>
                <w:rFonts w:ascii="Times New Roman"/>
                <w:sz w:val="21"/>
              </w:rPr>
              <w:t>013.7.6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74"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4" w:right="94"/>
              <w:jc w:val="left"/>
              <w:rPr>
                <w:rFonts w:ascii="宋体" w:hAnsi="宋体" w:cs="宋体" w:eastAsia="宋体" w:hint="default"/>
                <w:sz w:val="21"/>
                <w:szCs w:val="21"/>
              </w:rPr>
            </w:pPr>
            <w:r>
              <w:rPr>
                <w:rFonts w:ascii="宋体" w:hAnsi="宋体" w:cs="宋体" w:eastAsia="宋体" w:hint="default"/>
                <w:sz w:val="21"/>
                <w:szCs w:val="21"/>
              </w:rPr>
              <w:t>深圳市鸿基物流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有限公司</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08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08</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19"/>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210"/>
              <w:jc w:val="left"/>
              <w:rPr>
                <w:rFonts w:ascii="宋体" w:hAnsi="宋体" w:cs="宋体" w:eastAsia="宋体" w:hint="default"/>
                <w:sz w:val="21"/>
                <w:szCs w:val="21"/>
              </w:rPr>
            </w:pPr>
            <w:r>
              <w:rPr>
                <w:rFonts w:ascii="宋体" w:hAnsi="宋体" w:cs="宋体" w:eastAsia="宋体" w:hint="default"/>
                <w:sz w:val="21"/>
                <w:szCs w:val="21"/>
              </w:rPr>
              <w:t>连带责任</w:t>
            </w:r>
            <w:r>
              <w:rPr>
                <w:rFonts w:ascii="宋体" w:hAnsi="宋体" w:cs="宋体" w:eastAsia="宋体" w:hint="default"/>
                <w:spacing w:val="-101"/>
                <w:sz w:val="21"/>
                <w:szCs w:val="21"/>
              </w:rPr>
              <w:t> </w:t>
            </w:r>
            <w:r>
              <w:rPr>
                <w:rFonts w:ascii="宋体" w:hAnsi="宋体" w:cs="宋体" w:eastAsia="宋体" w:hint="default"/>
                <w:sz w:val="21"/>
                <w:szCs w:val="21"/>
              </w:rPr>
              <w:t>保证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78"/>
              <w:ind w:left="27" w:right="0"/>
              <w:jc w:val="left"/>
              <w:rPr>
                <w:rFonts w:ascii="Times New Roman" w:hAnsi="Times New Roman" w:cs="Times New Roman" w:eastAsia="Times New Roman" w:hint="default"/>
                <w:sz w:val="21"/>
                <w:szCs w:val="21"/>
              </w:rPr>
            </w:pPr>
            <w:r>
              <w:rPr>
                <w:rFonts w:ascii="Times New Roman"/>
                <w:sz w:val="21"/>
              </w:rPr>
              <w:t>2012.8.23-</w:t>
            </w:r>
          </w:p>
          <w:p>
            <w:pPr>
              <w:pStyle w:val="TableParagraph"/>
              <w:spacing w:line="241" w:lineRule="exact"/>
              <w:ind w:left="27" w:right="0"/>
              <w:jc w:val="left"/>
              <w:rPr>
                <w:rFonts w:ascii="Times New Roman" w:hAnsi="Times New Roman" w:cs="Times New Roman" w:eastAsia="Times New Roman" w:hint="default"/>
                <w:sz w:val="21"/>
                <w:szCs w:val="21"/>
              </w:rPr>
            </w:pPr>
            <w:r>
              <w:rPr>
                <w:rFonts w:ascii="Times New Roman"/>
                <w:sz w:val="21"/>
              </w:rPr>
              <w:t>2013.8.22</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59"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4" w:right="94"/>
              <w:jc w:val="left"/>
              <w:rPr>
                <w:rFonts w:ascii="宋体" w:hAnsi="宋体" w:cs="宋体" w:eastAsia="宋体" w:hint="default"/>
                <w:sz w:val="21"/>
                <w:szCs w:val="21"/>
              </w:rPr>
            </w:pPr>
            <w:r>
              <w:rPr>
                <w:rFonts w:ascii="宋体" w:hAnsi="宋体" w:cs="宋体" w:eastAsia="宋体" w:hint="default"/>
                <w:sz w:val="21"/>
                <w:szCs w:val="21"/>
              </w:rPr>
              <w:t>深圳市鸿基物流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有限公司</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08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25</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8,000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14"/>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8,000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3" w:right="210"/>
              <w:jc w:val="left"/>
              <w:rPr>
                <w:rFonts w:ascii="宋体" w:hAnsi="宋体" w:cs="宋体" w:eastAsia="宋体" w:hint="default"/>
                <w:sz w:val="21"/>
                <w:szCs w:val="21"/>
              </w:rPr>
            </w:pPr>
            <w:r>
              <w:rPr>
                <w:rFonts w:ascii="宋体" w:hAnsi="宋体" w:cs="宋体" w:eastAsia="宋体" w:hint="default"/>
                <w:sz w:val="21"/>
                <w:szCs w:val="21"/>
              </w:rPr>
              <w:t>连带责任</w:t>
            </w:r>
            <w:r>
              <w:rPr>
                <w:rFonts w:ascii="宋体" w:hAnsi="宋体" w:cs="宋体" w:eastAsia="宋体" w:hint="default"/>
                <w:spacing w:val="-101"/>
                <w:sz w:val="21"/>
                <w:szCs w:val="21"/>
              </w:rPr>
              <w:t> </w:t>
            </w:r>
            <w:r>
              <w:rPr>
                <w:rFonts w:ascii="宋体" w:hAnsi="宋体" w:cs="宋体" w:eastAsia="宋体" w:hint="default"/>
                <w:sz w:val="21"/>
                <w:szCs w:val="21"/>
              </w:rPr>
              <w:t>保证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27" w:right="0"/>
              <w:jc w:val="left"/>
              <w:rPr>
                <w:rFonts w:ascii="Times New Roman" w:hAnsi="Times New Roman" w:cs="Times New Roman" w:eastAsia="Times New Roman" w:hint="default"/>
                <w:sz w:val="21"/>
                <w:szCs w:val="21"/>
              </w:rPr>
            </w:pPr>
            <w:r>
              <w:rPr>
                <w:rFonts w:ascii="Times New Roman"/>
                <w:sz w:val="21"/>
              </w:rPr>
              <w:t>2012.8.23-</w:t>
            </w:r>
          </w:p>
          <w:p>
            <w:pPr>
              <w:pStyle w:val="TableParagraph"/>
              <w:spacing w:line="240" w:lineRule="auto" w:before="3"/>
              <w:ind w:left="27" w:right="0"/>
              <w:jc w:val="left"/>
              <w:rPr>
                <w:rFonts w:ascii="Times New Roman" w:hAnsi="Times New Roman" w:cs="Times New Roman" w:eastAsia="Times New Roman" w:hint="default"/>
                <w:sz w:val="21"/>
                <w:szCs w:val="21"/>
              </w:rPr>
            </w:pPr>
            <w:r>
              <w:rPr>
                <w:rFonts w:ascii="Times New Roman"/>
                <w:sz w:val="21"/>
              </w:rPr>
              <w:t>2014.8.23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59"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4" w:right="94"/>
              <w:jc w:val="left"/>
              <w:rPr>
                <w:rFonts w:ascii="宋体" w:hAnsi="宋体" w:cs="宋体" w:eastAsia="宋体" w:hint="default"/>
                <w:sz w:val="21"/>
                <w:szCs w:val="21"/>
              </w:rPr>
            </w:pPr>
            <w:r>
              <w:rPr>
                <w:rFonts w:ascii="宋体" w:hAnsi="宋体" w:cs="宋体" w:eastAsia="宋体" w:hint="default"/>
                <w:sz w:val="21"/>
                <w:szCs w:val="21"/>
              </w:rPr>
              <w:t>惠州宝安房地产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开发有限公司</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13</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45,000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14"/>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17,200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一般保证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7" w:right="0"/>
              <w:jc w:val="left"/>
              <w:rPr>
                <w:rFonts w:ascii="Times New Roman" w:hAnsi="Times New Roman" w:cs="Times New Roman" w:eastAsia="Times New Roman" w:hint="default"/>
                <w:sz w:val="21"/>
                <w:szCs w:val="21"/>
              </w:rPr>
            </w:pPr>
            <w:r>
              <w:rPr>
                <w:rFonts w:ascii="Times New Roman"/>
                <w:sz w:val="21"/>
              </w:rPr>
              <w:t>2012.10.17</w:t>
            </w:r>
          </w:p>
          <w:p>
            <w:pPr>
              <w:pStyle w:val="TableParagraph"/>
              <w:spacing w:line="241" w:lineRule="exact" w:before="3"/>
              <w:ind w:left="27" w:right="0"/>
              <w:jc w:val="left"/>
              <w:rPr>
                <w:rFonts w:ascii="Times New Roman" w:hAnsi="Times New Roman" w:cs="Times New Roman" w:eastAsia="Times New Roman" w:hint="default"/>
                <w:sz w:val="21"/>
                <w:szCs w:val="21"/>
              </w:rPr>
            </w:pPr>
            <w:r>
              <w:rPr>
                <w:rFonts w:ascii="Times New Roman"/>
                <w:sz w:val="21"/>
              </w:rPr>
              <w:t>-2015.10.1</w:t>
            </w:r>
          </w:p>
          <w:p>
            <w:pPr>
              <w:pStyle w:val="TableParagraph"/>
              <w:spacing w:line="241" w:lineRule="exact"/>
              <w:ind w:left="27" w:right="0"/>
              <w:jc w:val="left"/>
              <w:rPr>
                <w:rFonts w:ascii="Times New Roman" w:hAnsi="Times New Roman" w:cs="Times New Roman" w:eastAsia="Times New Roman" w:hint="default"/>
                <w:sz w:val="21"/>
                <w:szCs w:val="21"/>
              </w:rPr>
            </w:pPr>
            <w:r>
              <w:rPr>
                <w:rFonts w:ascii="Times New Roman"/>
                <w:w w:val="100"/>
                <w:sz w:val="21"/>
              </w:rPr>
              <w:t>6</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59" w:hRule="exact"/>
        </w:trPr>
        <w:tc>
          <w:tcPr>
            <w:tcW w:w="1603" w:type="dxa"/>
            <w:tcBorders>
              <w:top w:val="single" w:sz="4" w:space="0" w:color="000000"/>
              <w:left w:val="single" w:sz="4" w:space="0" w:color="000000"/>
              <w:bottom w:val="single" w:sz="7" w:space="0" w:color="000000"/>
              <w:right w:val="single" w:sz="4" w:space="0" w:color="000000"/>
            </w:tcBorders>
          </w:tcPr>
          <w:p>
            <w:pPr>
              <w:pStyle w:val="TableParagraph"/>
              <w:spacing w:line="274" w:lineRule="exact" w:before="1"/>
              <w:ind w:left="24" w:right="94"/>
              <w:jc w:val="both"/>
              <w:rPr>
                <w:rFonts w:ascii="宋体" w:hAnsi="宋体" w:cs="宋体" w:eastAsia="宋体" w:hint="default"/>
                <w:sz w:val="21"/>
                <w:szCs w:val="21"/>
              </w:rPr>
            </w:pPr>
            <w:r>
              <w:rPr>
                <w:rFonts w:ascii="宋体" w:hAnsi="宋体" w:cs="宋体" w:eastAsia="宋体" w:hint="default"/>
                <w:sz w:val="21"/>
                <w:szCs w:val="21"/>
              </w:rPr>
              <w:t>湖南宝安鸿基房</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地产开发有限公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司</w:t>
            </w:r>
          </w:p>
        </w:tc>
        <w:tc>
          <w:tcPr>
            <w:tcW w:w="934" w:type="dxa"/>
            <w:tcBorders>
              <w:top w:val="single" w:sz="4" w:space="0" w:color="000000"/>
              <w:left w:val="single" w:sz="4" w:space="0" w:color="000000"/>
              <w:bottom w:val="single" w:sz="7" w:space="0" w:color="000000"/>
              <w:right w:val="single" w:sz="4" w:space="0" w:color="000000"/>
            </w:tcBorders>
          </w:tcPr>
          <w:p>
            <w:pPr>
              <w:pStyle w:val="TableParagraph"/>
              <w:spacing w:line="258"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pacing w:val="-5"/>
                <w:sz w:val="21"/>
                <w:szCs w:val="21"/>
              </w:rPr>
              <w:t>11</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9,000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14"/>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月</w:t>
            </w:r>
          </w:p>
          <w:p>
            <w:pPr>
              <w:pStyle w:val="TableParagraph"/>
              <w:spacing w:line="282"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172" w:type="dxa"/>
            <w:tcBorders>
              <w:top w:val="single" w:sz="4" w:space="0" w:color="000000"/>
              <w:left w:val="single" w:sz="4" w:space="0" w:color="000000"/>
              <w:bottom w:val="single" w:sz="7" w:space="0" w:color="000000"/>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3,000</w:t>
            </w:r>
          </w:p>
        </w:tc>
        <w:tc>
          <w:tcPr>
            <w:tcW w:w="1090" w:type="dxa"/>
            <w:tcBorders>
              <w:top w:val="single" w:sz="4" w:space="0" w:color="000000"/>
              <w:left w:val="single" w:sz="4" w:space="0" w:color="000000"/>
              <w:bottom w:val="single" w:sz="7" w:space="0" w:color="000000"/>
              <w:right w:val="single" w:sz="4" w:space="0" w:color="000000"/>
            </w:tcBorders>
          </w:tcPr>
          <w:p>
            <w:pPr>
              <w:pStyle w:val="TableParagraph"/>
              <w:spacing w:line="240" w:lineRule="auto" w:before="114"/>
              <w:ind w:left="23" w:right="210"/>
              <w:jc w:val="left"/>
              <w:rPr>
                <w:rFonts w:ascii="宋体" w:hAnsi="宋体" w:cs="宋体" w:eastAsia="宋体" w:hint="default"/>
                <w:sz w:val="21"/>
                <w:szCs w:val="21"/>
              </w:rPr>
            </w:pPr>
            <w:r>
              <w:rPr>
                <w:rFonts w:ascii="宋体" w:hAnsi="宋体" w:cs="宋体" w:eastAsia="宋体" w:hint="default"/>
                <w:sz w:val="21"/>
                <w:szCs w:val="21"/>
              </w:rPr>
              <w:t>连带责任</w:t>
            </w:r>
            <w:r>
              <w:rPr>
                <w:rFonts w:ascii="宋体" w:hAnsi="宋体" w:cs="宋体" w:eastAsia="宋体" w:hint="default"/>
                <w:spacing w:val="-101"/>
                <w:sz w:val="21"/>
                <w:szCs w:val="21"/>
              </w:rPr>
              <w:t> </w:t>
            </w:r>
            <w:r>
              <w:rPr>
                <w:rFonts w:ascii="宋体" w:hAnsi="宋体" w:cs="宋体" w:eastAsia="宋体" w:hint="default"/>
                <w:sz w:val="21"/>
                <w:szCs w:val="21"/>
              </w:rPr>
              <w:t>保证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7" w:right="0"/>
              <w:jc w:val="left"/>
              <w:rPr>
                <w:rFonts w:ascii="Times New Roman" w:hAnsi="Times New Roman" w:cs="Times New Roman" w:eastAsia="Times New Roman" w:hint="default"/>
                <w:sz w:val="21"/>
                <w:szCs w:val="21"/>
              </w:rPr>
            </w:pPr>
            <w:r>
              <w:rPr>
                <w:rFonts w:ascii="Times New Roman"/>
                <w:sz w:val="21"/>
              </w:rPr>
              <w:t>2012.12.24</w:t>
            </w:r>
          </w:p>
          <w:p>
            <w:pPr>
              <w:pStyle w:val="TableParagraph"/>
              <w:spacing w:line="241" w:lineRule="exact" w:before="3"/>
              <w:ind w:left="27" w:right="0"/>
              <w:jc w:val="left"/>
              <w:rPr>
                <w:rFonts w:ascii="Times New Roman" w:hAnsi="Times New Roman" w:cs="Times New Roman" w:eastAsia="Times New Roman" w:hint="default"/>
                <w:sz w:val="21"/>
                <w:szCs w:val="21"/>
              </w:rPr>
            </w:pPr>
            <w:r>
              <w:rPr>
                <w:rFonts w:ascii="Times New Roman"/>
                <w:sz w:val="21"/>
              </w:rPr>
              <w:t>-2014.12.2</w:t>
            </w:r>
          </w:p>
          <w:p>
            <w:pPr>
              <w:pStyle w:val="TableParagraph"/>
              <w:spacing w:line="241" w:lineRule="exact"/>
              <w:ind w:left="27" w:right="0"/>
              <w:jc w:val="left"/>
              <w:rPr>
                <w:rFonts w:ascii="Times New Roman" w:hAnsi="Times New Roman" w:cs="Times New Roman" w:eastAsia="Times New Roman" w:hint="default"/>
                <w:sz w:val="21"/>
                <w:szCs w:val="21"/>
              </w:rPr>
            </w:pPr>
            <w:r>
              <w:rPr>
                <w:rFonts w:ascii="Times New Roman"/>
                <w:w w:val="100"/>
                <w:sz w:val="21"/>
              </w:rPr>
              <w:t>3</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76" w:hRule="exact"/>
        </w:trPr>
        <w:tc>
          <w:tcPr>
            <w:tcW w:w="25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24" w:right="0"/>
              <w:jc w:val="left"/>
              <w:rPr>
                <w:rFonts w:ascii="宋体" w:hAnsi="宋体" w:cs="宋体" w:eastAsia="宋体" w:hint="default"/>
                <w:sz w:val="21"/>
                <w:szCs w:val="21"/>
              </w:rPr>
            </w:pPr>
            <w:r>
              <w:rPr>
                <w:rFonts w:ascii="宋体" w:hAnsi="宋体" w:cs="宋体" w:eastAsia="宋体" w:hint="default"/>
                <w:sz w:val="21"/>
                <w:szCs w:val="21"/>
              </w:rPr>
              <w:t>报告期内审批对子公司担</w:t>
            </w:r>
          </w:p>
          <w:p>
            <w:pPr>
              <w:pStyle w:val="TableParagraph"/>
              <w:spacing w:line="290" w:lineRule="exact"/>
              <w:ind w:left="24" w:right="0"/>
              <w:jc w:val="left"/>
              <w:rPr>
                <w:rFonts w:ascii="宋体" w:hAnsi="宋体" w:cs="宋体" w:eastAsia="宋体" w:hint="default"/>
                <w:sz w:val="21"/>
                <w:szCs w:val="21"/>
              </w:rPr>
            </w:pPr>
            <w:r>
              <w:rPr>
                <w:rFonts w:ascii="宋体" w:hAnsi="宋体" w:cs="宋体" w:eastAsia="宋体" w:hint="default"/>
                <w:sz w:val="21"/>
                <w:szCs w:val="21"/>
              </w:rPr>
              <w:t>保额度合计（</w:t>
            </w:r>
            <w:r>
              <w:rPr>
                <w:rFonts w:ascii="Times New Roman" w:hAnsi="Times New Roman" w:cs="Times New Roman" w:eastAsia="Times New Roman" w:hint="default"/>
                <w:sz w:val="21"/>
                <w:szCs w:val="21"/>
              </w:rPr>
              <w:t>B1</w:t>
            </w:r>
            <w:r>
              <w:rPr>
                <w:rFonts w:ascii="宋体" w:hAnsi="宋体" w:cs="宋体" w:eastAsia="宋体" w:hint="default"/>
                <w:sz w:val="21"/>
                <w:szCs w:val="21"/>
              </w:rPr>
              <w:t>）</w:t>
            </w:r>
          </w:p>
        </w:tc>
        <w:tc>
          <w:tcPr>
            <w:tcW w:w="215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54"/>
              <w:ind w:right="9"/>
              <w:jc w:val="right"/>
              <w:rPr>
                <w:rFonts w:ascii="Times New Roman" w:hAnsi="Times New Roman" w:cs="Times New Roman" w:eastAsia="Times New Roman" w:hint="default"/>
                <w:sz w:val="21"/>
                <w:szCs w:val="21"/>
              </w:rPr>
            </w:pPr>
            <w:r>
              <w:rPr>
                <w:rFonts w:ascii="Times New Roman"/>
                <w:sz w:val="21"/>
              </w:rPr>
              <w:t>74,850</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报告期内对子公司担保</w:t>
            </w:r>
          </w:p>
          <w:p>
            <w:pPr>
              <w:pStyle w:val="TableParagraph"/>
              <w:spacing w:line="290" w:lineRule="exact"/>
              <w:ind w:left="20" w:right="0"/>
              <w:jc w:val="left"/>
              <w:rPr>
                <w:rFonts w:ascii="宋体" w:hAnsi="宋体" w:cs="宋体" w:eastAsia="宋体" w:hint="default"/>
                <w:sz w:val="21"/>
                <w:szCs w:val="21"/>
              </w:rPr>
            </w:pPr>
            <w:r>
              <w:rPr>
                <w:rFonts w:ascii="宋体" w:hAnsi="宋体" w:cs="宋体" w:eastAsia="宋体" w:hint="default"/>
                <w:sz w:val="21"/>
                <w:szCs w:val="21"/>
              </w:rPr>
              <w:t>实际发生额合计（</w:t>
            </w:r>
            <w:r>
              <w:rPr>
                <w:rFonts w:ascii="Times New Roman" w:hAnsi="Times New Roman" w:cs="Times New Roman" w:eastAsia="Times New Roman" w:hint="default"/>
                <w:sz w:val="21"/>
                <w:szCs w:val="21"/>
              </w:rPr>
              <w:t>B2</w:t>
            </w:r>
            <w:r>
              <w:rPr>
                <w:rFonts w:ascii="宋体" w:hAnsi="宋体" w:cs="宋体" w:eastAsia="宋体" w:hint="default"/>
                <w:sz w:val="21"/>
                <w:szCs w:val="21"/>
              </w:rPr>
              <w:t>）</w:t>
            </w:r>
          </w:p>
        </w:tc>
        <w:tc>
          <w:tcPr>
            <w:tcW w:w="2606"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54"/>
              <w:ind w:right="22"/>
              <w:jc w:val="right"/>
              <w:rPr>
                <w:rFonts w:ascii="Times New Roman" w:hAnsi="Times New Roman" w:cs="Times New Roman" w:eastAsia="Times New Roman" w:hint="default"/>
                <w:sz w:val="21"/>
                <w:szCs w:val="21"/>
              </w:rPr>
            </w:pPr>
            <w:r>
              <w:rPr>
                <w:rFonts w:ascii="Times New Roman"/>
                <w:sz w:val="21"/>
              </w:rPr>
              <w:t>41,050</w:t>
            </w:r>
          </w:p>
        </w:tc>
      </w:tr>
      <w:tr>
        <w:trPr>
          <w:trHeight w:val="584" w:hRule="exact"/>
        </w:trPr>
        <w:tc>
          <w:tcPr>
            <w:tcW w:w="25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24" w:right="0"/>
              <w:jc w:val="left"/>
              <w:rPr>
                <w:rFonts w:ascii="宋体" w:hAnsi="宋体" w:cs="宋体" w:eastAsia="宋体" w:hint="default"/>
                <w:sz w:val="21"/>
                <w:szCs w:val="21"/>
              </w:rPr>
            </w:pPr>
            <w:r>
              <w:rPr>
                <w:rFonts w:ascii="宋体" w:hAnsi="宋体" w:cs="宋体" w:eastAsia="宋体" w:hint="default"/>
                <w:sz w:val="21"/>
                <w:szCs w:val="21"/>
              </w:rPr>
              <w:t>报告期末已审批的对子公</w:t>
            </w:r>
          </w:p>
          <w:p>
            <w:pPr>
              <w:pStyle w:val="TableParagraph"/>
              <w:spacing w:line="290" w:lineRule="exact"/>
              <w:ind w:left="24" w:right="0"/>
              <w:jc w:val="left"/>
              <w:rPr>
                <w:rFonts w:ascii="宋体" w:hAnsi="宋体" w:cs="宋体" w:eastAsia="宋体" w:hint="default"/>
                <w:sz w:val="21"/>
                <w:szCs w:val="21"/>
              </w:rPr>
            </w:pPr>
            <w:r>
              <w:rPr>
                <w:rFonts w:ascii="宋体" w:hAnsi="宋体" w:cs="宋体" w:eastAsia="宋体" w:hint="default"/>
                <w:sz w:val="21"/>
                <w:szCs w:val="21"/>
              </w:rPr>
              <w:t>司担保额度合计（</w:t>
            </w:r>
            <w:r>
              <w:rPr>
                <w:rFonts w:ascii="Times New Roman" w:hAnsi="Times New Roman" w:cs="Times New Roman" w:eastAsia="Times New Roman" w:hint="default"/>
                <w:sz w:val="21"/>
                <w:szCs w:val="21"/>
              </w:rPr>
              <w:t>B3</w:t>
            </w:r>
            <w:r>
              <w:rPr>
                <w:rFonts w:ascii="宋体" w:hAnsi="宋体" w:cs="宋体" w:eastAsia="宋体" w:hint="default"/>
                <w:sz w:val="21"/>
                <w:szCs w:val="21"/>
              </w:rPr>
              <w:t>）</w:t>
            </w:r>
          </w:p>
        </w:tc>
        <w:tc>
          <w:tcPr>
            <w:tcW w:w="2152" w:type="dxa"/>
            <w:gridSpan w:val="2"/>
            <w:tcBorders>
              <w:top w:val="single" w:sz="4" w:space="0" w:color="000000"/>
              <w:left w:val="single" w:sz="13" w:space="0" w:color="D2D2D2"/>
              <w:bottom w:val="single" w:sz="6" w:space="0" w:color="000000"/>
              <w:right w:val="single" w:sz="13" w:space="0" w:color="D2D2D2"/>
            </w:tcBorders>
          </w:tcPr>
          <w:p>
            <w:pPr>
              <w:pStyle w:val="TableParagraph"/>
              <w:spacing w:line="240" w:lineRule="auto" w:before="154"/>
              <w:ind w:right="9"/>
              <w:jc w:val="right"/>
              <w:rPr>
                <w:rFonts w:ascii="Times New Roman" w:hAnsi="Times New Roman" w:cs="Times New Roman" w:eastAsia="Times New Roman" w:hint="default"/>
                <w:sz w:val="21"/>
                <w:szCs w:val="21"/>
              </w:rPr>
            </w:pPr>
            <w:r>
              <w:rPr>
                <w:rFonts w:ascii="Times New Roman"/>
                <w:sz w:val="21"/>
              </w:rPr>
              <w:t>74,850</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报告期末对子公司实际</w:t>
            </w:r>
          </w:p>
          <w:p>
            <w:pPr>
              <w:pStyle w:val="TableParagraph"/>
              <w:spacing w:line="290" w:lineRule="exact"/>
              <w:ind w:left="20" w:right="0"/>
              <w:jc w:val="left"/>
              <w:rPr>
                <w:rFonts w:ascii="宋体" w:hAnsi="宋体" w:cs="宋体" w:eastAsia="宋体" w:hint="default"/>
                <w:sz w:val="21"/>
                <w:szCs w:val="21"/>
              </w:rPr>
            </w:pPr>
            <w:r>
              <w:rPr>
                <w:rFonts w:ascii="宋体" w:hAnsi="宋体" w:cs="宋体" w:eastAsia="宋体" w:hint="default"/>
                <w:sz w:val="21"/>
                <w:szCs w:val="21"/>
              </w:rPr>
              <w:t>担保余额合计（</w:t>
            </w:r>
            <w:r>
              <w:rPr>
                <w:rFonts w:ascii="Times New Roman" w:hAnsi="Times New Roman" w:cs="Times New Roman" w:eastAsia="Times New Roman" w:hint="default"/>
                <w:sz w:val="21"/>
                <w:szCs w:val="21"/>
              </w:rPr>
              <w:t>B4</w:t>
            </w:r>
            <w:r>
              <w:rPr>
                <w:rFonts w:ascii="宋体" w:hAnsi="宋体" w:cs="宋体" w:eastAsia="宋体" w:hint="default"/>
                <w:sz w:val="21"/>
                <w:szCs w:val="21"/>
              </w:rPr>
              <w:t>）</w:t>
            </w:r>
          </w:p>
        </w:tc>
        <w:tc>
          <w:tcPr>
            <w:tcW w:w="2606" w:type="dxa"/>
            <w:gridSpan w:val="3"/>
            <w:tcBorders>
              <w:top w:val="single" w:sz="4" w:space="0" w:color="000000"/>
              <w:left w:val="single" w:sz="13" w:space="0" w:color="D2D2D2"/>
              <w:bottom w:val="single" w:sz="6" w:space="0" w:color="000000"/>
              <w:right w:val="single" w:sz="4" w:space="0" w:color="000000"/>
            </w:tcBorders>
          </w:tcPr>
          <w:p>
            <w:pPr>
              <w:pStyle w:val="TableParagraph"/>
              <w:spacing w:line="240" w:lineRule="auto" w:before="154"/>
              <w:ind w:right="22"/>
              <w:jc w:val="right"/>
              <w:rPr>
                <w:rFonts w:ascii="Times New Roman" w:hAnsi="Times New Roman" w:cs="Times New Roman" w:eastAsia="Times New Roman" w:hint="default"/>
                <w:sz w:val="21"/>
                <w:szCs w:val="21"/>
              </w:rPr>
            </w:pPr>
            <w:r>
              <w:rPr>
                <w:rFonts w:ascii="Times New Roman"/>
                <w:sz w:val="21"/>
              </w:rPr>
              <w:t>41,050</w:t>
            </w:r>
          </w:p>
        </w:tc>
      </w:tr>
      <w:tr>
        <w:trPr>
          <w:trHeight w:val="278" w:hRule="exact"/>
        </w:trPr>
        <w:tc>
          <w:tcPr>
            <w:tcW w:w="9557"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公司担保总额（即前两大项的合计）</w:t>
            </w:r>
          </w:p>
        </w:tc>
      </w:tr>
      <w:tr>
        <w:trPr>
          <w:trHeight w:val="583" w:hRule="exact"/>
        </w:trPr>
        <w:tc>
          <w:tcPr>
            <w:tcW w:w="25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before="4"/>
              <w:ind w:left="24" w:right="187"/>
              <w:jc w:val="left"/>
              <w:rPr>
                <w:rFonts w:ascii="宋体" w:hAnsi="宋体" w:cs="宋体" w:eastAsia="宋体" w:hint="default"/>
                <w:sz w:val="21"/>
                <w:szCs w:val="21"/>
              </w:rPr>
            </w:pPr>
            <w:r>
              <w:rPr>
                <w:rFonts w:ascii="宋体" w:hAnsi="宋体" w:cs="宋体" w:eastAsia="宋体" w:hint="default"/>
                <w:spacing w:val="-1"/>
                <w:sz w:val="21"/>
                <w:szCs w:val="21"/>
              </w:rPr>
              <w:t>报告期内审批担保额度合</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计（</w:t>
            </w:r>
            <w:r>
              <w:rPr>
                <w:rFonts w:ascii="Times New Roman" w:hAnsi="Times New Roman" w:cs="Times New Roman" w:eastAsia="Times New Roman" w:hint="default"/>
                <w:sz w:val="21"/>
                <w:szCs w:val="21"/>
              </w:rPr>
              <w:t>A1+B1</w:t>
            </w:r>
            <w:r>
              <w:rPr>
                <w:rFonts w:ascii="宋体" w:hAnsi="宋体" w:cs="宋体" w:eastAsia="宋体" w:hint="default"/>
                <w:sz w:val="21"/>
                <w:szCs w:val="21"/>
              </w:rPr>
              <w:t>）</w:t>
            </w:r>
          </w:p>
        </w:tc>
        <w:tc>
          <w:tcPr>
            <w:tcW w:w="2152" w:type="dxa"/>
            <w:gridSpan w:val="2"/>
            <w:tcBorders>
              <w:top w:val="single" w:sz="6" w:space="0" w:color="000000"/>
              <w:left w:val="single" w:sz="13" w:space="0" w:color="D2D2D2"/>
              <w:bottom w:val="single" w:sz="4" w:space="0" w:color="000000"/>
              <w:right w:val="single" w:sz="13" w:space="0" w:color="D2D2D2"/>
            </w:tcBorders>
          </w:tcPr>
          <w:p>
            <w:pPr>
              <w:pStyle w:val="TableParagraph"/>
              <w:spacing w:line="240" w:lineRule="auto" w:before="159"/>
              <w:ind w:right="9"/>
              <w:jc w:val="right"/>
              <w:rPr>
                <w:rFonts w:ascii="Times New Roman" w:hAnsi="Times New Roman" w:cs="Times New Roman" w:eastAsia="Times New Roman" w:hint="default"/>
                <w:sz w:val="21"/>
                <w:szCs w:val="21"/>
              </w:rPr>
            </w:pPr>
            <w:r>
              <w:rPr>
                <w:rFonts w:ascii="Times New Roman"/>
                <w:sz w:val="21"/>
              </w:rPr>
              <w:t>74,850</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before="4"/>
              <w:ind w:left="20" w:right="128"/>
              <w:jc w:val="left"/>
              <w:rPr>
                <w:rFonts w:ascii="宋体" w:hAnsi="宋体" w:cs="宋体" w:eastAsia="宋体" w:hint="default"/>
                <w:sz w:val="21"/>
                <w:szCs w:val="21"/>
              </w:rPr>
            </w:pPr>
            <w:r>
              <w:rPr>
                <w:rFonts w:ascii="宋体" w:hAnsi="宋体" w:cs="宋体" w:eastAsia="宋体" w:hint="default"/>
                <w:spacing w:val="-1"/>
                <w:sz w:val="21"/>
                <w:szCs w:val="21"/>
              </w:rPr>
              <w:t>报告期内担保实际发生</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额合计（</w:t>
            </w:r>
            <w:r>
              <w:rPr>
                <w:rFonts w:ascii="Times New Roman" w:hAnsi="Times New Roman" w:cs="Times New Roman" w:eastAsia="Times New Roman" w:hint="default"/>
                <w:sz w:val="21"/>
                <w:szCs w:val="21"/>
              </w:rPr>
              <w:t>A2+B2</w:t>
            </w:r>
            <w:r>
              <w:rPr>
                <w:rFonts w:ascii="宋体" w:hAnsi="宋体" w:cs="宋体" w:eastAsia="宋体" w:hint="default"/>
                <w:sz w:val="21"/>
                <w:szCs w:val="21"/>
              </w:rPr>
              <w:t>）</w:t>
            </w:r>
          </w:p>
        </w:tc>
        <w:tc>
          <w:tcPr>
            <w:tcW w:w="2606" w:type="dxa"/>
            <w:gridSpan w:val="3"/>
            <w:tcBorders>
              <w:top w:val="single" w:sz="6" w:space="0" w:color="000000"/>
              <w:left w:val="single" w:sz="13" w:space="0" w:color="D2D2D2"/>
              <w:bottom w:val="single" w:sz="4" w:space="0" w:color="000000"/>
              <w:right w:val="single" w:sz="4" w:space="0" w:color="000000"/>
            </w:tcBorders>
          </w:tcPr>
          <w:p>
            <w:pPr>
              <w:pStyle w:val="TableParagraph"/>
              <w:spacing w:line="240" w:lineRule="auto" w:before="159"/>
              <w:ind w:right="22"/>
              <w:jc w:val="right"/>
              <w:rPr>
                <w:rFonts w:ascii="Times New Roman" w:hAnsi="Times New Roman" w:cs="Times New Roman" w:eastAsia="Times New Roman" w:hint="default"/>
                <w:sz w:val="21"/>
                <w:szCs w:val="21"/>
              </w:rPr>
            </w:pPr>
            <w:r>
              <w:rPr>
                <w:rFonts w:ascii="Times New Roman"/>
                <w:sz w:val="21"/>
              </w:rPr>
              <w:t>41,050</w:t>
            </w:r>
          </w:p>
        </w:tc>
      </w:tr>
      <w:tr>
        <w:trPr>
          <w:trHeight w:val="576" w:hRule="exact"/>
        </w:trPr>
        <w:tc>
          <w:tcPr>
            <w:tcW w:w="253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24" w:right="0"/>
              <w:jc w:val="left"/>
              <w:rPr>
                <w:rFonts w:ascii="宋体" w:hAnsi="宋体" w:cs="宋体" w:eastAsia="宋体" w:hint="default"/>
                <w:sz w:val="21"/>
                <w:szCs w:val="21"/>
              </w:rPr>
            </w:pPr>
            <w:r>
              <w:rPr>
                <w:rFonts w:ascii="宋体" w:hAnsi="宋体" w:cs="宋体" w:eastAsia="宋体" w:hint="default"/>
                <w:sz w:val="21"/>
                <w:szCs w:val="21"/>
              </w:rPr>
              <w:t>报告期末已审批的担保额</w:t>
            </w:r>
          </w:p>
          <w:p>
            <w:pPr>
              <w:pStyle w:val="TableParagraph"/>
              <w:spacing w:line="290" w:lineRule="exact"/>
              <w:ind w:left="24" w:right="0"/>
              <w:jc w:val="left"/>
              <w:rPr>
                <w:rFonts w:ascii="宋体" w:hAnsi="宋体" w:cs="宋体" w:eastAsia="宋体" w:hint="default"/>
                <w:sz w:val="21"/>
                <w:szCs w:val="21"/>
              </w:rPr>
            </w:pPr>
            <w:r>
              <w:rPr>
                <w:rFonts w:ascii="宋体" w:hAnsi="宋体" w:cs="宋体" w:eastAsia="宋体" w:hint="default"/>
                <w:sz w:val="21"/>
                <w:szCs w:val="21"/>
              </w:rPr>
              <w:t>度合计（</w:t>
            </w:r>
            <w:r>
              <w:rPr>
                <w:rFonts w:ascii="Times New Roman" w:hAnsi="Times New Roman" w:cs="Times New Roman" w:eastAsia="Times New Roman" w:hint="default"/>
                <w:sz w:val="21"/>
                <w:szCs w:val="21"/>
              </w:rPr>
              <w:t>A3+B3</w:t>
            </w:r>
            <w:r>
              <w:rPr>
                <w:rFonts w:ascii="宋体" w:hAnsi="宋体" w:cs="宋体" w:eastAsia="宋体" w:hint="default"/>
                <w:sz w:val="21"/>
                <w:szCs w:val="21"/>
              </w:rPr>
              <w:t>）</w:t>
            </w:r>
          </w:p>
        </w:tc>
        <w:tc>
          <w:tcPr>
            <w:tcW w:w="2152" w:type="dxa"/>
            <w:gridSpan w:val="2"/>
            <w:tcBorders>
              <w:top w:val="single" w:sz="4" w:space="0" w:color="000000"/>
              <w:left w:val="single" w:sz="13" w:space="0" w:color="D2D2D2"/>
              <w:bottom w:val="single" w:sz="4" w:space="0" w:color="000000"/>
              <w:right w:val="single" w:sz="13" w:space="0" w:color="D2D2D2"/>
            </w:tcBorders>
          </w:tcPr>
          <w:p>
            <w:pPr>
              <w:pStyle w:val="TableParagraph"/>
              <w:spacing w:line="240" w:lineRule="auto" w:before="154"/>
              <w:ind w:right="9"/>
              <w:jc w:val="right"/>
              <w:rPr>
                <w:rFonts w:ascii="Times New Roman" w:hAnsi="Times New Roman" w:cs="Times New Roman" w:eastAsia="Times New Roman" w:hint="default"/>
                <w:sz w:val="21"/>
                <w:szCs w:val="21"/>
              </w:rPr>
            </w:pPr>
            <w:r>
              <w:rPr>
                <w:rFonts w:ascii="Times New Roman"/>
                <w:sz w:val="21"/>
              </w:rPr>
              <w:t>74,850</w:t>
            </w:r>
          </w:p>
        </w:tc>
        <w:tc>
          <w:tcPr>
            <w:tcW w:w="226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20" w:right="0"/>
              <w:jc w:val="left"/>
              <w:rPr>
                <w:rFonts w:ascii="宋体" w:hAnsi="宋体" w:cs="宋体" w:eastAsia="宋体" w:hint="default"/>
                <w:sz w:val="21"/>
                <w:szCs w:val="21"/>
              </w:rPr>
            </w:pPr>
            <w:r>
              <w:rPr>
                <w:rFonts w:ascii="宋体" w:hAnsi="宋体" w:cs="宋体" w:eastAsia="宋体" w:hint="default"/>
                <w:sz w:val="21"/>
                <w:szCs w:val="21"/>
              </w:rPr>
              <w:t>报告期末实际担保余额</w:t>
            </w:r>
          </w:p>
          <w:p>
            <w:pPr>
              <w:pStyle w:val="TableParagraph"/>
              <w:spacing w:line="290" w:lineRule="exact"/>
              <w:ind w:left="20"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Times New Roman" w:hAnsi="Times New Roman" w:cs="Times New Roman" w:eastAsia="Times New Roman" w:hint="default"/>
                <w:sz w:val="21"/>
                <w:szCs w:val="21"/>
              </w:rPr>
              <w:t>A4+B4</w:t>
            </w:r>
            <w:r>
              <w:rPr>
                <w:rFonts w:ascii="宋体" w:hAnsi="宋体" w:cs="宋体" w:eastAsia="宋体" w:hint="default"/>
                <w:sz w:val="21"/>
                <w:szCs w:val="21"/>
              </w:rPr>
              <w:t>）</w:t>
            </w:r>
          </w:p>
        </w:tc>
        <w:tc>
          <w:tcPr>
            <w:tcW w:w="2606"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54"/>
              <w:ind w:right="22"/>
              <w:jc w:val="right"/>
              <w:rPr>
                <w:rFonts w:ascii="Times New Roman" w:hAnsi="Times New Roman" w:cs="Times New Roman" w:eastAsia="Times New Roman" w:hint="default"/>
                <w:sz w:val="21"/>
                <w:szCs w:val="21"/>
              </w:rPr>
            </w:pPr>
            <w:r>
              <w:rPr>
                <w:rFonts w:ascii="Times New Roman"/>
                <w:sz w:val="21"/>
              </w:rPr>
              <w:t>41,050</w:t>
            </w:r>
          </w:p>
        </w:tc>
      </w:tr>
      <w:tr>
        <w:trPr>
          <w:trHeight w:val="288" w:hRule="exact"/>
        </w:trPr>
        <w:tc>
          <w:tcPr>
            <w:tcW w:w="468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2" w:lineRule="exact"/>
              <w:ind w:left="24" w:right="0"/>
              <w:jc w:val="left"/>
              <w:rPr>
                <w:rFonts w:ascii="宋体" w:hAnsi="宋体" w:cs="宋体" w:eastAsia="宋体" w:hint="default"/>
                <w:sz w:val="21"/>
                <w:szCs w:val="21"/>
              </w:rPr>
            </w:pPr>
            <w:r>
              <w:rPr>
                <w:rFonts w:ascii="宋体" w:hAnsi="宋体" w:cs="宋体" w:eastAsia="宋体" w:hint="default"/>
                <w:sz w:val="21"/>
                <w:szCs w:val="21"/>
              </w:rPr>
              <w:t>实际担保总额（即</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A4+B4</w:t>
            </w:r>
            <w:r>
              <w:rPr>
                <w:rFonts w:ascii="宋体" w:hAnsi="宋体" w:cs="宋体" w:eastAsia="宋体" w:hint="default"/>
                <w:sz w:val="21"/>
                <w:szCs w:val="21"/>
              </w:rPr>
              <w:t>）占公司净资产的比例</w:t>
            </w:r>
          </w:p>
        </w:tc>
        <w:tc>
          <w:tcPr>
            <w:tcW w:w="4868" w:type="dxa"/>
            <w:gridSpan w:val="5"/>
            <w:tcBorders>
              <w:top w:val="single" w:sz="4" w:space="0" w:color="000000"/>
              <w:left w:val="single" w:sz="12" w:space="0" w:color="D2D2D2"/>
              <w:bottom w:val="single" w:sz="7" w:space="0" w:color="000000"/>
              <w:right w:val="single" w:sz="4" w:space="0" w:color="000000"/>
            </w:tcBorders>
          </w:tcPr>
          <w:p>
            <w:pPr>
              <w:pStyle w:val="TableParagraph"/>
              <w:spacing w:line="240" w:lineRule="auto" w:before="5"/>
              <w:ind w:right="23"/>
              <w:jc w:val="right"/>
              <w:rPr>
                <w:rFonts w:ascii="Times New Roman" w:hAnsi="Times New Roman" w:cs="Times New Roman" w:eastAsia="Times New Roman" w:hint="default"/>
                <w:sz w:val="21"/>
                <w:szCs w:val="21"/>
              </w:rPr>
            </w:pPr>
            <w:r>
              <w:rPr>
                <w:rFonts w:ascii="Times New Roman"/>
                <w:sz w:val="21"/>
              </w:rPr>
              <w:t>34.94%</w:t>
            </w:r>
          </w:p>
        </w:tc>
      </w:tr>
      <w:tr>
        <w:trPr>
          <w:trHeight w:val="298" w:hRule="exact"/>
        </w:trPr>
        <w:tc>
          <w:tcPr>
            <w:tcW w:w="9557"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其中：</w:t>
            </w:r>
          </w:p>
        </w:tc>
      </w:tr>
    </w:tbl>
    <w:p>
      <w:pPr>
        <w:spacing w:after="0" w:line="241" w:lineRule="exact"/>
        <w:jc w:val="left"/>
        <w:rPr>
          <w:rFonts w:ascii="宋体" w:hAnsi="宋体" w:cs="宋体" w:eastAsia="宋体" w:hint="default"/>
          <w:sz w:val="21"/>
          <w:szCs w:val="21"/>
        </w:rPr>
        <w:sectPr>
          <w:pgSz w:w="11900" w:h="16840"/>
          <w:pgMar w:header="872" w:footer="957" w:top="1120" w:bottom="1180" w:left="980" w:right="980"/>
        </w:sectPr>
      </w:pPr>
    </w:p>
    <w:p>
      <w:pPr>
        <w:spacing w:line="240" w:lineRule="auto" w:before="8"/>
        <w:rPr>
          <w:rFonts w:ascii="宋体" w:hAnsi="宋体" w:cs="宋体" w:eastAsia="宋体" w:hint="default"/>
          <w:sz w:val="24"/>
          <w:szCs w:val="24"/>
        </w:rPr>
      </w:pPr>
    </w:p>
    <w:tbl>
      <w:tblPr>
        <w:tblW w:w="0" w:type="auto"/>
        <w:jc w:val="left"/>
        <w:tblInd w:w="160" w:type="dxa"/>
        <w:tblLayout w:type="fixed"/>
        <w:tblCellMar>
          <w:top w:w="0" w:type="dxa"/>
          <w:left w:w="0" w:type="dxa"/>
          <w:bottom w:w="0" w:type="dxa"/>
          <w:right w:w="0" w:type="dxa"/>
        </w:tblCellMar>
        <w:tblLook w:val="01E0"/>
      </w:tblPr>
      <w:tblGrid>
        <w:gridCol w:w="4663"/>
        <w:gridCol w:w="4882"/>
      </w:tblGrid>
      <w:tr>
        <w:trPr>
          <w:trHeight w:val="576" w:hRule="exact"/>
        </w:trPr>
        <w:tc>
          <w:tcPr>
            <w:tcW w:w="4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5" w:lineRule="exact"/>
              <w:ind w:left="11" w:right="0"/>
              <w:jc w:val="left"/>
              <w:rPr>
                <w:rFonts w:ascii="宋体" w:hAnsi="宋体" w:cs="宋体" w:eastAsia="宋体" w:hint="default"/>
                <w:sz w:val="21"/>
                <w:szCs w:val="21"/>
              </w:rPr>
            </w:pPr>
            <w:r>
              <w:rPr>
                <w:rFonts w:ascii="宋体" w:hAnsi="宋体" w:cs="宋体" w:eastAsia="宋体" w:hint="default"/>
                <w:sz w:val="21"/>
                <w:szCs w:val="21"/>
              </w:rPr>
              <w:t>为股东、实际控制人及其关联方提供担保的金额</w:t>
            </w:r>
          </w:p>
          <w:p>
            <w:pPr>
              <w:pStyle w:val="TableParagraph"/>
              <w:spacing w:line="290" w:lineRule="exact"/>
              <w:ind w:left="11"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C</w:t>
            </w:r>
            <w:r>
              <w:rPr>
                <w:rFonts w:ascii="宋体" w:hAnsi="宋体" w:cs="宋体" w:eastAsia="宋体" w:hint="default"/>
                <w:sz w:val="21"/>
                <w:szCs w:val="21"/>
              </w:rPr>
              <w:t>）</w:t>
            </w:r>
          </w:p>
        </w:tc>
        <w:tc>
          <w:tcPr>
            <w:tcW w:w="488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54"/>
              <w:ind w:right="22"/>
              <w:jc w:val="right"/>
              <w:rPr>
                <w:rFonts w:ascii="Times New Roman" w:hAnsi="Times New Roman" w:cs="Times New Roman" w:eastAsia="Times New Roman" w:hint="default"/>
                <w:sz w:val="21"/>
                <w:szCs w:val="21"/>
              </w:rPr>
            </w:pPr>
            <w:r>
              <w:rPr>
                <w:rFonts w:ascii="Times New Roman"/>
                <w:w w:val="100"/>
                <w:sz w:val="21"/>
              </w:rPr>
              <w:t>0</w:t>
            </w:r>
          </w:p>
        </w:tc>
      </w:tr>
      <w:tr>
        <w:trPr>
          <w:trHeight w:val="576" w:hRule="exact"/>
        </w:trPr>
        <w:tc>
          <w:tcPr>
            <w:tcW w:w="4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3" w:lineRule="exact"/>
              <w:ind w:left="11"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的被担保对象提</w:t>
            </w:r>
          </w:p>
          <w:p>
            <w:pPr>
              <w:pStyle w:val="TableParagraph"/>
              <w:spacing w:line="282" w:lineRule="exact"/>
              <w:ind w:left="11" w:right="0"/>
              <w:jc w:val="left"/>
              <w:rPr>
                <w:rFonts w:ascii="宋体" w:hAnsi="宋体" w:cs="宋体" w:eastAsia="宋体" w:hint="default"/>
                <w:sz w:val="21"/>
                <w:szCs w:val="21"/>
              </w:rPr>
            </w:pPr>
            <w:r>
              <w:rPr>
                <w:rFonts w:ascii="宋体" w:hAnsi="宋体" w:cs="宋体" w:eastAsia="宋体" w:hint="default"/>
                <w:sz w:val="21"/>
                <w:szCs w:val="21"/>
              </w:rPr>
              <w:t>供的债务担保金额（</w:t>
            </w:r>
            <w:r>
              <w:rPr>
                <w:rFonts w:ascii="Times New Roman" w:hAnsi="Times New Roman" w:cs="Times New Roman" w:eastAsia="Times New Roman" w:hint="default"/>
                <w:sz w:val="21"/>
                <w:szCs w:val="21"/>
              </w:rPr>
              <w:t>D</w:t>
            </w:r>
            <w:r>
              <w:rPr>
                <w:rFonts w:ascii="宋体" w:hAnsi="宋体" w:cs="宋体" w:eastAsia="宋体" w:hint="default"/>
                <w:sz w:val="21"/>
                <w:szCs w:val="21"/>
              </w:rPr>
              <w:t>）</w:t>
            </w:r>
          </w:p>
        </w:tc>
        <w:tc>
          <w:tcPr>
            <w:tcW w:w="488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54"/>
              <w:ind w:right="22"/>
              <w:jc w:val="right"/>
              <w:rPr>
                <w:rFonts w:ascii="Times New Roman" w:hAnsi="Times New Roman" w:cs="Times New Roman" w:eastAsia="Times New Roman" w:hint="default"/>
                <w:sz w:val="21"/>
                <w:szCs w:val="21"/>
              </w:rPr>
            </w:pPr>
            <w:r>
              <w:rPr>
                <w:rFonts w:ascii="Times New Roman"/>
                <w:sz w:val="21"/>
              </w:rPr>
              <w:t>41,050</w:t>
            </w:r>
          </w:p>
        </w:tc>
      </w:tr>
      <w:tr>
        <w:trPr>
          <w:trHeight w:val="293" w:hRule="exact"/>
        </w:trPr>
        <w:tc>
          <w:tcPr>
            <w:tcW w:w="4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7" w:lineRule="exact"/>
              <w:ind w:left="11" w:right="0"/>
              <w:jc w:val="left"/>
              <w:rPr>
                <w:rFonts w:ascii="宋体" w:hAnsi="宋体" w:cs="宋体" w:eastAsia="宋体" w:hint="default"/>
                <w:sz w:val="21"/>
                <w:szCs w:val="21"/>
              </w:rPr>
            </w:pPr>
            <w:r>
              <w:rPr>
                <w:rFonts w:ascii="宋体" w:hAnsi="宋体" w:cs="宋体" w:eastAsia="宋体" w:hint="default"/>
                <w:sz w:val="21"/>
                <w:szCs w:val="21"/>
              </w:rPr>
              <w:t>担保总额超过净资产</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50%</w:t>
            </w:r>
            <w:r>
              <w:rPr>
                <w:rFonts w:ascii="宋体" w:hAnsi="宋体" w:cs="宋体" w:eastAsia="宋体" w:hint="default"/>
                <w:sz w:val="21"/>
                <w:szCs w:val="21"/>
              </w:rPr>
              <w:t>部分的金额（</w:t>
            </w:r>
            <w:r>
              <w:rPr>
                <w:rFonts w:ascii="Times New Roman" w:hAnsi="Times New Roman" w:cs="Times New Roman" w:eastAsia="Times New Roman" w:hint="default"/>
                <w:sz w:val="21"/>
                <w:szCs w:val="21"/>
              </w:rPr>
              <w:t>E</w:t>
            </w:r>
            <w:r>
              <w:rPr>
                <w:rFonts w:ascii="宋体" w:hAnsi="宋体" w:cs="宋体" w:eastAsia="宋体" w:hint="default"/>
                <w:sz w:val="21"/>
                <w:szCs w:val="21"/>
              </w:rPr>
              <w:t>）</w:t>
            </w:r>
          </w:p>
        </w:tc>
        <w:tc>
          <w:tcPr>
            <w:tcW w:w="488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w w:val="100"/>
                <w:sz w:val="21"/>
              </w:rPr>
              <w:t>0</w:t>
            </w:r>
          </w:p>
        </w:tc>
      </w:tr>
      <w:tr>
        <w:trPr>
          <w:trHeight w:val="293" w:hRule="exact"/>
        </w:trPr>
        <w:tc>
          <w:tcPr>
            <w:tcW w:w="4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7" w:lineRule="exact"/>
              <w:ind w:left="11"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r>
              <w:rPr>
                <w:rFonts w:ascii="Times New Roman" w:hAnsi="Times New Roman" w:cs="Times New Roman" w:eastAsia="Times New Roman" w:hint="default"/>
                <w:sz w:val="21"/>
                <w:szCs w:val="21"/>
              </w:rPr>
              <w:t>C+D+E</w:t>
            </w:r>
            <w:r>
              <w:rPr>
                <w:rFonts w:ascii="宋体" w:hAnsi="宋体" w:cs="宋体" w:eastAsia="宋体" w:hint="default"/>
                <w:sz w:val="21"/>
                <w:szCs w:val="21"/>
              </w:rPr>
              <w:t>）</w:t>
            </w:r>
          </w:p>
        </w:tc>
        <w:tc>
          <w:tcPr>
            <w:tcW w:w="4882"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0"/>
              <w:ind w:right="22"/>
              <w:jc w:val="right"/>
              <w:rPr>
                <w:rFonts w:ascii="Times New Roman" w:hAnsi="Times New Roman" w:cs="Times New Roman" w:eastAsia="Times New Roman" w:hint="default"/>
                <w:sz w:val="21"/>
                <w:szCs w:val="21"/>
              </w:rPr>
            </w:pPr>
            <w:r>
              <w:rPr>
                <w:rFonts w:ascii="Times New Roman"/>
                <w:sz w:val="21"/>
              </w:rPr>
              <w:t>41,050</w:t>
            </w:r>
          </w:p>
        </w:tc>
      </w:tr>
      <w:tr>
        <w:trPr>
          <w:trHeight w:val="293" w:hRule="exact"/>
        </w:trPr>
        <w:tc>
          <w:tcPr>
            <w:tcW w:w="4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未到期担保可能承担连带清偿责任说明</w:t>
            </w:r>
          </w:p>
        </w:tc>
        <w:tc>
          <w:tcPr>
            <w:tcW w:w="4882" w:type="dxa"/>
            <w:tcBorders>
              <w:top w:val="single" w:sz="4" w:space="0" w:color="000000"/>
              <w:left w:val="single" w:sz="12" w:space="0" w:color="D2D2D2"/>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12" w:hRule="exact"/>
        </w:trPr>
        <w:tc>
          <w:tcPr>
            <w:tcW w:w="4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6" w:lineRule="exact"/>
              <w:ind w:left="11" w:right="0"/>
              <w:jc w:val="left"/>
              <w:rPr>
                <w:rFonts w:ascii="宋体" w:hAnsi="宋体" w:cs="宋体" w:eastAsia="宋体" w:hint="default"/>
                <w:sz w:val="21"/>
                <w:szCs w:val="21"/>
              </w:rPr>
            </w:pPr>
            <w:r>
              <w:rPr>
                <w:rFonts w:ascii="宋体" w:hAnsi="宋体" w:cs="宋体" w:eastAsia="宋体" w:hint="default"/>
                <w:sz w:val="21"/>
                <w:szCs w:val="21"/>
              </w:rPr>
              <w:t>违反规定程序对外提供担保的说明</w:t>
            </w:r>
          </w:p>
        </w:tc>
        <w:tc>
          <w:tcPr>
            <w:tcW w:w="4882" w:type="dxa"/>
            <w:tcBorders>
              <w:top w:val="single" w:sz="4" w:space="0" w:color="000000"/>
              <w:left w:val="single" w:sz="12" w:space="0" w:color="D2D2D2"/>
              <w:bottom w:val="single" w:sz="4" w:space="0" w:color="000000"/>
              <w:right w:val="single" w:sz="4" w:space="0" w:color="000000"/>
            </w:tcBorders>
          </w:tcPr>
          <w:p>
            <w:pPr>
              <w:pStyle w:val="TableParagraph"/>
              <w:spacing w:line="24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无</w:t>
            </w:r>
          </w:p>
        </w:tc>
      </w:tr>
    </w:tbl>
    <w:p>
      <w:pPr>
        <w:pStyle w:val="BodyText"/>
        <w:spacing w:line="233" w:lineRule="exact"/>
        <w:ind w:right="0"/>
        <w:jc w:val="left"/>
      </w:pPr>
      <w:r>
        <w:rPr/>
        <w:t>采用复合方式担保的具体情况说明</w:t>
      </w:r>
    </w:p>
    <w:p>
      <w:pPr>
        <w:spacing w:line="427" w:lineRule="auto" w:before="0"/>
        <w:ind w:left="152" w:right="6168" w:firstLine="0"/>
        <w:jc w:val="left"/>
        <w:rPr>
          <w:rFonts w:ascii="宋体" w:hAnsi="宋体" w:cs="宋体" w:eastAsia="宋体" w:hint="default"/>
          <w:sz w:val="21"/>
          <w:szCs w:val="21"/>
        </w:rPr>
      </w:pPr>
      <w:r>
        <w:rPr/>
        <w:pict>
          <v:shape style="position:absolute;margin-left:56.400002pt;margin-top:77.303673pt;width:484.35pt;height:66.5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26"/>
                    <w:gridCol w:w="5746"/>
                  </w:tblGrid>
                  <w:tr>
                    <w:trPr>
                      <w:trHeight w:val="331" w:hRule="exact"/>
                    </w:trPr>
                    <w:tc>
                      <w:tcPr>
                        <w:tcW w:w="3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5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国富浩华会计师事务所</w:t>
                        </w:r>
                      </w:p>
                    </w:tc>
                  </w:tr>
                  <w:tr>
                    <w:trPr>
                      <w:trHeight w:val="326" w:hRule="exact"/>
                    </w:trPr>
                    <w:tc>
                      <w:tcPr>
                        <w:tcW w:w="3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境内会计师事务所报酬（万元）</w:t>
                        </w:r>
                      </w:p>
                    </w:tc>
                    <w:tc>
                      <w:tcPr>
                        <w:tcW w:w="5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 w:right="0"/>
                          <w:jc w:val="left"/>
                          <w:rPr>
                            <w:rFonts w:ascii="Times New Roman" w:hAnsi="Times New Roman" w:cs="Times New Roman" w:eastAsia="Times New Roman" w:hint="default"/>
                            <w:sz w:val="21"/>
                            <w:szCs w:val="21"/>
                          </w:rPr>
                        </w:pPr>
                        <w:r>
                          <w:rPr>
                            <w:rFonts w:ascii="Times New Roman"/>
                            <w:sz w:val="21"/>
                          </w:rPr>
                          <w:t>50</w:t>
                        </w:r>
                      </w:p>
                    </w:tc>
                  </w:tr>
                  <w:tr>
                    <w:trPr>
                      <w:trHeight w:val="331" w:hRule="exact"/>
                    </w:trPr>
                    <w:tc>
                      <w:tcPr>
                        <w:tcW w:w="3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境内会计师事务所审计服务的连续年限</w:t>
                        </w:r>
                      </w:p>
                    </w:tc>
                    <w:tc>
                      <w:tcPr>
                        <w:tcW w:w="5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壹年</w:t>
                        </w:r>
                      </w:p>
                    </w:tc>
                  </w:tr>
                  <w:tr>
                    <w:trPr>
                      <w:trHeight w:val="331" w:hRule="exact"/>
                    </w:trPr>
                    <w:tc>
                      <w:tcPr>
                        <w:tcW w:w="3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境内会计师事务所注册会计师姓名</w:t>
                        </w:r>
                      </w:p>
                    </w:tc>
                    <w:tc>
                      <w:tcPr>
                        <w:tcW w:w="57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侯立勋、龙丽萍</w:t>
                        </w:r>
                      </w:p>
                    </w:tc>
                  </w:tr>
                </w:tbl>
                <w:p>
                  <w:pPr/>
                </w:p>
              </w:txbxContent>
            </v:textbox>
            <w10:wrap type="none"/>
          </v:shape>
        </w:pict>
      </w:r>
      <w:r>
        <w:rPr>
          <w:rFonts w:ascii="宋体" w:hAnsi="宋体" w:cs="宋体" w:eastAsia="宋体" w:hint="default"/>
          <w:sz w:val="21"/>
          <w:szCs w:val="21"/>
        </w:rPr>
        <w:t>无</w:t>
      </w:r>
      <w:r>
        <w:rPr>
          <w:rFonts w:ascii="宋体" w:hAnsi="宋体" w:cs="宋体" w:eastAsia="宋体" w:hint="default"/>
          <w:w w:val="100"/>
          <w:sz w:val="21"/>
          <w:szCs w:val="21"/>
        </w:rPr>
        <w:t> </w:t>
      </w:r>
      <w:r>
        <w:rPr>
          <w:rFonts w:ascii="Microsoft JhengHei" w:hAnsi="Microsoft JhengHei" w:cs="Microsoft JhengHei" w:eastAsia="Microsoft JhengHei" w:hint="default"/>
          <w:b/>
          <w:bCs/>
          <w:sz w:val="24"/>
          <w:szCs w:val="24"/>
        </w:rPr>
        <w:t>五、聘任、解聘会计师事务所情况</w:t>
      </w:r>
      <w:r>
        <w:rPr>
          <w:rFonts w:ascii="Microsoft JhengHei" w:hAnsi="Microsoft JhengHei" w:cs="Microsoft JhengHei" w:eastAsia="Microsoft JhengHei" w:hint="default"/>
          <w:b/>
          <w:bCs/>
          <w:spacing w:val="-49"/>
          <w:sz w:val="24"/>
          <w:szCs w:val="24"/>
        </w:rPr>
        <w:t> </w:t>
      </w:r>
      <w:r>
        <w:rPr>
          <w:rFonts w:ascii="Microsoft JhengHei" w:hAnsi="Microsoft JhengHei" w:cs="Microsoft JhengHei" w:eastAsia="Microsoft JhengHei" w:hint="default"/>
          <w:b/>
          <w:bCs/>
          <w:spacing w:val="-49"/>
          <w:sz w:val="24"/>
          <w:szCs w:val="24"/>
        </w:rPr>
      </w:r>
      <w:r>
        <w:rPr>
          <w:rFonts w:ascii="宋体" w:hAnsi="宋体" w:cs="宋体" w:eastAsia="宋体" w:hint="default"/>
          <w:sz w:val="21"/>
          <w:szCs w:val="21"/>
        </w:rPr>
        <w:t>现聘任的会计师事务所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BodyText"/>
        <w:spacing w:line="240" w:lineRule="auto" w:before="36"/>
        <w:ind w:right="0"/>
        <w:jc w:val="left"/>
      </w:pPr>
      <w:r>
        <w:rPr/>
        <w:t>当期是否改聘会计师事务所</w:t>
      </w:r>
    </w:p>
    <w:p>
      <w:pPr>
        <w:pStyle w:val="BodyText"/>
        <w:spacing w:line="336" w:lineRule="auto" w:before="133"/>
        <w:ind w:right="6168"/>
        <w:jc w:val="left"/>
      </w:pP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否</w:t>
      </w:r>
      <w:r>
        <w:rPr>
          <w:spacing w:val="-102"/>
        </w:rPr>
        <w:t> </w:t>
      </w:r>
      <w:r>
        <w:rPr>
          <w:spacing w:val="-1"/>
        </w:rPr>
        <w:t>是否在审计期间改聘会计师事务所</w:t>
      </w:r>
    </w:p>
    <w:p>
      <w:pPr>
        <w:pStyle w:val="BodyText"/>
        <w:spacing w:line="336" w:lineRule="auto" w:before="49"/>
        <w:ind w:right="6168"/>
        <w:jc w:val="left"/>
      </w:pP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否</w:t>
      </w:r>
      <w:r>
        <w:rPr>
          <w:spacing w:val="-102"/>
        </w:rPr>
        <w:t> </w:t>
      </w:r>
      <w:r>
        <w:rPr>
          <w:spacing w:val="-1"/>
        </w:rPr>
        <w:t>更换会计师事务所是否履行审批程序</w:t>
      </w:r>
    </w:p>
    <w:p>
      <w:pPr>
        <w:pStyle w:val="BodyText"/>
        <w:spacing w:line="240" w:lineRule="auto" w:before="49"/>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否</w:t>
      </w:r>
    </w:p>
    <w:p>
      <w:pPr>
        <w:spacing w:line="240" w:lineRule="auto" w:before="10"/>
        <w:rPr>
          <w:rFonts w:ascii="宋体" w:hAnsi="宋体" w:cs="宋体" w:eastAsia="宋体" w:hint="default"/>
          <w:sz w:val="31"/>
          <w:szCs w:val="31"/>
        </w:rPr>
      </w:pPr>
    </w:p>
    <w:p>
      <w:pPr>
        <w:pStyle w:val="Heading6"/>
        <w:spacing w:line="240" w:lineRule="auto"/>
        <w:ind w:left="152" w:right="0"/>
        <w:jc w:val="left"/>
        <w:rPr>
          <w:b w:val="0"/>
          <w:bCs w:val="0"/>
        </w:rPr>
      </w:pPr>
      <w:r>
        <w:rPr/>
        <w:t>对改聘、变更会计师事务所情况的详细说明</w:t>
      </w:r>
      <w:r>
        <w:rPr>
          <w:b w:val="0"/>
          <w:bCs w:val="0"/>
        </w:rPr>
      </w:r>
    </w:p>
    <w:p>
      <w:pPr>
        <w:pStyle w:val="BodyText"/>
        <w:spacing w:line="343" w:lineRule="auto" w:before="109"/>
        <w:ind w:right="137" w:firstLine="422"/>
        <w:jc w:val="both"/>
      </w:pPr>
      <w:r>
        <w:rPr>
          <w:spacing w:val="-2"/>
        </w:rPr>
        <w:t>经公司</w:t>
      </w:r>
      <w:r>
        <w:rPr>
          <w:rFonts w:ascii="Times New Roman" w:hAnsi="Times New Roman" w:cs="Times New Roman" w:eastAsia="Times New Roman" w:hint="default"/>
          <w:spacing w:val="-2"/>
        </w:rPr>
        <w:t>2011</w:t>
      </w:r>
      <w:r>
        <w:rPr>
          <w:spacing w:val="-2"/>
        </w:rPr>
        <w:t>年年度股东大会审议通过，公司聘任深圳市鹏城会计师事务所有限公司为公司</w:t>
      </w:r>
      <w:r>
        <w:rPr>
          <w:rFonts w:ascii="Times New Roman" w:hAnsi="Times New Roman" w:cs="Times New Roman" w:eastAsia="Times New Roman" w:hint="default"/>
          <w:spacing w:val="-2"/>
        </w:rPr>
        <w:t>2012</w:t>
      </w:r>
      <w:r>
        <w:rPr>
          <w:spacing w:val="-2"/>
        </w:rPr>
        <w:t>年内部</w:t>
      </w:r>
      <w:r>
        <w:rPr>
          <w:w w:val="100"/>
        </w:rPr>
        <w:t> </w:t>
      </w:r>
      <w:r>
        <w:rPr>
          <w:spacing w:val="-2"/>
        </w:rPr>
        <w:t>控制审计机构，聘期一年，审计费为人民币伍拾万元整。因深圳市鹏城会计师事务所有限公司与国富浩华</w:t>
      </w:r>
      <w:r>
        <w:rPr>
          <w:spacing w:val="-36"/>
        </w:rPr>
        <w:t> </w:t>
      </w:r>
      <w:r>
        <w:rPr>
          <w:spacing w:val="-36"/>
        </w:rPr>
      </w:r>
      <w:r>
        <w:rPr>
          <w:spacing w:val="-2"/>
        </w:rPr>
        <w:t>会计师事务所（以下简称</w:t>
      </w:r>
      <w:r>
        <w:rPr>
          <w:rFonts w:ascii="Times New Roman" w:hAnsi="Times New Roman" w:cs="Times New Roman" w:eastAsia="Times New Roman" w:hint="default"/>
          <w:spacing w:val="-2"/>
        </w:rPr>
        <w:t>“</w:t>
      </w:r>
      <w:r>
        <w:rPr>
          <w:spacing w:val="-2"/>
        </w:rPr>
        <w:t>国富浩华所</w:t>
      </w:r>
      <w:r>
        <w:rPr>
          <w:rFonts w:ascii="Times New Roman" w:hAnsi="Times New Roman" w:cs="Times New Roman" w:eastAsia="Times New Roman" w:hint="default"/>
          <w:spacing w:val="-2"/>
        </w:rPr>
        <w:t>”</w:t>
      </w:r>
      <w:r>
        <w:rPr>
          <w:spacing w:val="-2"/>
        </w:rPr>
        <w:t>）合并，公司变更</w:t>
      </w:r>
      <w:r>
        <w:rPr>
          <w:rFonts w:ascii="Times New Roman" w:hAnsi="Times New Roman" w:cs="Times New Roman" w:eastAsia="Times New Roman" w:hint="default"/>
          <w:spacing w:val="-2"/>
        </w:rPr>
        <w:t>2012</w:t>
      </w:r>
      <w:r>
        <w:rPr>
          <w:spacing w:val="-2"/>
        </w:rPr>
        <w:t>年度审计单位为国富浩华所，聘期与审计费</w:t>
      </w:r>
      <w:r>
        <w:rPr>
          <w:spacing w:val="-10"/>
        </w:rPr>
        <w:t> </w:t>
      </w:r>
      <w:r>
        <w:rPr>
          <w:spacing w:val="-10"/>
        </w:rPr>
      </w:r>
      <w:r>
        <w:rPr/>
        <w:t>用不变，聘期一年。此事项经公司</w:t>
      </w:r>
      <w:r>
        <w:rPr>
          <w:rFonts w:ascii="Times New Roman" w:hAnsi="Times New Roman" w:cs="Times New Roman" w:eastAsia="Times New Roman" w:hint="default"/>
        </w:rPr>
        <w:t>2012</w:t>
      </w:r>
      <w:r>
        <w:rPr/>
        <w:t>年第二次临时股东大会审议通过。</w:t>
      </w:r>
    </w:p>
    <w:p>
      <w:pPr>
        <w:spacing w:line="240" w:lineRule="auto" w:before="1"/>
        <w:rPr>
          <w:rFonts w:ascii="宋体" w:hAnsi="宋体" w:cs="宋体" w:eastAsia="宋体" w:hint="default"/>
          <w:sz w:val="24"/>
          <w:szCs w:val="24"/>
        </w:rPr>
      </w:pPr>
    </w:p>
    <w:p>
      <w:pPr>
        <w:pStyle w:val="Heading6"/>
        <w:spacing w:line="240" w:lineRule="auto"/>
        <w:ind w:left="152" w:right="0"/>
        <w:jc w:val="left"/>
        <w:rPr>
          <w:b w:val="0"/>
          <w:bCs w:val="0"/>
        </w:rPr>
      </w:pPr>
      <w:r>
        <w:rPr/>
        <w:t>聘请内部控制审计会计师事务所、财务顾问或保荐人情况</w:t>
      </w:r>
      <w:r>
        <w:rPr>
          <w:b w:val="0"/>
          <w:bCs w:val="0"/>
        </w:rPr>
      </w:r>
    </w:p>
    <w:p>
      <w:pPr>
        <w:pStyle w:val="BodyText"/>
        <w:spacing w:line="240" w:lineRule="auto" w:before="109"/>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338" w:lineRule="auto" w:before="113"/>
        <w:ind w:left="152" w:right="0" w:firstLine="460"/>
        <w:jc w:val="left"/>
        <w:rPr>
          <w:rFonts w:ascii="宋体" w:hAnsi="宋体" w:cs="宋体" w:eastAsia="宋体" w:hint="default"/>
          <w:sz w:val="23"/>
          <w:szCs w:val="23"/>
        </w:rPr>
      </w:pPr>
      <w:r>
        <w:rPr>
          <w:rFonts w:ascii="宋体" w:hAnsi="宋体" w:cs="宋体" w:eastAsia="宋体" w:hint="default"/>
          <w:sz w:val="23"/>
          <w:szCs w:val="23"/>
        </w:rPr>
        <w:t>经公司</w:t>
      </w:r>
      <w:r>
        <w:rPr>
          <w:rFonts w:ascii="Times New Roman" w:hAnsi="Times New Roman" w:cs="Times New Roman" w:eastAsia="Times New Roman" w:hint="default"/>
          <w:sz w:val="23"/>
          <w:szCs w:val="23"/>
        </w:rPr>
        <w:t>2011</w:t>
      </w:r>
      <w:r>
        <w:rPr>
          <w:rFonts w:ascii="宋体" w:hAnsi="宋体" w:cs="宋体" w:eastAsia="宋体" w:hint="default"/>
          <w:sz w:val="23"/>
          <w:szCs w:val="23"/>
        </w:rPr>
        <w:t>年年度股东大会审议通过，公司聘任深圳市鹏城会计师事务所有限公司为公司</w:t>
      </w:r>
      <w:r>
        <w:rPr>
          <w:rFonts w:ascii="宋体" w:hAnsi="宋体" w:cs="宋体" w:eastAsia="宋体" w:hint="default"/>
          <w:w w:val="100"/>
          <w:sz w:val="23"/>
          <w:szCs w:val="23"/>
        </w:rPr>
        <w:t> </w:t>
      </w:r>
      <w:r>
        <w:rPr>
          <w:rFonts w:ascii="Times New Roman" w:hAnsi="Times New Roman" w:cs="Times New Roman" w:eastAsia="Times New Roman" w:hint="default"/>
          <w:spacing w:val="-1"/>
          <w:sz w:val="23"/>
          <w:szCs w:val="23"/>
        </w:rPr>
        <w:t>2012</w:t>
      </w:r>
      <w:r>
        <w:rPr>
          <w:rFonts w:ascii="宋体" w:hAnsi="宋体" w:cs="宋体" w:eastAsia="宋体" w:hint="default"/>
          <w:spacing w:val="-1"/>
          <w:sz w:val="23"/>
          <w:szCs w:val="23"/>
        </w:rPr>
        <w:t>年内部控制审计机构，聘期一年，审计费为人民币</w:t>
      </w:r>
      <w:r>
        <w:rPr>
          <w:rFonts w:ascii="Times New Roman" w:hAnsi="Times New Roman" w:cs="Times New Roman" w:eastAsia="Times New Roman" w:hint="default"/>
          <w:spacing w:val="-1"/>
          <w:sz w:val="23"/>
          <w:szCs w:val="23"/>
        </w:rPr>
        <w:t>10</w:t>
      </w:r>
      <w:r>
        <w:rPr>
          <w:rFonts w:ascii="宋体" w:hAnsi="宋体" w:cs="宋体" w:eastAsia="宋体" w:hint="default"/>
          <w:spacing w:val="-1"/>
          <w:sz w:val="23"/>
          <w:szCs w:val="23"/>
        </w:rPr>
        <w:t>万元整。因深圳市鹏城会计师事务所有</w:t>
      </w:r>
      <w:r>
        <w:rPr>
          <w:rFonts w:ascii="宋体" w:hAnsi="宋体" w:cs="宋体" w:eastAsia="宋体" w:hint="default"/>
          <w:spacing w:val="-91"/>
          <w:sz w:val="23"/>
          <w:szCs w:val="23"/>
        </w:rPr>
        <w:t> </w:t>
      </w:r>
      <w:r>
        <w:rPr>
          <w:rFonts w:ascii="宋体" w:hAnsi="宋体" w:cs="宋体" w:eastAsia="宋体" w:hint="default"/>
          <w:spacing w:val="-91"/>
          <w:sz w:val="23"/>
          <w:szCs w:val="23"/>
        </w:rPr>
      </w:r>
      <w:r>
        <w:rPr>
          <w:rFonts w:ascii="宋体" w:hAnsi="宋体" w:cs="宋体" w:eastAsia="宋体" w:hint="default"/>
          <w:spacing w:val="-1"/>
          <w:sz w:val="23"/>
          <w:szCs w:val="23"/>
        </w:rPr>
        <w:t>限公司与国富浩华会计师事务所（以下简称</w:t>
      </w:r>
      <w:r>
        <w:rPr>
          <w:rFonts w:ascii="Times New Roman" w:hAnsi="Times New Roman" w:cs="Times New Roman" w:eastAsia="Times New Roman" w:hint="default"/>
          <w:spacing w:val="-1"/>
          <w:sz w:val="23"/>
          <w:szCs w:val="23"/>
        </w:rPr>
        <w:t>“</w:t>
      </w:r>
      <w:r>
        <w:rPr>
          <w:rFonts w:ascii="宋体" w:hAnsi="宋体" w:cs="宋体" w:eastAsia="宋体" w:hint="default"/>
          <w:spacing w:val="-1"/>
          <w:sz w:val="23"/>
          <w:szCs w:val="23"/>
        </w:rPr>
        <w:t>国富浩华所</w:t>
      </w:r>
      <w:r>
        <w:rPr>
          <w:rFonts w:ascii="Times New Roman" w:hAnsi="Times New Roman" w:cs="Times New Roman" w:eastAsia="Times New Roman" w:hint="default"/>
          <w:spacing w:val="-1"/>
          <w:sz w:val="23"/>
          <w:szCs w:val="23"/>
        </w:rPr>
        <w:t>”</w:t>
      </w:r>
      <w:r>
        <w:rPr>
          <w:rFonts w:ascii="宋体" w:hAnsi="宋体" w:cs="宋体" w:eastAsia="宋体" w:hint="default"/>
          <w:spacing w:val="-1"/>
          <w:sz w:val="23"/>
          <w:szCs w:val="23"/>
        </w:rPr>
        <w:t>）合并，公司变更</w:t>
      </w:r>
      <w:r>
        <w:rPr>
          <w:rFonts w:ascii="Times New Roman" w:hAnsi="Times New Roman" w:cs="Times New Roman" w:eastAsia="Times New Roman" w:hint="default"/>
          <w:spacing w:val="-1"/>
          <w:sz w:val="23"/>
          <w:szCs w:val="23"/>
        </w:rPr>
        <w:t>2012</w:t>
      </w:r>
      <w:r>
        <w:rPr>
          <w:rFonts w:ascii="宋体" w:hAnsi="宋体" w:cs="宋体" w:eastAsia="宋体" w:hint="default"/>
          <w:spacing w:val="-1"/>
          <w:sz w:val="23"/>
          <w:szCs w:val="23"/>
        </w:rPr>
        <w:t>年内部控制度审</w:t>
      </w:r>
      <w:r>
        <w:rPr>
          <w:rFonts w:ascii="宋体" w:hAnsi="宋体" w:cs="宋体" w:eastAsia="宋体" w:hint="default"/>
          <w:spacing w:val="-80"/>
          <w:sz w:val="23"/>
          <w:szCs w:val="23"/>
        </w:rPr>
        <w:t> </w:t>
      </w:r>
      <w:r>
        <w:rPr>
          <w:rFonts w:ascii="宋体" w:hAnsi="宋体" w:cs="宋体" w:eastAsia="宋体" w:hint="default"/>
          <w:spacing w:val="-80"/>
          <w:sz w:val="23"/>
          <w:szCs w:val="23"/>
        </w:rPr>
      </w:r>
      <w:r>
        <w:rPr>
          <w:rFonts w:ascii="宋体" w:hAnsi="宋体" w:cs="宋体" w:eastAsia="宋体" w:hint="default"/>
          <w:spacing w:val="-1"/>
          <w:sz w:val="23"/>
          <w:szCs w:val="23"/>
        </w:rPr>
        <w:t>计机构为国富浩华所，聘期与审计费用不变，聘期一年。此事项经公司</w:t>
      </w:r>
      <w:r>
        <w:rPr>
          <w:rFonts w:ascii="Times New Roman" w:hAnsi="Times New Roman" w:cs="Times New Roman" w:eastAsia="Times New Roman" w:hint="default"/>
          <w:spacing w:val="-1"/>
          <w:sz w:val="23"/>
          <w:szCs w:val="23"/>
        </w:rPr>
        <w:t>2012</w:t>
      </w:r>
      <w:r>
        <w:rPr>
          <w:rFonts w:ascii="宋体" w:hAnsi="宋体" w:cs="宋体" w:eastAsia="宋体" w:hint="default"/>
          <w:spacing w:val="-1"/>
          <w:sz w:val="23"/>
          <w:szCs w:val="23"/>
        </w:rPr>
        <w:t>年第二次临时股东大</w:t>
      </w:r>
      <w:r>
        <w:rPr>
          <w:rFonts w:ascii="宋体" w:hAnsi="宋体" w:cs="宋体" w:eastAsia="宋体" w:hint="default"/>
          <w:spacing w:val="-92"/>
          <w:sz w:val="23"/>
          <w:szCs w:val="23"/>
        </w:rPr>
        <w:t> </w:t>
      </w:r>
      <w:r>
        <w:rPr>
          <w:rFonts w:ascii="宋体" w:hAnsi="宋体" w:cs="宋体" w:eastAsia="宋体" w:hint="default"/>
          <w:sz w:val="23"/>
          <w:szCs w:val="23"/>
        </w:rPr>
        <w:t>会审议通过。</w:t>
      </w:r>
    </w:p>
    <w:p>
      <w:pPr>
        <w:spacing w:after="0" w:line="338" w:lineRule="auto"/>
        <w:jc w:val="left"/>
        <w:rPr>
          <w:rFonts w:ascii="宋体" w:hAnsi="宋体" w:cs="宋体" w:eastAsia="宋体" w:hint="default"/>
          <w:sz w:val="23"/>
          <w:szCs w:val="23"/>
        </w:rPr>
        <w:sectPr>
          <w:pgSz w:w="11900" w:h="16840"/>
          <w:pgMar w:header="872" w:footer="957" w:top="1120" w:bottom="1180" w:left="980" w:right="980"/>
        </w:sectPr>
      </w:pPr>
    </w:p>
    <w:p>
      <w:pPr>
        <w:spacing w:line="240" w:lineRule="auto" w:before="7"/>
        <w:rPr>
          <w:rFonts w:ascii="宋体" w:hAnsi="宋体" w:cs="宋体" w:eastAsia="宋体" w:hint="default"/>
          <w:sz w:val="19"/>
          <w:szCs w:val="19"/>
        </w:rPr>
      </w:pPr>
      <w:r>
        <w:rPr/>
        <w:pict>
          <v:group style="position:absolute;margin-left:193.919998pt;margin-top:198.080002pt;width:67.95pt;height:40.75pt;mso-position-horizontal-relative:page;mso-position-vertical-relative:page;z-index:-999928" coordorigin="3878,3962" coordsize="1359,815">
            <v:group style="position:absolute;left:3878;top:3962;width:1359;height:480" coordorigin="3878,3962" coordsize="1359,480">
              <v:shape style="position:absolute;left:3878;top:3962;width:1359;height:480" coordorigin="3878,3962" coordsize="1359,480" path="m5237,3962l3878,3962,3878,4442,5237,4442,5237,3962xe" filled="true" fillcolor="#ffffff" stroked="false">
                <v:path arrowok="t"/>
                <v:fill type="solid"/>
              </v:shape>
            </v:group>
            <v:group style="position:absolute;left:3890;top:4442;width:2;height:322" coordorigin="3890,4442" coordsize="2,322">
              <v:shape style="position:absolute;left:3890;top:4442;width:2;height:322" coordorigin="3890,4442" coordsize="0,322" path="m3890,4442l3890,4764e" filled="false" stroked="true" strokeweight="1.2pt" strokecolor="#ffffff">
                <v:path arrowok="t"/>
              </v:shape>
            </v:group>
            <v:group style="position:absolute;left:3902;top:4442;width:1316;height:322" coordorigin="3902,4442" coordsize="1316,322">
              <v:shape style="position:absolute;left:3902;top:4442;width:1316;height:322" coordorigin="3902,4442" coordsize="1316,322" path="m3902,4763l5218,4763,5218,4442,3902,4442,3902,4763xe" filled="true" fillcolor="#ffffff" stroked="false">
                <v:path arrowok="t"/>
                <v:fill type="solid"/>
              </v:shape>
            </v:group>
            <w10:wrap type="none"/>
          </v:group>
        </w:pict>
      </w:r>
      <w:r>
        <w:rPr/>
        <w:pict>
          <v:group style="position:absolute;margin-left:193.919998pt;margin-top:424.200012pt;width:67.95pt;height:40.4pt;mso-position-horizontal-relative:page;mso-position-vertical-relative:page;z-index:-999904" coordorigin="3878,8484" coordsize="1359,808">
            <v:group style="position:absolute;left:3890;top:8964;width:2;height:316" coordorigin="3890,8964" coordsize="2,316">
              <v:shape style="position:absolute;left:3890;top:8964;width:2;height:316" coordorigin="3890,8964" coordsize="0,316" path="m3890,8964l3890,9280e" filled="false" stroked="true" strokeweight="1.2pt" strokecolor="#ffffff">
                <v:path arrowok="t"/>
              </v:shape>
            </v:group>
            <v:group style="position:absolute;left:3878;top:8484;width:1359;height:480" coordorigin="3878,8484" coordsize="1359,480">
              <v:shape style="position:absolute;left:3878;top:8484;width:1359;height:480" coordorigin="3878,8484" coordsize="1359,480" path="m3878,8964l5237,8964,5237,8484,3878,8484,3878,8964xe" filled="true" fillcolor="#ffffff" stroked="false">
                <v:path arrowok="t"/>
                <v:fill type="solid"/>
              </v:shape>
            </v:group>
            <v:group style="position:absolute;left:3902;top:8963;width:1316;height:317" coordorigin="3902,8963" coordsize="1316,317">
              <v:shape style="position:absolute;left:3902;top:8963;width:1316;height:317" coordorigin="3902,8963" coordsize="1316,317" path="m3902,9280l5218,9280,5218,8963,3902,8963,3902,9280xe" filled="true" fillcolor="#ffffff" stroked="false">
                <v:path arrowok="t"/>
                <v:fill type="solid"/>
              </v:shape>
            </v:group>
            <w10:wrap type="none"/>
          </v:group>
        </w:pict>
      </w:r>
    </w:p>
    <w:p>
      <w:pPr>
        <w:pStyle w:val="Heading4"/>
        <w:spacing w:line="367" w:lineRule="exact"/>
        <w:ind w:right="0"/>
        <w:jc w:val="left"/>
        <w:rPr>
          <w:b w:val="0"/>
          <w:bCs w:val="0"/>
        </w:rPr>
      </w:pPr>
      <w:r>
        <w:rPr/>
        <w:t>六、处罚及整改情况</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373"/>
        <w:gridCol w:w="1368"/>
        <w:gridCol w:w="1368"/>
        <w:gridCol w:w="1368"/>
        <w:gridCol w:w="1368"/>
        <w:gridCol w:w="1373"/>
        <w:gridCol w:w="1368"/>
      </w:tblGrid>
      <w:tr>
        <w:trPr>
          <w:trHeight w:val="274" w:hRule="exact"/>
        </w:trPr>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52" w:lineRule="exact"/>
              <w:ind w:left="230" w:right="0"/>
              <w:jc w:val="left"/>
              <w:rPr>
                <w:rFonts w:ascii="宋体" w:hAnsi="宋体" w:cs="宋体" w:eastAsia="宋体" w:hint="default"/>
                <w:sz w:val="21"/>
                <w:szCs w:val="21"/>
              </w:rPr>
            </w:pPr>
            <w:r>
              <w:rPr>
                <w:rFonts w:ascii="宋体" w:hAnsi="宋体" w:cs="宋体" w:eastAsia="宋体" w:hint="default"/>
                <w:sz w:val="21"/>
                <w:szCs w:val="21"/>
              </w:rPr>
              <w:t>名称</w:t>
            </w:r>
            <w:r>
              <w:rPr>
                <w:rFonts w:ascii="Times New Roman" w:hAnsi="Times New Roman" w:cs="Times New Roman" w:eastAsia="Times New Roman" w:hint="default"/>
                <w:sz w:val="21"/>
                <w:szCs w:val="21"/>
              </w:rPr>
              <w:t>/</w:t>
            </w:r>
            <w:r>
              <w:rPr>
                <w:rFonts w:ascii="宋体" w:hAnsi="宋体" w:cs="宋体" w:eastAsia="宋体" w:hint="default"/>
                <w:sz w:val="21"/>
                <w:szCs w:val="21"/>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259" w:right="0"/>
              <w:jc w:val="left"/>
              <w:rPr>
                <w:rFonts w:ascii="宋体" w:hAnsi="宋体" w:cs="宋体" w:eastAsia="宋体" w:hint="default"/>
                <w:sz w:val="21"/>
                <w:szCs w:val="21"/>
              </w:rPr>
            </w:pPr>
            <w:r>
              <w:rPr>
                <w:rFonts w:ascii="宋体" w:hAnsi="宋体" w:cs="宋体" w:eastAsia="宋体" w:hint="default"/>
                <w:sz w:val="21"/>
                <w:szCs w:val="21"/>
              </w:rPr>
              <w:t>时任情况</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原因</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48" w:right="0"/>
              <w:jc w:val="left"/>
              <w:rPr>
                <w:rFonts w:ascii="宋体" w:hAnsi="宋体" w:cs="宋体" w:eastAsia="宋体" w:hint="default"/>
                <w:sz w:val="21"/>
                <w:szCs w:val="21"/>
              </w:rPr>
            </w:pPr>
            <w:r>
              <w:rPr>
                <w:rFonts w:ascii="宋体" w:hAnsi="宋体" w:cs="宋体" w:eastAsia="宋体" w:hint="default"/>
                <w:sz w:val="21"/>
                <w:szCs w:val="21"/>
              </w:rPr>
              <w:t>调查处罚类型</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47" w:right="0"/>
              <w:jc w:val="left"/>
              <w:rPr>
                <w:rFonts w:ascii="宋体" w:hAnsi="宋体" w:cs="宋体" w:eastAsia="宋体" w:hint="default"/>
                <w:sz w:val="21"/>
                <w:szCs w:val="21"/>
              </w:rPr>
            </w:pPr>
            <w:r>
              <w:rPr>
                <w:rFonts w:ascii="宋体" w:hAnsi="宋体" w:cs="宋体" w:eastAsia="宋体" w:hint="default"/>
                <w:sz w:val="21"/>
                <w:szCs w:val="21"/>
              </w:rPr>
              <w:t>结论（如有）</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259"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259" w:right="0"/>
              <w:jc w:val="left"/>
              <w:rPr>
                <w:rFonts w:ascii="宋体" w:hAnsi="宋体" w:cs="宋体" w:eastAsia="宋体" w:hint="default"/>
                <w:sz w:val="21"/>
                <w:szCs w:val="21"/>
              </w:rPr>
            </w:pPr>
            <w:r>
              <w:rPr>
                <w:rFonts w:ascii="宋体" w:hAnsi="宋体" w:cs="宋体" w:eastAsia="宋体" w:hint="default"/>
                <w:sz w:val="21"/>
                <w:szCs w:val="21"/>
              </w:rPr>
              <w:t>披露索引</w:t>
            </w:r>
          </w:p>
        </w:tc>
      </w:tr>
      <w:tr>
        <w:trPr>
          <w:trHeight w:val="1622" w:hRule="exact"/>
        </w:trPr>
        <w:tc>
          <w:tcPr>
            <w:tcW w:w="137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9"/>
                <w:szCs w:val="19"/>
              </w:rPr>
            </w:pPr>
          </w:p>
          <w:p>
            <w:pPr>
              <w:pStyle w:val="TableParagraph"/>
              <w:spacing w:line="278" w:lineRule="auto"/>
              <w:ind w:left="24" w:right="74"/>
              <w:jc w:val="both"/>
              <w:rPr>
                <w:rFonts w:ascii="宋体" w:hAnsi="宋体" w:cs="宋体" w:eastAsia="宋体" w:hint="default"/>
                <w:sz w:val="21"/>
                <w:szCs w:val="21"/>
              </w:rPr>
            </w:pPr>
            <w:r>
              <w:rPr>
                <w:rFonts w:ascii="宋体" w:hAnsi="宋体" w:cs="宋体" w:eastAsia="宋体" w:hint="default"/>
                <w:sz w:val="21"/>
                <w:szCs w:val="21"/>
              </w:rPr>
              <w:t>宝安鸿基地产</w:t>
            </w:r>
            <w:r>
              <w:rPr>
                <w:rFonts w:ascii="宋体" w:hAnsi="宋体" w:cs="宋体" w:eastAsia="宋体" w:hint="default"/>
                <w:w w:val="100"/>
                <w:sz w:val="21"/>
                <w:szCs w:val="21"/>
              </w:rPr>
              <w:t> </w:t>
            </w:r>
            <w:r>
              <w:rPr>
                <w:rFonts w:ascii="宋体" w:hAnsi="宋体" w:cs="宋体" w:eastAsia="宋体" w:hint="default"/>
                <w:sz w:val="21"/>
                <w:szCs w:val="21"/>
              </w:rPr>
              <w:t>集团股份有限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3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3"/>
              <w:ind w:right="0"/>
              <w:jc w:val="left"/>
              <w:rPr>
                <w:rFonts w:ascii="Microsoft JhengHei" w:hAnsi="Microsoft JhengHei" w:cs="Microsoft JhengHei" w:eastAsia="Microsoft JhengHei" w:hint="default"/>
                <w:b/>
                <w:bCs/>
                <w:sz w:val="17"/>
                <w:szCs w:val="17"/>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3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3"/>
              <w:ind w:right="0"/>
              <w:jc w:val="left"/>
              <w:rPr>
                <w:rFonts w:ascii="Microsoft JhengHei" w:hAnsi="Microsoft JhengHei" w:cs="Microsoft JhengHei" w:eastAsia="Microsoft JhengHei" w:hint="default"/>
                <w:b/>
                <w:bCs/>
                <w:sz w:val="17"/>
                <w:szCs w:val="17"/>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9"/>
                <w:szCs w:val="19"/>
              </w:rPr>
            </w:pPr>
          </w:p>
          <w:p>
            <w:pPr>
              <w:pStyle w:val="TableParagraph"/>
              <w:spacing w:line="278" w:lineRule="auto"/>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8" w:space="0" w:color="000000"/>
              <w:left w:val="single" w:sz="4" w:space="0" w:color="000000"/>
              <w:bottom w:val="single" w:sz="4" w:space="0" w:color="000000"/>
              <w:right w:val="single" w:sz="4" w:space="0" w:color="000000"/>
            </w:tcBorders>
          </w:tcPr>
          <w:p>
            <w:pPr>
              <w:pStyle w:val="TableParagraph"/>
              <w:spacing w:line="276" w:lineRule="auto" w:before="18"/>
              <w:ind w:left="23" w:right="69"/>
              <w:jc w:val="left"/>
              <w:rPr>
                <w:rFonts w:ascii="宋体" w:hAnsi="宋体" w:cs="宋体" w:eastAsia="宋体" w:hint="default"/>
                <w:sz w:val="21"/>
                <w:szCs w:val="21"/>
              </w:rPr>
            </w:pPr>
            <w:r>
              <w:rPr>
                <w:rFonts w:ascii="宋体" w:hAnsi="宋体" w:cs="宋体" w:eastAsia="宋体" w:hint="default"/>
                <w:sz w:val="21"/>
                <w:szCs w:val="21"/>
              </w:rPr>
              <w:t>对鸿基公司责</w:t>
            </w:r>
            <w:r>
              <w:rPr>
                <w:rFonts w:ascii="宋体" w:hAnsi="宋体" w:cs="宋体" w:eastAsia="宋体" w:hint="default"/>
                <w:w w:val="100"/>
                <w:sz w:val="21"/>
                <w:szCs w:val="21"/>
              </w:rPr>
              <w:t> </w:t>
            </w:r>
            <w:r>
              <w:rPr>
                <w:rFonts w:ascii="宋体" w:hAnsi="宋体" w:cs="宋体" w:eastAsia="宋体" w:hint="default"/>
                <w:sz w:val="21"/>
                <w:szCs w:val="21"/>
              </w:rPr>
              <w:t>令改正，给予</w:t>
            </w:r>
            <w:r>
              <w:rPr>
                <w:rFonts w:ascii="宋体" w:hAnsi="宋体" w:cs="宋体" w:eastAsia="宋体" w:hint="default"/>
                <w:w w:val="100"/>
                <w:sz w:val="21"/>
                <w:szCs w:val="21"/>
              </w:rPr>
              <w:t> </w:t>
            </w:r>
            <w:r>
              <w:rPr>
                <w:rFonts w:ascii="宋体" w:hAnsi="宋体" w:cs="宋体" w:eastAsia="宋体" w:hint="default"/>
                <w:sz w:val="21"/>
                <w:szCs w:val="21"/>
              </w:rPr>
              <w:t>其警告，并处</w:t>
            </w:r>
            <w:r>
              <w:rPr>
                <w:rFonts w:ascii="宋体" w:hAnsi="宋体" w:cs="宋体" w:eastAsia="宋体" w:hint="default"/>
                <w:w w:val="100"/>
                <w:sz w:val="21"/>
                <w:szCs w:val="21"/>
              </w:rPr>
              <w:t> </w:t>
            </w:r>
            <w:r>
              <w:rPr>
                <w:rFonts w:ascii="宋体" w:hAnsi="宋体" w:cs="宋体" w:eastAsia="宋体" w:hint="default"/>
                <w:sz w:val="21"/>
                <w:szCs w:val="21"/>
              </w:rPr>
              <w:t>以</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60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万元罚</w:t>
            </w:r>
            <w:r>
              <w:rPr>
                <w:rFonts w:ascii="宋体" w:hAnsi="宋体" w:cs="宋体" w:eastAsia="宋体" w:hint="default"/>
                <w:spacing w:val="-102"/>
                <w:sz w:val="21"/>
                <w:szCs w:val="21"/>
              </w:rPr>
              <w:t> </w:t>
            </w:r>
            <w:r>
              <w:rPr>
                <w:rFonts w:ascii="宋体" w:hAnsi="宋体" w:cs="宋体" w:eastAsia="宋体" w:hint="default"/>
                <w:sz w:val="21"/>
                <w:szCs w:val="21"/>
              </w:rPr>
              <w:t>款；</w:t>
            </w:r>
          </w:p>
        </w:tc>
        <w:tc>
          <w:tcPr>
            <w:tcW w:w="137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28"/>
                <w:szCs w:val="28"/>
              </w:rPr>
            </w:pPr>
          </w:p>
          <w:p>
            <w:pPr>
              <w:pStyle w:val="TableParagraph"/>
              <w:spacing w:line="240" w:lineRule="auto"/>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26"/>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0"/>
              <w:ind w:right="0"/>
              <w:jc w:val="left"/>
              <w:rPr>
                <w:rFonts w:ascii="Microsoft JhengHei" w:hAnsi="Microsoft JhengHei" w:cs="Microsoft JhengHei" w:eastAsia="Microsoft JhengHei" w:hint="default"/>
                <w:b/>
                <w:bCs/>
                <w:sz w:val="20"/>
                <w:szCs w:val="2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1291"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邱瑞亨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17"/>
              <w:jc w:val="both"/>
              <w:rPr>
                <w:rFonts w:ascii="Times New Roman" w:hAnsi="Times New Roman" w:cs="Times New Roman" w:eastAsia="Times New Roman" w:hint="default"/>
                <w:sz w:val="21"/>
                <w:szCs w:val="21"/>
              </w:rPr>
            </w:pPr>
            <w:r>
              <w:rPr>
                <w:rFonts w:ascii="宋体" w:hAnsi="宋体" w:cs="宋体" w:eastAsia="宋体" w:hint="default"/>
                <w:sz w:val="21"/>
                <w:szCs w:val="21"/>
              </w:rPr>
              <w:t>时任公司董事</w:t>
            </w:r>
            <w:r>
              <w:rPr>
                <w:rFonts w:ascii="宋体" w:hAnsi="宋体" w:cs="宋体" w:eastAsia="宋体" w:hint="default"/>
                <w:w w:val="100"/>
                <w:sz w:val="21"/>
                <w:szCs w:val="21"/>
              </w:rPr>
              <w:t> </w:t>
            </w:r>
            <w:r>
              <w:rPr>
                <w:rFonts w:ascii="宋体" w:hAnsi="宋体" w:cs="宋体" w:eastAsia="宋体" w:hint="default"/>
                <w:spacing w:val="-9"/>
                <w:sz w:val="21"/>
                <w:szCs w:val="21"/>
              </w:rPr>
              <w:t>局主席、总裁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30</w:t>
            </w:r>
          </w:p>
          <w:p>
            <w:pPr>
              <w:pStyle w:val="TableParagraph"/>
              <w:spacing w:line="268" w:lineRule="exact"/>
              <w:ind w:left="23" w:right="0"/>
              <w:jc w:val="both"/>
              <w:rPr>
                <w:rFonts w:ascii="宋体" w:hAnsi="宋体" w:cs="宋体" w:eastAsia="宋体" w:hint="default"/>
                <w:sz w:val="21"/>
                <w:szCs w:val="21"/>
              </w:rPr>
            </w:pPr>
            <w:r>
              <w:rPr>
                <w:rFonts w:ascii="宋体" w:hAnsi="宋体" w:cs="宋体" w:eastAsia="宋体" w:hint="default"/>
                <w:sz w:val="21"/>
                <w:szCs w:val="21"/>
              </w:rPr>
              <w:t>日离职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17" w:lineRule="exact"/>
              <w:ind w:left="-135"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17" w:lineRule="exact"/>
              <w:ind w:left="23" w:right="0"/>
              <w:jc w:val="left"/>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67"/>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167"/>
              <w:ind w:left="23" w:right="17"/>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76"/>
                <w:sz w:val="21"/>
                <w:szCs w:val="21"/>
              </w:rPr>
              <w:t> </w:t>
            </w:r>
            <w:r>
              <w:rPr>
                <w:rFonts w:ascii="Times New Roman" w:hAnsi="Times New Roman" w:cs="Times New Roman" w:eastAsia="Times New Roman" w:hint="default"/>
                <w:spacing w:val="-3"/>
                <w:sz w:val="21"/>
                <w:szCs w:val="21"/>
              </w:rPr>
              <w:t>30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任国强</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时任公司证券</w:t>
            </w:r>
            <w:r>
              <w:rPr>
                <w:rFonts w:ascii="宋体" w:hAnsi="宋体" w:cs="宋体" w:eastAsia="宋体" w:hint="default"/>
                <w:w w:val="100"/>
                <w:sz w:val="21"/>
                <w:szCs w:val="21"/>
              </w:rPr>
              <w:t> </w:t>
            </w:r>
            <w:r>
              <w:rPr>
                <w:rFonts w:ascii="宋体" w:hAnsi="宋体" w:cs="宋体" w:eastAsia="宋体" w:hint="default"/>
                <w:sz w:val="21"/>
                <w:szCs w:val="21"/>
              </w:rPr>
              <w:t>部经理，</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w w:val="100"/>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月离职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17"/>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76"/>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26"/>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1291"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罗伟光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left"/>
              <w:rPr>
                <w:rFonts w:ascii="宋体" w:hAnsi="宋体" w:cs="宋体" w:eastAsia="宋体" w:hint="default"/>
                <w:sz w:val="21"/>
                <w:szCs w:val="21"/>
              </w:rPr>
            </w:pPr>
            <w:r>
              <w:rPr>
                <w:rFonts w:ascii="宋体" w:hAnsi="宋体" w:cs="宋体" w:eastAsia="宋体" w:hint="default"/>
                <w:sz w:val="21"/>
                <w:szCs w:val="21"/>
              </w:rPr>
              <w:t>时任公司董</w:t>
            </w:r>
            <w:r>
              <w:rPr>
                <w:rFonts w:ascii="宋体" w:hAnsi="宋体" w:cs="宋体" w:eastAsia="宋体" w:hint="default"/>
                <w:spacing w:val="-100"/>
                <w:sz w:val="21"/>
                <w:szCs w:val="21"/>
              </w:rPr>
              <w:t> </w:t>
            </w:r>
            <w:r>
              <w:rPr>
                <w:rFonts w:ascii="宋体" w:hAnsi="宋体" w:cs="宋体" w:eastAsia="宋体" w:hint="default"/>
                <w:sz w:val="21"/>
                <w:szCs w:val="21"/>
              </w:rPr>
              <w:t>事、副总裁；</w:t>
            </w:r>
            <w:r>
              <w:rPr>
                <w:rFonts w:ascii="宋体" w:hAnsi="宋体" w:cs="宋体" w:eastAsia="宋体" w:hint="default"/>
                <w:w w:val="100"/>
                <w:sz w:val="21"/>
                <w:szCs w:val="21"/>
              </w:rPr>
              <w:t> </w:t>
            </w:r>
            <w:r>
              <w:rPr>
                <w:rFonts w:ascii="宋体" w:hAnsi="宋体" w:cs="宋体" w:eastAsia="宋体" w:hint="default"/>
                <w:sz w:val="21"/>
                <w:szCs w:val="21"/>
              </w:rPr>
              <w:t>现任公司董</w:t>
            </w:r>
            <w:r>
              <w:rPr>
                <w:rFonts w:ascii="宋体" w:hAnsi="宋体" w:cs="宋体" w:eastAsia="宋体" w:hint="default"/>
                <w:spacing w:val="-100"/>
                <w:sz w:val="21"/>
                <w:szCs w:val="21"/>
              </w:rPr>
              <w:t> </w:t>
            </w:r>
            <w:r>
              <w:rPr>
                <w:rFonts w:ascii="宋体" w:hAnsi="宋体" w:cs="宋体" w:eastAsia="宋体" w:hint="default"/>
                <w:sz w:val="21"/>
                <w:szCs w:val="21"/>
              </w:rPr>
              <w:t>事、副总经理</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67"/>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167"/>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罗竣</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时任公司副总</w:t>
            </w:r>
            <w:r>
              <w:rPr>
                <w:rFonts w:ascii="宋体" w:hAnsi="宋体" w:cs="宋体" w:eastAsia="宋体" w:hint="default"/>
                <w:w w:val="100"/>
                <w:sz w:val="21"/>
                <w:szCs w:val="21"/>
              </w:rPr>
              <w:t> </w:t>
            </w:r>
            <w:r>
              <w:rPr>
                <w:rFonts w:ascii="宋体" w:hAnsi="宋体" w:cs="宋体" w:eastAsia="宋体" w:hint="default"/>
                <w:sz w:val="21"/>
                <w:szCs w:val="21"/>
              </w:rPr>
              <w:t>裁、现任公司</w:t>
            </w:r>
            <w:r>
              <w:rPr>
                <w:rFonts w:ascii="宋体" w:hAnsi="宋体" w:cs="宋体" w:eastAsia="宋体" w:hint="default"/>
                <w:w w:val="100"/>
                <w:sz w:val="21"/>
                <w:szCs w:val="21"/>
              </w:rPr>
              <w:t> </w:t>
            </w:r>
            <w:r>
              <w:rPr>
                <w:rFonts w:ascii="宋体" w:hAnsi="宋体" w:cs="宋体" w:eastAsia="宋体" w:hint="default"/>
                <w:sz w:val="21"/>
                <w:szCs w:val="21"/>
              </w:rPr>
              <w:t>高级巡视员</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26"/>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1286"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余毓凡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时任公司财务</w:t>
            </w:r>
            <w:r>
              <w:rPr>
                <w:rFonts w:ascii="宋体" w:hAnsi="宋体" w:cs="宋体" w:eastAsia="宋体" w:hint="default"/>
                <w:w w:val="100"/>
                <w:sz w:val="21"/>
                <w:szCs w:val="21"/>
              </w:rPr>
              <w:t> </w:t>
            </w:r>
            <w:r>
              <w:rPr>
                <w:rFonts w:ascii="宋体" w:hAnsi="宋体" w:cs="宋体" w:eastAsia="宋体" w:hint="default"/>
                <w:spacing w:val="-9"/>
                <w:sz w:val="21"/>
                <w:szCs w:val="21"/>
              </w:rPr>
              <w:t>总监、副总裁</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68" w:lineRule="exact"/>
              <w:ind w:left="23" w:right="0"/>
              <w:jc w:val="both"/>
              <w:rPr>
                <w:rFonts w:ascii="宋体" w:hAnsi="宋体" w:cs="宋体" w:eastAsia="宋体" w:hint="default"/>
                <w:sz w:val="21"/>
                <w:szCs w:val="21"/>
              </w:rPr>
            </w:pPr>
            <w:r>
              <w:rPr>
                <w:rFonts w:ascii="宋体" w:hAnsi="宋体" w:cs="宋体" w:eastAsia="宋体" w:hint="default"/>
                <w:sz w:val="21"/>
                <w:szCs w:val="21"/>
              </w:rPr>
              <w:t>离职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19" w:lineRule="exact"/>
              <w:ind w:left="-135"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19" w:lineRule="exact"/>
              <w:ind w:left="23" w:right="0"/>
              <w:jc w:val="left"/>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167"/>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167"/>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26"/>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1291"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邱圣凯</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
              <w:ind w:left="23" w:right="17"/>
              <w:jc w:val="left"/>
              <w:rPr>
                <w:rFonts w:ascii="宋体" w:hAnsi="宋体" w:cs="宋体" w:eastAsia="宋体" w:hint="default"/>
                <w:sz w:val="21"/>
                <w:szCs w:val="21"/>
              </w:rPr>
            </w:pPr>
            <w:r>
              <w:rPr>
                <w:rFonts w:ascii="宋体" w:hAnsi="宋体" w:cs="宋体" w:eastAsia="宋体" w:hint="default"/>
                <w:sz w:val="21"/>
                <w:szCs w:val="21"/>
              </w:rPr>
              <w:t>时任公司董</w:t>
            </w:r>
            <w:r>
              <w:rPr>
                <w:rFonts w:ascii="宋体" w:hAnsi="宋体" w:cs="宋体" w:eastAsia="宋体" w:hint="default"/>
                <w:spacing w:val="-100"/>
                <w:sz w:val="21"/>
                <w:szCs w:val="21"/>
              </w:rPr>
              <w:t> </w:t>
            </w:r>
            <w:r>
              <w:rPr>
                <w:rFonts w:ascii="宋体" w:hAnsi="宋体" w:cs="宋体" w:eastAsia="宋体" w:hint="default"/>
                <w:sz w:val="21"/>
                <w:szCs w:val="21"/>
              </w:rPr>
              <w:t>事、副总裁；</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月离</w:t>
            </w:r>
            <w:r>
              <w:rPr>
                <w:rFonts w:ascii="宋体" w:hAnsi="宋体" w:cs="宋体" w:eastAsia="宋体" w:hint="default"/>
                <w:w w:val="100"/>
                <w:sz w:val="21"/>
                <w:szCs w:val="21"/>
              </w:rPr>
              <w:t> </w:t>
            </w:r>
            <w:r>
              <w:rPr>
                <w:rFonts w:ascii="宋体" w:hAnsi="宋体" w:cs="宋体" w:eastAsia="宋体" w:hint="default"/>
                <w:sz w:val="21"/>
                <w:szCs w:val="21"/>
              </w:rPr>
              <w:t>职</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67"/>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67"/>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高文清</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3" w:right="70"/>
              <w:jc w:val="left"/>
              <w:rPr>
                <w:rFonts w:ascii="宋体" w:hAnsi="宋体" w:cs="宋体" w:eastAsia="宋体" w:hint="default"/>
                <w:sz w:val="21"/>
                <w:szCs w:val="21"/>
              </w:rPr>
            </w:pPr>
            <w:r>
              <w:rPr>
                <w:rFonts w:ascii="宋体" w:hAnsi="宋体" w:cs="宋体" w:eastAsia="宋体" w:hint="default"/>
                <w:sz w:val="21"/>
                <w:szCs w:val="21"/>
              </w:rPr>
              <w:t>时任公司董</w:t>
            </w:r>
            <w:r>
              <w:rPr>
                <w:rFonts w:ascii="宋体" w:hAnsi="宋体" w:cs="宋体" w:eastAsia="宋体" w:hint="default"/>
                <w:spacing w:val="-100"/>
                <w:sz w:val="21"/>
                <w:szCs w:val="21"/>
              </w:rPr>
              <w:t> </w:t>
            </w:r>
            <w:r>
              <w:rPr>
                <w:rFonts w:ascii="宋体" w:hAnsi="宋体" w:cs="宋体" w:eastAsia="宋体" w:hint="default"/>
                <w:sz w:val="21"/>
                <w:szCs w:val="21"/>
              </w:rPr>
              <w:t>事、副总裁；</w:t>
            </w:r>
            <w:r>
              <w:rPr>
                <w:rFonts w:ascii="宋体" w:hAnsi="宋体" w:cs="宋体" w:eastAsia="宋体" w:hint="default"/>
                <w:w w:val="100"/>
                <w:sz w:val="21"/>
                <w:szCs w:val="21"/>
              </w:rPr>
              <w:t> </w:t>
            </w:r>
            <w:r>
              <w:rPr>
                <w:rFonts w:ascii="宋体" w:hAnsi="宋体" w:cs="宋体" w:eastAsia="宋体" w:hint="default"/>
                <w:sz w:val="21"/>
                <w:szCs w:val="21"/>
              </w:rPr>
              <w:t>现任公司董事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1291"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颜金辉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left"/>
              <w:rPr>
                <w:rFonts w:ascii="宋体" w:hAnsi="宋体" w:cs="宋体" w:eastAsia="宋体" w:hint="default"/>
                <w:sz w:val="21"/>
                <w:szCs w:val="21"/>
              </w:rPr>
            </w:pPr>
            <w:r>
              <w:rPr>
                <w:rFonts w:ascii="宋体" w:hAnsi="宋体" w:cs="宋体" w:eastAsia="宋体" w:hint="default"/>
                <w:sz w:val="21"/>
                <w:szCs w:val="21"/>
              </w:rPr>
              <w:t>时任公司董</w:t>
            </w:r>
            <w:r>
              <w:rPr>
                <w:rFonts w:ascii="宋体" w:hAnsi="宋体" w:cs="宋体" w:eastAsia="宋体" w:hint="default"/>
                <w:spacing w:val="-100"/>
                <w:sz w:val="21"/>
                <w:szCs w:val="21"/>
              </w:rPr>
              <w:t> </w:t>
            </w:r>
            <w:r>
              <w:rPr>
                <w:rFonts w:ascii="宋体" w:hAnsi="宋体" w:cs="宋体" w:eastAsia="宋体" w:hint="default"/>
                <w:sz w:val="21"/>
                <w:szCs w:val="21"/>
              </w:rPr>
              <w:t>事、副总裁；</w:t>
            </w:r>
            <w:r>
              <w:rPr>
                <w:rFonts w:ascii="宋体" w:hAnsi="宋体" w:cs="宋体" w:eastAsia="宋体" w:hint="default"/>
                <w:w w:val="100"/>
                <w:sz w:val="21"/>
                <w:szCs w:val="21"/>
              </w:rPr>
              <w:t> </w:t>
            </w:r>
            <w:r>
              <w:rPr>
                <w:rFonts w:ascii="宋体" w:hAnsi="宋体" w:cs="宋体" w:eastAsia="宋体" w:hint="default"/>
                <w:sz w:val="21"/>
                <w:szCs w:val="21"/>
              </w:rPr>
              <w:t>现任公司副董</w:t>
            </w:r>
            <w:r>
              <w:rPr>
                <w:rFonts w:ascii="宋体" w:hAnsi="宋体" w:cs="宋体" w:eastAsia="宋体" w:hint="default"/>
                <w:w w:val="100"/>
                <w:sz w:val="21"/>
                <w:szCs w:val="21"/>
              </w:rPr>
              <w:t> </w:t>
            </w:r>
            <w:r>
              <w:rPr>
                <w:rFonts w:ascii="宋体" w:hAnsi="宋体" w:cs="宋体" w:eastAsia="宋体" w:hint="default"/>
                <w:sz w:val="21"/>
                <w:szCs w:val="21"/>
              </w:rPr>
              <w:t>事长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8"/>
                <w:szCs w:val="2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67"/>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67"/>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9"/>
                <w:szCs w:val="19"/>
              </w:rPr>
            </w:pPr>
          </w:p>
          <w:p>
            <w:pPr>
              <w:pStyle w:val="TableParagraph"/>
              <w:spacing w:line="240" w:lineRule="auto"/>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6"/>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庄伟鑫</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3" w:right="70"/>
              <w:jc w:val="left"/>
              <w:rPr>
                <w:rFonts w:ascii="Times New Roman" w:hAnsi="Times New Roman" w:cs="Times New Roman" w:eastAsia="Times New Roman" w:hint="default"/>
                <w:sz w:val="21"/>
                <w:szCs w:val="21"/>
              </w:rPr>
            </w:pPr>
            <w:r>
              <w:rPr>
                <w:rFonts w:ascii="宋体" w:hAnsi="宋体" w:cs="宋体" w:eastAsia="宋体" w:hint="default"/>
                <w:sz w:val="21"/>
                <w:szCs w:val="21"/>
              </w:rPr>
              <w:t>时任公司董</w:t>
            </w:r>
            <w:r>
              <w:rPr>
                <w:rFonts w:ascii="宋体" w:hAnsi="宋体" w:cs="宋体" w:eastAsia="宋体" w:hint="default"/>
                <w:spacing w:val="-100"/>
                <w:sz w:val="21"/>
                <w:szCs w:val="21"/>
              </w:rPr>
              <w:t> </w:t>
            </w:r>
            <w:r>
              <w:rPr>
                <w:rFonts w:ascii="宋体" w:hAnsi="宋体" w:cs="宋体" w:eastAsia="宋体" w:hint="default"/>
                <w:sz w:val="21"/>
                <w:szCs w:val="21"/>
              </w:rPr>
              <w:t>事；</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5</w:t>
            </w:r>
          </w:p>
          <w:p>
            <w:pPr>
              <w:pStyle w:val="TableParagraph"/>
              <w:spacing w:line="277"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日离任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吕改秋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3" w:right="70"/>
              <w:jc w:val="left"/>
              <w:rPr>
                <w:rFonts w:ascii="Times New Roman" w:hAnsi="Times New Roman" w:cs="Times New Roman" w:eastAsia="Times New Roman" w:hint="default"/>
                <w:sz w:val="21"/>
                <w:szCs w:val="21"/>
              </w:rPr>
            </w:pPr>
            <w:r>
              <w:rPr>
                <w:rFonts w:ascii="宋体" w:hAnsi="宋体" w:cs="宋体" w:eastAsia="宋体" w:hint="default"/>
                <w:sz w:val="21"/>
                <w:szCs w:val="21"/>
              </w:rPr>
              <w:t>时任公司董</w:t>
            </w:r>
            <w:r>
              <w:rPr>
                <w:rFonts w:ascii="宋体" w:hAnsi="宋体" w:cs="宋体" w:eastAsia="宋体" w:hint="default"/>
                <w:spacing w:val="-100"/>
                <w:sz w:val="21"/>
                <w:szCs w:val="21"/>
              </w:rPr>
              <w:t> </w:t>
            </w:r>
            <w:r>
              <w:rPr>
                <w:rFonts w:ascii="宋体" w:hAnsi="宋体" w:cs="宋体" w:eastAsia="宋体" w:hint="default"/>
                <w:sz w:val="21"/>
                <w:szCs w:val="21"/>
              </w:rPr>
              <w:t>事；</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6</w:t>
            </w:r>
          </w:p>
          <w:p>
            <w:pPr>
              <w:pStyle w:val="TableParagraph"/>
              <w:spacing w:line="277" w:lineRule="exact"/>
              <w:ind w:left="23"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日离任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bl>
    <w:p>
      <w:pPr>
        <w:spacing w:after="0" w:line="240" w:lineRule="auto"/>
        <w:jc w:val="left"/>
        <w:rPr>
          <w:rFonts w:ascii="Times New Roman" w:hAnsi="Times New Roman" w:cs="Times New Roman" w:eastAsia="Times New Roman" w:hint="default"/>
          <w:sz w:val="21"/>
          <w:szCs w:val="21"/>
        </w:rPr>
        <w:sectPr>
          <w:pgSz w:w="11900" w:h="16840"/>
          <w:pgMar w:header="872" w:footer="957" w:top="1120" w:bottom="118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373"/>
        <w:gridCol w:w="1368"/>
        <w:gridCol w:w="1368"/>
        <w:gridCol w:w="1368"/>
        <w:gridCol w:w="1368"/>
        <w:gridCol w:w="1373"/>
        <w:gridCol w:w="1368"/>
      </w:tblGrid>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周可添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17"/>
              <w:jc w:val="both"/>
              <w:rPr>
                <w:rFonts w:ascii="宋体" w:hAnsi="宋体" w:cs="宋体" w:eastAsia="宋体" w:hint="default"/>
                <w:sz w:val="21"/>
                <w:szCs w:val="21"/>
              </w:rPr>
            </w:pPr>
            <w:r>
              <w:rPr>
                <w:rFonts w:ascii="宋体" w:hAnsi="宋体" w:cs="宋体" w:eastAsia="宋体" w:hint="default"/>
                <w:sz w:val="21"/>
                <w:szCs w:val="21"/>
              </w:rPr>
              <w:t>时任公司独立</w:t>
            </w:r>
            <w:r>
              <w:rPr>
                <w:rFonts w:ascii="宋体" w:hAnsi="宋体" w:cs="宋体" w:eastAsia="宋体" w:hint="default"/>
                <w:w w:val="100"/>
                <w:sz w:val="21"/>
                <w:szCs w:val="21"/>
              </w:rPr>
              <w:t> </w:t>
            </w:r>
            <w:r>
              <w:rPr>
                <w:rFonts w:ascii="宋体" w:hAnsi="宋体" w:cs="宋体" w:eastAsia="宋体" w:hint="default"/>
                <w:sz w:val="21"/>
                <w:szCs w:val="21"/>
              </w:rPr>
              <w:t>董事；</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 </w:t>
            </w:r>
            <w:r>
              <w:rPr>
                <w:rFonts w:ascii="宋体" w:hAnsi="宋体" w:cs="宋体" w:eastAsia="宋体" w:hint="default"/>
                <w:sz w:val="21"/>
                <w:szCs w:val="21"/>
              </w:rPr>
              <w:t>日离任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陈凤娇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17"/>
              <w:jc w:val="both"/>
              <w:rPr>
                <w:rFonts w:ascii="宋体" w:hAnsi="宋体" w:cs="宋体" w:eastAsia="宋体" w:hint="default"/>
                <w:sz w:val="21"/>
                <w:szCs w:val="21"/>
              </w:rPr>
            </w:pPr>
            <w:r>
              <w:rPr>
                <w:rFonts w:ascii="宋体" w:hAnsi="宋体" w:cs="宋体" w:eastAsia="宋体" w:hint="default"/>
                <w:sz w:val="21"/>
                <w:szCs w:val="21"/>
              </w:rPr>
              <w:t>时任公司独立</w:t>
            </w:r>
            <w:r>
              <w:rPr>
                <w:rFonts w:ascii="宋体" w:hAnsi="宋体" w:cs="宋体" w:eastAsia="宋体" w:hint="default"/>
                <w:w w:val="100"/>
                <w:sz w:val="21"/>
                <w:szCs w:val="21"/>
              </w:rPr>
              <w:t> </w:t>
            </w:r>
            <w:r>
              <w:rPr>
                <w:rFonts w:ascii="宋体" w:hAnsi="宋体" w:cs="宋体" w:eastAsia="宋体" w:hint="default"/>
                <w:sz w:val="21"/>
                <w:szCs w:val="21"/>
              </w:rPr>
              <w:t>董事；</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26 </w:t>
            </w:r>
            <w:r>
              <w:rPr>
                <w:rFonts w:ascii="宋体" w:hAnsi="宋体" w:cs="宋体" w:eastAsia="宋体" w:hint="default"/>
                <w:sz w:val="21"/>
                <w:szCs w:val="21"/>
              </w:rPr>
              <w:t>日离任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何祥增</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17"/>
              <w:jc w:val="both"/>
              <w:rPr>
                <w:rFonts w:ascii="宋体" w:hAnsi="宋体" w:cs="宋体" w:eastAsia="宋体" w:hint="default"/>
                <w:sz w:val="21"/>
                <w:szCs w:val="21"/>
              </w:rPr>
            </w:pPr>
            <w:r>
              <w:rPr>
                <w:rFonts w:ascii="宋体" w:hAnsi="宋体" w:cs="宋体" w:eastAsia="宋体" w:hint="default"/>
                <w:sz w:val="21"/>
                <w:szCs w:val="21"/>
              </w:rPr>
              <w:t>时任公司独立</w:t>
            </w:r>
            <w:r>
              <w:rPr>
                <w:rFonts w:ascii="宋体" w:hAnsi="宋体" w:cs="宋体" w:eastAsia="宋体" w:hint="default"/>
                <w:w w:val="100"/>
                <w:sz w:val="21"/>
                <w:szCs w:val="21"/>
              </w:rPr>
              <w:t> </w:t>
            </w:r>
            <w:r>
              <w:rPr>
                <w:rFonts w:ascii="宋体" w:hAnsi="宋体" w:cs="宋体" w:eastAsia="宋体" w:hint="default"/>
                <w:sz w:val="21"/>
                <w:szCs w:val="21"/>
              </w:rPr>
              <w:t>董事；</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26 </w:t>
            </w:r>
            <w:r>
              <w:rPr>
                <w:rFonts w:ascii="宋体" w:hAnsi="宋体" w:cs="宋体" w:eastAsia="宋体" w:hint="default"/>
                <w:sz w:val="21"/>
                <w:szCs w:val="21"/>
              </w:rPr>
              <w:t>日离任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5"/>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r>
        <w:trPr>
          <w:trHeight w:val="970"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魏达志</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
              <w:ind w:left="23" w:right="17"/>
              <w:jc w:val="both"/>
              <w:rPr>
                <w:rFonts w:ascii="宋体" w:hAnsi="宋体" w:cs="宋体" w:eastAsia="宋体" w:hint="default"/>
                <w:sz w:val="21"/>
                <w:szCs w:val="21"/>
              </w:rPr>
            </w:pPr>
            <w:r>
              <w:rPr>
                <w:rFonts w:ascii="宋体" w:hAnsi="宋体" w:cs="宋体" w:eastAsia="宋体" w:hint="default"/>
                <w:sz w:val="21"/>
                <w:szCs w:val="21"/>
              </w:rPr>
              <w:t>时任公司独立</w:t>
            </w:r>
            <w:r>
              <w:rPr>
                <w:rFonts w:ascii="宋体" w:hAnsi="宋体" w:cs="宋体" w:eastAsia="宋体" w:hint="default"/>
                <w:w w:val="100"/>
                <w:sz w:val="21"/>
                <w:szCs w:val="21"/>
              </w:rPr>
              <w:t> </w:t>
            </w:r>
            <w:r>
              <w:rPr>
                <w:rFonts w:ascii="宋体" w:hAnsi="宋体" w:cs="宋体" w:eastAsia="宋体" w:hint="default"/>
                <w:sz w:val="21"/>
                <w:szCs w:val="21"/>
              </w:rPr>
              <w:t>董事；</w:t>
            </w: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 </w:t>
            </w:r>
            <w:r>
              <w:rPr>
                <w:rFonts w:ascii="宋体" w:hAnsi="宋体" w:cs="宋体" w:eastAsia="宋体" w:hint="default"/>
                <w:sz w:val="21"/>
                <w:szCs w:val="21"/>
              </w:rPr>
              <w:t>日离任</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8"/>
                <w:szCs w:val="18"/>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信息披露违法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3" w:right="70"/>
              <w:jc w:val="both"/>
              <w:rPr>
                <w:rFonts w:ascii="宋体" w:hAnsi="宋体" w:cs="宋体" w:eastAsia="宋体" w:hint="default"/>
                <w:sz w:val="21"/>
                <w:szCs w:val="21"/>
              </w:rPr>
            </w:pPr>
            <w:r>
              <w:rPr>
                <w:rFonts w:ascii="宋体" w:hAnsi="宋体" w:cs="宋体" w:eastAsia="宋体" w:hint="default"/>
                <w:sz w:val="21"/>
                <w:szCs w:val="21"/>
              </w:rPr>
              <w:t>被中国证监会</w:t>
            </w:r>
            <w:r>
              <w:rPr>
                <w:rFonts w:ascii="宋体" w:hAnsi="宋体" w:cs="宋体" w:eastAsia="宋体" w:hint="default"/>
                <w:w w:val="100"/>
                <w:sz w:val="21"/>
                <w:szCs w:val="21"/>
              </w:rPr>
              <w:t> </w:t>
            </w:r>
            <w:r>
              <w:rPr>
                <w:rFonts w:ascii="宋体" w:hAnsi="宋体" w:cs="宋体" w:eastAsia="宋体" w:hint="default"/>
                <w:sz w:val="21"/>
                <w:szCs w:val="21"/>
              </w:rPr>
              <w:t>立案调查或行</w:t>
            </w:r>
            <w:r>
              <w:rPr>
                <w:rFonts w:ascii="宋体" w:hAnsi="宋体" w:cs="宋体" w:eastAsia="宋体" w:hint="default"/>
                <w:w w:val="100"/>
                <w:sz w:val="21"/>
                <w:szCs w:val="21"/>
              </w:rPr>
              <w:t> </w:t>
            </w:r>
            <w:r>
              <w:rPr>
                <w:rFonts w:ascii="宋体" w:hAnsi="宋体" w:cs="宋体" w:eastAsia="宋体" w:hint="default"/>
                <w:sz w:val="21"/>
                <w:szCs w:val="21"/>
              </w:rPr>
              <w:t>政处罚</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9"/>
              <w:ind w:left="23" w:right="69"/>
              <w:jc w:val="both"/>
              <w:rPr>
                <w:rFonts w:ascii="宋体" w:hAnsi="宋体" w:cs="宋体" w:eastAsia="宋体" w:hint="default"/>
                <w:sz w:val="21"/>
                <w:szCs w:val="21"/>
              </w:rPr>
            </w:pPr>
            <w:r>
              <w:rPr>
                <w:rFonts w:ascii="宋体" w:hAnsi="宋体" w:cs="宋体" w:eastAsia="宋体" w:hint="default"/>
                <w:sz w:val="21"/>
                <w:szCs w:val="21"/>
              </w:rPr>
              <w:t>给予警告，并</w:t>
            </w:r>
            <w:r>
              <w:rPr>
                <w:rFonts w:ascii="宋体" w:hAnsi="宋体" w:cs="宋体" w:eastAsia="宋体" w:hint="default"/>
                <w:w w:val="100"/>
                <w:sz w:val="21"/>
                <w:szCs w:val="21"/>
              </w:rPr>
              <w:t> </w:t>
            </w:r>
            <w:r>
              <w:rPr>
                <w:rFonts w:ascii="宋体" w:hAnsi="宋体" w:cs="宋体" w:eastAsia="宋体" w:hint="default"/>
                <w:sz w:val="21"/>
                <w:szCs w:val="21"/>
              </w:rPr>
              <w:t>处以</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万元罚</w:t>
            </w:r>
            <w:r>
              <w:rPr>
                <w:rFonts w:ascii="宋体" w:hAnsi="宋体" w:cs="宋体" w:eastAsia="宋体" w:hint="default"/>
                <w:w w:val="100"/>
                <w:sz w:val="21"/>
                <w:szCs w:val="21"/>
              </w:rPr>
              <w:t> </w:t>
            </w:r>
            <w:r>
              <w:rPr>
                <w:rFonts w:ascii="宋体" w:hAnsi="宋体" w:cs="宋体" w:eastAsia="宋体" w:hint="default"/>
                <w:sz w:val="21"/>
                <w:szCs w:val="21"/>
              </w:rPr>
              <w:t>款</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40" w:lineRule="auto" w:before="31"/>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2012-48</w:t>
            </w:r>
          </w:p>
        </w:tc>
      </w:tr>
    </w:tbl>
    <w:p>
      <w:pPr>
        <w:pStyle w:val="BodyText"/>
        <w:spacing w:line="241" w:lineRule="exact"/>
        <w:ind w:right="0"/>
        <w:jc w:val="left"/>
      </w:pPr>
      <w:r>
        <w:rPr/>
        <w:t>整改情况说明</w:t>
      </w:r>
    </w:p>
    <w:p>
      <w:pPr>
        <w:pStyle w:val="BodyText"/>
        <w:spacing w:line="345" w:lineRule="auto" w:before="138"/>
        <w:ind w:right="0" w:firstLine="422"/>
        <w:jc w:val="left"/>
      </w:pPr>
      <w:r>
        <w:rPr/>
        <w:t>公司于</w:t>
      </w:r>
      <w:r>
        <w:rPr>
          <w:spacing w:val="-54"/>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1"/>
        </w:rPr>
        <w:t> </w:t>
      </w:r>
      <w:r>
        <w:rPr/>
        <w:t>年度对法人股事项展开清查清收工作，并对已查明的法人股进行了前期会计差错更正并</w:t>
      </w:r>
      <w:r>
        <w:rPr>
          <w:w w:val="100"/>
        </w:rPr>
        <w:t> </w:t>
      </w:r>
      <w:r>
        <w:rPr>
          <w:spacing w:val="-2"/>
        </w:rPr>
        <w:t>追溯调整。本公司基于稳健性原则对已查明应收的法人股相关款项及代缴税款已全额计提了坏帐准备。本</w:t>
      </w:r>
      <w:r>
        <w:rPr>
          <w:spacing w:val="-35"/>
        </w:rPr>
        <w:t> </w:t>
      </w:r>
      <w:r>
        <w:rPr>
          <w:spacing w:val="-35"/>
        </w:rPr>
      </w:r>
      <w:r>
        <w:rPr/>
        <w:t>年度公司继续加大力度对已查明的应收款项及代缴税款进行后续追收。</w:t>
      </w:r>
    </w:p>
    <w:p>
      <w:pPr>
        <w:spacing w:line="240" w:lineRule="auto" w:before="6"/>
        <w:rPr>
          <w:rFonts w:ascii="宋体" w:hAnsi="宋体" w:cs="宋体" w:eastAsia="宋体" w:hint="default"/>
          <w:sz w:val="21"/>
          <w:szCs w:val="21"/>
        </w:rPr>
      </w:pPr>
    </w:p>
    <w:p>
      <w:pPr>
        <w:pStyle w:val="BodyText"/>
        <w:spacing w:line="336" w:lineRule="auto"/>
        <w:ind w:right="0"/>
        <w:jc w:val="left"/>
      </w:pPr>
      <w:r>
        <w:rPr>
          <w:spacing w:val="-1"/>
        </w:rPr>
        <w:t>董事、监事、高级管理人员、持股</w:t>
      </w:r>
      <w:r>
        <w:rPr/>
        <w:t> </w:t>
      </w:r>
      <w:r>
        <w:rPr>
          <w:rFonts w:ascii="Times New Roman" w:hAnsi="Times New Roman" w:cs="Times New Roman" w:eastAsia="Times New Roman" w:hint="default"/>
          <w:spacing w:val="-2"/>
        </w:rPr>
        <w:t>5%</w:t>
      </w:r>
      <w:r>
        <w:rPr>
          <w:spacing w:val="-2"/>
        </w:rPr>
        <w:t>以上的股东涉嫌违规买卖公司股票且公司已披露将收回涉嫌违规所</w:t>
      </w:r>
      <w:r>
        <w:rPr>
          <w:spacing w:val="-83"/>
        </w:rPr>
        <w:t> </w:t>
      </w:r>
      <w:r>
        <w:rPr>
          <w:spacing w:val="-83"/>
        </w:rPr>
      </w:r>
      <w:r>
        <w:rPr/>
        <w:t>得收益的情况</w:t>
      </w:r>
    </w:p>
    <w:p>
      <w:pPr>
        <w:pStyle w:val="BodyText"/>
        <w:tabs>
          <w:tab w:pos="1016" w:val="left" w:leader="none"/>
        </w:tabs>
        <w:spacing w:line="240" w:lineRule="auto" w:before="49"/>
        <w:ind w:right="0"/>
        <w:jc w:val="left"/>
      </w:pPr>
      <w:r>
        <w:rPr>
          <w:rFonts w:ascii="Times New Roman" w:hAnsi="Times New Roman" w:cs="Times New Roman" w:eastAsia="Times New Roman" w:hint="default"/>
        </w:rPr>
        <w:t>□  </w:t>
      </w:r>
      <w:r>
        <w:rPr/>
        <w:t>适用</w:t>
        <w:tab/>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240" w:lineRule="auto" w:before="5"/>
        <w:rPr>
          <w:rFonts w:ascii="宋体" w:hAnsi="宋体" w:cs="宋体" w:eastAsia="宋体" w:hint="default"/>
          <w:sz w:val="25"/>
          <w:szCs w:val="25"/>
        </w:rPr>
      </w:pPr>
    </w:p>
    <w:p>
      <w:pPr>
        <w:pStyle w:val="Heading4"/>
        <w:spacing w:line="240" w:lineRule="auto"/>
        <w:ind w:right="0"/>
        <w:jc w:val="left"/>
        <w:rPr>
          <w:b w:val="0"/>
          <w:bCs w:val="0"/>
        </w:rPr>
      </w:pPr>
      <w:r>
        <w:rPr/>
        <w:t>七、公司子公司重要事项</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36" w:lineRule="auto"/>
        <w:ind w:right="146"/>
        <w:jc w:val="left"/>
        <w:rPr>
          <w:rFonts w:ascii="Times New Roman" w:hAnsi="Times New Roman" w:cs="Times New Roman" w:eastAsia="Times New Roman" w:hint="default"/>
        </w:rPr>
      </w:pPr>
      <w:r>
        <w:rPr>
          <w:rFonts w:ascii="Times New Roman" w:hAnsi="Times New Roman" w:cs="Times New Roman" w:eastAsia="Times New Roman" w:hint="default"/>
          <w:spacing w:val="-2"/>
        </w:rPr>
        <w:t>1</w:t>
      </w:r>
      <w:r>
        <w:rPr>
          <w:spacing w:val="-2"/>
        </w:rPr>
        <w:t>、公司全资子公司</w:t>
      </w:r>
      <w:r>
        <w:rPr>
          <w:rFonts w:ascii="Times New Roman" w:hAnsi="Times New Roman" w:cs="Times New Roman" w:eastAsia="Times New Roman" w:hint="default"/>
          <w:spacing w:val="-2"/>
        </w:rPr>
        <w:t>——</w:t>
      </w:r>
      <w:r>
        <w:rPr>
          <w:spacing w:val="-2"/>
        </w:rPr>
        <w:t>惠东县宝安鸿基房地产开发有限公司获得土地使用权事项，已于</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23</w:t>
      </w:r>
      <w:r>
        <w:rPr>
          <w:spacing w:val="-2"/>
        </w:rPr>
        <w:t>日披</w:t>
      </w:r>
      <w:r>
        <w:rPr>
          <w:spacing w:val="-32"/>
        </w:rPr>
        <w:t> </w:t>
      </w:r>
      <w:r>
        <w:rPr>
          <w:spacing w:val="-32"/>
        </w:rPr>
      </w:r>
      <w:r>
        <w:rPr/>
        <w:t>露在巨潮资讯网</w:t>
      </w:r>
      <w:hyperlink r:id="rId12">
        <w:r>
          <w:rPr>
            <w:rFonts w:ascii="Times New Roman" w:hAnsi="Times New Roman" w:cs="Times New Roman" w:eastAsia="Times New Roman" w:hint="default"/>
          </w:rPr>
          <w:t>www.cninfo.com.cn</w:t>
        </w:r>
      </w:hyperlink>
      <w:r>
        <w:rPr/>
        <w:t>，公告编号</w:t>
      </w:r>
      <w:r>
        <w:rPr>
          <w:rFonts w:ascii="Times New Roman" w:hAnsi="Times New Roman" w:cs="Times New Roman" w:eastAsia="Times New Roman" w:hint="default"/>
        </w:rPr>
        <w:t>2012-02</w:t>
      </w:r>
      <w:r>
        <w:rPr/>
        <w:t>；</w:t>
      </w:r>
      <w:r>
        <w:rPr>
          <w:w w:val="100"/>
        </w:rPr>
        <w:t> </w:t>
      </w:r>
      <w:r>
        <w:rPr>
          <w:rFonts w:ascii="Times New Roman" w:hAnsi="Times New Roman" w:cs="Times New Roman" w:eastAsia="Times New Roman" w:hint="default"/>
          <w:spacing w:val="-2"/>
        </w:rPr>
        <w:t>2</w:t>
      </w:r>
      <w:r>
        <w:rPr>
          <w:spacing w:val="-2"/>
        </w:rPr>
        <w:t>、公司全资子公司</w:t>
      </w:r>
      <w:r>
        <w:rPr>
          <w:rFonts w:ascii="Times New Roman" w:hAnsi="Times New Roman" w:cs="Times New Roman" w:eastAsia="Times New Roman" w:hint="default"/>
          <w:spacing w:val="-2"/>
        </w:rPr>
        <w:t>——</w:t>
      </w:r>
      <w:r>
        <w:rPr>
          <w:spacing w:val="-2"/>
        </w:rPr>
        <w:t>深圳市龙岗鸿基发展有限公司转让所持深圳市宝鹏投资发展有限公司</w:t>
      </w:r>
      <w:r>
        <w:rPr>
          <w:rFonts w:ascii="Times New Roman" w:hAnsi="Times New Roman" w:cs="Times New Roman" w:eastAsia="Times New Roman" w:hint="default"/>
          <w:spacing w:val="-2"/>
        </w:rPr>
        <w:t>100%</w:t>
      </w:r>
      <w:r>
        <w:rPr>
          <w:spacing w:val="-2"/>
        </w:rPr>
        <w:t>股权事</w:t>
      </w:r>
      <w:r>
        <w:rPr>
          <w:spacing w:val="-11"/>
        </w:rPr>
        <w:t> </w:t>
      </w:r>
      <w:r>
        <w:rPr/>
        <w:t>项，已于</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10</w:t>
      </w:r>
      <w:r>
        <w:rPr/>
        <w:t>日披露在巨潮资讯网</w:t>
      </w:r>
      <w:hyperlink r:id="rId12">
        <w:r>
          <w:rPr>
            <w:rFonts w:ascii="Times New Roman" w:hAnsi="Times New Roman" w:cs="Times New Roman" w:eastAsia="Times New Roman" w:hint="default"/>
          </w:rPr>
          <w:t>www.cninfo.com.cn</w:t>
        </w:r>
      </w:hyperlink>
      <w:r>
        <w:rPr/>
        <w:t>，公告编号</w:t>
      </w:r>
      <w:r>
        <w:rPr>
          <w:rFonts w:ascii="Times New Roman" w:hAnsi="Times New Roman" w:cs="Times New Roman" w:eastAsia="Times New Roman" w:hint="default"/>
        </w:rPr>
        <w:t>2012-41</w:t>
      </w:r>
    </w:p>
    <w:p>
      <w:pPr>
        <w:spacing w:line="240" w:lineRule="auto" w:before="9"/>
        <w:rPr>
          <w:rFonts w:ascii="Times New Roman" w:hAnsi="Times New Roman" w:cs="Times New Roman" w:eastAsia="Times New Roman" w:hint="default"/>
          <w:sz w:val="20"/>
          <w:szCs w:val="20"/>
        </w:rPr>
      </w:pPr>
    </w:p>
    <w:p>
      <w:pPr>
        <w:pStyle w:val="Heading4"/>
        <w:spacing w:line="352" w:lineRule="auto"/>
        <w:ind w:right="2441"/>
        <w:jc w:val="left"/>
        <w:rPr>
          <w:b w:val="0"/>
          <w:bCs w:val="0"/>
        </w:rPr>
      </w:pPr>
      <w:r>
        <w:rPr/>
        <w:t>八、其他事项</w:t>
      </w:r>
      <w:r>
        <w:rPr>
          <w:spacing w:val="-57"/>
        </w:rPr>
        <w:t> </w:t>
      </w:r>
      <w:r>
        <w:rPr>
          <w:spacing w:val="-57"/>
        </w:rPr>
      </w:r>
      <w:r>
        <w:rPr/>
        <w:t>公司与深圳市永浩房地产开发有限公司合作开发梅林</w:t>
      </w:r>
      <w:r>
        <w:rPr>
          <w:rFonts w:ascii="Times New Roman" w:hAnsi="Times New Roman" w:cs="Times New Roman" w:eastAsia="Times New Roman" w:hint="default"/>
        </w:rPr>
        <w:t>B403-19</w:t>
      </w:r>
      <w:r>
        <w:rPr/>
        <w:t>地块事项</w:t>
      </w:r>
      <w:r>
        <w:rPr>
          <w:b w:val="0"/>
          <w:bCs w:val="0"/>
        </w:rPr>
      </w:r>
    </w:p>
    <w:p>
      <w:pPr>
        <w:pStyle w:val="Heading5"/>
        <w:spacing w:line="306" w:lineRule="exact"/>
        <w:ind w:left="632" w:right="0"/>
        <w:jc w:val="left"/>
        <w:rPr>
          <w:rFonts w:ascii="宋体" w:hAnsi="宋体" w:cs="宋体" w:eastAsia="宋体" w:hint="default"/>
        </w:rPr>
      </w:pPr>
      <w:r>
        <w:rPr>
          <w:rFonts w:ascii="宋体" w:hAnsi="宋体" w:cs="宋体" w:eastAsia="宋体" w:hint="default"/>
        </w:rPr>
        <w:t>报告期内，公司已全额收到项目固定收益款</w:t>
      </w:r>
      <w:r>
        <w:rPr>
          <w:rFonts w:ascii="Times New Roman" w:hAnsi="Times New Roman" w:cs="Times New Roman" w:eastAsia="Times New Roman" w:hint="default"/>
        </w:rPr>
        <w:t>7500</w:t>
      </w:r>
      <w:r>
        <w:rPr>
          <w:rFonts w:ascii="宋体" w:hAnsi="宋体" w:cs="宋体" w:eastAsia="宋体" w:hint="default"/>
        </w:rPr>
        <w:t>万元。（合作事项及相关进展详见公司</w:t>
      </w:r>
    </w:p>
    <w:p>
      <w:pPr>
        <w:pStyle w:val="Heading5"/>
        <w:spacing w:line="240" w:lineRule="auto" w:before="138"/>
        <w:ind w:right="0"/>
        <w:jc w:val="left"/>
        <w:rPr>
          <w:rFonts w:ascii="宋体" w:hAnsi="宋体" w:cs="宋体" w:eastAsia="宋体" w:hint="default"/>
        </w:rPr>
      </w:pPr>
      <w:r>
        <w:rPr>
          <w:rFonts w:ascii="Times New Roman" w:hAnsi="Times New Roman" w:cs="Times New Roman" w:eastAsia="Times New Roman" w:hint="default"/>
        </w:rPr>
        <w:t>2009——2011</w:t>
      </w:r>
      <w:r>
        <w:rPr>
          <w:rFonts w:ascii="宋体" w:hAnsi="宋体" w:cs="宋体" w:eastAsia="宋体" w:hint="default"/>
        </w:rPr>
        <w:t>年定期报告、</w:t>
      </w:r>
      <w:r>
        <w:rPr>
          <w:rFonts w:ascii="Times New Roman" w:hAnsi="Times New Roman" w:cs="Times New Roman" w:eastAsia="Times New Roman" w:hint="default"/>
        </w:rPr>
        <w:t>2012</w:t>
      </w:r>
      <w:r>
        <w:rPr>
          <w:rFonts w:ascii="宋体" w:hAnsi="宋体" w:cs="宋体" w:eastAsia="宋体" w:hint="default"/>
        </w:rPr>
        <w:t>年</w:t>
      </w:r>
      <w:r>
        <w:rPr>
          <w:rFonts w:ascii="Times New Roman" w:hAnsi="Times New Roman" w:cs="Times New Roman" w:eastAsia="Times New Roman" w:hint="default"/>
        </w:rPr>
        <w:t>6</w:t>
      </w:r>
      <w:r>
        <w:rPr>
          <w:rFonts w:ascii="宋体" w:hAnsi="宋体" w:cs="宋体" w:eastAsia="宋体" w:hint="default"/>
        </w:rPr>
        <w:t>月</w:t>
      </w:r>
      <w:r>
        <w:rPr>
          <w:rFonts w:ascii="Times New Roman" w:hAnsi="Times New Roman" w:cs="Times New Roman" w:eastAsia="Times New Roman" w:hint="default"/>
        </w:rPr>
        <w:t>16</w:t>
      </w:r>
      <w:r>
        <w:rPr>
          <w:rFonts w:ascii="宋体" w:hAnsi="宋体" w:cs="宋体" w:eastAsia="宋体" w:hint="default"/>
        </w:rPr>
        <w:t>日披露的相关公告）</w:t>
      </w:r>
    </w:p>
    <w:p>
      <w:pPr>
        <w:spacing w:after="0" w:line="240" w:lineRule="auto"/>
        <w:jc w:val="left"/>
        <w:rPr>
          <w:rFonts w:ascii="宋体" w:hAnsi="宋体" w:cs="宋体" w:eastAsia="宋体" w:hint="default"/>
        </w:rPr>
        <w:sectPr>
          <w:pgSz w:w="11900" w:h="16840"/>
          <w:pgMar w:header="872" w:footer="957" w:top="1120" w:bottom="1180" w:left="98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458" w:lineRule="exact"/>
        <w:ind w:left="2960" w:right="52"/>
        <w:jc w:val="left"/>
        <w:rPr>
          <w:b w:val="0"/>
          <w:bCs w:val="0"/>
        </w:rPr>
      </w:pPr>
      <w:bookmarkStart w:name="_TOC_250005" w:id="6"/>
      <w:r>
        <w:rPr/>
        <w:t>第六节 </w:t>
      </w:r>
      <w:r>
        <w:rPr>
          <w:spacing w:val="16"/>
        </w:rPr>
        <w:t> </w:t>
      </w:r>
      <w:r>
        <w:rPr/>
        <w:t>股份变动及股东情况</w:t>
      </w:r>
      <w:bookmarkEnd w:id="6"/>
      <w:r>
        <w:rPr>
          <w:b w:val="0"/>
          <w:bCs w:val="0"/>
        </w:rPr>
      </w:r>
    </w:p>
    <w:p>
      <w:pPr>
        <w:spacing w:line="240" w:lineRule="auto" w:before="2"/>
        <w:rPr>
          <w:rFonts w:ascii="Microsoft JhengHei" w:hAnsi="Microsoft JhengHei" w:cs="Microsoft JhengHei" w:eastAsia="Microsoft JhengHei" w:hint="default"/>
          <w:b/>
          <w:bCs/>
          <w:sz w:val="14"/>
          <w:szCs w:val="14"/>
        </w:rPr>
      </w:pPr>
    </w:p>
    <w:p>
      <w:pPr>
        <w:pStyle w:val="Heading4"/>
        <w:spacing w:line="367" w:lineRule="exact"/>
        <w:ind w:right="52"/>
        <w:jc w:val="left"/>
        <w:rPr>
          <w:b w:val="0"/>
          <w:bCs w:val="0"/>
        </w:rPr>
      </w:pPr>
      <w:r>
        <w:rPr/>
        <w:t>一、股份变动情况</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2040"/>
        <w:gridCol w:w="1234"/>
        <w:gridCol w:w="854"/>
        <w:gridCol w:w="610"/>
        <w:gridCol w:w="845"/>
        <w:gridCol w:w="850"/>
        <w:gridCol w:w="830"/>
        <w:gridCol w:w="864"/>
        <w:gridCol w:w="1133"/>
        <w:gridCol w:w="710"/>
      </w:tblGrid>
      <w:tr>
        <w:trPr>
          <w:trHeight w:val="470" w:hRule="exact"/>
        </w:trPr>
        <w:tc>
          <w:tcPr>
            <w:tcW w:w="2040" w:type="dxa"/>
            <w:vMerge w:val="restart"/>
            <w:tcBorders>
              <w:top w:val="single" w:sz="4" w:space="0" w:color="000000"/>
              <w:left w:val="single" w:sz="4" w:space="0" w:color="000000"/>
              <w:right w:val="single" w:sz="4" w:space="0" w:color="000000"/>
            </w:tcBorders>
            <w:shd w:val="clear" w:color="auto" w:fill="D2D2D2"/>
          </w:tcPr>
          <w:p>
            <w:pPr/>
          </w:p>
        </w:tc>
        <w:tc>
          <w:tcPr>
            <w:tcW w:w="20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513"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99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835"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184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388"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984" w:hRule="exact"/>
        </w:trPr>
        <w:tc>
          <w:tcPr>
            <w:tcW w:w="2040" w:type="dxa"/>
            <w:vMerge/>
            <w:tcBorders>
              <w:left w:val="single" w:sz="4" w:space="0" w:color="000000"/>
              <w:bottom w:val="single" w:sz="4" w:space="0" w:color="000000"/>
              <w:right w:val="single" w:sz="4" w:space="0" w:color="000000"/>
            </w:tcBorders>
            <w:shd w:val="clear" w:color="auto" w:fill="D2D2D2"/>
          </w:tcPr>
          <w:p>
            <w:pPr/>
          </w:p>
        </w:tc>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right="52"/>
              <w:jc w:val="right"/>
              <w:rPr>
                <w:rFonts w:ascii="Times New Roman" w:hAnsi="Times New Roman" w:cs="Times New Roman" w:eastAsia="Times New Roman" w:hint="default"/>
                <w:sz w:val="21"/>
                <w:szCs w:val="21"/>
              </w:rPr>
            </w:pPr>
            <w:r>
              <w:rPr>
                <w:rFonts w:ascii="宋体" w:hAnsi="宋体" w:cs="宋体" w:eastAsia="宋体" w:hint="default"/>
                <w:spacing w:val="-1"/>
                <w:sz w:val="21"/>
                <w:szCs w:val="21"/>
              </w:rPr>
              <w:t>比例</w:t>
            </w:r>
            <w:r>
              <w:rPr>
                <w:rFonts w:ascii="Times New Roman" w:hAnsi="Times New Roman" w:cs="Times New Roman" w:eastAsia="Times New Roman" w:hint="default"/>
                <w:spacing w:val="-1"/>
                <w:sz w:val="21"/>
                <w:szCs w:val="21"/>
              </w:rPr>
              <w:t>(%)</w:t>
            </w:r>
          </w:p>
        </w:tc>
        <w:tc>
          <w:tcPr>
            <w:tcW w:w="6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42"/>
              <w:ind w:left="86" w:right="84" w:firstLine="4"/>
              <w:jc w:val="left"/>
              <w:rPr>
                <w:rFonts w:ascii="宋体" w:hAnsi="宋体" w:cs="宋体" w:eastAsia="宋体" w:hint="default"/>
                <w:sz w:val="21"/>
                <w:szCs w:val="21"/>
              </w:rPr>
            </w:pPr>
            <w:r>
              <w:rPr>
                <w:rFonts w:ascii="宋体" w:hAnsi="宋体" w:cs="宋体" w:eastAsia="宋体" w:hint="default"/>
                <w:sz w:val="21"/>
                <w:szCs w:val="21"/>
              </w:rPr>
              <w:t>发行</w:t>
            </w:r>
            <w:r>
              <w:rPr>
                <w:rFonts w:ascii="宋体" w:hAnsi="宋体" w:cs="宋体" w:eastAsia="宋体" w:hint="default"/>
                <w:w w:val="100"/>
                <w:sz w:val="21"/>
                <w:szCs w:val="21"/>
              </w:rPr>
              <w:t> </w:t>
            </w:r>
            <w:r>
              <w:rPr>
                <w:rFonts w:ascii="宋体" w:hAnsi="宋体" w:cs="宋体" w:eastAsia="宋体" w:hint="default"/>
                <w:sz w:val="21"/>
                <w:szCs w:val="21"/>
              </w:rPr>
              <w:t>新股</w:t>
            </w:r>
          </w:p>
        </w:tc>
        <w:tc>
          <w:tcPr>
            <w:tcW w:w="8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42"/>
              <w:ind w:left="206" w:right="98" w:hanging="101"/>
              <w:jc w:val="left"/>
              <w:rPr>
                <w:rFonts w:ascii="宋体" w:hAnsi="宋体" w:cs="宋体" w:eastAsia="宋体" w:hint="default"/>
                <w:sz w:val="21"/>
                <w:szCs w:val="21"/>
              </w:rPr>
            </w:pPr>
            <w:r>
              <w:rPr>
                <w:rFonts w:ascii="宋体" w:hAnsi="宋体" w:cs="宋体" w:eastAsia="宋体" w:hint="default"/>
                <w:sz w:val="21"/>
                <w:szCs w:val="21"/>
              </w:rPr>
              <w:t>公积金</w:t>
            </w:r>
            <w:r>
              <w:rPr>
                <w:rFonts w:ascii="宋体" w:hAnsi="宋体" w:cs="宋体" w:eastAsia="宋体" w:hint="default"/>
                <w:spacing w:val="-102"/>
                <w:sz w:val="21"/>
                <w:szCs w:val="21"/>
              </w:rPr>
              <w:t> </w:t>
            </w:r>
            <w:r>
              <w:rPr>
                <w:rFonts w:ascii="宋体" w:hAnsi="宋体" w:cs="宋体" w:eastAsia="宋体" w:hint="default"/>
                <w:sz w:val="21"/>
                <w:szCs w:val="21"/>
              </w:rPr>
              <w:t>转股</w:t>
            </w:r>
          </w:p>
        </w:tc>
        <w:tc>
          <w:tcPr>
            <w:tcW w:w="8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left="20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left="216"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4"/>
                <w:szCs w:val="14"/>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6"/>
              <w:ind w:left="139"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58"/>
              <w:ind w:left="187" w:right="0"/>
              <w:jc w:val="left"/>
              <w:rPr>
                <w:rFonts w:ascii="Times New Roman" w:hAnsi="Times New Roman" w:cs="Times New Roman" w:eastAsia="Times New Roman" w:hint="default"/>
                <w:sz w:val="21"/>
                <w:szCs w:val="21"/>
              </w:rPr>
            </w:pPr>
            <w:r>
              <w:rPr>
                <w:rFonts w:ascii="Times New Roman"/>
                <w:sz w:val="21"/>
              </w:rPr>
              <w:t>(%)</w:t>
            </w:r>
          </w:p>
        </w:tc>
      </w:tr>
      <w:tr>
        <w:trPr>
          <w:trHeight w:val="490"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5,459,826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1.16%</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-37,500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-37,500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5,422,326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1.15%</w:t>
            </w:r>
          </w:p>
        </w:tc>
      </w:tr>
      <w:tr>
        <w:trPr>
          <w:trHeight w:val="485"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0"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、国有法人持股</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2,145,000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0.46%</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w w:val="100"/>
                <w:sz w:val="21"/>
              </w:rPr>
              <w:t>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2,145,000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0.45%</w:t>
            </w:r>
          </w:p>
        </w:tc>
      </w:tr>
      <w:tr>
        <w:trPr>
          <w:trHeight w:val="490"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0"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、其他内资持股</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2,860,000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0.61%</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w w:val="100"/>
                <w:sz w:val="21"/>
              </w:rPr>
              <w:t>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2,860,000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0.61%</w:t>
            </w:r>
          </w:p>
        </w:tc>
      </w:tr>
      <w:tr>
        <w:trPr>
          <w:trHeight w:val="490"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其中：境内法人持股</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2,860,000</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0.61%</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w w:val="100"/>
                <w:sz w:val="21"/>
              </w:rPr>
              <w:t>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2,860,000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0.61%</w:t>
            </w:r>
          </w:p>
        </w:tc>
      </w:tr>
      <w:tr>
        <w:trPr>
          <w:trHeight w:val="485"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0"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、高管股份</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454,826</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0.1%</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-37,500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-37,500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417,326</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0.09%</w:t>
            </w:r>
          </w:p>
        </w:tc>
      </w:tr>
      <w:tr>
        <w:trPr>
          <w:trHeight w:val="490"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464,133,538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98.84%</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37,500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37,500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464,171,038</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98.85%</w:t>
            </w:r>
          </w:p>
        </w:tc>
      </w:tr>
      <w:tr>
        <w:trPr>
          <w:trHeight w:val="490"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0"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、人民币普通股</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464,133,538</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98.84%</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37,500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37,500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464,171,038</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98.85%</w:t>
            </w:r>
          </w:p>
        </w:tc>
      </w:tr>
      <w:tr>
        <w:trPr>
          <w:trHeight w:val="485" w:hRule="exact"/>
        </w:trPr>
        <w:tc>
          <w:tcPr>
            <w:tcW w:w="2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sz w:val="21"/>
              </w:rPr>
              <w:t>469,593,364</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100%</w:t>
            </w:r>
          </w:p>
        </w:tc>
        <w:tc>
          <w:tcPr>
            <w:tcW w:w="610" w:type="dxa"/>
            <w:tcBorders>
              <w:top w:val="single" w:sz="4" w:space="0" w:color="000000"/>
              <w:left w:val="single" w:sz="4" w:space="0" w:color="000000"/>
              <w:bottom w:val="single" w:sz="4" w:space="0" w:color="000000"/>
              <w:right w:val="single" w:sz="4" w:space="0" w:color="000000"/>
            </w:tcBorders>
          </w:tcPr>
          <w:p>
            <w:pPr/>
          </w:p>
        </w:tc>
        <w:tc>
          <w:tcPr>
            <w:tcW w:w="845"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7"/>
              <w:jc w:val="right"/>
              <w:rPr>
                <w:rFonts w:ascii="Times New Roman" w:hAnsi="Times New Roman" w:cs="Times New Roman" w:eastAsia="Times New Roman" w:hint="default"/>
                <w:sz w:val="21"/>
                <w:szCs w:val="21"/>
              </w:rPr>
            </w:pPr>
            <w:r>
              <w:rPr>
                <w:rFonts w:ascii="Times New Roman"/>
                <w:w w:val="100"/>
                <w:sz w:val="21"/>
              </w:rPr>
              <w:t>0</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z w:val="21"/>
              </w:rPr>
              <w:t>469,593,364</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z w:val="21"/>
              </w:rPr>
              <w:t>100%</w:t>
            </w:r>
          </w:p>
        </w:tc>
      </w:tr>
    </w:tbl>
    <w:p>
      <w:pPr>
        <w:pStyle w:val="BodyText"/>
        <w:spacing w:line="241" w:lineRule="exact"/>
        <w:ind w:right="52"/>
        <w:jc w:val="left"/>
      </w:pPr>
      <w:r>
        <w:rPr/>
        <w:t>股份变动的原因：</w:t>
      </w:r>
    </w:p>
    <w:p>
      <w:pPr>
        <w:pStyle w:val="BodyText"/>
        <w:spacing w:line="338" w:lineRule="auto" w:before="133"/>
        <w:ind w:right="52"/>
        <w:jc w:val="left"/>
      </w:pPr>
      <w:r>
        <w:rPr/>
        <w:t>关于上表中高管股份、无限售条件股份分别减少、增加</w:t>
      </w:r>
      <w:r>
        <w:rPr>
          <w:rFonts w:ascii="Times New Roman" w:hAnsi="Times New Roman" w:cs="Times New Roman" w:eastAsia="Times New Roman" w:hint="default"/>
        </w:rPr>
        <w:t>37500</w:t>
      </w:r>
      <w:r>
        <w:rPr/>
        <w:t>股的说明：公司原副总裁邱圣凯先生于</w:t>
      </w:r>
      <w:r>
        <w:rPr>
          <w:rFonts w:ascii="Times New Roman" w:hAnsi="Times New Roman" w:cs="Times New Roman" w:eastAsia="Times New Roman" w:hint="default"/>
        </w:rPr>
        <w:t>2011</w:t>
      </w:r>
      <w:r>
        <w:rPr>
          <w:rFonts w:ascii="Times New Roman" w:hAnsi="Times New Roman" w:cs="Times New Roman" w:eastAsia="Times New Roman" w:hint="default"/>
          <w:w w:val="100"/>
        </w:rPr>
        <w:t> </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1</w:t>
      </w:r>
      <w:r>
        <w:rPr>
          <w:spacing w:val="-2"/>
        </w:rPr>
        <w:t>日辞去职务，</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2</w:t>
      </w:r>
      <w:r>
        <w:rPr>
          <w:spacing w:val="-2"/>
        </w:rPr>
        <w:t>月</w:t>
      </w:r>
      <w:r>
        <w:rPr>
          <w:rFonts w:ascii="Times New Roman" w:hAnsi="Times New Roman" w:cs="Times New Roman" w:eastAsia="Times New Roman" w:hint="default"/>
          <w:spacing w:val="-2"/>
        </w:rPr>
        <w:t>1</w:t>
      </w:r>
      <w:r>
        <w:rPr>
          <w:spacing w:val="-2"/>
        </w:rPr>
        <w:t>日其持有的</w:t>
      </w:r>
      <w:r>
        <w:rPr>
          <w:rFonts w:ascii="Times New Roman" w:hAnsi="Times New Roman" w:cs="Times New Roman" w:eastAsia="Times New Roman" w:hint="default"/>
          <w:spacing w:val="-2"/>
        </w:rPr>
        <w:t>37500</w:t>
      </w:r>
      <w:r>
        <w:rPr>
          <w:spacing w:val="-2"/>
        </w:rPr>
        <w:t>股原高管股份解锁，股份性质相应调整为</w:t>
      </w:r>
      <w:r>
        <w:rPr>
          <w:rFonts w:ascii="Times New Roman" w:hAnsi="Times New Roman" w:cs="Times New Roman" w:eastAsia="Times New Roman" w:hint="default"/>
          <w:spacing w:val="-2"/>
        </w:rPr>
        <w:t>“</w:t>
      </w:r>
      <w:r>
        <w:rPr>
          <w:spacing w:val="-2"/>
        </w:rPr>
        <w:t>无限售条件股</w:t>
      </w:r>
      <w:r>
        <w:rPr>
          <w:spacing w:val="-15"/>
        </w:rPr>
        <w:t> </w:t>
      </w:r>
      <w:r>
        <w:rPr>
          <w:spacing w:val="-15"/>
        </w:rPr>
      </w:r>
      <w:r>
        <w:rPr/>
        <w:t>份</w:t>
      </w:r>
      <w:r>
        <w:rPr>
          <w:rFonts w:ascii="Times New Roman" w:hAnsi="Times New Roman" w:cs="Times New Roman" w:eastAsia="Times New Roman" w:hint="default"/>
        </w:rPr>
        <w:t>”</w:t>
      </w:r>
      <w:r>
        <w:rPr/>
        <w:t>。</w:t>
      </w:r>
    </w:p>
    <w:p>
      <w:pPr>
        <w:pStyle w:val="BodyText"/>
        <w:spacing w:line="240" w:lineRule="auto" w:before="22"/>
        <w:ind w:right="52"/>
        <w:jc w:val="left"/>
      </w:pPr>
      <w:r>
        <w:rPr/>
        <w:t>股份变动的批准情况</w:t>
      </w:r>
    </w:p>
    <w:p>
      <w:pPr>
        <w:pStyle w:val="BodyText"/>
        <w:spacing w:line="240" w:lineRule="auto" w:before="133"/>
        <w:ind w:right="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240" w:lineRule="auto" w:before="0"/>
        <w:rPr>
          <w:rFonts w:ascii="宋体" w:hAnsi="宋体" w:cs="宋体" w:eastAsia="宋体" w:hint="default"/>
          <w:sz w:val="22"/>
          <w:szCs w:val="22"/>
        </w:rPr>
      </w:pPr>
    </w:p>
    <w:p>
      <w:pPr>
        <w:pStyle w:val="BodyText"/>
        <w:spacing w:line="240" w:lineRule="auto" w:before="189"/>
        <w:ind w:right="52"/>
        <w:jc w:val="left"/>
      </w:pPr>
      <w:r>
        <w:rPr/>
        <w:t>股份变动的过户情况</w:t>
      </w:r>
    </w:p>
    <w:p>
      <w:pPr>
        <w:pStyle w:val="BodyText"/>
        <w:spacing w:line="240" w:lineRule="auto" w:before="138"/>
        <w:ind w:right="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240" w:lineRule="auto" w:before="0"/>
        <w:rPr>
          <w:rFonts w:ascii="宋体" w:hAnsi="宋体" w:cs="宋体" w:eastAsia="宋体" w:hint="default"/>
          <w:sz w:val="22"/>
          <w:szCs w:val="22"/>
        </w:rPr>
      </w:pPr>
    </w:p>
    <w:p>
      <w:pPr>
        <w:pStyle w:val="BodyText"/>
        <w:spacing w:line="355" w:lineRule="auto" w:before="189"/>
        <w:ind w:right="52"/>
        <w:jc w:val="left"/>
      </w:pPr>
      <w:r>
        <w:rPr>
          <w:spacing w:val="-2"/>
        </w:rPr>
        <w:t>股份变动对最近一年和最近一期基本每股收益和稀释每股收益、归属于公司普通股股东的每股净资产等财</w:t>
      </w:r>
      <w:r>
        <w:rPr>
          <w:spacing w:val="-34"/>
        </w:rPr>
        <w:t> </w:t>
      </w:r>
      <w:r>
        <w:rPr>
          <w:spacing w:val="-34"/>
        </w:rPr>
      </w:r>
      <w:r>
        <w:rPr/>
        <w:t>务指标的影响</w:t>
      </w:r>
    </w:p>
    <w:p>
      <w:pPr>
        <w:pStyle w:val="BodyText"/>
        <w:spacing w:line="240" w:lineRule="auto" w:before="32"/>
        <w:ind w:right="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line="240" w:lineRule="auto" w:before="0"/>
        <w:rPr>
          <w:rFonts w:ascii="宋体" w:hAnsi="宋体" w:cs="宋体" w:eastAsia="宋体" w:hint="default"/>
          <w:sz w:val="22"/>
          <w:szCs w:val="22"/>
        </w:rPr>
      </w:pPr>
    </w:p>
    <w:p>
      <w:pPr>
        <w:pStyle w:val="BodyText"/>
        <w:spacing w:line="240" w:lineRule="auto" w:before="194"/>
        <w:ind w:right="52"/>
        <w:jc w:val="left"/>
      </w:pPr>
      <w:r>
        <w:rPr/>
        <w:t>公司认为必要或证券监管机构要求披露的其他内容</w:t>
      </w:r>
    </w:p>
    <w:p>
      <w:pPr>
        <w:pStyle w:val="BodyText"/>
        <w:spacing w:line="240" w:lineRule="auto" w:before="133"/>
        <w:ind w:right="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spacing w:after="0" w:line="240" w:lineRule="auto"/>
        <w:jc w:val="left"/>
        <w:sectPr>
          <w:pgSz w:w="11900" w:h="16840"/>
          <w:pgMar w:header="872" w:footer="957" w:top="1120" w:bottom="1180" w:left="980" w:right="680"/>
        </w:sectPr>
      </w:pPr>
    </w:p>
    <w:p>
      <w:pPr>
        <w:spacing w:line="240" w:lineRule="auto" w:before="7"/>
        <w:rPr>
          <w:rFonts w:ascii="宋体" w:hAnsi="宋体" w:cs="宋体" w:eastAsia="宋体" w:hint="default"/>
          <w:sz w:val="19"/>
          <w:szCs w:val="19"/>
        </w:rPr>
      </w:pPr>
    </w:p>
    <w:p>
      <w:pPr>
        <w:pStyle w:val="Heading4"/>
        <w:spacing w:line="367" w:lineRule="exact"/>
        <w:ind w:right="0"/>
        <w:jc w:val="left"/>
        <w:rPr>
          <w:b w:val="0"/>
          <w:bCs w:val="0"/>
        </w:rPr>
      </w:pPr>
      <w:r>
        <w:rPr/>
        <w:t>二、证券发行与上市情况</w:t>
      </w:r>
      <w:r>
        <w:rPr>
          <w:b w:val="0"/>
          <w:bCs w:val="0"/>
        </w:rPr>
      </w:r>
    </w:p>
    <w:p>
      <w:pPr>
        <w:spacing w:line="424" w:lineRule="auto" w:before="207"/>
        <w:ind w:left="152" w:right="1988" w:firstLine="0"/>
        <w:jc w:val="left"/>
        <w:rPr>
          <w:rFonts w:ascii="Microsoft JhengHei" w:hAnsi="Microsoft JhengHei" w:cs="Microsoft JhengHei" w:eastAsia="Microsoft JhengHei" w:hint="default"/>
          <w:sz w:val="24"/>
          <w:szCs w:val="24"/>
        </w:rPr>
      </w:pPr>
      <w:r>
        <w:rPr>
          <w:rFonts w:ascii="Times New Roman" w:hAnsi="Times New Roman" w:cs="Times New Roman" w:eastAsia="Times New Roman" w:hint="default"/>
          <w:b/>
          <w:bCs/>
          <w:spacing w:val="-1"/>
          <w:sz w:val="21"/>
          <w:szCs w:val="21"/>
        </w:rPr>
        <w:t>1</w:t>
      </w:r>
      <w:r>
        <w:rPr>
          <w:rFonts w:ascii="Microsoft JhengHei" w:hAnsi="Microsoft JhengHei" w:cs="Microsoft JhengHei" w:eastAsia="Microsoft JhengHei" w:hint="default"/>
          <w:b/>
          <w:bCs/>
          <w:spacing w:val="-1"/>
          <w:sz w:val="21"/>
          <w:szCs w:val="21"/>
        </w:rPr>
        <w:t>、公司股份总数及股东结构的变动、公司资产和负债结构的变动情况说明</w:t>
      </w:r>
      <w:r>
        <w:rPr>
          <w:rFonts w:ascii="Microsoft JhengHei" w:hAnsi="Microsoft JhengHei" w:cs="Microsoft JhengHei" w:eastAsia="Microsoft JhengHei" w:hint="default"/>
          <w:b/>
          <w:bCs/>
          <w:spacing w:val="8"/>
          <w:sz w:val="21"/>
          <w:szCs w:val="21"/>
        </w:rPr>
        <w:t> </w:t>
      </w:r>
      <w:r>
        <w:rPr>
          <w:rFonts w:ascii="Microsoft JhengHei" w:hAnsi="Microsoft JhengHei" w:cs="Microsoft JhengHei" w:eastAsia="Microsoft JhengHei" w:hint="default"/>
          <w:b/>
          <w:bCs/>
          <w:spacing w:val="8"/>
          <w:sz w:val="21"/>
          <w:szCs w:val="21"/>
        </w:rPr>
      </w:r>
      <w:r>
        <w:rPr>
          <w:rFonts w:ascii="宋体" w:hAnsi="宋体" w:cs="宋体" w:eastAsia="宋体" w:hint="default"/>
          <w:sz w:val="21"/>
          <w:szCs w:val="21"/>
        </w:rPr>
        <w:t>截止报告期末，公司股份总数及股东结构未发生变动。</w:t>
      </w:r>
      <w:r>
        <w:rPr>
          <w:rFonts w:ascii="宋体" w:hAnsi="宋体" w:cs="宋体" w:eastAsia="宋体" w:hint="default"/>
          <w:w w:val="100"/>
          <w:sz w:val="21"/>
          <w:szCs w:val="21"/>
        </w:rPr>
        <w:t> </w:t>
      </w:r>
      <w:r>
        <w:rPr>
          <w:rFonts w:ascii="Microsoft JhengHei" w:hAnsi="Microsoft JhengHei" w:cs="Microsoft JhengHei" w:eastAsia="Microsoft JhengHei" w:hint="default"/>
          <w:b/>
          <w:bCs/>
          <w:sz w:val="24"/>
          <w:szCs w:val="24"/>
        </w:rPr>
        <w:t>三、股东和实际控制人情况</w:t>
      </w:r>
      <w:r>
        <w:rPr>
          <w:rFonts w:ascii="Microsoft JhengHei" w:hAnsi="Microsoft JhengHei" w:cs="Microsoft JhengHei" w:eastAsia="Microsoft JhengHei" w:hint="default"/>
          <w:sz w:val="24"/>
          <w:szCs w:val="24"/>
        </w:rPr>
      </w:r>
    </w:p>
    <w:p>
      <w:pPr>
        <w:pStyle w:val="Heading6"/>
        <w:spacing w:line="327" w:lineRule="exact"/>
        <w:ind w:left="152" w:right="0"/>
        <w:jc w:val="left"/>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10"/>
        <w:rPr>
          <w:rFonts w:ascii="Microsoft JhengHei" w:hAnsi="Microsoft JhengHei" w:cs="Microsoft JhengHei" w:eastAsia="Microsoft JhengHei" w:hint="default"/>
          <w:b/>
          <w:bCs/>
          <w:sz w:val="13"/>
          <w:szCs w:val="13"/>
        </w:rPr>
      </w:pPr>
    </w:p>
    <w:p>
      <w:pPr>
        <w:pStyle w:val="BodyText"/>
        <w:spacing w:line="240" w:lineRule="auto" w:before="36"/>
        <w:ind w:left="0" w:right="246"/>
        <w:jc w:val="right"/>
      </w:pPr>
      <w:r>
        <w:rPr/>
        <w:t>单位：股</w:t>
      </w:r>
    </w:p>
    <w:p>
      <w:pPr>
        <w:spacing w:line="240" w:lineRule="auto" w:before="11"/>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368"/>
        <w:gridCol w:w="1541"/>
        <w:gridCol w:w="926"/>
        <w:gridCol w:w="446"/>
        <w:gridCol w:w="682"/>
        <w:gridCol w:w="686"/>
        <w:gridCol w:w="1013"/>
        <w:gridCol w:w="1133"/>
        <w:gridCol w:w="590"/>
        <w:gridCol w:w="403"/>
        <w:gridCol w:w="970"/>
      </w:tblGrid>
      <w:tr>
        <w:trPr>
          <w:trHeight w:val="331" w:hRule="exact"/>
        </w:trPr>
        <w:tc>
          <w:tcPr>
            <w:tcW w:w="290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报告期股东总数</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758" w:right="0"/>
              <w:jc w:val="left"/>
              <w:rPr>
                <w:rFonts w:ascii="Times New Roman" w:hAnsi="Times New Roman" w:cs="Times New Roman" w:eastAsia="Times New Roman" w:hint="default"/>
                <w:sz w:val="21"/>
                <w:szCs w:val="21"/>
              </w:rPr>
            </w:pPr>
            <w:r>
              <w:rPr>
                <w:rFonts w:ascii="Times New Roman"/>
                <w:sz w:val="21"/>
              </w:rPr>
              <w:t>70,855</w:t>
            </w:r>
          </w:p>
        </w:tc>
        <w:tc>
          <w:tcPr>
            <w:tcW w:w="410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3" w:right="0"/>
              <w:jc w:val="left"/>
              <w:rPr>
                <w:rFonts w:ascii="宋体" w:hAnsi="宋体" w:cs="宋体" w:eastAsia="宋体" w:hint="default"/>
                <w:sz w:val="21"/>
                <w:szCs w:val="21"/>
              </w:rPr>
            </w:pPr>
            <w:r>
              <w:rPr>
                <w:rFonts w:ascii="宋体" w:hAnsi="宋体" w:cs="宋体" w:eastAsia="宋体" w:hint="default"/>
                <w:sz w:val="21"/>
                <w:szCs w:val="21"/>
              </w:rPr>
              <w:t>年度报告披露日前第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个交易日末股东总数</w:t>
            </w:r>
          </w:p>
        </w:tc>
        <w:tc>
          <w:tcPr>
            <w:tcW w:w="13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811" w:right="0"/>
              <w:jc w:val="left"/>
              <w:rPr>
                <w:rFonts w:ascii="Times New Roman" w:hAnsi="Times New Roman" w:cs="Times New Roman" w:eastAsia="Times New Roman" w:hint="default"/>
                <w:sz w:val="21"/>
                <w:szCs w:val="21"/>
              </w:rPr>
            </w:pPr>
            <w:r>
              <w:rPr>
                <w:rFonts w:ascii="Times New Roman"/>
                <w:sz w:val="21"/>
              </w:rPr>
              <w:t>69691</w:t>
            </w:r>
          </w:p>
        </w:tc>
      </w:tr>
      <w:tr>
        <w:trPr>
          <w:trHeight w:val="331" w:hRule="exact"/>
        </w:trPr>
        <w:tc>
          <w:tcPr>
            <w:tcW w:w="975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持股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以上的股东持股情况</w:t>
            </w:r>
          </w:p>
        </w:tc>
      </w:tr>
      <w:tr>
        <w:trPr>
          <w:trHeight w:val="326"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5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left="340"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92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持股比例</w:t>
            </w:r>
          </w:p>
          <w:p>
            <w:pPr>
              <w:pStyle w:val="TableParagraph"/>
              <w:spacing w:line="240" w:lineRule="auto" w:before="42"/>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1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6"/>
                <w:szCs w:val="16"/>
              </w:rPr>
            </w:pPr>
          </w:p>
          <w:p>
            <w:pPr>
              <w:pStyle w:val="TableParagraph"/>
              <w:spacing w:line="276" w:lineRule="auto"/>
              <w:ind w:left="240" w:right="31" w:hanging="212"/>
              <w:jc w:val="left"/>
              <w:rPr>
                <w:rFonts w:ascii="宋体" w:hAnsi="宋体" w:cs="宋体" w:eastAsia="宋体" w:hint="default"/>
                <w:sz w:val="21"/>
                <w:szCs w:val="21"/>
              </w:rPr>
            </w:pPr>
            <w:r>
              <w:rPr>
                <w:rFonts w:ascii="宋体" w:hAnsi="宋体" w:cs="宋体" w:eastAsia="宋体" w:hint="default"/>
                <w:sz w:val="21"/>
                <w:szCs w:val="21"/>
              </w:rPr>
              <w:t>报告期末持</w:t>
            </w:r>
            <w:r>
              <w:rPr>
                <w:rFonts w:ascii="宋体" w:hAnsi="宋体" w:cs="宋体" w:eastAsia="宋体" w:hint="default"/>
                <w:spacing w:val="-100"/>
                <w:sz w:val="21"/>
                <w:szCs w:val="21"/>
              </w:rPr>
              <w:t> </w:t>
            </w:r>
            <w:r>
              <w:rPr>
                <w:rFonts w:ascii="宋体" w:hAnsi="宋体" w:cs="宋体" w:eastAsia="宋体" w:hint="default"/>
                <w:sz w:val="21"/>
                <w:szCs w:val="21"/>
              </w:rPr>
              <w:t>股数量</w:t>
            </w:r>
          </w:p>
        </w:tc>
        <w:tc>
          <w:tcPr>
            <w:tcW w:w="686" w:type="dxa"/>
            <w:vMerge w:val="restart"/>
            <w:tcBorders>
              <w:top w:val="single" w:sz="4" w:space="0" w:color="000000"/>
              <w:left w:val="single" w:sz="4" w:space="0" w:color="000000"/>
              <w:right w:val="single" w:sz="4" w:space="0" w:color="000000"/>
            </w:tcBorders>
            <w:shd w:val="clear" w:color="auto" w:fill="D2D2D2"/>
          </w:tcPr>
          <w:p>
            <w:pPr>
              <w:pStyle w:val="TableParagraph"/>
              <w:spacing w:line="278" w:lineRule="auto" w:before="9"/>
              <w:ind w:left="124" w:right="122" w:firstLine="4"/>
              <w:jc w:val="both"/>
              <w:rPr>
                <w:rFonts w:ascii="宋体" w:hAnsi="宋体" w:cs="宋体" w:eastAsia="宋体" w:hint="default"/>
                <w:sz w:val="21"/>
                <w:szCs w:val="21"/>
              </w:rPr>
            </w:pPr>
            <w:r>
              <w:rPr>
                <w:rFonts w:ascii="宋体" w:hAnsi="宋体" w:cs="宋体" w:eastAsia="宋体" w:hint="default"/>
                <w:sz w:val="21"/>
                <w:szCs w:val="21"/>
              </w:rPr>
              <w:t>报告</w:t>
            </w:r>
            <w:r>
              <w:rPr>
                <w:rFonts w:ascii="宋体" w:hAnsi="宋体" w:cs="宋体" w:eastAsia="宋体" w:hint="default"/>
                <w:w w:val="100"/>
                <w:sz w:val="21"/>
                <w:szCs w:val="21"/>
              </w:rPr>
              <w:t> </w:t>
            </w:r>
            <w:r>
              <w:rPr>
                <w:rFonts w:ascii="宋体" w:hAnsi="宋体" w:cs="宋体" w:eastAsia="宋体" w:hint="default"/>
                <w:sz w:val="21"/>
                <w:szCs w:val="21"/>
              </w:rPr>
              <w:t>期内</w:t>
            </w:r>
            <w:r>
              <w:rPr>
                <w:rFonts w:ascii="宋体" w:hAnsi="宋体" w:cs="宋体" w:eastAsia="宋体" w:hint="default"/>
                <w:spacing w:val="-103"/>
                <w:sz w:val="21"/>
                <w:szCs w:val="21"/>
              </w:rPr>
              <w:t> </w:t>
            </w:r>
            <w:r>
              <w:rPr>
                <w:rFonts w:ascii="宋体" w:hAnsi="宋体" w:cs="宋体" w:eastAsia="宋体" w:hint="default"/>
                <w:sz w:val="21"/>
                <w:szCs w:val="21"/>
              </w:rPr>
              <w:t>增减</w:t>
            </w:r>
            <w:r>
              <w:rPr>
                <w:rFonts w:ascii="宋体" w:hAnsi="宋体" w:cs="宋体" w:eastAsia="宋体" w:hint="default"/>
                <w:spacing w:val="-103"/>
                <w:sz w:val="21"/>
                <w:szCs w:val="21"/>
              </w:rPr>
              <w:t> </w:t>
            </w:r>
            <w:r>
              <w:rPr>
                <w:rFonts w:ascii="宋体" w:hAnsi="宋体" w:cs="宋体" w:eastAsia="宋体" w:hint="default"/>
                <w:sz w:val="21"/>
                <w:szCs w:val="21"/>
              </w:rPr>
              <w:t>变动</w:t>
            </w:r>
            <w:r>
              <w:rPr>
                <w:rFonts w:ascii="宋体" w:hAnsi="宋体" w:cs="宋体" w:eastAsia="宋体" w:hint="default"/>
                <w:spacing w:val="-103"/>
                <w:sz w:val="21"/>
                <w:szCs w:val="21"/>
              </w:rPr>
              <w:t> </w:t>
            </w:r>
            <w:r>
              <w:rPr>
                <w:rFonts w:ascii="宋体" w:hAnsi="宋体" w:cs="宋体" w:eastAsia="宋体" w:hint="default"/>
                <w:sz w:val="21"/>
                <w:szCs w:val="21"/>
              </w:rPr>
              <w:t>情况</w:t>
            </w:r>
          </w:p>
        </w:tc>
        <w:tc>
          <w:tcPr>
            <w:tcW w:w="10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24"/>
                <w:szCs w:val="24"/>
              </w:rPr>
            </w:pPr>
          </w:p>
          <w:p>
            <w:pPr>
              <w:pStyle w:val="TableParagraph"/>
              <w:spacing w:line="278" w:lineRule="auto"/>
              <w:ind w:left="81" w:right="74"/>
              <w:jc w:val="both"/>
              <w:rPr>
                <w:rFonts w:ascii="宋体" w:hAnsi="宋体" w:cs="宋体" w:eastAsia="宋体" w:hint="default"/>
                <w:sz w:val="21"/>
                <w:szCs w:val="21"/>
              </w:rPr>
            </w:pPr>
            <w:r>
              <w:rPr>
                <w:rFonts w:ascii="宋体" w:hAnsi="宋体" w:cs="宋体" w:eastAsia="宋体" w:hint="default"/>
                <w:sz w:val="21"/>
                <w:szCs w:val="21"/>
              </w:rPr>
              <w:t>持有有限</w:t>
            </w:r>
            <w:r>
              <w:rPr>
                <w:rFonts w:ascii="宋体" w:hAnsi="宋体" w:cs="宋体" w:eastAsia="宋体" w:hint="default"/>
                <w:spacing w:val="-101"/>
                <w:sz w:val="21"/>
                <w:szCs w:val="21"/>
              </w:rPr>
              <w:t> </w:t>
            </w:r>
            <w:r>
              <w:rPr>
                <w:rFonts w:ascii="宋体" w:hAnsi="宋体" w:cs="宋体" w:eastAsia="宋体" w:hint="default"/>
                <w:sz w:val="21"/>
                <w:szCs w:val="21"/>
              </w:rPr>
              <w:t>售条件的</w:t>
            </w:r>
            <w:r>
              <w:rPr>
                <w:rFonts w:ascii="宋体" w:hAnsi="宋体" w:cs="宋体" w:eastAsia="宋体" w:hint="default"/>
                <w:spacing w:val="-101"/>
                <w:sz w:val="21"/>
                <w:szCs w:val="21"/>
              </w:rPr>
              <w:t> </w:t>
            </w:r>
            <w:r>
              <w:rPr>
                <w:rFonts w:ascii="宋体" w:hAnsi="宋体" w:cs="宋体" w:eastAsia="宋体" w:hint="default"/>
                <w:sz w:val="21"/>
                <w:szCs w:val="21"/>
              </w:rPr>
              <w:t>股份数量</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24"/>
                <w:szCs w:val="24"/>
              </w:rPr>
            </w:pPr>
          </w:p>
          <w:p>
            <w:pPr>
              <w:pStyle w:val="TableParagraph"/>
              <w:spacing w:line="278" w:lineRule="auto"/>
              <w:ind w:left="38" w:right="27"/>
              <w:jc w:val="center"/>
              <w:rPr>
                <w:rFonts w:ascii="宋体" w:hAnsi="宋体" w:cs="宋体" w:eastAsia="宋体" w:hint="default"/>
                <w:sz w:val="21"/>
                <w:szCs w:val="21"/>
              </w:rPr>
            </w:pPr>
            <w:r>
              <w:rPr>
                <w:rFonts w:ascii="宋体" w:hAnsi="宋体" w:cs="宋体" w:eastAsia="宋体" w:hint="default"/>
                <w:sz w:val="21"/>
                <w:szCs w:val="21"/>
              </w:rPr>
              <w:t>持有无限售</w:t>
            </w:r>
            <w:r>
              <w:rPr>
                <w:rFonts w:ascii="宋体" w:hAnsi="宋体" w:cs="宋体" w:eastAsia="宋体" w:hint="default"/>
                <w:w w:val="100"/>
                <w:sz w:val="21"/>
                <w:szCs w:val="21"/>
              </w:rPr>
              <w:t> </w:t>
            </w:r>
            <w:r>
              <w:rPr>
                <w:rFonts w:ascii="宋体" w:hAnsi="宋体" w:cs="宋体" w:eastAsia="宋体" w:hint="default"/>
                <w:sz w:val="21"/>
                <w:szCs w:val="21"/>
              </w:rPr>
              <w:t>条件的股份</w:t>
            </w:r>
            <w:r>
              <w:rPr>
                <w:rFonts w:ascii="宋体" w:hAnsi="宋体" w:cs="宋体" w:eastAsia="宋体" w:hint="default"/>
                <w:w w:val="100"/>
                <w:sz w:val="21"/>
                <w:szCs w:val="21"/>
              </w:rPr>
              <w:t> </w:t>
            </w:r>
            <w:r>
              <w:rPr>
                <w:rFonts w:ascii="宋体" w:hAnsi="宋体" w:cs="宋体" w:eastAsia="宋体" w:hint="default"/>
                <w:sz w:val="21"/>
                <w:szCs w:val="21"/>
              </w:rPr>
              <w:t>数量</w:t>
            </w:r>
          </w:p>
        </w:tc>
        <w:tc>
          <w:tcPr>
            <w:tcW w:w="196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39" w:right="0"/>
              <w:jc w:val="left"/>
              <w:rPr>
                <w:rFonts w:ascii="宋体" w:hAnsi="宋体" w:cs="宋体" w:eastAsia="宋体" w:hint="default"/>
                <w:sz w:val="21"/>
                <w:szCs w:val="21"/>
              </w:rPr>
            </w:pPr>
            <w:r>
              <w:rPr>
                <w:rFonts w:ascii="宋体" w:hAnsi="宋体" w:cs="宋体" w:eastAsia="宋体" w:hint="default"/>
                <w:sz w:val="21"/>
                <w:szCs w:val="21"/>
              </w:rPr>
              <w:t>质押或冻结情况</w:t>
            </w:r>
          </w:p>
        </w:tc>
      </w:tr>
      <w:tr>
        <w:trPr>
          <w:trHeight w:val="128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541" w:type="dxa"/>
            <w:vMerge/>
            <w:tcBorders>
              <w:left w:val="single" w:sz="4" w:space="0" w:color="000000"/>
              <w:bottom w:val="single" w:sz="4" w:space="0" w:color="000000"/>
              <w:right w:val="single" w:sz="4" w:space="0" w:color="000000"/>
            </w:tcBorders>
            <w:shd w:val="clear" w:color="auto" w:fill="D2D2D2"/>
          </w:tcPr>
          <w:p>
            <w:pPr/>
          </w:p>
        </w:tc>
        <w:tc>
          <w:tcPr>
            <w:tcW w:w="926" w:type="dxa"/>
            <w:vMerge/>
            <w:tcBorders>
              <w:left w:val="single" w:sz="4" w:space="0" w:color="000000"/>
              <w:bottom w:val="single" w:sz="4" w:space="0" w:color="000000"/>
              <w:right w:val="single" w:sz="4" w:space="0" w:color="000000"/>
            </w:tcBorders>
            <w:shd w:val="clear" w:color="auto" w:fill="D2D2D2"/>
          </w:tcPr>
          <w:p>
            <w:pPr/>
          </w:p>
        </w:tc>
        <w:tc>
          <w:tcPr>
            <w:tcW w:w="1128" w:type="dxa"/>
            <w:gridSpan w:val="2"/>
            <w:vMerge/>
            <w:tcBorders>
              <w:left w:val="single" w:sz="4" w:space="0" w:color="000000"/>
              <w:bottom w:val="single" w:sz="4" w:space="0" w:color="000000"/>
              <w:right w:val="single" w:sz="4" w:space="0" w:color="000000"/>
            </w:tcBorders>
            <w:shd w:val="clear" w:color="auto" w:fill="D2D2D2"/>
          </w:tcPr>
          <w:p>
            <w:pPr/>
          </w:p>
        </w:tc>
        <w:tc>
          <w:tcPr>
            <w:tcW w:w="686" w:type="dxa"/>
            <w:vMerge/>
            <w:tcBorders>
              <w:left w:val="single" w:sz="4" w:space="0" w:color="000000"/>
              <w:bottom w:val="single" w:sz="4" w:space="0" w:color="000000"/>
              <w:right w:val="single" w:sz="4" w:space="0" w:color="000000"/>
            </w:tcBorders>
            <w:shd w:val="clear" w:color="auto" w:fill="D2D2D2"/>
          </w:tcPr>
          <w:p>
            <w:pPr/>
          </w:p>
        </w:tc>
        <w:tc>
          <w:tcPr>
            <w:tcW w:w="1013"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9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left="67" w:right="0"/>
              <w:jc w:val="left"/>
              <w:rPr>
                <w:rFonts w:ascii="宋体" w:hAnsi="宋体" w:cs="宋体" w:eastAsia="宋体" w:hint="default"/>
                <w:sz w:val="21"/>
                <w:szCs w:val="21"/>
              </w:rPr>
            </w:pPr>
            <w:r>
              <w:rPr>
                <w:rFonts w:ascii="宋体" w:hAnsi="宋体" w:cs="宋体" w:eastAsia="宋体" w:hint="default"/>
                <w:sz w:val="21"/>
                <w:szCs w:val="21"/>
              </w:rPr>
              <w:t>股份状态</w:t>
            </w:r>
          </w:p>
        </w:tc>
        <w:tc>
          <w:tcPr>
            <w:tcW w:w="9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648"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4" w:right="70"/>
              <w:jc w:val="left"/>
              <w:rPr>
                <w:rFonts w:ascii="宋体" w:hAnsi="宋体" w:cs="宋体" w:eastAsia="宋体" w:hint="default"/>
                <w:sz w:val="21"/>
                <w:szCs w:val="21"/>
              </w:rPr>
            </w:pPr>
            <w:r>
              <w:rPr>
                <w:rFonts w:ascii="宋体" w:hAnsi="宋体" w:cs="宋体" w:eastAsia="宋体" w:hint="default"/>
                <w:sz w:val="21"/>
                <w:szCs w:val="21"/>
              </w:rPr>
              <w:t>中国宝安集团</w:t>
            </w:r>
            <w:r>
              <w:rPr>
                <w:rFonts w:ascii="宋体" w:hAnsi="宋体" w:cs="宋体" w:eastAsia="宋体" w:hint="default"/>
                <w:w w:val="100"/>
                <w:sz w:val="21"/>
                <w:szCs w:val="21"/>
              </w:rPr>
              <w:t> </w:t>
            </w:r>
            <w:r>
              <w:rPr>
                <w:rFonts w:ascii="宋体" w:hAnsi="宋体" w:cs="宋体" w:eastAsia="宋体" w:hint="default"/>
                <w:sz w:val="21"/>
                <w:szCs w:val="21"/>
              </w:rPr>
              <w:t>控股有限公司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9" w:right="0"/>
              <w:jc w:val="left"/>
              <w:rPr>
                <w:rFonts w:ascii="宋体" w:hAnsi="宋体" w:cs="宋体" w:eastAsia="宋体" w:hint="default"/>
                <w:sz w:val="21"/>
                <w:szCs w:val="21"/>
              </w:rPr>
            </w:pPr>
            <w:r>
              <w:rPr>
                <w:rFonts w:ascii="宋体" w:hAnsi="宋体" w:cs="宋体" w:eastAsia="宋体" w:hint="default"/>
                <w:sz w:val="21"/>
                <w:szCs w:val="21"/>
              </w:rPr>
              <w:t>境内一般法人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19.8%</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44" w:right="0"/>
              <w:jc w:val="left"/>
              <w:rPr>
                <w:rFonts w:ascii="Times New Roman" w:hAnsi="Times New Roman" w:cs="Times New Roman" w:eastAsia="Times New Roman" w:hint="default"/>
                <w:sz w:val="21"/>
                <w:szCs w:val="21"/>
              </w:rPr>
            </w:pPr>
            <w:r>
              <w:rPr>
                <w:rFonts w:ascii="Times New Roman"/>
                <w:sz w:val="21"/>
              </w:rPr>
              <w:t>92,962,319</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w w:val="100"/>
                <w:sz w:val="21"/>
              </w:rPr>
              <w:t>0</w:t>
            </w: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92,962,319</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宋体" w:hAnsi="宋体" w:cs="宋体" w:eastAsia="宋体" w:hint="default"/>
                <w:sz w:val="21"/>
                <w:szCs w:val="21"/>
              </w:rPr>
              <w:t>质押</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7"/>
              <w:jc w:val="right"/>
              <w:rPr>
                <w:rFonts w:ascii="Times New Roman" w:hAnsi="Times New Roman" w:cs="Times New Roman" w:eastAsia="Times New Roman" w:hint="default"/>
                <w:sz w:val="21"/>
                <w:szCs w:val="21"/>
              </w:rPr>
            </w:pPr>
            <w:r>
              <w:rPr>
                <w:rFonts w:ascii="Times New Roman"/>
                <w:sz w:val="21"/>
              </w:rPr>
              <w:t>90,000,00</w:t>
            </w:r>
          </w:p>
          <w:p>
            <w:pPr>
              <w:pStyle w:val="TableParagraph"/>
              <w:spacing w:line="240" w:lineRule="auto" w:before="80"/>
              <w:ind w:right="22"/>
              <w:jc w:val="right"/>
              <w:rPr>
                <w:rFonts w:ascii="Times New Roman" w:hAnsi="Times New Roman" w:cs="Times New Roman" w:eastAsia="Times New Roman" w:hint="default"/>
                <w:sz w:val="21"/>
                <w:szCs w:val="21"/>
              </w:rPr>
            </w:pPr>
            <w:r>
              <w:rPr>
                <w:rFonts w:ascii="Times New Roman"/>
                <w:w w:val="100"/>
                <w:sz w:val="21"/>
              </w:rPr>
              <w:t>0</w:t>
            </w:r>
          </w:p>
        </w:tc>
      </w:tr>
      <w:tr>
        <w:trPr>
          <w:trHeight w:val="97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4" w:right="70"/>
              <w:jc w:val="both"/>
              <w:rPr>
                <w:rFonts w:ascii="宋体" w:hAnsi="宋体" w:cs="宋体" w:eastAsia="宋体" w:hint="default"/>
                <w:sz w:val="21"/>
                <w:szCs w:val="21"/>
              </w:rPr>
            </w:pPr>
            <w:r>
              <w:rPr>
                <w:rFonts w:ascii="宋体" w:hAnsi="宋体" w:cs="宋体" w:eastAsia="宋体" w:hint="default"/>
                <w:sz w:val="21"/>
                <w:szCs w:val="21"/>
              </w:rPr>
              <w:t>深圳市东鸿信</w:t>
            </w:r>
            <w:r>
              <w:rPr>
                <w:rFonts w:ascii="宋体" w:hAnsi="宋体" w:cs="宋体" w:eastAsia="宋体" w:hint="default"/>
                <w:w w:val="100"/>
                <w:sz w:val="21"/>
                <w:szCs w:val="21"/>
              </w:rPr>
              <w:t> </w:t>
            </w:r>
            <w:r>
              <w:rPr>
                <w:rFonts w:ascii="宋体" w:hAnsi="宋体" w:cs="宋体" w:eastAsia="宋体" w:hint="default"/>
                <w:sz w:val="21"/>
                <w:szCs w:val="21"/>
              </w:rPr>
              <w:t>投资发展有限</w:t>
            </w:r>
            <w:r>
              <w:rPr>
                <w:rFonts w:ascii="宋体" w:hAnsi="宋体" w:cs="宋体" w:eastAsia="宋体" w:hint="default"/>
                <w:w w:val="100"/>
                <w:sz w:val="21"/>
                <w:szCs w:val="21"/>
              </w:rPr>
              <w:t> </w:t>
            </w:r>
            <w:r>
              <w:rPr>
                <w:rFonts w:ascii="宋体" w:hAnsi="宋体" w:cs="宋体" w:eastAsia="宋体" w:hint="default"/>
                <w:sz w:val="21"/>
                <w:szCs w:val="21"/>
              </w:rPr>
              <w:t>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sz w:val="21"/>
                <w:szCs w:val="21"/>
              </w:rPr>
              <w:t>境内一般法人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14.89%</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144" w:right="0"/>
              <w:jc w:val="left"/>
              <w:rPr>
                <w:rFonts w:ascii="Times New Roman" w:hAnsi="Times New Roman" w:cs="Times New Roman" w:eastAsia="Times New Roman" w:hint="default"/>
                <w:sz w:val="21"/>
                <w:szCs w:val="21"/>
              </w:rPr>
            </w:pPr>
            <w:r>
              <w:rPr>
                <w:rFonts w:ascii="Times New Roman"/>
                <w:sz w:val="21"/>
              </w:rPr>
              <w:t>69,909,605</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w w:val="100"/>
                <w:sz w:val="21"/>
              </w:rPr>
              <w:t>0</w:t>
            </w: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69,909,605</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32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黄小敏</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3"/>
              <w:jc w:val="right"/>
              <w:rPr>
                <w:rFonts w:ascii="Times New Roman" w:hAnsi="Times New Roman" w:cs="Times New Roman" w:eastAsia="Times New Roman" w:hint="default"/>
                <w:sz w:val="21"/>
                <w:szCs w:val="21"/>
              </w:rPr>
            </w:pPr>
            <w:r>
              <w:rPr>
                <w:rFonts w:ascii="Times New Roman"/>
                <w:sz w:val="21"/>
              </w:rPr>
              <w:t>0.64%</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9" w:right="0"/>
              <w:jc w:val="left"/>
              <w:rPr>
                <w:rFonts w:ascii="Times New Roman" w:hAnsi="Times New Roman" w:cs="Times New Roman" w:eastAsia="Times New Roman" w:hint="default"/>
                <w:sz w:val="21"/>
                <w:szCs w:val="21"/>
              </w:rPr>
            </w:pPr>
            <w:r>
              <w:rPr>
                <w:rFonts w:ascii="Times New Roman"/>
                <w:sz w:val="21"/>
              </w:rPr>
              <w:t>2,995,300</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7"/>
              <w:jc w:val="right"/>
              <w:rPr>
                <w:rFonts w:ascii="Times New Roman" w:hAnsi="Times New Roman" w:cs="Times New Roman" w:eastAsia="Times New Roman" w:hint="default"/>
                <w:sz w:val="21"/>
                <w:szCs w:val="21"/>
              </w:rPr>
            </w:pPr>
            <w:r>
              <w:rPr>
                <w:rFonts w:ascii="Times New Roman"/>
                <w:sz w:val="21"/>
              </w:rPr>
              <w:t>2,995,300</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65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4" w:right="70"/>
              <w:jc w:val="left"/>
              <w:rPr>
                <w:rFonts w:ascii="宋体" w:hAnsi="宋体" w:cs="宋体" w:eastAsia="宋体" w:hint="default"/>
                <w:sz w:val="21"/>
                <w:szCs w:val="21"/>
              </w:rPr>
            </w:pPr>
            <w:r>
              <w:rPr>
                <w:rFonts w:ascii="宋体" w:hAnsi="宋体" w:cs="宋体" w:eastAsia="宋体" w:hint="default"/>
                <w:sz w:val="21"/>
                <w:szCs w:val="21"/>
              </w:rPr>
              <w:t>深圳开道投资</w:t>
            </w:r>
            <w:r>
              <w:rPr>
                <w:rFonts w:ascii="宋体" w:hAnsi="宋体" w:cs="宋体" w:eastAsia="宋体" w:hint="default"/>
                <w:w w:val="100"/>
                <w:sz w:val="21"/>
                <w:szCs w:val="21"/>
              </w:rPr>
              <w:t> </w:t>
            </w:r>
            <w:r>
              <w:rPr>
                <w:rFonts w:ascii="宋体" w:hAnsi="宋体" w:cs="宋体" w:eastAsia="宋体" w:hint="default"/>
                <w:sz w:val="21"/>
                <w:szCs w:val="21"/>
              </w:rPr>
              <w:t>有限公司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9" w:right="0"/>
              <w:jc w:val="left"/>
              <w:rPr>
                <w:rFonts w:ascii="宋体" w:hAnsi="宋体" w:cs="宋体" w:eastAsia="宋体" w:hint="default"/>
                <w:sz w:val="21"/>
                <w:szCs w:val="21"/>
              </w:rPr>
            </w:pPr>
            <w:r>
              <w:rPr>
                <w:rFonts w:ascii="宋体" w:hAnsi="宋体" w:cs="宋体" w:eastAsia="宋体" w:hint="default"/>
                <w:sz w:val="21"/>
                <w:szCs w:val="21"/>
              </w:rPr>
              <w:t>境内一般法人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0.61%</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49" w:right="0"/>
              <w:jc w:val="left"/>
              <w:rPr>
                <w:rFonts w:ascii="Times New Roman" w:hAnsi="Times New Roman" w:cs="Times New Roman" w:eastAsia="Times New Roman" w:hint="default"/>
                <w:sz w:val="21"/>
                <w:szCs w:val="21"/>
              </w:rPr>
            </w:pPr>
            <w:r>
              <w:rPr>
                <w:rFonts w:ascii="Times New Roman"/>
                <w:sz w:val="21"/>
              </w:rPr>
              <w:t>2,860,000</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39" w:right="0"/>
              <w:jc w:val="left"/>
              <w:rPr>
                <w:rFonts w:ascii="Times New Roman" w:hAnsi="Times New Roman" w:cs="Times New Roman" w:eastAsia="Times New Roman" w:hint="default"/>
                <w:sz w:val="21"/>
                <w:szCs w:val="21"/>
              </w:rPr>
            </w:pPr>
            <w:r>
              <w:rPr>
                <w:rFonts w:ascii="Times New Roman"/>
                <w:sz w:val="21"/>
              </w:rPr>
              <w:t>2,860,000</w:t>
            </w: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宋体" w:hAnsi="宋体" w:cs="宋体" w:eastAsia="宋体" w:hint="default"/>
                <w:sz w:val="21"/>
                <w:szCs w:val="21"/>
              </w:rPr>
              <w:t>质押</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67" w:right="0"/>
              <w:jc w:val="center"/>
              <w:rPr>
                <w:rFonts w:ascii="Times New Roman" w:hAnsi="Times New Roman" w:cs="Times New Roman" w:eastAsia="Times New Roman" w:hint="default"/>
                <w:sz w:val="21"/>
                <w:szCs w:val="21"/>
              </w:rPr>
            </w:pPr>
            <w:r>
              <w:rPr>
                <w:rFonts w:ascii="Times New Roman"/>
                <w:sz w:val="21"/>
              </w:rPr>
              <w:t>2,860,000</w:t>
            </w:r>
          </w:p>
        </w:tc>
      </w:tr>
      <w:tr>
        <w:trPr>
          <w:trHeight w:val="128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4" w:right="70"/>
              <w:jc w:val="both"/>
              <w:rPr>
                <w:rFonts w:ascii="宋体" w:hAnsi="宋体" w:cs="宋体" w:eastAsia="宋体" w:hint="default"/>
                <w:sz w:val="21"/>
                <w:szCs w:val="21"/>
              </w:rPr>
            </w:pPr>
            <w:r>
              <w:rPr>
                <w:rFonts w:ascii="宋体" w:hAnsi="宋体" w:cs="宋体" w:eastAsia="宋体" w:hint="default"/>
                <w:sz w:val="21"/>
                <w:szCs w:val="21"/>
              </w:rPr>
              <w:t>中信建投证券</w:t>
            </w:r>
            <w:r>
              <w:rPr>
                <w:rFonts w:ascii="宋体" w:hAnsi="宋体" w:cs="宋体" w:eastAsia="宋体" w:hint="default"/>
                <w:w w:val="100"/>
                <w:sz w:val="21"/>
                <w:szCs w:val="21"/>
              </w:rPr>
              <w:t> </w:t>
            </w:r>
            <w:r>
              <w:rPr>
                <w:rFonts w:ascii="宋体" w:hAnsi="宋体" w:cs="宋体" w:eastAsia="宋体" w:hint="default"/>
                <w:sz w:val="21"/>
                <w:szCs w:val="21"/>
              </w:rPr>
              <w:t>股份有限公司</w:t>
            </w:r>
            <w:r>
              <w:rPr>
                <w:rFonts w:ascii="宋体" w:hAnsi="宋体" w:cs="宋体" w:eastAsia="宋体" w:hint="default"/>
                <w:w w:val="100"/>
                <w:sz w:val="21"/>
                <w:szCs w:val="21"/>
              </w:rPr>
              <w:t> </w:t>
            </w:r>
            <w:r>
              <w:rPr>
                <w:rFonts w:ascii="宋体" w:hAnsi="宋体" w:cs="宋体" w:eastAsia="宋体" w:hint="default"/>
                <w:sz w:val="21"/>
                <w:szCs w:val="21"/>
              </w:rPr>
              <w:t>客户信用交易</w:t>
            </w:r>
            <w:r>
              <w:rPr>
                <w:rFonts w:ascii="宋体" w:hAnsi="宋体" w:cs="宋体" w:eastAsia="宋体" w:hint="default"/>
                <w:w w:val="100"/>
                <w:sz w:val="21"/>
                <w:szCs w:val="21"/>
              </w:rPr>
              <w:t> </w:t>
            </w:r>
            <w:r>
              <w:rPr>
                <w:rFonts w:ascii="宋体" w:hAnsi="宋体" w:cs="宋体" w:eastAsia="宋体" w:hint="default"/>
                <w:sz w:val="21"/>
                <w:szCs w:val="21"/>
              </w:rPr>
              <w:t>担保证券账户</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sz w:val="21"/>
                <w:szCs w:val="21"/>
              </w:rPr>
              <w:t>境内一般法人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0.5%</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49" w:right="0"/>
              <w:jc w:val="left"/>
              <w:rPr>
                <w:rFonts w:ascii="Times New Roman" w:hAnsi="Times New Roman" w:cs="Times New Roman" w:eastAsia="Times New Roman" w:hint="default"/>
                <w:sz w:val="21"/>
                <w:szCs w:val="21"/>
              </w:rPr>
            </w:pPr>
            <w:r>
              <w:rPr>
                <w:rFonts w:ascii="Times New Roman"/>
                <w:sz w:val="21"/>
              </w:rPr>
              <w:t>2,369,300</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2,369,300</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65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4" w:right="70"/>
              <w:jc w:val="left"/>
              <w:rPr>
                <w:rFonts w:ascii="宋体" w:hAnsi="宋体" w:cs="宋体" w:eastAsia="宋体" w:hint="default"/>
                <w:sz w:val="21"/>
                <w:szCs w:val="21"/>
              </w:rPr>
            </w:pPr>
            <w:r>
              <w:rPr>
                <w:rFonts w:ascii="宋体" w:hAnsi="宋体" w:cs="宋体" w:eastAsia="宋体" w:hint="default"/>
                <w:sz w:val="21"/>
                <w:szCs w:val="21"/>
              </w:rPr>
              <w:t>深圳机场侯机</w:t>
            </w:r>
            <w:r>
              <w:rPr>
                <w:rFonts w:ascii="宋体" w:hAnsi="宋体" w:cs="宋体" w:eastAsia="宋体" w:hint="default"/>
                <w:w w:val="100"/>
                <w:sz w:val="21"/>
                <w:szCs w:val="21"/>
              </w:rPr>
              <w:t> </w:t>
            </w:r>
            <w:r>
              <w:rPr>
                <w:rFonts w:ascii="宋体" w:hAnsi="宋体" w:cs="宋体" w:eastAsia="宋体" w:hint="default"/>
                <w:sz w:val="21"/>
                <w:szCs w:val="21"/>
              </w:rPr>
              <w:t>楼有限公司</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9"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0.46%</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49" w:right="0"/>
              <w:jc w:val="left"/>
              <w:rPr>
                <w:rFonts w:ascii="Times New Roman" w:hAnsi="Times New Roman" w:cs="Times New Roman" w:eastAsia="Times New Roman" w:hint="default"/>
                <w:sz w:val="21"/>
                <w:szCs w:val="21"/>
              </w:rPr>
            </w:pPr>
            <w:r>
              <w:rPr>
                <w:rFonts w:ascii="Times New Roman"/>
                <w:sz w:val="21"/>
              </w:rPr>
              <w:t>2,145,000</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2,145,000</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乔磊</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3"/>
              <w:jc w:val="right"/>
              <w:rPr>
                <w:rFonts w:ascii="Times New Roman" w:hAnsi="Times New Roman" w:cs="Times New Roman" w:eastAsia="Times New Roman" w:hint="default"/>
                <w:sz w:val="21"/>
                <w:szCs w:val="21"/>
              </w:rPr>
            </w:pPr>
            <w:r>
              <w:rPr>
                <w:rFonts w:ascii="Times New Roman"/>
                <w:sz w:val="21"/>
              </w:rPr>
              <w:t>0.33%</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9" w:right="0"/>
              <w:jc w:val="left"/>
              <w:rPr>
                <w:rFonts w:ascii="Times New Roman" w:hAnsi="Times New Roman" w:cs="Times New Roman" w:eastAsia="Times New Roman" w:hint="default"/>
                <w:sz w:val="21"/>
                <w:szCs w:val="21"/>
              </w:rPr>
            </w:pPr>
            <w:r>
              <w:rPr>
                <w:rFonts w:ascii="Times New Roman"/>
                <w:sz w:val="21"/>
              </w:rPr>
              <w:t>1,526,840</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7"/>
              <w:jc w:val="right"/>
              <w:rPr>
                <w:rFonts w:ascii="Times New Roman" w:hAnsi="Times New Roman" w:cs="Times New Roman" w:eastAsia="Times New Roman" w:hint="default"/>
                <w:sz w:val="21"/>
                <w:szCs w:val="21"/>
              </w:rPr>
            </w:pPr>
            <w:r>
              <w:rPr>
                <w:rFonts w:ascii="Times New Roman"/>
                <w:sz w:val="21"/>
              </w:rPr>
              <w:t>1,526,840</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1286"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78" w:lineRule="auto" w:before="9"/>
              <w:ind w:left="24" w:right="70"/>
              <w:jc w:val="both"/>
              <w:rPr>
                <w:rFonts w:ascii="宋体" w:hAnsi="宋体" w:cs="宋体" w:eastAsia="宋体" w:hint="default"/>
                <w:sz w:val="21"/>
                <w:szCs w:val="21"/>
              </w:rPr>
            </w:pPr>
            <w:r>
              <w:rPr>
                <w:rFonts w:ascii="宋体" w:hAnsi="宋体" w:cs="宋体" w:eastAsia="宋体" w:hint="default"/>
                <w:sz w:val="21"/>
                <w:szCs w:val="21"/>
              </w:rPr>
              <w:t>广发证券股份</w:t>
            </w:r>
            <w:r>
              <w:rPr>
                <w:rFonts w:ascii="宋体" w:hAnsi="宋体" w:cs="宋体" w:eastAsia="宋体" w:hint="default"/>
                <w:w w:val="100"/>
                <w:sz w:val="21"/>
                <w:szCs w:val="21"/>
              </w:rPr>
              <w:t> </w:t>
            </w:r>
            <w:r>
              <w:rPr>
                <w:rFonts w:ascii="宋体" w:hAnsi="宋体" w:cs="宋体" w:eastAsia="宋体" w:hint="default"/>
                <w:sz w:val="21"/>
                <w:szCs w:val="21"/>
              </w:rPr>
              <w:t>有限公司客户</w:t>
            </w:r>
            <w:r>
              <w:rPr>
                <w:rFonts w:ascii="宋体" w:hAnsi="宋体" w:cs="宋体" w:eastAsia="宋体" w:hint="default"/>
                <w:w w:val="100"/>
                <w:sz w:val="21"/>
                <w:szCs w:val="21"/>
              </w:rPr>
              <w:t> </w:t>
            </w:r>
            <w:r>
              <w:rPr>
                <w:rFonts w:ascii="宋体" w:hAnsi="宋体" w:cs="宋体" w:eastAsia="宋体" w:hint="default"/>
                <w:sz w:val="21"/>
                <w:szCs w:val="21"/>
              </w:rPr>
              <w:t>信用交易担保</w:t>
            </w:r>
            <w:r>
              <w:rPr>
                <w:rFonts w:ascii="宋体" w:hAnsi="宋体" w:cs="宋体" w:eastAsia="宋体" w:hint="default"/>
                <w:w w:val="100"/>
                <w:sz w:val="21"/>
                <w:szCs w:val="21"/>
              </w:rPr>
              <w:t> </w:t>
            </w:r>
            <w:r>
              <w:rPr>
                <w:rFonts w:ascii="宋体" w:hAnsi="宋体" w:cs="宋体" w:eastAsia="宋体" w:hint="default"/>
                <w:sz w:val="21"/>
                <w:szCs w:val="21"/>
              </w:rPr>
              <w:t>证券账户</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sz w:val="21"/>
                <w:szCs w:val="21"/>
              </w:rPr>
              <w:t>境内一般法人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0.28%</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249" w:right="0"/>
              <w:jc w:val="left"/>
              <w:rPr>
                <w:rFonts w:ascii="Times New Roman" w:hAnsi="Times New Roman" w:cs="Times New Roman" w:eastAsia="Times New Roman" w:hint="default"/>
                <w:sz w:val="21"/>
                <w:szCs w:val="21"/>
              </w:rPr>
            </w:pPr>
            <w:r>
              <w:rPr>
                <w:rFonts w:ascii="Times New Roman"/>
                <w:sz w:val="21"/>
              </w:rPr>
              <w:t>1,309,197</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1,309,197</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易庆庐</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3"/>
              <w:jc w:val="right"/>
              <w:rPr>
                <w:rFonts w:ascii="Times New Roman" w:hAnsi="Times New Roman" w:cs="Times New Roman" w:eastAsia="Times New Roman" w:hint="default"/>
                <w:sz w:val="21"/>
                <w:szCs w:val="21"/>
              </w:rPr>
            </w:pPr>
            <w:r>
              <w:rPr>
                <w:rFonts w:ascii="Times New Roman"/>
                <w:sz w:val="21"/>
              </w:rPr>
              <w:t>0.26%</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9" w:right="0"/>
              <w:jc w:val="left"/>
              <w:rPr>
                <w:rFonts w:ascii="Times New Roman" w:hAnsi="Times New Roman" w:cs="Times New Roman" w:eastAsia="Times New Roman" w:hint="default"/>
                <w:sz w:val="21"/>
                <w:szCs w:val="21"/>
              </w:rPr>
            </w:pPr>
            <w:r>
              <w:rPr>
                <w:rFonts w:ascii="Times New Roman"/>
                <w:sz w:val="21"/>
              </w:rPr>
              <w:t>1,225,981</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7"/>
              <w:jc w:val="right"/>
              <w:rPr>
                <w:rFonts w:ascii="Times New Roman" w:hAnsi="Times New Roman" w:cs="Times New Roman" w:eastAsia="Times New Roman" w:hint="default"/>
                <w:sz w:val="21"/>
                <w:szCs w:val="21"/>
              </w:rPr>
            </w:pPr>
            <w:r>
              <w:rPr>
                <w:rFonts w:ascii="Times New Roman"/>
                <w:sz w:val="21"/>
              </w:rPr>
              <w:t>1,225,981</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苏颜翔</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3"/>
              <w:jc w:val="right"/>
              <w:rPr>
                <w:rFonts w:ascii="Times New Roman" w:hAnsi="Times New Roman" w:cs="Times New Roman" w:eastAsia="Times New Roman" w:hint="default"/>
                <w:sz w:val="21"/>
                <w:szCs w:val="21"/>
              </w:rPr>
            </w:pPr>
            <w:r>
              <w:rPr>
                <w:rFonts w:ascii="Times New Roman"/>
                <w:sz w:val="21"/>
              </w:rPr>
              <w:t>0.26%</w:t>
            </w:r>
          </w:p>
        </w:tc>
        <w:tc>
          <w:tcPr>
            <w:tcW w:w="112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249" w:right="0"/>
              <w:jc w:val="left"/>
              <w:rPr>
                <w:rFonts w:ascii="Times New Roman" w:hAnsi="Times New Roman" w:cs="Times New Roman" w:eastAsia="Times New Roman" w:hint="default"/>
                <w:sz w:val="21"/>
                <w:szCs w:val="21"/>
              </w:rPr>
            </w:pPr>
            <w:r>
              <w:rPr>
                <w:rFonts w:ascii="Times New Roman"/>
                <w:sz w:val="21"/>
              </w:rPr>
              <w:t>1,199,745</w:t>
            </w:r>
          </w:p>
        </w:tc>
        <w:tc>
          <w:tcPr>
            <w:tcW w:w="686" w:type="dxa"/>
            <w:tcBorders>
              <w:top w:val="single" w:sz="4" w:space="0" w:color="000000"/>
              <w:left w:val="single" w:sz="4" w:space="0" w:color="000000"/>
              <w:bottom w:val="single" w:sz="4" w:space="0" w:color="000000"/>
              <w:right w:val="single" w:sz="4" w:space="0" w:color="000000"/>
            </w:tcBorders>
          </w:tcPr>
          <w:p>
            <w:pPr/>
          </w:p>
        </w:tc>
        <w:tc>
          <w:tcPr>
            <w:tcW w:w="10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7"/>
              <w:jc w:val="right"/>
              <w:rPr>
                <w:rFonts w:ascii="Times New Roman" w:hAnsi="Times New Roman" w:cs="Times New Roman" w:eastAsia="Times New Roman" w:hint="default"/>
                <w:sz w:val="21"/>
                <w:szCs w:val="21"/>
              </w:rPr>
            </w:pPr>
            <w:r>
              <w:rPr>
                <w:rFonts w:ascii="Times New Roman"/>
                <w:sz w:val="21"/>
              </w:rPr>
              <w:t>1,199,745</w:t>
            </w:r>
          </w:p>
        </w:tc>
        <w:tc>
          <w:tcPr>
            <w:tcW w:w="994" w:type="dxa"/>
            <w:gridSpan w:val="2"/>
            <w:tcBorders>
              <w:top w:val="single" w:sz="4" w:space="0" w:color="000000"/>
              <w:left w:val="single" w:sz="4" w:space="0" w:color="000000"/>
              <w:bottom w:val="single" w:sz="4" w:space="0" w:color="000000"/>
              <w:right w:val="single" w:sz="4" w:space="0" w:color="000000"/>
            </w:tcBorders>
          </w:tcPr>
          <w:p>
            <w:pPr/>
          </w:p>
        </w:tc>
        <w:tc>
          <w:tcPr>
            <w:tcW w:w="970" w:type="dxa"/>
            <w:tcBorders>
              <w:top w:val="single" w:sz="4" w:space="0" w:color="000000"/>
              <w:left w:val="single" w:sz="4" w:space="0" w:color="000000"/>
              <w:bottom w:val="single" w:sz="4" w:space="0" w:color="000000"/>
              <w:right w:val="single" w:sz="4" w:space="0" w:color="000000"/>
            </w:tcBorders>
          </w:tcPr>
          <w:p>
            <w:pPr/>
          </w:p>
        </w:tc>
      </w:tr>
      <w:tr>
        <w:trPr>
          <w:trHeight w:val="970" w:hRule="exact"/>
        </w:trPr>
        <w:tc>
          <w:tcPr>
            <w:tcW w:w="290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80" w:lineRule="auto" w:before="9"/>
              <w:ind w:left="24" w:right="137"/>
              <w:jc w:val="left"/>
              <w:rPr>
                <w:rFonts w:ascii="宋体" w:hAnsi="宋体" w:cs="宋体" w:eastAsia="宋体" w:hint="default"/>
                <w:sz w:val="21"/>
                <w:szCs w:val="21"/>
              </w:rPr>
            </w:pPr>
            <w:r>
              <w:rPr>
                <w:rFonts w:ascii="宋体" w:hAnsi="宋体" w:cs="宋体" w:eastAsia="宋体" w:hint="default"/>
                <w:spacing w:val="-1"/>
                <w:sz w:val="21"/>
                <w:szCs w:val="21"/>
              </w:rPr>
              <w:t>战略投资者或一般法人因配售</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新股成为前</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名股东的情况</w:t>
            </w:r>
          </w:p>
          <w:p>
            <w:pPr>
              <w:pStyle w:val="TableParagraph"/>
              <w:spacing w:line="261" w:lineRule="exact"/>
              <w:ind w:left="24" w:right="0"/>
              <w:jc w:val="left"/>
              <w:rPr>
                <w:rFonts w:ascii="宋体" w:hAnsi="宋体" w:cs="宋体" w:eastAsia="宋体" w:hint="default"/>
                <w:sz w:val="21"/>
                <w:szCs w:val="21"/>
              </w:rPr>
            </w:pPr>
            <w:r>
              <w:rPr>
                <w:rFonts w:ascii="宋体" w:hAnsi="宋体" w:cs="宋体" w:eastAsia="宋体" w:hint="default"/>
                <w:sz w:val="21"/>
                <w:szCs w:val="21"/>
              </w:rPr>
              <w:t>（如有）</w:t>
            </w:r>
          </w:p>
        </w:tc>
        <w:tc>
          <w:tcPr>
            <w:tcW w:w="6850"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48" w:hRule="exact"/>
        </w:trPr>
        <w:tc>
          <w:tcPr>
            <w:tcW w:w="290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80" w:lineRule="auto" w:before="9"/>
              <w:ind w:left="24" w:right="137"/>
              <w:jc w:val="left"/>
              <w:rPr>
                <w:rFonts w:ascii="宋体" w:hAnsi="宋体" w:cs="宋体" w:eastAsia="宋体" w:hint="default"/>
                <w:sz w:val="21"/>
                <w:szCs w:val="21"/>
              </w:rPr>
            </w:pPr>
            <w:r>
              <w:rPr>
                <w:rFonts w:ascii="宋体" w:hAnsi="宋体" w:cs="宋体" w:eastAsia="宋体" w:hint="default"/>
                <w:spacing w:val="-1"/>
                <w:sz w:val="21"/>
                <w:szCs w:val="21"/>
              </w:rPr>
              <w:t>上述股东关联关系或一致行动</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的说明</w:t>
            </w:r>
          </w:p>
        </w:tc>
        <w:tc>
          <w:tcPr>
            <w:tcW w:w="6850" w:type="dxa"/>
            <w:gridSpan w:val="9"/>
            <w:tcBorders>
              <w:top w:val="single" w:sz="4" w:space="0" w:color="000000"/>
              <w:left w:val="single" w:sz="4" w:space="0" w:color="000000"/>
              <w:bottom w:val="single" w:sz="4" w:space="0" w:color="000000"/>
              <w:right w:val="single" w:sz="4" w:space="0" w:color="000000"/>
            </w:tcBorders>
          </w:tcPr>
          <w:p>
            <w:pPr>
              <w:pStyle w:val="TableParagraph"/>
              <w:spacing w:line="280" w:lineRule="auto" w:before="9"/>
              <w:ind w:left="24" w:right="89"/>
              <w:jc w:val="left"/>
              <w:rPr>
                <w:rFonts w:ascii="宋体" w:hAnsi="宋体" w:cs="宋体" w:eastAsia="宋体" w:hint="default"/>
                <w:sz w:val="21"/>
                <w:szCs w:val="21"/>
              </w:rPr>
            </w:pPr>
            <w:r>
              <w:rPr>
                <w:rFonts w:ascii="宋体" w:hAnsi="宋体" w:cs="宋体" w:eastAsia="宋体" w:hint="default"/>
                <w:spacing w:val="-2"/>
                <w:sz w:val="21"/>
                <w:szCs w:val="21"/>
              </w:rPr>
              <w:t>截止报告期末，尚未获悉上述股东之间，是否存在关联关系，亦尚未获悉</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z w:val="21"/>
                <w:szCs w:val="21"/>
              </w:rPr>
              <w:t>是否属于《上市公司收购管理办法》规定的一致行动人。</w:t>
            </w:r>
          </w:p>
        </w:tc>
      </w:tr>
    </w:tbl>
    <w:p>
      <w:pPr>
        <w:spacing w:after="0" w:line="280" w:lineRule="auto"/>
        <w:jc w:val="left"/>
        <w:rPr>
          <w:rFonts w:ascii="宋体" w:hAnsi="宋体" w:cs="宋体" w:eastAsia="宋体" w:hint="default"/>
          <w:sz w:val="21"/>
          <w:szCs w:val="21"/>
        </w:rPr>
        <w:sectPr>
          <w:pgSz w:w="11900" w:h="16840"/>
          <w:pgMar w:header="872" w:footer="957" w:top="1120" w:bottom="1180" w:left="980" w:right="88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2909"/>
        <w:gridCol w:w="4109"/>
        <w:gridCol w:w="1368"/>
        <w:gridCol w:w="1373"/>
      </w:tblGrid>
      <w:tr>
        <w:trPr>
          <w:trHeight w:val="331" w:hRule="exact"/>
        </w:trPr>
        <w:tc>
          <w:tcPr>
            <w:tcW w:w="97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 </w:t>
            </w:r>
            <w:r>
              <w:rPr>
                <w:rFonts w:ascii="宋体" w:hAnsi="宋体" w:cs="宋体" w:eastAsia="宋体" w:hint="default"/>
                <w:sz w:val="21"/>
                <w:szCs w:val="21"/>
              </w:rPr>
              <w:t>名无限售条件股东持股情况</w:t>
            </w:r>
          </w:p>
        </w:tc>
      </w:tr>
      <w:tr>
        <w:trPr>
          <w:trHeight w:val="329" w:hRule="exact"/>
        </w:trPr>
        <w:tc>
          <w:tcPr>
            <w:tcW w:w="290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410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67"/>
              <w:ind w:left="288" w:right="0"/>
              <w:jc w:val="left"/>
              <w:rPr>
                <w:rFonts w:ascii="宋体" w:hAnsi="宋体" w:cs="宋体" w:eastAsia="宋体" w:hint="default"/>
                <w:sz w:val="21"/>
                <w:szCs w:val="21"/>
              </w:rPr>
            </w:pPr>
            <w:r>
              <w:rPr>
                <w:rFonts w:ascii="宋体" w:hAnsi="宋体" w:cs="宋体" w:eastAsia="宋体" w:hint="default"/>
                <w:sz w:val="21"/>
                <w:szCs w:val="21"/>
              </w:rPr>
              <w:t>年末持有无限售条件股份数量（注</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p>
        </w:tc>
        <w:tc>
          <w:tcPr>
            <w:tcW w:w="274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2"/>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328" w:hRule="exact"/>
        </w:trPr>
        <w:tc>
          <w:tcPr>
            <w:tcW w:w="2909" w:type="dxa"/>
            <w:vMerge/>
            <w:tcBorders>
              <w:left w:val="single" w:sz="4" w:space="0" w:color="000000"/>
              <w:bottom w:val="single" w:sz="4" w:space="0" w:color="000000"/>
              <w:right w:val="single" w:sz="4" w:space="0" w:color="000000"/>
            </w:tcBorders>
            <w:shd w:val="clear" w:color="auto" w:fill="D2D2D2"/>
          </w:tcPr>
          <w:p>
            <w:pPr/>
          </w:p>
        </w:tc>
        <w:tc>
          <w:tcPr>
            <w:tcW w:w="4109"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left="4" w:right="0"/>
              <w:jc w:val="center"/>
              <w:rPr>
                <w:rFonts w:ascii="宋体" w:hAnsi="宋体" w:cs="宋体" w:eastAsia="宋体" w:hint="default"/>
                <w:sz w:val="21"/>
                <w:szCs w:val="21"/>
              </w:rPr>
            </w:pPr>
            <w:r>
              <w:rPr>
                <w:rFonts w:ascii="宋体" w:hAnsi="宋体" w:cs="宋体" w:eastAsia="宋体" w:hint="default"/>
                <w:sz w:val="21"/>
                <w:szCs w:val="21"/>
              </w:rPr>
              <w:t>股份种类</w:t>
            </w:r>
          </w:p>
        </w:tc>
        <w:tc>
          <w:tcPr>
            <w:tcW w:w="1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331"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中国宝安集团控股有限公司</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2"/>
              <w:jc w:val="right"/>
              <w:rPr>
                <w:rFonts w:ascii="Times New Roman" w:hAnsi="Times New Roman" w:cs="Times New Roman" w:eastAsia="Times New Roman" w:hint="default"/>
                <w:sz w:val="21"/>
                <w:szCs w:val="21"/>
              </w:rPr>
            </w:pPr>
            <w:r>
              <w:rPr>
                <w:rFonts w:ascii="Times New Roman"/>
                <w:sz w:val="21"/>
              </w:rPr>
              <w:t>92,962,319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22"/>
              <w:jc w:val="right"/>
              <w:rPr>
                <w:rFonts w:ascii="Times New Roman" w:hAnsi="Times New Roman" w:cs="Times New Roman" w:eastAsia="Times New Roman" w:hint="default"/>
                <w:sz w:val="21"/>
                <w:szCs w:val="21"/>
              </w:rPr>
            </w:pPr>
            <w:r>
              <w:rPr>
                <w:rFonts w:ascii="Times New Roman"/>
                <w:sz w:val="21"/>
              </w:rPr>
              <w:t>92,962,319</w:t>
            </w:r>
          </w:p>
        </w:tc>
      </w:tr>
      <w:tr>
        <w:trPr>
          <w:trHeight w:val="994"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80" w:lineRule="auto"/>
              <w:ind w:left="24" w:right="137"/>
              <w:jc w:val="left"/>
              <w:rPr>
                <w:rFonts w:ascii="宋体" w:hAnsi="宋体" w:cs="宋体" w:eastAsia="宋体" w:hint="default"/>
                <w:sz w:val="21"/>
                <w:szCs w:val="21"/>
              </w:rPr>
            </w:pPr>
            <w:r>
              <w:rPr>
                <w:rFonts w:ascii="宋体" w:hAnsi="宋体" w:cs="宋体" w:eastAsia="宋体" w:hint="default"/>
                <w:spacing w:val="-1"/>
                <w:sz w:val="21"/>
                <w:szCs w:val="21"/>
              </w:rPr>
              <w:t>深圳市东鸿信投资发展有限公</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司</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69,909,605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69,909,605</w:t>
            </w:r>
          </w:p>
        </w:tc>
      </w:tr>
      <w:tr>
        <w:trPr>
          <w:trHeight w:val="499"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4" w:right="0"/>
              <w:jc w:val="left"/>
              <w:rPr>
                <w:rFonts w:ascii="宋体" w:hAnsi="宋体" w:cs="宋体" w:eastAsia="宋体" w:hint="default"/>
                <w:sz w:val="21"/>
                <w:szCs w:val="21"/>
              </w:rPr>
            </w:pPr>
            <w:r>
              <w:rPr>
                <w:rFonts w:ascii="宋体" w:hAnsi="宋体" w:cs="宋体" w:eastAsia="宋体" w:hint="default"/>
                <w:sz w:val="21"/>
                <w:szCs w:val="21"/>
              </w:rPr>
              <w:t>黄小敏</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2,995,300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2,995,300</w:t>
            </w:r>
          </w:p>
        </w:tc>
      </w:tr>
      <w:tr>
        <w:trPr>
          <w:trHeight w:val="994"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80" w:lineRule="auto"/>
              <w:ind w:left="24" w:right="137"/>
              <w:jc w:val="left"/>
              <w:rPr>
                <w:rFonts w:ascii="宋体" w:hAnsi="宋体" w:cs="宋体" w:eastAsia="宋体" w:hint="default"/>
                <w:sz w:val="21"/>
                <w:szCs w:val="21"/>
              </w:rPr>
            </w:pPr>
            <w:r>
              <w:rPr>
                <w:rFonts w:ascii="宋体" w:hAnsi="宋体" w:cs="宋体" w:eastAsia="宋体" w:hint="default"/>
                <w:spacing w:val="-1"/>
                <w:sz w:val="21"/>
                <w:szCs w:val="21"/>
              </w:rPr>
              <w:t>中信建投证券股份有限公司客</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户信用交易担保证券账户</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2,369,300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6"/>
                <w:szCs w:val="26"/>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2,369,300</w:t>
            </w:r>
          </w:p>
        </w:tc>
      </w:tr>
      <w:tr>
        <w:trPr>
          <w:trHeight w:val="470"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4" w:right="0"/>
              <w:jc w:val="left"/>
              <w:rPr>
                <w:rFonts w:ascii="宋体" w:hAnsi="宋体" w:cs="宋体" w:eastAsia="宋体" w:hint="default"/>
                <w:sz w:val="21"/>
                <w:szCs w:val="21"/>
              </w:rPr>
            </w:pPr>
            <w:r>
              <w:rPr>
                <w:rFonts w:ascii="宋体" w:hAnsi="宋体" w:cs="宋体" w:eastAsia="宋体" w:hint="default"/>
                <w:sz w:val="21"/>
                <w:szCs w:val="21"/>
              </w:rPr>
              <w:t>乔磊</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22"/>
              <w:jc w:val="right"/>
              <w:rPr>
                <w:rFonts w:ascii="Times New Roman" w:hAnsi="Times New Roman" w:cs="Times New Roman" w:eastAsia="Times New Roman" w:hint="default"/>
                <w:sz w:val="21"/>
                <w:szCs w:val="21"/>
              </w:rPr>
            </w:pPr>
            <w:r>
              <w:rPr>
                <w:rFonts w:ascii="Times New Roman"/>
                <w:sz w:val="21"/>
              </w:rPr>
              <w:t>1,526,840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22"/>
              <w:jc w:val="right"/>
              <w:rPr>
                <w:rFonts w:ascii="Times New Roman" w:hAnsi="Times New Roman" w:cs="Times New Roman" w:eastAsia="Times New Roman" w:hint="default"/>
                <w:sz w:val="21"/>
                <w:szCs w:val="21"/>
              </w:rPr>
            </w:pPr>
            <w:r>
              <w:rPr>
                <w:rFonts w:ascii="Times New Roman"/>
                <w:sz w:val="21"/>
              </w:rPr>
              <w:t>1,526,840</w:t>
            </w:r>
          </w:p>
        </w:tc>
      </w:tr>
      <w:tr>
        <w:trPr>
          <w:trHeight w:val="830"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95"/>
              <w:ind w:left="24" w:right="137"/>
              <w:jc w:val="left"/>
              <w:rPr>
                <w:rFonts w:ascii="宋体" w:hAnsi="宋体" w:cs="宋体" w:eastAsia="宋体" w:hint="default"/>
                <w:sz w:val="21"/>
                <w:szCs w:val="21"/>
              </w:rPr>
            </w:pPr>
            <w:r>
              <w:rPr>
                <w:rFonts w:ascii="宋体" w:hAnsi="宋体" w:cs="宋体" w:eastAsia="宋体" w:hint="default"/>
                <w:spacing w:val="-1"/>
                <w:sz w:val="21"/>
                <w:szCs w:val="21"/>
              </w:rPr>
              <w:t>广发证券股份有限公司客户信</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用交易担保证券账户</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1,309,197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1,309,197</w:t>
            </w:r>
          </w:p>
        </w:tc>
      </w:tr>
      <w:tr>
        <w:trPr>
          <w:trHeight w:val="499"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4" w:right="0"/>
              <w:jc w:val="left"/>
              <w:rPr>
                <w:rFonts w:ascii="宋体" w:hAnsi="宋体" w:cs="宋体" w:eastAsia="宋体" w:hint="default"/>
                <w:sz w:val="21"/>
                <w:szCs w:val="21"/>
              </w:rPr>
            </w:pPr>
            <w:r>
              <w:rPr>
                <w:rFonts w:ascii="宋体" w:hAnsi="宋体" w:cs="宋体" w:eastAsia="宋体" w:hint="default"/>
                <w:sz w:val="21"/>
                <w:szCs w:val="21"/>
              </w:rPr>
              <w:t>易庆庐</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1,225,981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1,225,981</w:t>
            </w:r>
          </w:p>
        </w:tc>
      </w:tr>
      <w:tr>
        <w:trPr>
          <w:trHeight w:val="499"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4" w:right="0"/>
              <w:jc w:val="left"/>
              <w:rPr>
                <w:rFonts w:ascii="宋体" w:hAnsi="宋体" w:cs="宋体" w:eastAsia="宋体" w:hint="default"/>
                <w:sz w:val="21"/>
                <w:szCs w:val="21"/>
              </w:rPr>
            </w:pPr>
            <w:r>
              <w:rPr>
                <w:rFonts w:ascii="宋体" w:hAnsi="宋体" w:cs="宋体" w:eastAsia="宋体" w:hint="default"/>
                <w:sz w:val="21"/>
                <w:szCs w:val="21"/>
              </w:rPr>
              <w:t>苏颜翔</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1,199,745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1,199,745</w:t>
            </w:r>
          </w:p>
        </w:tc>
      </w:tr>
      <w:tr>
        <w:trPr>
          <w:trHeight w:val="504"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4" w:right="0"/>
              <w:jc w:val="left"/>
              <w:rPr>
                <w:rFonts w:ascii="宋体" w:hAnsi="宋体" w:cs="宋体" w:eastAsia="宋体" w:hint="default"/>
                <w:sz w:val="21"/>
                <w:szCs w:val="21"/>
              </w:rPr>
            </w:pPr>
            <w:r>
              <w:rPr>
                <w:rFonts w:ascii="宋体" w:hAnsi="宋体" w:cs="宋体" w:eastAsia="宋体" w:hint="default"/>
                <w:sz w:val="21"/>
                <w:szCs w:val="21"/>
              </w:rPr>
              <w:t>吴凤英</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1,150,000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22"/>
              <w:jc w:val="right"/>
              <w:rPr>
                <w:rFonts w:ascii="Times New Roman" w:hAnsi="Times New Roman" w:cs="Times New Roman" w:eastAsia="Times New Roman" w:hint="default"/>
                <w:sz w:val="21"/>
                <w:szCs w:val="21"/>
              </w:rPr>
            </w:pPr>
            <w:r>
              <w:rPr>
                <w:rFonts w:ascii="Times New Roman"/>
                <w:sz w:val="21"/>
              </w:rPr>
              <w:t>1,150,000</w:t>
            </w:r>
          </w:p>
        </w:tc>
      </w:tr>
      <w:tr>
        <w:trPr>
          <w:trHeight w:val="470" w:hRule="exact"/>
        </w:trPr>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4" w:right="0"/>
              <w:jc w:val="left"/>
              <w:rPr>
                <w:rFonts w:ascii="宋体" w:hAnsi="宋体" w:cs="宋体" w:eastAsia="宋体" w:hint="default"/>
                <w:sz w:val="21"/>
                <w:szCs w:val="21"/>
              </w:rPr>
            </w:pPr>
            <w:r>
              <w:rPr>
                <w:rFonts w:ascii="宋体" w:hAnsi="宋体" w:cs="宋体" w:eastAsia="宋体" w:hint="default"/>
                <w:sz w:val="21"/>
                <w:szCs w:val="21"/>
              </w:rPr>
              <w:t>王建华</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22"/>
              <w:jc w:val="right"/>
              <w:rPr>
                <w:rFonts w:ascii="Times New Roman" w:hAnsi="Times New Roman" w:cs="Times New Roman" w:eastAsia="Times New Roman" w:hint="default"/>
                <w:sz w:val="21"/>
                <w:szCs w:val="21"/>
              </w:rPr>
            </w:pPr>
            <w:r>
              <w:rPr>
                <w:rFonts w:ascii="Times New Roman"/>
                <w:sz w:val="21"/>
              </w:rPr>
              <w:t>1,121,500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46"/>
              <w:jc w:val="center"/>
              <w:rPr>
                <w:rFonts w:ascii="宋体" w:hAnsi="宋体" w:cs="宋体" w:eastAsia="宋体" w:hint="default"/>
                <w:sz w:val="21"/>
                <w:szCs w:val="21"/>
              </w:rPr>
            </w:pPr>
            <w:r>
              <w:rPr>
                <w:rFonts w:ascii="宋体" w:hAnsi="宋体" w:cs="宋体" w:eastAsia="宋体" w:hint="default"/>
                <w:sz w:val="21"/>
                <w:szCs w:val="21"/>
              </w:rPr>
              <w:t>人民币普通股</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22"/>
              <w:jc w:val="right"/>
              <w:rPr>
                <w:rFonts w:ascii="Times New Roman" w:hAnsi="Times New Roman" w:cs="Times New Roman" w:eastAsia="Times New Roman" w:hint="default"/>
                <w:sz w:val="21"/>
                <w:szCs w:val="21"/>
              </w:rPr>
            </w:pPr>
            <w:r>
              <w:rPr>
                <w:rFonts w:ascii="Times New Roman"/>
                <w:sz w:val="21"/>
              </w:rPr>
              <w:t>1,121,500</w:t>
            </w:r>
          </w:p>
        </w:tc>
      </w:tr>
      <w:tr>
        <w:trPr>
          <w:trHeight w:val="1291" w:hRule="exact"/>
        </w:trPr>
        <w:tc>
          <w:tcPr>
            <w:tcW w:w="29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名无限售流通股股东之</w:t>
            </w:r>
          </w:p>
          <w:p>
            <w:pPr>
              <w:pStyle w:val="TableParagraph"/>
              <w:spacing w:line="240" w:lineRule="auto" w:before="31"/>
              <w:ind w:left="24" w:right="0"/>
              <w:jc w:val="left"/>
              <w:rPr>
                <w:rFonts w:ascii="宋体" w:hAnsi="宋体" w:cs="宋体" w:eastAsia="宋体" w:hint="default"/>
                <w:sz w:val="21"/>
                <w:szCs w:val="21"/>
              </w:rPr>
            </w:pPr>
            <w:r>
              <w:rPr>
                <w:rFonts w:ascii="宋体" w:hAnsi="宋体" w:cs="宋体" w:eastAsia="宋体" w:hint="default"/>
                <w:sz w:val="21"/>
                <w:szCs w:val="21"/>
              </w:rPr>
              <w:t>间，以及前</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名无限售流通股</w:t>
            </w:r>
          </w:p>
          <w:p>
            <w:pPr>
              <w:pStyle w:val="TableParagraph"/>
              <w:spacing w:line="261" w:lineRule="auto" w:before="31"/>
              <w:ind w:left="24" w:right="31"/>
              <w:jc w:val="left"/>
              <w:rPr>
                <w:rFonts w:ascii="宋体" w:hAnsi="宋体" w:cs="宋体" w:eastAsia="宋体" w:hint="default"/>
                <w:sz w:val="21"/>
                <w:szCs w:val="21"/>
              </w:rPr>
            </w:pPr>
            <w:r>
              <w:rPr>
                <w:rFonts w:ascii="宋体" w:hAnsi="宋体" w:cs="宋体" w:eastAsia="宋体" w:hint="default"/>
                <w:sz w:val="21"/>
                <w:szCs w:val="21"/>
              </w:rPr>
              <w:t>股东和前</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名股东之间关联关</w:t>
            </w:r>
            <w:r>
              <w:rPr>
                <w:rFonts w:ascii="宋体" w:hAnsi="宋体" w:cs="宋体" w:eastAsia="宋体" w:hint="default"/>
                <w:w w:val="100"/>
                <w:sz w:val="21"/>
                <w:szCs w:val="21"/>
              </w:rPr>
              <w:t> </w:t>
            </w:r>
            <w:r>
              <w:rPr>
                <w:rFonts w:ascii="宋体" w:hAnsi="宋体" w:cs="宋体" w:eastAsia="宋体" w:hint="default"/>
                <w:sz w:val="21"/>
                <w:szCs w:val="21"/>
              </w:rPr>
              <w:t>系或一致行动的说明</w:t>
            </w:r>
          </w:p>
        </w:tc>
        <w:tc>
          <w:tcPr>
            <w:tcW w:w="68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80" w:lineRule="auto" w:before="167"/>
              <w:ind w:left="24" w:right="89"/>
              <w:jc w:val="both"/>
              <w:rPr>
                <w:rFonts w:ascii="宋体" w:hAnsi="宋体" w:cs="宋体" w:eastAsia="宋体" w:hint="default"/>
                <w:sz w:val="21"/>
                <w:szCs w:val="21"/>
              </w:rPr>
            </w:pPr>
            <w:r>
              <w:rPr>
                <w:rFonts w:ascii="宋体" w:hAnsi="宋体" w:cs="宋体" w:eastAsia="宋体" w:hint="default"/>
                <w:spacing w:val="-2"/>
                <w:sz w:val="21"/>
                <w:szCs w:val="21"/>
              </w:rPr>
              <w:t>截止报告期末，尚未获悉前十名无限售条件流通股股东之间，以及前十名</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pacing w:val="-2"/>
                <w:sz w:val="21"/>
                <w:szCs w:val="21"/>
              </w:rPr>
              <w:t>无限售条件流通股股东和前十名股东之间是否存在关联关系，亦尚未获悉</w:t>
            </w:r>
            <w:r>
              <w:rPr>
                <w:rFonts w:ascii="宋体" w:hAnsi="宋体" w:cs="宋体" w:eastAsia="宋体" w:hint="default"/>
                <w:spacing w:val="-39"/>
                <w:sz w:val="21"/>
                <w:szCs w:val="21"/>
              </w:rPr>
              <w:t> </w:t>
            </w:r>
            <w:r>
              <w:rPr>
                <w:rFonts w:ascii="宋体" w:hAnsi="宋体" w:cs="宋体" w:eastAsia="宋体" w:hint="default"/>
                <w:spacing w:val="-39"/>
                <w:sz w:val="21"/>
                <w:szCs w:val="21"/>
              </w:rPr>
            </w:r>
            <w:r>
              <w:rPr>
                <w:rFonts w:ascii="宋体" w:hAnsi="宋体" w:cs="宋体" w:eastAsia="宋体" w:hint="default"/>
                <w:sz w:val="21"/>
                <w:szCs w:val="21"/>
              </w:rPr>
              <w:t>是否属于《上市公司收购管理办法》规定的一致行动人。</w:t>
            </w:r>
          </w:p>
        </w:tc>
      </w:tr>
    </w:tbl>
    <w:p>
      <w:pPr>
        <w:spacing w:line="240" w:lineRule="auto" w:before="0"/>
        <w:rPr>
          <w:rFonts w:ascii="宋体" w:hAnsi="宋体" w:cs="宋体" w:eastAsia="宋体" w:hint="default"/>
          <w:sz w:val="17"/>
          <w:szCs w:val="17"/>
        </w:rPr>
      </w:pPr>
    </w:p>
    <w:p>
      <w:pPr>
        <w:pStyle w:val="Heading6"/>
        <w:spacing w:line="335" w:lineRule="exact"/>
        <w:ind w:left="152" w:right="0"/>
        <w:jc w:val="left"/>
        <w:rPr>
          <w:b w:val="0"/>
          <w:bCs w:val="0"/>
        </w:rPr>
      </w:pPr>
      <w:r>
        <w:rPr>
          <w:rFonts w:ascii="Times New Roman" w:hAnsi="Times New Roman" w:cs="Times New Roman" w:eastAsia="Times New Roman" w:hint="default"/>
        </w:rPr>
        <w:t>2</w:t>
      </w:r>
      <w:r>
        <w:rPr/>
        <w:t>、公司控股股东及实际控制人情况情况</w:t>
      </w:r>
      <w:r>
        <w:rPr>
          <w:b w:val="0"/>
          <w:bCs w:val="0"/>
        </w:rPr>
      </w:r>
    </w:p>
    <w:p>
      <w:pPr>
        <w:spacing w:line="240" w:lineRule="auto" w:before="2"/>
        <w:rPr>
          <w:rFonts w:ascii="Microsoft JhengHei" w:hAnsi="Microsoft JhengHei" w:cs="Microsoft JhengHei" w:eastAsia="Microsoft JhengHei" w:hint="default"/>
          <w:b/>
          <w:bCs/>
          <w:sz w:val="12"/>
          <w:szCs w:val="12"/>
        </w:rPr>
      </w:pPr>
    </w:p>
    <w:p>
      <w:pPr>
        <w:pStyle w:val="Heading6"/>
        <w:spacing w:line="240" w:lineRule="auto"/>
        <w:ind w:left="152" w:right="0"/>
        <w:jc w:val="left"/>
        <w:rPr>
          <w:b w:val="0"/>
          <w:bCs w:val="0"/>
        </w:rPr>
      </w:pPr>
      <w:r>
        <w:rPr/>
        <w:t>公司不存在控股股东及实际控制人情况的说明</w:t>
      </w:r>
      <w:r>
        <w:rPr>
          <w:b w:val="0"/>
          <w:bCs w:val="0"/>
        </w:rPr>
      </w:r>
    </w:p>
    <w:p>
      <w:pPr>
        <w:pStyle w:val="BodyText"/>
        <w:spacing w:line="357" w:lineRule="auto" w:before="18"/>
        <w:ind w:right="0" w:firstLine="422"/>
        <w:jc w:val="left"/>
      </w:pPr>
      <w:r>
        <w:rPr>
          <w:spacing w:val="-2"/>
        </w:rPr>
        <w:t>截止2012年12月31日，公司第一大股东中国宝安集团控股有限公司，持股比例为19.80%，第二大股东</w:t>
      </w:r>
      <w:r>
        <w:rPr>
          <w:w w:val="100"/>
        </w:rPr>
        <w:t> </w:t>
      </w:r>
      <w:r>
        <w:rPr/>
        <w:t>为深圳市东鸿信投资发展有限公司，持股比例为14.89%，公司股权比例分散。公司董事会成员11名，含7</w:t>
      </w:r>
      <w:r>
        <w:rPr>
          <w:w w:val="100"/>
        </w:rPr>
        <w:t> </w:t>
      </w:r>
      <w:r>
        <w:rPr>
          <w:spacing w:val="-2"/>
        </w:rPr>
        <w:t>名非独立董事，4名独立董事。7名非独立董事中1名由职工代表出任，其余6名非独立董事由上届董事会提</w:t>
      </w:r>
      <w:r>
        <w:rPr>
          <w:spacing w:val="-36"/>
        </w:rPr>
        <w:t> </w:t>
      </w:r>
      <w:r>
        <w:rPr>
          <w:spacing w:val="-36"/>
        </w:rPr>
      </w:r>
      <w:r>
        <w:rPr>
          <w:spacing w:val="-2"/>
        </w:rPr>
        <w:t>名，其中3名在第一大股东的关联单位任职，另外3名在第二大股东及关联单位任职。故公司不存在控股股</w:t>
      </w:r>
      <w:r>
        <w:rPr>
          <w:spacing w:val="-34"/>
        </w:rPr>
        <w:t> </w:t>
      </w:r>
      <w:r>
        <w:rPr>
          <w:spacing w:val="-34"/>
        </w:rPr>
      </w:r>
      <w:r>
        <w:rPr/>
        <w:t>东及实际控制人。</w:t>
      </w:r>
    </w:p>
    <w:p>
      <w:pPr>
        <w:pStyle w:val="BodyText"/>
        <w:spacing w:line="274" w:lineRule="exact" w:before="25"/>
        <w:ind w:right="0"/>
        <w:jc w:val="left"/>
      </w:pPr>
      <w:r>
        <w:rPr/>
        <w:t>报告期控股股东变更</w:t>
      </w:r>
    </w:p>
    <w:p>
      <w:pPr>
        <w:pStyle w:val="BodyText"/>
        <w:spacing w:line="279" w:lineRule="exact"/>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3"/>
        </w:rPr>
        <w:t> </w:t>
      </w:r>
      <w:r>
        <w:rPr/>
        <w:t>不适用</w:t>
      </w:r>
    </w:p>
    <w:p>
      <w:pPr>
        <w:pStyle w:val="BodyText"/>
        <w:spacing w:line="271" w:lineRule="exact"/>
        <w:ind w:right="0"/>
        <w:jc w:val="left"/>
      </w:pPr>
      <w:r>
        <w:rPr/>
        <w:t>公司最终控制层面是否存在持股比例在</w:t>
      </w:r>
      <w:r>
        <w:rPr>
          <w:spacing w:val="-52"/>
        </w:rPr>
        <w:t> </w:t>
      </w:r>
      <w:r>
        <w:rPr>
          <w:rFonts w:ascii="Times New Roman" w:hAnsi="Times New Roman" w:cs="Times New Roman" w:eastAsia="Times New Roman" w:hint="default"/>
        </w:rPr>
        <w:t>10%</w:t>
      </w:r>
      <w:r>
        <w:rPr/>
        <w:t>以上的股东情况</w:t>
      </w:r>
    </w:p>
    <w:p>
      <w:pPr>
        <w:pStyle w:val="BodyText"/>
        <w:tabs>
          <w:tab w:pos="1103" w:val="left" w:leader="none"/>
        </w:tabs>
        <w:spacing w:line="266" w:lineRule="exact"/>
        <w:ind w:right="0"/>
        <w:jc w:val="left"/>
      </w:pPr>
      <w:r>
        <w:rPr/>
        <w:t>□</w:t>
      </w:r>
      <w:r>
        <w:rPr>
          <w:spacing w:val="2"/>
        </w:rPr>
        <w:t> </w:t>
      </w:r>
      <w:r>
        <w:rPr/>
        <w:t>是</w:t>
        <w:tab/>
        <w:t>√</w:t>
      </w:r>
      <w:r>
        <w:rPr>
          <w:spacing w:val="-3"/>
        </w:rPr>
        <w:t> </w:t>
      </w:r>
      <w:r>
        <w:rPr/>
        <w:t>否</w:t>
      </w:r>
    </w:p>
    <w:p>
      <w:pPr>
        <w:pStyle w:val="BodyText"/>
        <w:spacing w:line="282" w:lineRule="exact"/>
        <w:ind w:right="0"/>
        <w:jc w:val="left"/>
      </w:pPr>
      <w:r>
        <w:rPr/>
        <w:t>公司最终控制层面持股比例</w:t>
      </w:r>
      <w:r>
        <w:rPr>
          <w:spacing w:val="-53"/>
        </w:rPr>
        <w:t> </w:t>
      </w:r>
      <w:r>
        <w:rPr>
          <w:rFonts w:ascii="Times New Roman" w:hAnsi="Times New Roman" w:cs="Times New Roman" w:eastAsia="Times New Roman" w:hint="default"/>
        </w:rPr>
        <w:t>5%</w:t>
      </w:r>
      <w:r>
        <w:rPr/>
        <w:t>以上的股东情况</w:t>
      </w:r>
    </w:p>
    <w:p>
      <w:pPr>
        <w:pStyle w:val="BodyText"/>
        <w:tabs>
          <w:tab w:pos="1103" w:val="left" w:leader="none"/>
        </w:tabs>
        <w:spacing w:line="268" w:lineRule="exact" w:before="22"/>
        <w:ind w:right="7782"/>
        <w:jc w:val="left"/>
      </w:pPr>
      <w:r>
        <w:rPr/>
        <w:t>□</w:t>
      </w:r>
      <w:r>
        <w:rPr>
          <w:spacing w:val="2"/>
        </w:rPr>
        <w:t> </w:t>
      </w:r>
      <w:r>
        <w:rPr/>
        <w:t>是</w:t>
        <w:tab/>
        <w:t>√</w:t>
      </w:r>
      <w:r>
        <w:rPr>
          <w:spacing w:val="-3"/>
        </w:rPr>
        <w:t> </w:t>
      </w:r>
      <w:r>
        <w:rPr/>
        <w:t>否</w:t>
      </w:r>
      <w:r>
        <w:rPr>
          <w:w w:val="100"/>
        </w:rPr>
        <w:t> </w:t>
      </w:r>
      <w:r>
        <w:rPr>
          <w:spacing w:val="-1"/>
        </w:rPr>
        <w:t>报告期实际控制人变更</w:t>
      </w:r>
    </w:p>
    <w:p>
      <w:pPr>
        <w:pStyle w:val="BodyText"/>
        <w:spacing w:line="250" w:lineRule="exact"/>
        <w:ind w:right="0"/>
        <w:jc w:val="left"/>
      </w:pPr>
      <w:r>
        <w:rPr/>
        <w:t>□ 适用 √</w:t>
      </w:r>
      <w:r>
        <w:rPr>
          <w:spacing w:val="3"/>
        </w:rPr>
        <w:t> </w:t>
      </w:r>
      <w:r>
        <w:rPr/>
        <w:t>不适用</w:t>
      </w:r>
    </w:p>
    <w:p>
      <w:pPr>
        <w:spacing w:after="0" w:line="250" w:lineRule="exact"/>
        <w:jc w:val="left"/>
        <w:sectPr>
          <w:pgSz w:w="11900" w:h="16840"/>
          <w:pgMar w:header="872" w:footer="957" w:top="1120" w:bottom="1180" w:left="980" w:right="88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6"/>
        <w:spacing w:line="335" w:lineRule="exact"/>
        <w:ind w:left="152" w:right="0"/>
        <w:jc w:val="left"/>
        <w:rPr>
          <w:b w:val="0"/>
          <w:bCs w:val="0"/>
        </w:rPr>
      </w:pPr>
      <w:r>
        <w:rPr>
          <w:rFonts w:ascii="Times New Roman" w:hAnsi="Times New Roman" w:cs="Times New Roman" w:eastAsia="Times New Roman" w:hint="default"/>
        </w:rPr>
        <w:t>3</w:t>
      </w:r>
      <w:r>
        <w:rPr/>
        <w:t>、公司第一大股东、第二大股东与公司股权关系图</w:t>
      </w:r>
      <w:r>
        <w:rPr>
          <w:b w:val="0"/>
          <w:bCs w:val="0"/>
        </w:rPr>
      </w:r>
    </w:p>
    <w:p>
      <w:pPr>
        <w:spacing w:line="240" w:lineRule="auto" w:before="2"/>
        <w:rPr>
          <w:rFonts w:ascii="Microsoft JhengHei" w:hAnsi="Microsoft JhengHei" w:cs="Microsoft JhengHei" w:eastAsia="Microsoft JhengHei" w:hint="default"/>
          <w:b/>
          <w:bCs/>
          <w:sz w:val="12"/>
          <w:szCs w:val="12"/>
        </w:rPr>
      </w:pPr>
    </w:p>
    <w:p>
      <w:pPr>
        <w:spacing w:line="6581" w:lineRule="exact"/>
        <w:ind w:left="152"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31"/>
          <w:sz w:val="20"/>
          <w:szCs w:val="20"/>
        </w:rPr>
        <w:drawing>
          <wp:inline distT="0" distB="0" distL="0" distR="0">
            <wp:extent cx="6196903" cy="4179093"/>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13" cstate="print"/>
                    <a:stretch>
                      <a:fillRect/>
                    </a:stretch>
                  </pic:blipFill>
                  <pic:spPr>
                    <a:xfrm>
                      <a:off x="0" y="0"/>
                      <a:ext cx="6196903" cy="4179093"/>
                    </a:xfrm>
                    <a:prstGeom prst="rect">
                      <a:avLst/>
                    </a:prstGeom>
                  </pic:spPr>
                </pic:pic>
              </a:graphicData>
            </a:graphic>
          </wp:inline>
        </w:drawing>
      </w:r>
      <w:r>
        <w:rPr>
          <w:rFonts w:ascii="Microsoft JhengHei" w:hAnsi="Microsoft JhengHei" w:cs="Microsoft JhengHei" w:eastAsia="Microsoft JhengHei" w:hint="default"/>
          <w:position w:val="-131"/>
          <w:sz w:val="20"/>
          <w:szCs w:val="20"/>
        </w:rPr>
      </w:r>
    </w:p>
    <w:p>
      <w:pPr>
        <w:pStyle w:val="Heading5"/>
        <w:spacing w:line="240" w:lineRule="auto" w:before="151"/>
        <w:ind w:right="0"/>
        <w:jc w:val="left"/>
        <w:rPr>
          <w:rFonts w:ascii="宋体" w:hAnsi="宋体" w:cs="宋体" w:eastAsia="宋体" w:hint="default"/>
        </w:rPr>
      </w:pPr>
      <w:r>
        <w:rPr>
          <w:rFonts w:ascii="宋体" w:hAnsi="宋体" w:cs="宋体" w:eastAsia="宋体" w:hint="default"/>
        </w:rPr>
        <w:t>实际控制人通过信托或其他资产管理方式控制公司</w:t>
      </w:r>
    </w:p>
    <w:p>
      <w:pPr>
        <w:pStyle w:val="BodyText"/>
        <w:spacing w:line="240" w:lineRule="auto" w:before="201"/>
        <w:ind w:right="0"/>
        <w:jc w:val="left"/>
      </w:pPr>
      <w:r>
        <w:rPr/>
        <w:t>□ 适用 √</w:t>
      </w:r>
      <w:r>
        <w:rPr>
          <w:spacing w:val="3"/>
        </w:rPr>
        <w:t> </w:t>
      </w:r>
      <w:r>
        <w:rPr/>
        <w:t>不适用</w:t>
      </w:r>
    </w:p>
    <w:p>
      <w:pPr>
        <w:spacing w:line="240" w:lineRule="auto" w:before="7"/>
        <w:rPr>
          <w:rFonts w:ascii="宋体" w:hAnsi="宋体" w:cs="宋体" w:eastAsia="宋体" w:hint="default"/>
          <w:sz w:val="17"/>
          <w:szCs w:val="17"/>
        </w:rPr>
      </w:pPr>
    </w:p>
    <w:p>
      <w:pPr>
        <w:pStyle w:val="Heading6"/>
        <w:spacing w:line="240" w:lineRule="auto"/>
        <w:ind w:left="152" w:right="0"/>
        <w:jc w:val="left"/>
        <w:rPr>
          <w:b w:val="0"/>
          <w:bCs w:val="0"/>
        </w:rPr>
      </w:pPr>
      <w:r>
        <w:rPr>
          <w:rFonts w:ascii="Times New Roman" w:hAnsi="Times New Roman" w:cs="Times New Roman" w:eastAsia="Times New Roman" w:hint="default"/>
        </w:rPr>
        <w:t>4</w:t>
      </w:r>
      <w:r>
        <w:rPr/>
        <w:t>、其他持股在</w:t>
      </w:r>
      <w:r>
        <w:rPr>
          <w:spacing w:val="12"/>
        </w:rPr>
        <w:t> </w:t>
      </w:r>
      <w:r>
        <w:rPr>
          <w:rFonts w:ascii="Times New Roman" w:hAnsi="Times New Roman" w:cs="Times New Roman" w:eastAsia="Times New Roman" w:hint="default"/>
        </w:rPr>
        <w:t>10%</w:t>
      </w:r>
      <w:r>
        <w:rPr/>
        <w:t>以上的法人股东</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3"/>
        <w:rPr>
          <w:rFonts w:ascii="Microsoft JhengHei" w:hAnsi="Microsoft JhengHei" w:cs="Microsoft JhengHei" w:eastAsia="Microsoft JhengHei" w:hint="default"/>
          <w:b/>
          <w:bCs/>
          <w:sz w:val="28"/>
          <w:szCs w:val="28"/>
        </w:rPr>
      </w:pPr>
    </w:p>
    <w:p>
      <w:pPr>
        <w:pStyle w:val="BodyText"/>
        <w:spacing w:line="240" w:lineRule="auto" w:before="36"/>
        <w:ind w:left="0" w:right="192"/>
        <w:jc w:val="right"/>
      </w:pPr>
      <w:r>
        <w:rPr/>
        <w:pict>
          <v:shape style="position:absolute;margin-left:56.400002pt;margin-top:-78.816330pt;width:479.05pt;height:164.9pt;mso-position-horizontal-relative:page;mso-position-vertical-relative:paragraph;z-index:2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84"/>
                    <w:gridCol w:w="1090"/>
                    <w:gridCol w:w="888"/>
                    <w:gridCol w:w="1805"/>
                    <w:gridCol w:w="1800"/>
                    <w:gridCol w:w="1800"/>
                  </w:tblGrid>
                  <w:tr>
                    <w:trPr>
                      <w:trHeight w:val="826" w:hRule="exact"/>
                    </w:trPr>
                    <w:tc>
                      <w:tcPr>
                        <w:tcW w:w="2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56" w:right="0"/>
                          <w:jc w:val="left"/>
                          <w:rPr>
                            <w:rFonts w:ascii="宋体" w:hAnsi="宋体" w:cs="宋体" w:eastAsia="宋体" w:hint="default"/>
                            <w:sz w:val="21"/>
                            <w:szCs w:val="21"/>
                          </w:rPr>
                        </w:pPr>
                        <w:r>
                          <w:rPr>
                            <w:rFonts w:ascii="宋体" w:hAnsi="宋体" w:cs="宋体" w:eastAsia="宋体" w:hint="default"/>
                            <w:sz w:val="21"/>
                            <w:szCs w:val="21"/>
                          </w:rPr>
                          <w:t>法人股东名称</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left="86" w:right="0" w:firstLine="28"/>
                          <w:jc w:val="left"/>
                          <w:rPr>
                            <w:rFonts w:ascii="宋体" w:hAnsi="宋体" w:cs="宋体" w:eastAsia="宋体" w:hint="default"/>
                            <w:sz w:val="21"/>
                            <w:szCs w:val="21"/>
                          </w:rPr>
                        </w:pPr>
                        <w:r>
                          <w:rPr>
                            <w:rFonts w:ascii="宋体" w:hAnsi="宋体" w:cs="宋体" w:eastAsia="宋体" w:hint="default"/>
                            <w:sz w:val="21"/>
                            <w:szCs w:val="21"/>
                          </w:rPr>
                          <w:t>法定代表</w:t>
                        </w:r>
                      </w:p>
                      <w:p>
                        <w:pPr>
                          <w:pStyle w:val="TableParagraph"/>
                          <w:spacing w:line="268" w:lineRule="exact" w:before="30"/>
                          <w:ind w:left="326" w:right="89" w:hanging="240"/>
                          <w:jc w:val="left"/>
                          <w:rPr>
                            <w:rFonts w:ascii="宋体" w:hAnsi="宋体" w:cs="宋体" w:eastAsia="宋体" w:hint="default"/>
                            <w:sz w:val="21"/>
                            <w:szCs w:val="21"/>
                          </w:rPr>
                        </w:pPr>
                        <w:r>
                          <w:rPr>
                            <w:rFonts w:ascii="宋体" w:hAnsi="宋体" w:cs="宋体" w:eastAsia="宋体" w:hint="default"/>
                            <w:sz w:val="21"/>
                            <w:szCs w:val="21"/>
                          </w:rPr>
                          <w:t>人</w:t>
                        </w:r>
                        <w:r>
                          <w:rPr>
                            <w:rFonts w:ascii="Times New Roman" w:hAnsi="Times New Roman" w:cs="Times New Roman" w:eastAsia="Times New Roman" w:hint="default"/>
                            <w:sz w:val="21"/>
                            <w:szCs w:val="21"/>
                          </w:rPr>
                          <w:t>/</w:t>
                        </w:r>
                        <w:r>
                          <w:rPr>
                            <w:rFonts w:ascii="宋体" w:hAnsi="宋体" w:cs="宋体" w:eastAsia="宋体" w:hint="default"/>
                            <w:sz w:val="21"/>
                            <w:szCs w:val="21"/>
                          </w:rPr>
                          <w:t>单位负</w:t>
                        </w:r>
                        <w:r>
                          <w:rPr>
                            <w:rFonts w:ascii="宋体" w:hAnsi="宋体" w:cs="宋体" w:eastAsia="宋体" w:hint="default"/>
                            <w:spacing w:val="-102"/>
                            <w:sz w:val="21"/>
                            <w:szCs w:val="21"/>
                          </w:rPr>
                          <w:t> </w:t>
                        </w:r>
                        <w:r>
                          <w:rPr>
                            <w:rFonts w:ascii="宋体" w:hAnsi="宋体" w:cs="宋体" w:eastAsia="宋体" w:hint="default"/>
                            <w:sz w:val="21"/>
                            <w:szCs w:val="21"/>
                          </w:rPr>
                          <w:t>责人</w:t>
                        </w:r>
                      </w:p>
                    </w:tc>
                    <w:tc>
                      <w:tcPr>
                        <w:tcW w:w="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331" w:right="118" w:hanging="207"/>
                          <w:jc w:val="left"/>
                          <w:rPr>
                            <w:rFonts w:ascii="宋体" w:hAnsi="宋体" w:cs="宋体" w:eastAsia="宋体" w:hint="default"/>
                            <w:sz w:val="21"/>
                            <w:szCs w:val="21"/>
                          </w:rPr>
                        </w:pPr>
                        <w:r>
                          <w:rPr>
                            <w:rFonts w:ascii="宋体" w:hAnsi="宋体" w:cs="宋体" w:eastAsia="宋体" w:hint="default"/>
                            <w:sz w:val="21"/>
                            <w:szCs w:val="21"/>
                          </w:rPr>
                          <w:t>成立日</w:t>
                        </w:r>
                        <w:r>
                          <w:rPr>
                            <w:rFonts w:ascii="宋体" w:hAnsi="宋体" w:cs="宋体" w:eastAsia="宋体" w:hint="default"/>
                            <w:spacing w:val="-102"/>
                            <w:sz w:val="21"/>
                            <w:szCs w:val="21"/>
                          </w:rPr>
                          <w:t> </w:t>
                        </w:r>
                        <w:r>
                          <w:rPr>
                            <w:rFonts w:ascii="宋体" w:hAnsi="宋体" w:cs="宋体" w:eastAsia="宋体" w:hint="default"/>
                            <w:sz w:val="21"/>
                            <w:szCs w:val="21"/>
                          </w:rPr>
                          <w:t>期</w:t>
                        </w:r>
                      </w:p>
                    </w:tc>
                    <w:tc>
                      <w:tcPr>
                        <w:tcW w:w="18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63"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70"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1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580" w:right="46" w:hanging="524"/>
                          <w:jc w:val="left"/>
                          <w:rPr>
                            <w:rFonts w:ascii="宋体" w:hAnsi="宋体" w:cs="宋体" w:eastAsia="宋体" w:hint="default"/>
                            <w:sz w:val="21"/>
                            <w:szCs w:val="21"/>
                          </w:rPr>
                        </w:pPr>
                        <w:r>
                          <w:rPr>
                            <w:rFonts w:ascii="宋体" w:hAnsi="宋体" w:cs="宋体" w:eastAsia="宋体" w:hint="default"/>
                            <w:sz w:val="21"/>
                            <w:szCs w:val="21"/>
                          </w:rPr>
                          <w:t>主要经营业务或管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理活动</w:t>
                        </w:r>
                      </w:p>
                    </w:tc>
                  </w:tr>
                  <w:tr>
                    <w:trPr>
                      <w:trHeight w:val="272" w:hRule="exact"/>
                    </w:trPr>
                    <w:tc>
                      <w:tcPr>
                        <w:tcW w:w="2184" w:type="dxa"/>
                        <w:tcBorders>
                          <w:top w:val="single" w:sz="4" w:space="0" w:color="000000"/>
                          <w:left w:val="single" w:sz="4" w:space="0" w:color="000000"/>
                          <w:bottom w:val="nil" w:sz="6" w:space="0" w:color="auto"/>
                          <w:right w:val="single" w:sz="4" w:space="0" w:color="000000"/>
                        </w:tcBorders>
                      </w:tcPr>
                      <w:p>
                        <w:pPr/>
                      </w:p>
                    </w:tc>
                    <w:tc>
                      <w:tcPr>
                        <w:tcW w:w="1090" w:type="dxa"/>
                        <w:tcBorders>
                          <w:top w:val="single" w:sz="4" w:space="0" w:color="000000"/>
                          <w:left w:val="single" w:sz="4" w:space="0" w:color="000000"/>
                          <w:bottom w:val="nil" w:sz="6" w:space="0" w:color="auto"/>
                          <w:right w:val="single" w:sz="4" w:space="0" w:color="000000"/>
                        </w:tcBorders>
                      </w:tcPr>
                      <w:p>
                        <w:pPr/>
                      </w:p>
                    </w:tc>
                    <w:tc>
                      <w:tcPr>
                        <w:tcW w:w="888" w:type="dxa"/>
                        <w:tcBorders>
                          <w:top w:val="single" w:sz="4" w:space="0" w:color="000000"/>
                          <w:left w:val="single" w:sz="4" w:space="0" w:color="000000"/>
                          <w:bottom w:val="nil" w:sz="6" w:space="0" w:color="auto"/>
                          <w:right w:val="single" w:sz="4" w:space="0" w:color="000000"/>
                        </w:tcBorders>
                      </w:tcPr>
                      <w:p>
                        <w:pPr/>
                      </w:p>
                    </w:tc>
                    <w:tc>
                      <w:tcPr>
                        <w:tcW w:w="1805" w:type="dxa"/>
                        <w:tcBorders>
                          <w:top w:val="single" w:sz="4" w:space="0" w:color="000000"/>
                          <w:left w:val="single" w:sz="4" w:space="0" w:color="000000"/>
                          <w:bottom w:val="nil" w:sz="6" w:space="0" w:color="auto"/>
                          <w:right w:val="single" w:sz="4" w:space="0" w:color="000000"/>
                        </w:tcBorders>
                      </w:tcPr>
                      <w:p>
                        <w:pPr/>
                      </w:p>
                    </w:tc>
                    <w:tc>
                      <w:tcPr>
                        <w:tcW w:w="1800" w:type="dxa"/>
                        <w:tcBorders>
                          <w:top w:val="single" w:sz="4" w:space="0" w:color="000000"/>
                          <w:left w:val="single" w:sz="4" w:space="0" w:color="000000"/>
                          <w:bottom w:val="nil" w:sz="6" w:space="0" w:color="auto"/>
                          <w:right w:val="single" w:sz="4" w:space="0" w:color="000000"/>
                        </w:tcBorders>
                      </w:tcPr>
                      <w:p>
                        <w:pPr/>
                      </w:p>
                    </w:tc>
                    <w:tc>
                      <w:tcPr>
                        <w:tcW w:w="1800"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投资兴办实业（具</w:t>
                        </w:r>
                      </w:p>
                    </w:tc>
                  </w:tr>
                  <w:tr>
                    <w:trPr>
                      <w:trHeight w:val="274" w:hRule="exact"/>
                    </w:trPr>
                    <w:tc>
                      <w:tcPr>
                        <w:tcW w:w="2184"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25"/>
                          <w:jc w:val="left"/>
                          <w:rPr>
                            <w:rFonts w:ascii="宋体" w:hAnsi="宋体" w:cs="宋体" w:eastAsia="宋体" w:hint="default"/>
                            <w:sz w:val="21"/>
                            <w:szCs w:val="21"/>
                          </w:rPr>
                        </w:pPr>
                        <w:r>
                          <w:rPr>
                            <w:rFonts w:ascii="宋体" w:hAnsi="宋体" w:cs="宋体" w:eastAsia="宋体" w:hint="default"/>
                            <w:w w:val="100"/>
                            <w:sz w:val="21"/>
                            <w:szCs w:val="21"/>
                          </w:rPr>
                          <w:t>体项目另</w:t>
                        </w:r>
                        <w:r>
                          <w:rPr>
                            <w:rFonts w:ascii="宋体" w:hAnsi="宋体" w:cs="宋体" w:eastAsia="宋体" w:hint="default"/>
                            <w:spacing w:val="-5"/>
                            <w:w w:val="100"/>
                            <w:sz w:val="21"/>
                            <w:szCs w:val="21"/>
                          </w:rPr>
                          <w:t>行</w:t>
                        </w:r>
                        <w:r>
                          <w:rPr>
                            <w:rFonts w:ascii="宋体" w:hAnsi="宋体" w:cs="宋体" w:eastAsia="宋体" w:hint="default"/>
                            <w:w w:val="100"/>
                            <w:sz w:val="21"/>
                            <w:szCs w:val="21"/>
                          </w:rPr>
                          <w:t>申报</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tc>
                  </w:tr>
                  <w:tr>
                    <w:trPr>
                      <w:trHeight w:val="271" w:hRule="exact"/>
                    </w:trPr>
                    <w:tc>
                      <w:tcPr>
                        <w:tcW w:w="2184"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国内商业、物业供</w:t>
                        </w:r>
                      </w:p>
                    </w:tc>
                  </w:tr>
                  <w:tr>
                    <w:trPr>
                      <w:trHeight w:val="818" w:hRule="exact"/>
                    </w:trPr>
                    <w:tc>
                      <w:tcPr>
                        <w:tcW w:w="21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24" w:right="46"/>
                          <w:jc w:val="left"/>
                          <w:rPr>
                            <w:rFonts w:ascii="宋体" w:hAnsi="宋体" w:cs="宋体" w:eastAsia="宋体" w:hint="default"/>
                            <w:sz w:val="21"/>
                            <w:szCs w:val="21"/>
                          </w:rPr>
                        </w:pPr>
                        <w:r>
                          <w:rPr>
                            <w:rFonts w:ascii="宋体" w:hAnsi="宋体" w:cs="宋体" w:eastAsia="宋体" w:hint="default"/>
                            <w:spacing w:val="-1"/>
                            <w:sz w:val="21"/>
                            <w:szCs w:val="21"/>
                          </w:rPr>
                          <w:t>深圳市东鸿信投资发展</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有限公司</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sz w:val="21"/>
                            <w:szCs w:val="21"/>
                          </w:rPr>
                          <w:t>颜金辉</w:t>
                        </w:r>
                      </w:p>
                    </w:tc>
                    <w:tc>
                      <w:tcPr>
                        <w:tcW w:w="888" w:type="dxa"/>
                        <w:tcBorders>
                          <w:top w:val="nil" w:sz="6" w:space="0" w:color="auto"/>
                          <w:left w:val="single" w:sz="4" w:space="0" w:color="000000"/>
                          <w:bottom w:val="nil" w:sz="6" w:space="0" w:color="auto"/>
                          <w:right w:val="single" w:sz="4" w:space="0" w:color="000000"/>
                        </w:tcBorders>
                      </w:tcPr>
                      <w:p>
                        <w:pPr>
                          <w:pStyle w:val="TableParagraph"/>
                          <w:spacing w:line="24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07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805"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71522062-1</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sz w:val="21"/>
                            <w:szCs w:val="21"/>
                          </w:rPr>
                          <w:t>人民币</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万元</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pacing w:val="-6"/>
                            <w:sz w:val="21"/>
                            <w:szCs w:val="21"/>
                          </w:rPr>
                          <w:t>销业（不含、专控</w:t>
                        </w:r>
                      </w:p>
                      <w:p>
                        <w:pPr>
                          <w:pStyle w:val="TableParagraph"/>
                          <w:spacing w:line="240" w:lineRule="auto"/>
                          <w:ind w:left="23" w:right="12"/>
                          <w:jc w:val="left"/>
                          <w:rPr>
                            <w:rFonts w:ascii="宋体" w:hAnsi="宋体" w:cs="宋体" w:eastAsia="宋体" w:hint="default"/>
                            <w:sz w:val="21"/>
                            <w:szCs w:val="21"/>
                          </w:rPr>
                        </w:pPr>
                        <w:r>
                          <w:rPr>
                            <w:rFonts w:ascii="宋体" w:hAnsi="宋体" w:cs="宋体" w:eastAsia="宋体" w:hint="default"/>
                            <w:spacing w:val="-17"/>
                            <w:w w:val="100"/>
                            <w:sz w:val="21"/>
                            <w:szCs w:val="21"/>
                          </w:rPr>
                          <w:t>专卖商品）；电脑及</w:t>
                        </w:r>
                        <w:r>
                          <w:rPr>
                            <w:rFonts w:ascii="宋体" w:hAnsi="宋体" w:cs="宋体" w:eastAsia="宋体" w:hint="default"/>
                            <w:spacing w:val="-103"/>
                            <w:w w:val="100"/>
                            <w:sz w:val="21"/>
                            <w:szCs w:val="21"/>
                          </w:rPr>
                          <w:t> </w:t>
                        </w:r>
                        <w:r>
                          <w:rPr>
                            <w:rFonts w:ascii="宋体" w:hAnsi="宋体" w:cs="宋体" w:eastAsia="宋体" w:hint="default"/>
                            <w:spacing w:val="-103"/>
                            <w:w w:val="100"/>
                            <w:sz w:val="21"/>
                            <w:szCs w:val="21"/>
                          </w:rPr>
                        </w:r>
                        <w:r>
                          <w:rPr>
                            <w:rFonts w:ascii="宋体" w:hAnsi="宋体" w:cs="宋体" w:eastAsia="宋体" w:hint="default"/>
                            <w:sz w:val="21"/>
                            <w:szCs w:val="21"/>
                          </w:rPr>
                          <w:t>外部设备、通讯设</w:t>
                        </w:r>
                      </w:p>
                    </w:tc>
                  </w:tr>
                  <w:tr>
                    <w:trPr>
                      <w:trHeight w:val="271" w:hRule="exact"/>
                    </w:trPr>
                    <w:tc>
                      <w:tcPr>
                        <w:tcW w:w="2184"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备、生物工程的技</w:t>
                        </w:r>
                      </w:p>
                    </w:tc>
                  </w:tr>
                  <w:tr>
                    <w:trPr>
                      <w:trHeight w:val="271" w:hRule="exact"/>
                    </w:trPr>
                    <w:tc>
                      <w:tcPr>
                        <w:tcW w:w="2184"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805"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术开发（不含医药</w:t>
                        </w:r>
                      </w:p>
                    </w:tc>
                  </w:tr>
                  <w:tr>
                    <w:trPr>
                      <w:trHeight w:val="285" w:hRule="exact"/>
                    </w:trPr>
                    <w:tc>
                      <w:tcPr>
                        <w:tcW w:w="2184" w:type="dxa"/>
                        <w:tcBorders>
                          <w:top w:val="nil" w:sz="6" w:space="0" w:color="auto"/>
                          <w:left w:val="single" w:sz="4" w:space="0" w:color="000000"/>
                          <w:bottom w:val="single" w:sz="4" w:space="0" w:color="000000"/>
                          <w:right w:val="single" w:sz="4" w:space="0" w:color="000000"/>
                        </w:tcBorders>
                      </w:tcPr>
                      <w:p>
                        <w:pPr/>
                      </w:p>
                    </w:tc>
                    <w:tc>
                      <w:tcPr>
                        <w:tcW w:w="1090" w:type="dxa"/>
                        <w:tcBorders>
                          <w:top w:val="nil" w:sz="6" w:space="0" w:color="auto"/>
                          <w:left w:val="single" w:sz="4" w:space="0" w:color="000000"/>
                          <w:bottom w:val="single" w:sz="4" w:space="0" w:color="000000"/>
                          <w:right w:val="single" w:sz="4" w:space="0" w:color="000000"/>
                        </w:tcBorders>
                      </w:tcPr>
                      <w:p>
                        <w:pPr/>
                      </w:p>
                    </w:tc>
                    <w:tc>
                      <w:tcPr>
                        <w:tcW w:w="888" w:type="dxa"/>
                        <w:tcBorders>
                          <w:top w:val="nil" w:sz="6" w:space="0" w:color="auto"/>
                          <w:left w:val="single" w:sz="4" w:space="0" w:color="000000"/>
                          <w:bottom w:val="single" w:sz="4" w:space="0" w:color="000000"/>
                          <w:right w:val="single" w:sz="4" w:space="0" w:color="000000"/>
                        </w:tcBorders>
                      </w:tcPr>
                      <w:p>
                        <w:pPr/>
                      </w:p>
                    </w:tc>
                    <w:tc>
                      <w:tcPr>
                        <w:tcW w:w="1805" w:type="dxa"/>
                        <w:tcBorders>
                          <w:top w:val="nil" w:sz="6" w:space="0" w:color="auto"/>
                          <w:left w:val="single" w:sz="4" w:space="0" w:color="000000"/>
                          <w:bottom w:val="single" w:sz="4" w:space="0" w:color="000000"/>
                          <w:right w:val="single" w:sz="4" w:space="0" w:color="000000"/>
                        </w:tcBorders>
                      </w:tcPr>
                      <w:p>
                        <w:pPr/>
                      </w:p>
                    </w:tc>
                    <w:tc>
                      <w:tcPr>
                        <w:tcW w:w="1800" w:type="dxa"/>
                        <w:tcBorders>
                          <w:top w:val="nil" w:sz="6" w:space="0" w:color="auto"/>
                          <w:left w:val="single" w:sz="4" w:space="0" w:color="000000"/>
                          <w:bottom w:val="single" w:sz="4" w:space="0" w:color="000000"/>
                          <w:right w:val="single" w:sz="4" w:space="0" w:color="000000"/>
                        </w:tcBorders>
                      </w:tcPr>
                      <w:p>
                        <w:pPr/>
                      </w:p>
                    </w:tc>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及限制项目）</w:t>
                        </w:r>
                      </w:p>
                    </w:tc>
                  </w:tr>
                </w:tbl>
                <w:p>
                  <w:pPr/>
                </w:p>
              </w:txbxContent>
            </v:textbox>
            <w10:wrap type="none"/>
          </v:shape>
        </w:pict>
      </w:r>
      <w:r>
        <w:rPr>
          <w:w w:val="100"/>
        </w:rPr>
        <w:t>、</w:t>
      </w:r>
    </w:p>
    <w:p>
      <w:pPr>
        <w:spacing w:after="0" w:line="240" w:lineRule="auto"/>
        <w:jc w:val="right"/>
        <w:sectPr>
          <w:pgSz w:w="11900" w:h="16840"/>
          <w:pgMar w:header="872" w:footer="957" w:top="1120" w:bottom="1180" w:left="980" w:right="9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458" w:lineRule="exact"/>
        <w:ind w:left="1679" w:right="0"/>
        <w:jc w:val="left"/>
        <w:rPr>
          <w:b w:val="0"/>
          <w:bCs w:val="0"/>
        </w:rPr>
      </w:pPr>
      <w:bookmarkStart w:name="_TOC_250004" w:id="7"/>
      <w:r>
        <w:rPr/>
        <w:t>第七节 </w:t>
      </w:r>
      <w:r>
        <w:rPr>
          <w:spacing w:val="23"/>
        </w:rPr>
        <w:t> </w:t>
      </w:r>
      <w:r>
        <w:rPr/>
        <w:t>董事、监事、高级管理人员和员工情况</w:t>
      </w:r>
      <w:bookmarkEnd w:id="7"/>
      <w:r>
        <w:rPr>
          <w:b w:val="0"/>
          <w:bCs w:val="0"/>
        </w:rPr>
      </w:r>
    </w:p>
    <w:p>
      <w:pPr>
        <w:pStyle w:val="Heading4"/>
        <w:spacing w:line="240" w:lineRule="auto" w:before="195"/>
        <w:ind w:right="0"/>
        <w:jc w:val="left"/>
        <w:rPr>
          <w:b w:val="0"/>
          <w:bCs w:val="0"/>
        </w:rPr>
      </w:pPr>
      <w:r>
        <w:rPr/>
        <w:t>一、董事、监事和高级管理人员持股变动</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4"/>
        <w:gridCol w:w="869"/>
        <w:gridCol w:w="869"/>
        <w:gridCol w:w="869"/>
        <w:gridCol w:w="869"/>
        <w:gridCol w:w="874"/>
        <w:gridCol w:w="869"/>
        <w:gridCol w:w="869"/>
        <w:gridCol w:w="869"/>
      </w:tblGrid>
      <w:tr>
        <w:trPr>
          <w:trHeight w:val="1099"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16"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20"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68" w:lineRule="exact"/>
              <w:ind w:left="326" w:right="113" w:hanging="212"/>
              <w:jc w:val="left"/>
              <w:rPr>
                <w:rFonts w:ascii="宋体" w:hAnsi="宋体" w:cs="宋体" w:eastAsia="宋体" w:hint="default"/>
                <w:sz w:val="21"/>
                <w:szCs w:val="21"/>
              </w:rPr>
            </w:pPr>
            <w:r>
              <w:rPr>
                <w:rFonts w:ascii="宋体" w:hAnsi="宋体" w:cs="宋体" w:eastAsia="宋体" w:hint="default"/>
                <w:sz w:val="21"/>
                <w:szCs w:val="21"/>
              </w:rPr>
              <w:t>任职状</w:t>
            </w:r>
            <w:r>
              <w:rPr>
                <w:rFonts w:ascii="宋体" w:hAnsi="宋体" w:cs="宋体" w:eastAsia="宋体" w:hint="default"/>
                <w:spacing w:val="-102"/>
                <w:sz w:val="21"/>
                <w:szCs w:val="21"/>
              </w:rPr>
              <w:t> </w:t>
            </w:r>
            <w:r>
              <w:rPr>
                <w:rFonts w:ascii="宋体" w:hAnsi="宋体" w:cs="宋体" w:eastAsia="宋体" w:hint="default"/>
                <w:sz w:val="21"/>
                <w:szCs w:val="21"/>
              </w:rPr>
              <w:t>态</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16"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Microsoft JhengHei" w:hAnsi="Microsoft JhengHei" w:cs="Microsoft JhengHei" w:eastAsia="Microsoft JhengHei" w:hint="default"/>
                <w:b/>
                <w:bCs/>
                <w:sz w:val="21"/>
                <w:szCs w:val="21"/>
              </w:rPr>
            </w:pPr>
          </w:p>
          <w:p>
            <w:pPr>
              <w:pStyle w:val="TableParagraph"/>
              <w:spacing w:line="240" w:lineRule="auto"/>
              <w:ind w:left="220"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68" w:lineRule="exact"/>
              <w:ind w:left="110" w:right="108" w:firstLine="4"/>
              <w:jc w:val="left"/>
              <w:rPr>
                <w:rFonts w:ascii="宋体" w:hAnsi="宋体" w:cs="宋体" w:eastAsia="宋体" w:hint="default"/>
                <w:sz w:val="21"/>
                <w:szCs w:val="21"/>
              </w:rPr>
            </w:pPr>
            <w:r>
              <w:rPr>
                <w:rFonts w:ascii="宋体" w:hAnsi="宋体" w:cs="宋体" w:eastAsia="宋体" w:hint="default"/>
                <w:sz w:val="21"/>
                <w:szCs w:val="21"/>
              </w:rPr>
              <w:t>任期起</w:t>
            </w:r>
            <w:r>
              <w:rPr>
                <w:rFonts w:ascii="宋体" w:hAnsi="宋体" w:cs="宋体" w:eastAsia="宋体" w:hint="default"/>
                <w:w w:val="100"/>
                <w:sz w:val="21"/>
                <w:szCs w:val="21"/>
              </w:rPr>
              <w:t> </w:t>
            </w:r>
            <w:r>
              <w:rPr>
                <w:rFonts w:ascii="宋体" w:hAnsi="宋体" w:cs="宋体" w:eastAsia="宋体" w:hint="default"/>
                <w:sz w:val="21"/>
                <w:szCs w:val="21"/>
              </w:rPr>
              <w:t>始日期</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Microsoft JhengHei" w:hAnsi="Microsoft JhengHei" w:cs="Microsoft JhengHei" w:eastAsia="Microsoft JhengHei" w:hint="default"/>
                <w:b/>
                <w:bCs/>
                <w:sz w:val="15"/>
                <w:szCs w:val="15"/>
              </w:rPr>
            </w:pPr>
          </w:p>
          <w:p>
            <w:pPr>
              <w:pStyle w:val="TableParagraph"/>
              <w:spacing w:line="268" w:lineRule="exact"/>
              <w:ind w:left="115" w:right="108"/>
              <w:jc w:val="left"/>
              <w:rPr>
                <w:rFonts w:ascii="宋体" w:hAnsi="宋体" w:cs="宋体" w:eastAsia="宋体" w:hint="default"/>
                <w:sz w:val="21"/>
                <w:szCs w:val="21"/>
              </w:rPr>
            </w:pPr>
            <w:r>
              <w:rPr>
                <w:rFonts w:ascii="宋体" w:hAnsi="宋体" w:cs="宋体" w:eastAsia="宋体" w:hint="default"/>
                <w:sz w:val="21"/>
                <w:szCs w:val="21"/>
              </w:rPr>
              <w:t>任期终</w:t>
            </w:r>
            <w:r>
              <w:rPr>
                <w:rFonts w:ascii="宋体" w:hAnsi="宋体" w:cs="宋体" w:eastAsia="宋体" w:hint="default"/>
                <w:spacing w:val="-102"/>
                <w:sz w:val="21"/>
                <w:szCs w:val="21"/>
              </w:rPr>
              <w:t> </w:t>
            </w:r>
            <w:r>
              <w:rPr>
                <w:rFonts w:ascii="宋体" w:hAnsi="宋体" w:cs="宋体" w:eastAsia="宋体" w:hint="default"/>
                <w:sz w:val="21"/>
                <w:szCs w:val="21"/>
              </w:rPr>
              <w:t>止日期</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8" w:lineRule="exact" w:before="126"/>
              <w:ind w:left="220" w:right="113" w:hanging="106"/>
              <w:jc w:val="left"/>
              <w:rPr>
                <w:rFonts w:ascii="宋体" w:hAnsi="宋体" w:cs="宋体" w:eastAsia="宋体" w:hint="default"/>
                <w:sz w:val="21"/>
                <w:szCs w:val="21"/>
              </w:rPr>
            </w:pPr>
            <w:r>
              <w:rPr>
                <w:rFonts w:ascii="宋体" w:hAnsi="宋体" w:cs="宋体" w:eastAsia="宋体" w:hint="default"/>
                <w:sz w:val="21"/>
                <w:szCs w:val="21"/>
              </w:rPr>
              <w:t>期初持</w:t>
            </w:r>
            <w:r>
              <w:rPr>
                <w:rFonts w:ascii="宋体" w:hAnsi="宋体" w:cs="宋体" w:eastAsia="宋体" w:hint="default"/>
                <w:spacing w:val="-102"/>
                <w:sz w:val="21"/>
                <w:szCs w:val="21"/>
              </w:rPr>
              <w:t> </w:t>
            </w:r>
            <w:r>
              <w:rPr>
                <w:rFonts w:ascii="宋体" w:hAnsi="宋体" w:cs="宋体" w:eastAsia="宋体" w:hint="default"/>
                <w:sz w:val="21"/>
                <w:szCs w:val="21"/>
              </w:rPr>
              <w:t>股数</w:t>
            </w:r>
          </w:p>
          <w:p>
            <w:pPr>
              <w:pStyle w:val="TableParagraph"/>
              <w:spacing w:line="250" w:lineRule="exact"/>
              <w:ind w:left="115" w:right="0"/>
              <w:jc w:val="left"/>
              <w:rPr>
                <w:rFonts w:ascii="宋体" w:hAnsi="宋体" w:cs="宋体" w:eastAsia="宋体" w:hint="default"/>
                <w:sz w:val="21"/>
                <w:szCs w:val="21"/>
              </w:rPr>
            </w:pPr>
            <w:r>
              <w:rPr>
                <w:rFonts w:ascii="宋体" w:hAnsi="宋体" w:cs="宋体" w:eastAsia="宋体" w:hint="default"/>
                <w:sz w:val="21"/>
                <w:szCs w:val="21"/>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110" w:right="0"/>
              <w:jc w:val="left"/>
              <w:rPr>
                <w:rFonts w:ascii="宋体" w:hAnsi="宋体" w:cs="宋体" w:eastAsia="宋体" w:hint="default"/>
                <w:sz w:val="21"/>
                <w:szCs w:val="21"/>
              </w:rPr>
            </w:pPr>
            <w:r>
              <w:rPr>
                <w:rFonts w:ascii="宋体" w:hAnsi="宋体" w:cs="宋体" w:eastAsia="宋体" w:hint="default"/>
                <w:sz w:val="21"/>
                <w:szCs w:val="21"/>
              </w:rPr>
              <w:t>本期增</w:t>
            </w:r>
          </w:p>
          <w:p>
            <w:pPr>
              <w:pStyle w:val="TableParagraph"/>
              <w:spacing w:line="274" w:lineRule="exact" w:before="23"/>
              <w:ind w:left="215" w:right="113" w:hanging="106"/>
              <w:jc w:val="left"/>
              <w:rPr>
                <w:rFonts w:ascii="宋体" w:hAnsi="宋体" w:cs="宋体" w:eastAsia="宋体" w:hint="default"/>
                <w:sz w:val="21"/>
                <w:szCs w:val="21"/>
              </w:rPr>
            </w:pPr>
            <w:r>
              <w:rPr>
                <w:rFonts w:ascii="宋体" w:hAnsi="宋体" w:cs="宋体" w:eastAsia="宋体" w:hint="default"/>
                <w:sz w:val="21"/>
                <w:szCs w:val="21"/>
              </w:rPr>
              <w:t>持股份</w:t>
            </w:r>
            <w:r>
              <w:rPr>
                <w:rFonts w:ascii="宋体" w:hAnsi="宋体" w:cs="宋体" w:eastAsia="宋体" w:hint="default"/>
                <w:spacing w:val="-102"/>
                <w:sz w:val="21"/>
                <w:szCs w:val="21"/>
              </w:rPr>
              <w:t> </w:t>
            </w:r>
            <w:r>
              <w:rPr>
                <w:rFonts w:ascii="宋体" w:hAnsi="宋体" w:cs="宋体" w:eastAsia="宋体" w:hint="default"/>
                <w:sz w:val="21"/>
                <w:szCs w:val="21"/>
              </w:rPr>
              <w:t>数量</w:t>
            </w:r>
          </w:p>
          <w:p>
            <w:pPr>
              <w:pStyle w:val="TableParagraph"/>
              <w:spacing w:line="248" w:lineRule="exact"/>
              <w:ind w:left="11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3" w:lineRule="exact"/>
              <w:ind w:left="115" w:right="0"/>
              <w:jc w:val="left"/>
              <w:rPr>
                <w:rFonts w:ascii="宋体" w:hAnsi="宋体" w:cs="宋体" w:eastAsia="宋体" w:hint="default"/>
                <w:sz w:val="21"/>
                <w:szCs w:val="21"/>
              </w:rPr>
            </w:pPr>
            <w:r>
              <w:rPr>
                <w:rFonts w:ascii="宋体" w:hAnsi="宋体" w:cs="宋体" w:eastAsia="宋体" w:hint="default"/>
                <w:sz w:val="21"/>
                <w:szCs w:val="21"/>
              </w:rPr>
              <w:t>本期减</w:t>
            </w:r>
          </w:p>
          <w:p>
            <w:pPr>
              <w:pStyle w:val="TableParagraph"/>
              <w:spacing w:line="274" w:lineRule="exact" w:before="23"/>
              <w:ind w:left="220" w:right="108" w:hanging="106"/>
              <w:jc w:val="left"/>
              <w:rPr>
                <w:rFonts w:ascii="宋体" w:hAnsi="宋体" w:cs="宋体" w:eastAsia="宋体" w:hint="default"/>
                <w:sz w:val="21"/>
                <w:szCs w:val="21"/>
              </w:rPr>
            </w:pPr>
            <w:r>
              <w:rPr>
                <w:rFonts w:ascii="宋体" w:hAnsi="宋体" w:cs="宋体" w:eastAsia="宋体" w:hint="default"/>
                <w:sz w:val="21"/>
                <w:szCs w:val="21"/>
              </w:rPr>
              <w:t>持股份</w:t>
            </w:r>
            <w:r>
              <w:rPr>
                <w:rFonts w:ascii="宋体" w:hAnsi="宋体" w:cs="宋体" w:eastAsia="宋体" w:hint="default"/>
                <w:spacing w:val="-102"/>
                <w:sz w:val="21"/>
                <w:szCs w:val="21"/>
              </w:rPr>
              <w:t> </w:t>
            </w:r>
            <w:r>
              <w:rPr>
                <w:rFonts w:ascii="宋体" w:hAnsi="宋体" w:cs="宋体" w:eastAsia="宋体" w:hint="default"/>
                <w:sz w:val="21"/>
                <w:szCs w:val="21"/>
              </w:rPr>
              <w:t>数量</w:t>
            </w:r>
          </w:p>
          <w:p>
            <w:pPr>
              <w:pStyle w:val="TableParagraph"/>
              <w:spacing w:line="248" w:lineRule="exact"/>
              <w:ind w:left="115" w:right="0"/>
              <w:jc w:val="left"/>
              <w:rPr>
                <w:rFonts w:ascii="宋体" w:hAnsi="宋体" w:cs="宋体" w:eastAsia="宋体" w:hint="default"/>
                <w:sz w:val="21"/>
                <w:szCs w:val="21"/>
              </w:rPr>
            </w:pPr>
            <w:r>
              <w:rPr>
                <w:rFonts w:ascii="宋体" w:hAnsi="宋体" w:cs="宋体" w:eastAsia="宋体" w:hint="default"/>
                <w:sz w:val="21"/>
                <w:szCs w:val="21"/>
              </w:rPr>
              <w:t>（股）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8" w:lineRule="exact" w:before="126"/>
              <w:ind w:left="220" w:right="108" w:hanging="106"/>
              <w:jc w:val="left"/>
              <w:rPr>
                <w:rFonts w:ascii="宋体" w:hAnsi="宋体" w:cs="宋体" w:eastAsia="宋体" w:hint="default"/>
                <w:sz w:val="21"/>
                <w:szCs w:val="21"/>
              </w:rPr>
            </w:pPr>
            <w:r>
              <w:rPr>
                <w:rFonts w:ascii="宋体" w:hAnsi="宋体" w:cs="宋体" w:eastAsia="宋体" w:hint="default"/>
                <w:sz w:val="21"/>
                <w:szCs w:val="21"/>
              </w:rPr>
              <w:t>期末持</w:t>
            </w:r>
            <w:r>
              <w:rPr>
                <w:rFonts w:ascii="宋体" w:hAnsi="宋体" w:cs="宋体" w:eastAsia="宋体" w:hint="default"/>
                <w:spacing w:val="-102"/>
                <w:sz w:val="21"/>
                <w:szCs w:val="21"/>
              </w:rPr>
              <w:t> </w:t>
            </w:r>
            <w:r>
              <w:rPr>
                <w:rFonts w:ascii="宋体" w:hAnsi="宋体" w:cs="宋体" w:eastAsia="宋体" w:hint="default"/>
                <w:sz w:val="21"/>
                <w:szCs w:val="21"/>
              </w:rPr>
              <w:t>股数</w:t>
            </w:r>
          </w:p>
          <w:p>
            <w:pPr>
              <w:pStyle w:val="TableParagraph"/>
              <w:spacing w:line="250" w:lineRule="exact"/>
              <w:ind w:left="115" w:right="0"/>
              <w:jc w:val="left"/>
              <w:rPr>
                <w:rFonts w:ascii="宋体" w:hAnsi="宋体" w:cs="宋体" w:eastAsia="宋体" w:hint="default"/>
                <w:sz w:val="21"/>
                <w:szCs w:val="21"/>
              </w:rPr>
            </w:pPr>
            <w:r>
              <w:rPr>
                <w:rFonts w:ascii="宋体" w:hAnsi="宋体" w:cs="宋体" w:eastAsia="宋体" w:hint="default"/>
                <w:sz w:val="21"/>
                <w:szCs w:val="21"/>
              </w:rPr>
              <w:t>（股）</w:t>
            </w:r>
          </w:p>
        </w:tc>
      </w:tr>
      <w:tr>
        <w:trPr>
          <w:trHeight w:val="279" w:hRule="exact"/>
        </w:trPr>
        <w:tc>
          <w:tcPr>
            <w:tcW w:w="9562"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0" w:lineRule="exact"/>
              <w:ind w:left="2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董事</w:t>
            </w:r>
            <w:r>
              <w:rPr>
                <w:rFonts w:ascii="Microsoft JhengHei" w:hAnsi="Microsoft JhengHei" w:cs="Microsoft JhengHei" w:eastAsia="Microsoft JhengHei" w:hint="default"/>
                <w:sz w:val="21"/>
                <w:szCs w:val="21"/>
              </w:rPr>
            </w: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6"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陈泰泉</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50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颜金辉</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before="126"/>
              <w:ind w:left="23" w:right="199"/>
              <w:jc w:val="left"/>
              <w:rPr>
                <w:rFonts w:ascii="宋体" w:hAnsi="宋体" w:cs="宋体" w:eastAsia="宋体" w:hint="default"/>
                <w:sz w:val="21"/>
                <w:szCs w:val="21"/>
              </w:rPr>
            </w:pPr>
            <w:r>
              <w:rPr>
                <w:rFonts w:ascii="宋体" w:hAnsi="宋体" w:cs="宋体" w:eastAsia="宋体" w:hint="default"/>
                <w:sz w:val="21"/>
                <w:szCs w:val="21"/>
              </w:rPr>
              <w:t>副董事</w:t>
            </w:r>
            <w:r>
              <w:rPr>
                <w:rFonts w:ascii="宋体" w:hAnsi="宋体" w:cs="宋体" w:eastAsia="宋体" w:hint="default"/>
                <w:spacing w:val="-102"/>
                <w:sz w:val="21"/>
                <w:szCs w:val="21"/>
              </w:rPr>
              <w:t> </w:t>
            </w:r>
            <w:r>
              <w:rPr>
                <w:rFonts w:ascii="宋体" w:hAnsi="宋体" w:cs="宋体" w:eastAsia="宋体" w:hint="default"/>
                <w:sz w:val="21"/>
                <w:szCs w:val="21"/>
              </w:rPr>
              <w:t>长</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135,061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135,061</w:t>
            </w: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周非</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12"/>
              <w:jc w:val="left"/>
              <w:rPr>
                <w:rFonts w:ascii="宋体" w:hAnsi="宋体" w:cs="宋体" w:eastAsia="宋体" w:hint="default"/>
                <w:sz w:val="21"/>
                <w:szCs w:val="21"/>
              </w:rPr>
            </w:pPr>
            <w:r>
              <w:rPr>
                <w:rFonts w:ascii="宋体" w:hAnsi="宋体" w:cs="宋体" w:eastAsia="宋体" w:hint="default"/>
                <w:spacing w:val="-6"/>
                <w:sz w:val="21"/>
                <w:szCs w:val="21"/>
              </w:rPr>
              <w:t>董事、总</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经理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6"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高文清</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60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sz w:val="21"/>
              </w:rPr>
              <w:t>221,483</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221,483</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罗伟光</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before="126"/>
              <w:ind w:left="23" w:right="12"/>
              <w:jc w:val="left"/>
              <w:rPr>
                <w:rFonts w:ascii="宋体" w:hAnsi="宋体" w:cs="宋体" w:eastAsia="宋体" w:hint="default"/>
                <w:sz w:val="21"/>
                <w:szCs w:val="21"/>
              </w:rPr>
            </w:pPr>
            <w:r>
              <w:rPr>
                <w:rFonts w:ascii="宋体" w:hAnsi="宋体" w:cs="宋体" w:eastAsia="宋体" w:hint="default"/>
                <w:spacing w:val="-6"/>
                <w:sz w:val="21"/>
                <w:szCs w:val="21"/>
              </w:rPr>
              <w:t>董事、副</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总经理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199,891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199,891</w:t>
            </w: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4"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陈匡国</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29</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7"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6"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张育新</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63</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徐志新</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before="126"/>
              <w:ind w:left="23" w:right="199"/>
              <w:jc w:val="left"/>
              <w:rPr>
                <w:rFonts w:ascii="宋体" w:hAnsi="宋体" w:cs="宋体" w:eastAsia="宋体" w:hint="default"/>
                <w:sz w:val="21"/>
                <w:szCs w:val="21"/>
              </w:rPr>
            </w:pPr>
            <w:r>
              <w:rPr>
                <w:rFonts w:ascii="宋体" w:hAnsi="宋体" w:cs="宋体" w:eastAsia="宋体" w:hint="default"/>
                <w:sz w:val="21"/>
                <w:szCs w:val="21"/>
              </w:rPr>
              <w:t>独立董</w:t>
            </w:r>
            <w:r>
              <w:rPr>
                <w:rFonts w:ascii="宋体" w:hAnsi="宋体" w:cs="宋体" w:eastAsia="宋体" w:hint="default"/>
                <w:spacing w:val="-102"/>
                <w:sz w:val="21"/>
                <w:szCs w:val="21"/>
              </w:rPr>
              <w:t> </w:t>
            </w:r>
            <w:r>
              <w:rPr>
                <w:rFonts w:ascii="宋体" w:hAnsi="宋体" w:cs="宋体" w:eastAsia="宋体" w:hint="default"/>
                <w:sz w:val="21"/>
                <w:szCs w:val="21"/>
              </w:rPr>
              <w:t>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陈伟强</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199"/>
              <w:jc w:val="left"/>
              <w:rPr>
                <w:rFonts w:ascii="宋体" w:hAnsi="宋体" w:cs="宋体" w:eastAsia="宋体" w:hint="default"/>
                <w:sz w:val="21"/>
                <w:szCs w:val="21"/>
              </w:rPr>
            </w:pPr>
            <w:r>
              <w:rPr>
                <w:rFonts w:ascii="宋体" w:hAnsi="宋体" w:cs="宋体" w:eastAsia="宋体" w:hint="default"/>
                <w:sz w:val="21"/>
                <w:szCs w:val="21"/>
              </w:rPr>
              <w:t>独立董</w:t>
            </w:r>
            <w:r>
              <w:rPr>
                <w:rFonts w:ascii="宋体" w:hAnsi="宋体" w:cs="宋体" w:eastAsia="宋体" w:hint="default"/>
                <w:spacing w:val="-102"/>
                <w:sz w:val="21"/>
                <w:szCs w:val="21"/>
              </w:rPr>
              <w:t> </w:t>
            </w:r>
            <w:r>
              <w:rPr>
                <w:rFonts w:ascii="宋体" w:hAnsi="宋体" w:cs="宋体" w:eastAsia="宋体" w:hint="default"/>
                <w:sz w:val="21"/>
                <w:szCs w:val="21"/>
              </w:rPr>
              <w:t>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梁发贤</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199"/>
              <w:jc w:val="left"/>
              <w:rPr>
                <w:rFonts w:ascii="宋体" w:hAnsi="宋体" w:cs="宋体" w:eastAsia="宋体" w:hint="default"/>
                <w:sz w:val="21"/>
                <w:szCs w:val="21"/>
              </w:rPr>
            </w:pPr>
            <w:r>
              <w:rPr>
                <w:rFonts w:ascii="宋体" w:hAnsi="宋体" w:cs="宋体" w:eastAsia="宋体" w:hint="default"/>
                <w:sz w:val="21"/>
                <w:szCs w:val="21"/>
              </w:rPr>
              <w:t>独立董</w:t>
            </w:r>
            <w:r>
              <w:rPr>
                <w:rFonts w:ascii="宋体" w:hAnsi="宋体" w:cs="宋体" w:eastAsia="宋体" w:hint="default"/>
                <w:spacing w:val="-102"/>
                <w:sz w:val="21"/>
                <w:szCs w:val="21"/>
              </w:rPr>
              <w:t> </w:t>
            </w:r>
            <w:r>
              <w:rPr>
                <w:rFonts w:ascii="宋体" w:hAnsi="宋体" w:cs="宋体" w:eastAsia="宋体" w:hint="default"/>
                <w:sz w:val="21"/>
                <w:szCs w:val="21"/>
              </w:rPr>
              <w:t>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30"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邓远帆</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199"/>
              <w:jc w:val="left"/>
              <w:rPr>
                <w:rFonts w:ascii="宋体" w:hAnsi="宋体" w:cs="宋体" w:eastAsia="宋体" w:hint="default"/>
                <w:sz w:val="21"/>
                <w:szCs w:val="21"/>
              </w:rPr>
            </w:pPr>
            <w:r>
              <w:rPr>
                <w:rFonts w:ascii="宋体" w:hAnsi="宋体" w:cs="宋体" w:eastAsia="宋体" w:hint="default"/>
                <w:sz w:val="21"/>
                <w:szCs w:val="21"/>
              </w:rPr>
              <w:t>独立董</w:t>
            </w:r>
            <w:r>
              <w:rPr>
                <w:rFonts w:ascii="宋体" w:hAnsi="宋体" w:cs="宋体" w:eastAsia="宋体" w:hint="default"/>
                <w:spacing w:val="-102"/>
                <w:sz w:val="21"/>
                <w:szCs w:val="21"/>
              </w:rPr>
              <w:t> </w:t>
            </w:r>
            <w:r>
              <w:rPr>
                <w:rFonts w:ascii="宋体" w:hAnsi="宋体" w:cs="宋体" w:eastAsia="宋体" w:hint="default"/>
                <w:sz w:val="21"/>
                <w:szCs w:val="21"/>
              </w:rPr>
              <w:t>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48</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郭山清</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47</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4"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钟征宇</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50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7"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57" w:top="1120" w:bottom="1180" w:left="980" w:right="980"/>
        </w:sectPr>
      </w:pP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4"/>
        <w:gridCol w:w="869"/>
        <w:gridCol w:w="869"/>
        <w:gridCol w:w="869"/>
        <w:gridCol w:w="869"/>
        <w:gridCol w:w="874"/>
        <w:gridCol w:w="869"/>
        <w:gridCol w:w="869"/>
        <w:gridCol w:w="869"/>
      </w:tblGrid>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4"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贺雪琴</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45</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7"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830"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陈凤娇</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199"/>
              <w:jc w:val="left"/>
              <w:rPr>
                <w:rFonts w:ascii="宋体" w:hAnsi="宋体" w:cs="宋体" w:eastAsia="宋体" w:hint="default"/>
                <w:sz w:val="21"/>
                <w:szCs w:val="21"/>
              </w:rPr>
            </w:pPr>
            <w:r>
              <w:rPr>
                <w:rFonts w:ascii="宋体" w:hAnsi="宋体" w:cs="宋体" w:eastAsia="宋体" w:hint="default"/>
                <w:sz w:val="21"/>
                <w:szCs w:val="21"/>
              </w:rPr>
              <w:t>独立董</w:t>
            </w:r>
            <w:r>
              <w:rPr>
                <w:rFonts w:ascii="宋体" w:hAnsi="宋体" w:cs="宋体" w:eastAsia="宋体" w:hint="default"/>
                <w:spacing w:val="-102"/>
                <w:sz w:val="21"/>
                <w:szCs w:val="21"/>
              </w:rPr>
              <w:t> </w:t>
            </w:r>
            <w:r>
              <w:rPr>
                <w:rFonts w:ascii="宋体" w:hAnsi="宋体" w:cs="宋体" w:eastAsia="宋体" w:hint="default"/>
                <w:sz w:val="21"/>
                <w:szCs w:val="21"/>
              </w:rPr>
              <w:t>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78"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何祥增</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before="155"/>
              <w:ind w:left="24" w:right="199"/>
              <w:jc w:val="left"/>
              <w:rPr>
                <w:rFonts w:ascii="宋体" w:hAnsi="宋体" w:cs="宋体" w:eastAsia="宋体" w:hint="default"/>
                <w:sz w:val="21"/>
                <w:szCs w:val="21"/>
              </w:rPr>
            </w:pPr>
            <w:r>
              <w:rPr>
                <w:rFonts w:ascii="宋体" w:hAnsi="宋体" w:cs="宋体" w:eastAsia="宋体" w:hint="default"/>
                <w:sz w:val="21"/>
                <w:szCs w:val="21"/>
              </w:rPr>
              <w:t>独立董</w:t>
            </w:r>
            <w:r>
              <w:rPr>
                <w:rFonts w:ascii="宋体" w:hAnsi="宋体" w:cs="宋体" w:eastAsia="宋体" w:hint="default"/>
                <w:spacing w:val="-102"/>
                <w:sz w:val="21"/>
                <w:szCs w:val="21"/>
              </w:rPr>
              <w:t> </w:t>
            </w:r>
            <w:r>
              <w:rPr>
                <w:rFonts w:ascii="宋体" w:hAnsi="宋体" w:cs="宋体" w:eastAsia="宋体" w:hint="default"/>
                <w:sz w:val="21"/>
                <w:szCs w:val="21"/>
              </w:rPr>
              <w:t>事</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7"/>
                <w:szCs w:val="17"/>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7"/>
                <w:szCs w:val="17"/>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7"/>
                <w:szCs w:val="17"/>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83" w:hRule="exact"/>
        </w:trPr>
        <w:tc>
          <w:tcPr>
            <w:tcW w:w="9562" w:type="dxa"/>
            <w:gridSpan w:val="11"/>
            <w:tcBorders>
              <w:top w:val="single" w:sz="4" w:space="0" w:color="000000"/>
              <w:left w:val="single" w:sz="4" w:space="0" w:color="000000"/>
              <w:bottom w:val="single" w:sz="4" w:space="0" w:color="000000"/>
              <w:right w:val="single" w:sz="4" w:space="0" w:color="000000"/>
            </w:tcBorders>
            <w:shd w:val="clear" w:color="auto" w:fill="B2B2B2"/>
          </w:tcPr>
          <w:p>
            <w:pPr>
              <w:pStyle w:val="TableParagraph"/>
              <w:spacing w:line="260" w:lineRule="exact"/>
              <w:ind w:left="2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监事</w:t>
            </w:r>
            <w:r>
              <w:rPr>
                <w:rFonts w:ascii="Microsoft JhengHei" w:hAnsi="Microsoft JhengHei" w:cs="Microsoft JhengHei" w:eastAsia="Microsoft JhengHei" w:hint="default"/>
                <w:sz w:val="21"/>
                <w:szCs w:val="21"/>
              </w:rPr>
            </w: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骆文明</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监事长</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49</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19</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6"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尤明天</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55</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4"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6"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陈昌华</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62</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1"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李联添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45</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4"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张育新</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63</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7"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283" w:hRule="exact"/>
        </w:trPr>
        <w:tc>
          <w:tcPr>
            <w:tcW w:w="9562" w:type="dxa"/>
            <w:gridSpan w:val="11"/>
            <w:tcBorders>
              <w:top w:val="single" w:sz="4" w:space="0" w:color="000000"/>
              <w:left w:val="single" w:sz="4" w:space="0" w:color="000000"/>
              <w:bottom w:val="single" w:sz="4" w:space="0" w:color="000000"/>
              <w:right w:val="single" w:sz="4" w:space="0" w:color="000000"/>
            </w:tcBorders>
            <w:shd w:val="clear" w:color="auto" w:fill="B2B2B2"/>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其他高级管理人员</w:t>
            </w: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陈汉忠</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199"/>
              <w:jc w:val="left"/>
              <w:rPr>
                <w:rFonts w:ascii="宋体" w:hAnsi="宋体" w:cs="宋体" w:eastAsia="宋体" w:hint="default"/>
                <w:sz w:val="21"/>
                <w:szCs w:val="21"/>
              </w:rPr>
            </w:pPr>
            <w:r>
              <w:rPr>
                <w:rFonts w:ascii="宋体" w:hAnsi="宋体" w:cs="宋体" w:eastAsia="宋体" w:hint="default"/>
                <w:sz w:val="21"/>
                <w:szCs w:val="21"/>
              </w:rPr>
              <w:t>副总经</w:t>
            </w:r>
            <w:r>
              <w:rPr>
                <w:rFonts w:ascii="宋体" w:hAnsi="宋体" w:cs="宋体" w:eastAsia="宋体" w:hint="default"/>
                <w:spacing w:val="-102"/>
                <w:sz w:val="21"/>
                <w:szCs w:val="21"/>
              </w:rPr>
              <w:t> </w:t>
            </w:r>
            <w:r>
              <w:rPr>
                <w:rFonts w:ascii="宋体" w:hAnsi="宋体" w:cs="宋体" w:eastAsia="宋体" w:hint="default"/>
                <w:sz w:val="21"/>
                <w:szCs w:val="21"/>
              </w:rPr>
              <w:t>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60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5" w:hRule="exact"/>
        </w:trPr>
        <w:tc>
          <w:tcPr>
            <w:tcW w:w="86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副总经</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69"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874"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r>
      <w:tr>
        <w:trPr>
          <w:trHeight w:val="276"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沈蜀江</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24" w:right="0"/>
              <w:jc w:val="left"/>
              <w:rPr>
                <w:rFonts w:ascii="宋体" w:hAnsi="宋体" w:cs="宋体" w:eastAsia="宋体" w:hint="default"/>
                <w:sz w:val="21"/>
                <w:szCs w:val="21"/>
              </w:rPr>
            </w:pPr>
            <w:r>
              <w:rPr>
                <w:rFonts w:ascii="宋体" w:hAnsi="宋体" w:cs="宋体" w:eastAsia="宋体" w:hint="default"/>
                <w:spacing w:val="-6"/>
                <w:sz w:val="21"/>
                <w:szCs w:val="21"/>
              </w:rPr>
              <w:t>理、董事</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sz w:val="21"/>
              </w:rPr>
              <w:t>42</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tc>
        <w:tc>
          <w:tcPr>
            <w:tcW w:w="8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79" w:hRule="exact"/>
        </w:trPr>
        <w:tc>
          <w:tcPr>
            <w:tcW w:w="86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4" w:right="0"/>
              <w:jc w:val="left"/>
              <w:rPr>
                <w:rFonts w:ascii="宋体" w:hAnsi="宋体" w:cs="宋体" w:eastAsia="宋体" w:hint="default"/>
                <w:sz w:val="21"/>
                <w:szCs w:val="21"/>
              </w:rPr>
            </w:pPr>
            <w:r>
              <w:rPr>
                <w:rFonts w:ascii="宋体" w:hAnsi="宋体" w:cs="宋体" w:eastAsia="宋体" w:hint="default"/>
                <w:sz w:val="21"/>
                <w:szCs w:val="21"/>
              </w:rPr>
              <w:t>会秘书</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钟民</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68" w:lineRule="exact" w:before="126"/>
              <w:ind w:left="24" w:right="199"/>
              <w:jc w:val="left"/>
              <w:rPr>
                <w:rFonts w:ascii="宋体" w:hAnsi="宋体" w:cs="宋体" w:eastAsia="宋体" w:hint="default"/>
                <w:sz w:val="21"/>
                <w:szCs w:val="21"/>
              </w:rPr>
            </w:pPr>
            <w:r>
              <w:rPr>
                <w:rFonts w:ascii="宋体" w:hAnsi="宋体" w:cs="宋体" w:eastAsia="宋体" w:hint="default"/>
                <w:sz w:val="21"/>
                <w:szCs w:val="21"/>
              </w:rPr>
              <w:t>财务总</w:t>
            </w:r>
            <w:r>
              <w:rPr>
                <w:rFonts w:ascii="宋体" w:hAnsi="宋体" w:cs="宋体" w:eastAsia="宋体" w:hint="default"/>
                <w:spacing w:val="-102"/>
                <w:sz w:val="21"/>
                <w:szCs w:val="21"/>
              </w:rPr>
              <w:t> </w:t>
            </w:r>
            <w:r>
              <w:rPr>
                <w:rFonts w:ascii="宋体" w:hAnsi="宋体" w:cs="宋体" w:eastAsia="宋体" w:hint="default"/>
                <w:sz w:val="21"/>
                <w:szCs w:val="21"/>
              </w:rPr>
              <w:t>监</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2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杨子宁</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199"/>
              <w:jc w:val="left"/>
              <w:rPr>
                <w:rFonts w:ascii="宋体" w:hAnsi="宋体" w:cs="宋体" w:eastAsia="宋体" w:hint="default"/>
                <w:sz w:val="21"/>
                <w:szCs w:val="21"/>
              </w:rPr>
            </w:pPr>
            <w:r>
              <w:rPr>
                <w:rFonts w:ascii="宋体" w:hAnsi="宋体" w:cs="宋体" w:eastAsia="宋体" w:hint="default"/>
                <w:sz w:val="21"/>
                <w:szCs w:val="21"/>
              </w:rPr>
              <w:t>副总经</w:t>
            </w:r>
            <w:r>
              <w:rPr>
                <w:rFonts w:ascii="宋体" w:hAnsi="宋体" w:cs="宋体" w:eastAsia="宋体" w:hint="default"/>
                <w:spacing w:val="-102"/>
                <w:sz w:val="21"/>
                <w:szCs w:val="21"/>
              </w:rPr>
              <w:t> </w:t>
            </w:r>
            <w:r>
              <w:rPr>
                <w:rFonts w:ascii="宋体" w:hAnsi="宋体" w:cs="宋体" w:eastAsia="宋体" w:hint="default"/>
                <w:sz w:val="21"/>
                <w:szCs w:val="21"/>
              </w:rPr>
              <w:t>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5"/>
                <w:sz w:val="21"/>
                <w:szCs w:val="21"/>
              </w:rPr>
              <w:t>11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28</w:t>
            </w:r>
          </w:p>
          <w:p>
            <w:pPr>
              <w:pStyle w:val="TableParagraph"/>
              <w:spacing w:line="26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30"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于银彪</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199"/>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102"/>
                <w:sz w:val="21"/>
                <w:szCs w:val="21"/>
              </w:rPr>
              <w:t> </w:t>
            </w:r>
            <w:r>
              <w:rPr>
                <w:rFonts w:ascii="宋体" w:hAnsi="宋体" w:cs="宋体" w:eastAsia="宋体" w:hint="default"/>
                <w:sz w:val="21"/>
                <w:szCs w:val="21"/>
              </w:rPr>
              <w:t>助理</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03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24</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83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黄旭辉</w:t>
            </w:r>
          </w:p>
        </w:tc>
        <w:tc>
          <w:tcPr>
            <w:tcW w:w="869" w:type="dxa"/>
            <w:tcBorders>
              <w:top w:val="single" w:sz="4" w:space="0" w:color="000000"/>
              <w:left w:val="single" w:sz="4" w:space="0" w:color="000000"/>
              <w:bottom w:val="single" w:sz="6" w:space="0" w:color="D2D2D2"/>
              <w:right w:val="single" w:sz="4" w:space="0" w:color="000000"/>
            </w:tcBorders>
          </w:tcPr>
          <w:p>
            <w:pPr>
              <w:pStyle w:val="TableParagraph"/>
              <w:spacing w:line="268" w:lineRule="exact" w:before="126"/>
              <w:ind w:left="24" w:right="199"/>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102"/>
                <w:sz w:val="21"/>
                <w:szCs w:val="21"/>
              </w:rPr>
              <w:t> </w:t>
            </w:r>
            <w:r>
              <w:rPr>
                <w:rFonts w:ascii="宋体" w:hAnsi="宋体" w:cs="宋体" w:eastAsia="宋体" w:hint="default"/>
                <w:sz w:val="21"/>
                <w:szCs w:val="21"/>
              </w:rPr>
              <w:t>助理</w:t>
            </w:r>
          </w:p>
        </w:tc>
        <w:tc>
          <w:tcPr>
            <w:tcW w:w="874"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86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4"/>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869" w:type="dxa"/>
            <w:tcBorders>
              <w:top w:val="single" w:sz="4" w:space="0" w:color="000000"/>
              <w:left w:val="single" w:sz="4" w:space="0" w:color="000000"/>
              <w:bottom w:val="single" w:sz="6" w:space="0" w:color="D2D2D2"/>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40</w:t>
            </w:r>
          </w:p>
        </w:tc>
        <w:tc>
          <w:tcPr>
            <w:tcW w:w="869" w:type="dxa"/>
            <w:tcBorders>
              <w:top w:val="single" w:sz="4" w:space="0" w:color="000000"/>
              <w:left w:val="single" w:sz="4" w:space="0" w:color="000000"/>
              <w:bottom w:val="single" w:sz="6" w:space="0" w:color="D2D2D2"/>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30</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69" w:type="dxa"/>
            <w:tcBorders>
              <w:top w:val="single" w:sz="4" w:space="0" w:color="000000"/>
              <w:left w:val="single" w:sz="4" w:space="0" w:color="000000"/>
              <w:bottom w:val="single" w:sz="6" w:space="0" w:color="D2D2D2"/>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71"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06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26</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6"/>
                <w:szCs w:val="16"/>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w w:val="100"/>
                <w:sz w:val="21"/>
              </w:rPr>
              <w:t>0</w:t>
            </w:r>
          </w:p>
        </w:tc>
      </w:tr>
      <w:tr>
        <w:trPr>
          <w:trHeight w:val="266"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9"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 w:right="0"/>
              <w:jc w:val="center"/>
              <w:rPr>
                <w:rFonts w:ascii="Times New Roman" w:hAnsi="Times New Roman" w:cs="Times New Roman" w:eastAsia="Times New Roman" w:hint="default"/>
                <w:sz w:val="21"/>
                <w:szCs w:val="21"/>
              </w:rPr>
            </w:pPr>
            <w:r>
              <w:rPr>
                <w:rFonts w:ascii="Times New Roman"/>
                <w:sz w:val="21"/>
              </w:rPr>
              <w:t>--</w:t>
            </w:r>
          </w:p>
        </w:tc>
        <w:tc>
          <w:tcPr>
            <w:tcW w:w="8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right="1"/>
              <w:jc w:val="center"/>
              <w:rPr>
                <w:rFonts w:ascii="Times New Roman" w:hAnsi="Times New Roman" w:cs="Times New Roman" w:eastAsia="Times New Roman" w:hint="default"/>
                <w:sz w:val="21"/>
                <w:szCs w:val="21"/>
              </w:rPr>
            </w:pPr>
            <w:r>
              <w:rPr>
                <w:rFonts w:ascii="Times New Roman"/>
                <w:sz w:val="21"/>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right="4"/>
              <w:jc w:val="center"/>
              <w:rPr>
                <w:rFonts w:ascii="Times New Roman" w:hAnsi="Times New Roman" w:cs="Times New Roman" w:eastAsia="Times New Roman" w:hint="default"/>
                <w:sz w:val="21"/>
                <w:szCs w:val="21"/>
              </w:rPr>
            </w:pPr>
            <w:r>
              <w:rPr>
                <w:rFonts w:ascii="Times New Roman"/>
                <w:sz w:val="21"/>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 w:right="0"/>
              <w:jc w:val="center"/>
              <w:rPr>
                <w:rFonts w:ascii="Times New Roman" w:hAnsi="Times New Roman" w:cs="Times New Roman" w:eastAsia="Times New Roman" w:hint="default"/>
                <w:sz w:val="21"/>
                <w:szCs w:val="21"/>
              </w:rPr>
            </w:pPr>
            <w:r>
              <w:rPr>
                <w:rFonts w:ascii="Times New Roman"/>
                <w:sz w:val="21"/>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right="4"/>
              <w:jc w:val="center"/>
              <w:rPr>
                <w:rFonts w:ascii="Times New Roman" w:hAnsi="Times New Roman" w:cs="Times New Roman" w:eastAsia="Times New Roman" w:hint="default"/>
                <w:sz w:val="21"/>
                <w:szCs w:val="21"/>
              </w:rPr>
            </w:pPr>
            <w:r>
              <w:rPr>
                <w:rFonts w:ascii="Times New Roman"/>
                <w:sz w:val="21"/>
              </w:rPr>
              <w:t>--</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exact"/>
              <w:ind w:left="2" w:right="0"/>
              <w:jc w:val="center"/>
              <w:rPr>
                <w:rFonts w:ascii="Times New Roman" w:hAnsi="Times New Roman" w:cs="Times New Roman" w:eastAsia="Times New Roman" w:hint="default"/>
                <w:sz w:val="21"/>
                <w:szCs w:val="21"/>
              </w:rPr>
            </w:pPr>
            <w:r>
              <w:rPr>
                <w:rFonts w:ascii="Times New Roman"/>
                <w:sz w:val="21"/>
              </w:rPr>
              <w:t>--</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2"/>
              <w:jc w:val="right"/>
              <w:rPr>
                <w:rFonts w:ascii="Times New Roman" w:hAnsi="Times New Roman" w:cs="Times New Roman" w:eastAsia="Times New Roman" w:hint="default"/>
                <w:sz w:val="21"/>
                <w:szCs w:val="21"/>
              </w:rPr>
            </w:pPr>
            <w:r>
              <w:rPr>
                <w:rFonts w:ascii="Times New Roman"/>
                <w:sz w:val="21"/>
              </w:rPr>
              <w:t>556,435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2"/>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7"/>
              <w:jc w:val="right"/>
              <w:rPr>
                <w:rFonts w:ascii="Times New Roman" w:hAnsi="Times New Roman" w:cs="Times New Roman" w:eastAsia="Times New Roman" w:hint="default"/>
                <w:sz w:val="21"/>
                <w:szCs w:val="21"/>
              </w:rPr>
            </w:pPr>
            <w:r>
              <w:rPr>
                <w:rFonts w:ascii="Times New Roman"/>
                <w:w w:val="100"/>
                <w:sz w:val="21"/>
              </w:rPr>
              <w:t>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7"/>
              <w:jc w:val="right"/>
              <w:rPr>
                <w:rFonts w:ascii="Times New Roman" w:hAnsi="Times New Roman" w:cs="Times New Roman" w:eastAsia="Times New Roman" w:hint="default"/>
                <w:sz w:val="21"/>
                <w:szCs w:val="21"/>
              </w:rPr>
            </w:pPr>
            <w:r>
              <w:rPr>
                <w:rFonts w:ascii="Times New Roman"/>
                <w:sz w:val="21"/>
              </w:rPr>
              <w:t>556,435</w:t>
            </w:r>
          </w:p>
        </w:tc>
      </w:tr>
    </w:tbl>
    <w:p>
      <w:pPr>
        <w:spacing w:line="240" w:lineRule="auto" w:before="15"/>
        <w:rPr>
          <w:rFonts w:ascii="Microsoft JhengHei" w:hAnsi="Microsoft JhengHei" w:cs="Microsoft JhengHei" w:eastAsia="Microsoft JhengHei" w:hint="default"/>
          <w:b/>
          <w:bCs/>
          <w:sz w:val="13"/>
          <w:szCs w:val="13"/>
        </w:rPr>
      </w:pPr>
    </w:p>
    <w:p>
      <w:pPr>
        <w:pStyle w:val="Heading4"/>
        <w:spacing w:line="367" w:lineRule="exact"/>
        <w:ind w:right="0"/>
        <w:jc w:val="left"/>
        <w:rPr>
          <w:b w:val="0"/>
          <w:bCs w:val="0"/>
        </w:rPr>
      </w:pPr>
      <w:r>
        <w:rPr/>
        <w:t>二、任职情况</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240" w:lineRule="auto"/>
        <w:ind w:right="0"/>
        <w:jc w:val="left"/>
      </w:pPr>
      <w:r>
        <w:rPr/>
        <w:t>公司现任董事、监事、高级管理人员主要工作经历</w:t>
      </w:r>
    </w:p>
    <w:p>
      <w:pPr>
        <w:spacing w:after="0" w:line="240" w:lineRule="auto"/>
        <w:jc w:val="left"/>
        <w:sectPr>
          <w:pgSz w:w="11900" w:h="16840"/>
          <w:pgMar w:header="872" w:footer="957" w:top="1120" w:bottom="1180" w:left="980" w:right="980"/>
        </w:sectPr>
      </w:pPr>
    </w:p>
    <w:p>
      <w:pPr>
        <w:spacing w:line="240" w:lineRule="auto" w:before="3"/>
        <w:rPr>
          <w:rFonts w:ascii="宋体" w:hAnsi="宋体" w:cs="宋体" w:eastAsia="宋体" w:hint="default"/>
          <w:sz w:val="19"/>
          <w:szCs w:val="19"/>
        </w:rPr>
      </w:pPr>
    </w:p>
    <w:p>
      <w:pPr>
        <w:pStyle w:val="BodyText"/>
        <w:spacing w:line="355" w:lineRule="auto" w:before="36"/>
        <w:ind w:left="575" w:right="114" w:hanging="423"/>
        <w:jc w:val="left"/>
      </w:pPr>
      <w:r>
        <w:rPr/>
        <w:t>（一）董事会成员</w:t>
      </w:r>
      <w:r>
        <w:rPr>
          <w:spacing w:val="-101"/>
        </w:rPr>
        <w:t> </w:t>
      </w:r>
      <w:r>
        <w:rPr>
          <w:spacing w:val="-101"/>
        </w:rPr>
      </w:r>
      <w:r>
        <w:rPr>
          <w:spacing w:val="-2"/>
        </w:rPr>
        <w:t>1、陈泰泉：董事长。男，1963年2月出生，管理工程研究生。深圳市人民检察院特约检查员、民建广</w:t>
      </w:r>
    </w:p>
    <w:p>
      <w:pPr>
        <w:pStyle w:val="BodyText"/>
        <w:spacing w:line="355" w:lineRule="auto" w:before="32"/>
        <w:ind w:right="222"/>
        <w:jc w:val="both"/>
      </w:pPr>
      <w:r>
        <w:rPr>
          <w:spacing w:val="-2"/>
        </w:rPr>
        <w:t>东省委常委、民建深圳市委副主委、深圳市人大常委。历任新城友谊公司经理、宝安外轮商品供应公司总</w:t>
      </w:r>
      <w:r>
        <w:rPr>
          <w:spacing w:val="-35"/>
        </w:rPr>
        <w:t> </w:t>
      </w:r>
      <w:r>
        <w:rPr>
          <w:spacing w:val="-35"/>
        </w:rPr>
      </w:r>
      <w:r>
        <w:rPr>
          <w:spacing w:val="-2"/>
        </w:rPr>
        <w:t>经理、宝安集团总裁助理、副总裁，宝安集团第七届、第八届、第九届、第十届董事。现任中国宝安集团</w:t>
      </w:r>
      <w:r>
        <w:rPr>
          <w:spacing w:val="-41"/>
        </w:rPr>
        <w:t> </w:t>
      </w:r>
      <w:r>
        <w:rPr>
          <w:spacing w:val="-41"/>
        </w:rPr>
      </w:r>
      <w:r>
        <w:rPr/>
        <w:t>股份有限公司（以下简称“宝安集团”）董事局常务副主席兼执行总裁。</w:t>
      </w:r>
    </w:p>
    <w:p>
      <w:pPr>
        <w:pStyle w:val="BodyText"/>
        <w:spacing w:line="355" w:lineRule="auto" w:before="37"/>
        <w:ind w:right="222" w:firstLine="561"/>
        <w:jc w:val="both"/>
      </w:pPr>
      <w:r>
        <w:rPr>
          <w:spacing w:val="-2"/>
        </w:rPr>
        <w:t>2、颜金辉：副董事长。男，1954年1月出生，大专学历，经济师，中共党员。曾任本公司董事兼副</w:t>
      </w:r>
      <w:r>
        <w:rPr>
          <w:w w:val="100"/>
        </w:rPr>
        <w:t> </w:t>
      </w:r>
      <w:r>
        <w:rPr>
          <w:spacing w:val="-2"/>
        </w:rPr>
        <w:t>总裁，深圳市东鸿信投资发展有限公司董事。截止报告期末，兼任深圳市东鸿信投资发展有限公司法定代</w:t>
      </w:r>
      <w:r>
        <w:rPr>
          <w:spacing w:val="-36"/>
        </w:rPr>
        <w:t> </w:t>
      </w:r>
      <w:r>
        <w:rPr>
          <w:spacing w:val="-36"/>
        </w:rPr>
      </w:r>
      <w:r>
        <w:rPr/>
        <w:t>表人、董事长，深圳市新鸿泰投资发展有限公司法定代表人、董事长、总经理。</w:t>
      </w:r>
    </w:p>
    <w:p>
      <w:pPr>
        <w:pStyle w:val="BodyText"/>
        <w:spacing w:line="355" w:lineRule="auto" w:before="32"/>
        <w:ind w:right="222" w:firstLine="422"/>
        <w:jc w:val="both"/>
      </w:pPr>
      <w:r>
        <w:rPr>
          <w:spacing w:val="-2"/>
        </w:rPr>
        <w:t>3、周非：董事兼总经理、公司党委书记。女，1962年4月出生，大学本科学历，高级工程师，中共党</w:t>
      </w:r>
      <w:r>
        <w:rPr>
          <w:w w:val="100"/>
        </w:rPr>
        <w:t> </w:t>
      </w:r>
      <w:r>
        <w:rPr>
          <w:spacing w:val="-2"/>
        </w:rPr>
        <w:t>员。曾任宝安集团海南公司总经理助理、副总经理、常务副总经理，宝安集团地产开发部部长助理、副部</w:t>
      </w:r>
      <w:r>
        <w:rPr>
          <w:spacing w:val="-40"/>
        </w:rPr>
        <w:t> </w:t>
      </w:r>
      <w:r>
        <w:rPr>
          <w:spacing w:val="-40"/>
        </w:rPr>
      </w:r>
      <w:r>
        <w:rPr/>
        <w:t>长、规划设计总监等职务。</w:t>
      </w:r>
    </w:p>
    <w:p>
      <w:pPr>
        <w:pStyle w:val="BodyText"/>
        <w:spacing w:line="355" w:lineRule="auto" w:before="32"/>
        <w:ind w:right="198" w:firstLine="422"/>
        <w:jc w:val="both"/>
      </w:pPr>
      <w:r>
        <w:rPr>
          <w:spacing w:val="-2"/>
        </w:rPr>
        <w:t>4、高文清：董事。男，1953年4月出生，大专学历，经济师，中共党员。曾任本公司董事兼副总裁、</w:t>
      </w:r>
      <w:r>
        <w:rPr>
          <w:w w:val="100"/>
        </w:rPr>
        <w:t> </w:t>
      </w:r>
      <w:r>
        <w:rPr>
          <w:spacing w:val="-2"/>
        </w:rPr>
        <w:t>总裁，深圳市东鸿信投资发展有限公司监事。截止报告期末，兼任深圳市东鸿信投资发展有限公司董事、</w:t>
      </w:r>
      <w:r>
        <w:rPr>
          <w:spacing w:val="-16"/>
        </w:rPr>
        <w:t> </w:t>
      </w:r>
      <w:r>
        <w:rPr>
          <w:spacing w:val="-16"/>
        </w:rPr>
      </w:r>
      <w:r>
        <w:rPr/>
        <w:t>深圳市新鸿泰投资发展有限公司董事。</w:t>
      </w:r>
    </w:p>
    <w:p>
      <w:pPr>
        <w:pStyle w:val="BodyText"/>
        <w:spacing w:line="355" w:lineRule="auto" w:before="37"/>
        <w:ind w:right="222" w:firstLine="422"/>
        <w:jc w:val="both"/>
      </w:pPr>
      <w:r>
        <w:rPr>
          <w:spacing w:val="-2"/>
        </w:rPr>
        <w:t>5、罗伟光：董事兼副总经理。男，1954年3月出生，大专学历，经济师，中共党员。曾任本公司总经</w:t>
      </w:r>
      <w:r>
        <w:rPr>
          <w:w w:val="100"/>
        </w:rPr>
        <w:t> </w:t>
      </w:r>
      <w:r>
        <w:rPr>
          <w:spacing w:val="-2"/>
        </w:rPr>
        <w:t>理助理、董事、副总裁等职务。截止报告期末兼任深圳市东鸿信投资发展有限公司董事，深圳市新鸿泰投</w:t>
      </w:r>
      <w:r>
        <w:rPr>
          <w:spacing w:val="-37"/>
        </w:rPr>
        <w:t> </w:t>
      </w:r>
      <w:r>
        <w:rPr>
          <w:spacing w:val="-37"/>
        </w:rPr>
      </w:r>
      <w:r>
        <w:rPr/>
        <w:t>资发展有限公司董事。</w:t>
      </w:r>
    </w:p>
    <w:p>
      <w:pPr>
        <w:pStyle w:val="BodyText"/>
        <w:spacing w:line="355" w:lineRule="auto" w:before="32"/>
        <w:ind w:right="114" w:firstLine="422"/>
        <w:jc w:val="left"/>
      </w:pPr>
      <w:r>
        <w:rPr/>
        <w:t>6、陈匡国，董事。男，1984年出生。2001年8月－2006年6月期间分别在英国剑桥贝尔语言学校、剑</w:t>
      </w:r>
      <w:r>
        <w:rPr>
          <w:w w:val="100"/>
        </w:rPr>
        <w:t> </w:t>
      </w:r>
      <w:r>
        <w:rPr>
          <w:spacing w:val="-2"/>
        </w:rPr>
        <w:t>桥MPW学校和ALEVEL、剑桥艺术与科学学院、英国创艺大学读书。2006年7月加入宝安集团，曾任唐人药业</w:t>
      </w:r>
      <w:r>
        <w:rPr>
          <w:spacing w:val="-26"/>
        </w:rPr>
        <w:t> </w:t>
      </w:r>
      <w:r>
        <w:rPr>
          <w:spacing w:val="-26"/>
        </w:rPr>
      </w:r>
      <w:r>
        <w:rPr/>
        <w:t>有限公司高级项目经理，现任宝安集团第十一届董事局董事，宝安集团金融投资部常务副总经理。</w:t>
      </w:r>
    </w:p>
    <w:p>
      <w:pPr>
        <w:pStyle w:val="BodyText"/>
        <w:spacing w:line="355" w:lineRule="auto" w:before="32"/>
        <w:ind w:right="114" w:firstLine="422"/>
        <w:jc w:val="left"/>
      </w:pPr>
      <w:r>
        <w:rPr>
          <w:spacing w:val="-2"/>
        </w:rPr>
        <w:t>7、张育新：董事。男，1950年12月出生，研究生学历，高级政工师，中共党员。曾任中山大学教师、</w:t>
      </w:r>
      <w:r>
        <w:rPr>
          <w:w w:val="100"/>
        </w:rPr>
        <w:t> </w:t>
      </w:r>
      <w:r>
        <w:rPr/>
        <w:t>深圳大学人事处副处长、深圳市委组织部办公室副主任、调研处处长、宝安集团办公室主任、人力资源总</w:t>
      </w:r>
      <w:r>
        <w:rPr>
          <w:w w:val="100"/>
        </w:rPr>
        <w:t> </w:t>
      </w:r>
      <w:r>
        <w:rPr/>
        <w:t>监、本公司第六届监事会监事等职务。现任宝安集团监事。</w:t>
      </w:r>
    </w:p>
    <w:p>
      <w:pPr>
        <w:pStyle w:val="BodyText"/>
        <w:spacing w:line="357" w:lineRule="auto" w:before="32"/>
        <w:ind w:right="222" w:firstLine="422"/>
        <w:jc w:val="both"/>
      </w:pPr>
      <w:r>
        <w:rPr>
          <w:spacing w:val="-2"/>
        </w:rPr>
        <w:t>8、徐志新：独立董事。男，1969年7月出生，本科学历，中国政法大学国际法研究生课程班结业，中</w:t>
      </w:r>
      <w:r>
        <w:rPr>
          <w:w w:val="100"/>
        </w:rPr>
        <w:t> </w:t>
      </w:r>
      <w:r>
        <w:rPr>
          <w:spacing w:val="-2"/>
        </w:rPr>
        <w:t>共党员。曾任湖北省黄冈市罗田县第二律师事务所副主任、公证处主任、司法局副局长、法律援助中心律</w:t>
      </w:r>
      <w:r>
        <w:rPr>
          <w:spacing w:val="-36"/>
        </w:rPr>
        <w:t> </w:t>
      </w:r>
      <w:r>
        <w:rPr>
          <w:spacing w:val="-36"/>
        </w:rPr>
      </w:r>
      <w:r>
        <w:rPr/>
        <w:t>师，广东中安律师事务所合伙人等职务。2008年5月起任北京市地平线律师事务所合伙人。</w:t>
      </w:r>
    </w:p>
    <w:p>
      <w:pPr>
        <w:pStyle w:val="BodyText"/>
        <w:spacing w:line="355" w:lineRule="auto" w:before="30"/>
        <w:ind w:right="222" w:firstLine="422"/>
        <w:jc w:val="both"/>
      </w:pPr>
      <w:r>
        <w:rPr>
          <w:spacing w:val="-2"/>
        </w:rPr>
        <w:t>9、陈伟强：独立董事。男，1962年9月出生，研究生学历，中国民主建国会会员。曾任河南省开封第</w:t>
      </w:r>
      <w:r>
        <w:rPr>
          <w:w w:val="100"/>
        </w:rPr>
        <w:t> </w:t>
      </w:r>
      <w:r>
        <w:rPr/>
        <w:t>一律师事务所律师、深圳市宝安律师所律师。1997年起任广东深天正律师事务所合伙人、主任。</w:t>
      </w:r>
    </w:p>
    <w:p>
      <w:pPr>
        <w:pStyle w:val="BodyText"/>
        <w:spacing w:line="355" w:lineRule="auto" w:before="32"/>
        <w:ind w:right="114" w:firstLine="422"/>
        <w:jc w:val="left"/>
      </w:pPr>
      <w:r>
        <w:rPr/>
        <w:t>10、梁发贤，独立董事。男，1961年2月出生，本科学历，注册会计师，中共党员。曾任广东省大旺</w:t>
      </w:r>
      <w:r>
        <w:rPr>
          <w:w w:val="100"/>
        </w:rPr>
        <w:t> </w:t>
      </w:r>
      <w:r>
        <w:rPr>
          <w:spacing w:val="-2"/>
        </w:rPr>
        <w:t>集装箱厂计财科出纳、主办会计；深圳市宝安县审计局、宝安会计师事务所审计员和项目负责人；龙岗区</w:t>
      </w:r>
      <w:r>
        <w:rPr>
          <w:spacing w:val="-36"/>
        </w:rPr>
        <w:t> </w:t>
      </w:r>
      <w:r>
        <w:rPr>
          <w:spacing w:val="-36"/>
        </w:rPr>
      </w:r>
      <w:r>
        <w:rPr/>
        <w:t>审计局副科长、科长；龙岗会计师事务所所长。1998年1月起任深圳市宝龙会计师事务所有限公司首席合</w:t>
      </w:r>
      <w:r>
        <w:rPr>
          <w:w w:val="100"/>
        </w:rPr>
        <w:t> </w:t>
      </w:r>
      <w:r>
        <w:rPr/>
        <w:t>伙人、所长。</w:t>
      </w:r>
    </w:p>
    <w:p>
      <w:pPr>
        <w:pStyle w:val="BodyText"/>
        <w:spacing w:line="360" w:lineRule="auto" w:before="32"/>
        <w:ind w:right="114" w:firstLine="422"/>
        <w:jc w:val="left"/>
      </w:pPr>
      <w:r>
        <w:rPr>
          <w:spacing w:val="-2"/>
        </w:rPr>
        <w:t>11、邓远帆，独立董事。男，1965年5月出生，本科学历，律师，中共党员。曾任紫金县司法局文员、</w:t>
      </w:r>
      <w:r>
        <w:rPr>
          <w:w w:val="100"/>
        </w:rPr>
        <w:t> </w:t>
      </w:r>
      <w:r>
        <w:rPr>
          <w:spacing w:val="-2"/>
        </w:rPr>
        <w:t>福田区纪委监察局科员、宝安集团股份科长、纪委委员、监事；广东益商律师事务所律师；广东君道律师</w:t>
      </w:r>
    </w:p>
    <w:p>
      <w:pPr>
        <w:spacing w:after="0" w:line="360" w:lineRule="auto"/>
        <w:jc w:val="left"/>
        <w:sectPr>
          <w:pgSz w:w="11900" w:h="16840"/>
          <w:pgMar w:header="872" w:footer="957" w:top="1120" w:bottom="1180" w:left="980" w:right="900"/>
        </w:sectPr>
      </w:pPr>
    </w:p>
    <w:p>
      <w:pPr>
        <w:spacing w:line="240" w:lineRule="auto" w:before="3"/>
        <w:rPr>
          <w:rFonts w:ascii="宋体" w:hAnsi="宋体" w:cs="宋体" w:eastAsia="宋体" w:hint="default"/>
          <w:sz w:val="19"/>
          <w:szCs w:val="19"/>
        </w:rPr>
      </w:pPr>
    </w:p>
    <w:p>
      <w:pPr>
        <w:pStyle w:val="BodyText"/>
        <w:spacing w:line="355" w:lineRule="auto" w:before="36"/>
        <w:ind w:right="114"/>
        <w:jc w:val="left"/>
      </w:pPr>
      <w:r>
        <w:rPr>
          <w:spacing w:val="-2"/>
        </w:rPr>
        <w:t>事务所律师；2007年1月至2011年6月，任广东圣方律师事务所合伙人、律师；2011年7月至今，任上海市</w:t>
      </w:r>
      <w:r>
        <w:rPr>
          <w:spacing w:val="-3"/>
        </w:rPr>
        <w:t> </w:t>
      </w:r>
      <w:r>
        <w:rPr>
          <w:spacing w:val="-3"/>
        </w:rPr>
      </w:r>
      <w:r>
        <w:rPr/>
        <w:t>锦天城（深圳）律师事务所高级合伙人、律师。</w:t>
      </w:r>
    </w:p>
    <w:p>
      <w:pPr>
        <w:spacing w:line="240" w:lineRule="auto" w:before="0"/>
        <w:rPr>
          <w:rFonts w:ascii="宋体" w:hAnsi="宋体" w:cs="宋体" w:eastAsia="宋体" w:hint="default"/>
          <w:sz w:val="20"/>
          <w:szCs w:val="20"/>
        </w:rPr>
      </w:pPr>
    </w:p>
    <w:p>
      <w:pPr>
        <w:pStyle w:val="BodyText"/>
        <w:spacing w:line="355" w:lineRule="auto" w:before="178"/>
        <w:ind w:left="575" w:right="114" w:hanging="423"/>
        <w:jc w:val="left"/>
      </w:pPr>
      <w:r>
        <w:rPr/>
        <w:t>（二）监事会成员</w:t>
      </w:r>
      <w:r>
        <w:rPr>
          <w:spacing w:val="-101"/>
        </w:rPr>
        <w:t> </w:t>
      </w:r>
      <w:r>
        <w:rPr>
          <w:spacing w:val="-101"/>
        </w:rPr>
      </w:r>
      <w:r>
        <w:rPr>
          <w:spacing w:val="-2"/>
        </w:rPr>
        <w:t>1、骆文明，监事会主席。男，1964年1月出生，大专学历，审计师，中共党员。曾任广东省龙川县供</w:t>
      </w:r>
    </w:p>
    <w:p>
      <w:pPr>
        <w:pStyle w:val="BodyText"/>
        <w:spacing w:line="355" w:lineRule="auto" w:before="37"/>
        <w:ind w:left="575" w:right="114" w:hanging="423"/>
        <w:jc w:val="left"/>
      </w:pPr>
      <w:r>
        <w:rPr/>
        <w:t>销社主任会计，宝安集团监察审计部部长、计划财务部部长、成本管理部部长；现任宝安集团审计长。</w:t>
      </w:r>
      <w:r>
        <w:rPr>
          <w:w w:val="100"/>
        </w:rPr>
        <w:t> </w:t>
      </w:r>
      <w:r>
        <w:rPr>
          <w:spacing w:val="-2"/>
        </w:rPr>
        <w:t>2、尤明天：监事，公司党委副书记。男，1958年2月出生，高级政工师，中共党员。曾任公司人事部</w:t>
      </w:r>
    </w:p>
    <w:p>
      <w:pPr>
        <w:pStyle w:val="BodyText"/>
        <w:spacing w:line="355" w:lineRule="auto" w:before="32"/>
        <w:ind w:right="114"/>
        <w:jc w:val="left"/>
      </w:pPr>
      <w:r>
        <w:rPr>
          <w:spacing w:val="-2"/>
        </w:rPr>
        <w:t>经理、监事会主席，党委副书记、纪检书记、工会主席，深圳市东鸿信投资发展有限公司董事长、总经理</w:t>
      </w:r>
      <w:r>
        <w:rPr>
          <w:spacing w:val="-36"/>
        </w:rPr>
        <w:t> </w:t>
      </w:r>
      <w:r>
        <w:rPr>
          <w:spacing w:val="-36"/>
        </w:rPr>
      </w:r>
      <w:r>
        <w:rPr/>
        <w:t>等职务。现兼任福建东南广播电视网络有限公司董事。</w:t>
      </w:r>
    </w:p>
    <w:p>
      <w:pPr>
        <w:pStyle w:val="BodyText"/>
        <w:spacing w:line="355" w:lineRule="auto" w:before="32"/>
        <w:ind w:right="226" w:firstLine="436"/>
        <w:jc w:val="both"/>
      </w:pPr>
      <w:r>
        <w:rPr/>
        <w:t>3、陈昌华：监事。男，1951年10月出生，研究生学历，高级政工师，中共党员。曾任洛阳市教育学</w:t>
      </w:r>
      <w:r>
        <w:rPr>
          <w:w w:val="100"/>
        </w:rPr>
        <w:t> </w:t>
      </w:r>
      <w:r>
        <w:rPr>
          <w:spacing w:val="-2"/>
        </w:rPr>
        <w:t>院团委负责人，洛阳市委宣传部文教科科长，洛阳市文联副主席，宝安集团宣传部副部长、部长，品牌部</w:t>
      </w:r>
      <w:r>
        <w:rPr>
          <w:spacing w:val="-41"/>
        </w:rPr>
        <w:t> </w:t>
      </w:r>
      <w:r>
        <w:rPr>
          <w:spacing w:val="-41"/>
        </w:rPr>
      </w:r>
      <w:r>
        <w:rPr/>
        <w:t>部长，办公室常务副主任等职务；现任深圳市唐人文化传播有限公司总经理。</w:t>
      </w:r>
    </w:p>
    <w:p>
      <w:pPr>
        <w:spacing w:line="240" w:lineRule="auto" w:before="0"/>
        <w:rPr>
          <w:rFonts w:ascii="宋体" w:hAnsi="宋体" w:cs="宋体" w:eastAsia="宋体" w:hint="default"/>
          <w:sz w:val="20"/>
          <w:szCs w:val="20"/>
        </w:rPr>
      </w:pPr>
    </w:p>
    <w:p>
      <w:pPr>
        <w:pStyle w:val="BodyText"/>
        <w:spacing w:line="360" w:lineRule="auto" w:before="178"/>
        <w:ind w:left="575" w:right="5362" w:hanging="423"/>
        <w:jc w:val="left"/>
      </w:pPr>
      <w:r>
        <w:rPr/>
        <w:t>（三）其他高级管理人员</w:t>
      </w:r>
      <w:r>
        <w:rPr>
          <w:spacing w:val="-103"/>
        </w:rPr>
        <w:t> </w:t>
      </w:r>
      <w:r>
        <w:rPr>
          <w:spacing w:val="-103"/>
        </w:rPr>
      </w:r>
      <w:r>
        <w:rPr>
          <w:spacing w:val="-1"/>
        </w:rPr>
        <w:t>1、罗伟光：见前述董事会成员简历。</w:t>
      </w:r>
    </w:p>
    <w:p>
      <w:pPr>
        <w:pStyle w:val="BodyText"/>
        <w:spacing w:line="355" w:lineRule="auto" w:before="28"/>
        <w:ind w:right="222" w:firstLine="422"/>
        <w:jc w:val="both"/>
      </w:pPr>
      <w:r>
        <w:rPr>
          <w:spacing w:val="-2"/>
        </w:rPr>
        <w:t>2、陈汉忠：副总经理。男，1953年4月出生，本科学历，工程师，中国民主建国会会员。曾任宝安集</w:t>
      </w:r>
      <w:r>
        <w:rPr>
          <w:w w:val="100"/>
        </w:rPr>
        <w:t> </w:t>
      </w:r>
      <w:r>
        <w:rPr/>
        <w:t>团农牧水产公司经理、深圳兴达实业公司副总经理、深圳外轮供应公司副总经理等职务。</w:t>
      </w:r>
    </w:p>
    <w:p>
      <w:pPr>
        <w:pStyle w:val="BodyText"/>
        <w:spacing w:line="355" w:lineRule="auto" w:before="32"/>
        <w:ind w:right="114" w:firstLine="422"/>
        <w:jc w:val="left"/>
      </w:pPr>
      <w:r>
        <w:rPr>
          <w:spacing w:val="-2"/>
        </w:rPr>
        <w:t>3、沈蜀江：副总经理兼董事会秘书，董事会办公室主任。女，1971年10月出生，本科学历，经济师，</w:t>
      </w:r>
      <w:r>
        <w:rPr>
          <w:w w:val="100"/>
        </w:rPr>
        <w:t> </w:t>
      </w:r>
      <w:r>
        <w:rPr/>
        <w:t>中共党员。曾任公司总经理办公室秘书、董事局办公室副主任、证券事务代表。</w:t>
      </w:r>
    </w:p>
    <w:p>
      <w:pPr>
        <w:pStyle w:val="BodyText"/>
        <w:spacing w:line="355" w:lineRule="auto" w:before="32"/>
        <w:ind w:right="222" w:firstLine="422"/>
        <w:jc w:val="both"/>
      </w:pPr>
      <w:r>
        <w:rPr>
          <w:spacing w:val="-2"/>
        </w:rPr>
        <w:t>4、钟民：财务总监兼财务经理。男，1968年6月出生，大专学历，会计师。曾任深圳恒安房地产开发</w:t>
      </w:r>
      <w:r>
        <w:rPr>
          <w:w w:val="100"/>
        </w:rPr>
        <w:t> </w:t>
      </w:r>
      <w:r>
        <w:rPr/>
        <w:t>公司会计、宝安集团海南公司会计、财务部长等职务。</w:t>
      </w:r>
    </w:p>
    <w:p>
      <w:pPr>
        <w:spacing w:line="240" w:lineRule="auto" w:before="2"/>
        <w:rPr>
          <w:rFonts w:ascii="宋体" w:hAnsi="宋体" w:cs="宋体" w:eastAsia="宋体" w:hint="default"/>
          <w:sz w:val="21"/>
          <w:szCs w:val="21"/>
        </w:rPr>
      </w:pPr>
    </w:p>
    <w:p>
      <w:pPr>
        <w:pStyle w:val="BodyText"/>
        <w:spacing w:line="240" w:lineRule="auto"/>
        <w:ind w:right="114"/>
        <w:jc w:val="left"/>
      </w:pPr>
      <w:r>
        <w:rPr/>
        <w:t>在股东单位任职情况</w:t>
      </w:r>
    </w:p>
    <w:p>
      <w:pPr>
        <w:pStyle w:val="BodyText"/>
        <w:spacing w:line="240" w:lineRule="auto" w:before="133"/>
        <w:ind w:right="114"/>
        <w:jc w:val="left"/>
      </w:pPr>
      <w:r>
        <w:rPr/>
        <w:t>√ 适用 □</w:t>
      </w:r>
      <w:r>
        <w:rPr>
          <w:spacing w:val="3"/>
        </w:rPr>
        <w:t> </w:t>
      </w:r>
      <w:r>
        <w:rPr/>
        <w:t>不适用</w:t>
      </w:r>
    </w:p>
    <w:p>
      <w:pPr>
        <w:spacing w:line="240" w:lineRule="auto" w:before="10"/>
        <w:rPr>
          <w:rFonts w:ascii="宋体" w:hAnsi="宋体" w:cs="宋体" w:eastAsia="宋体"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00"/>
        <w:gridCol w:w="3192"/>
        <w:gridCol w:w="1061"/>
        <w:gridCol w:w="1195"/>
        <w:gridCol w:w="1334"/>
        <w:gridCol w:w="1584"/>
      </w:tblGrid>
      <w:tr>
        <w:trPr>
          <w:trHeight w:val="826"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489" w:right="60" w:hanging="418"/>
              <w:jc w:val="left"/>
              <w:rPr>
                <w:rFonts w:ascii="宋体" w:hAnsi="宋体" w:cs="宋体" w:eastAsia="宋体" w:hint="default"/>
                <w:sz w:val="21"/>
                <w:szCs w:val="21"/>
              </w:rPr>
            </w:pPr>
            <w:r>
              <w:rPr>
                <w:rFonts w:ascii="宋体" w:hAnsi="宋体" w:cs="宋体" w:eastAsia="宋体" w:hint="default"/>
                <w:sz w:val="21"/>
                <w:szCs w:val="21"/>
              </w:rPr>
              <w:t>任职人员姓</w:t>
            </w:r>
            <w:r>
              <w:rPr>
                <w:rFonts w:ascii="宋体" w:hAnsi="宋体" w:cs="宋体" w:eastAsia="宋体" w:hint="default"/>
                <w:spacing w:val="-100"/>
                <w:sz w:val="21"/>
                <w:szCs w:val="21"/>
              </w:rPr>
              <w:t> </w:t>
            </w:r>
            <w:r>
              <w:rPr>
                <w:rFonts w:ascii="宋体" w:hAnsi="宋体" w:cs="宋体" w:eastAsia="宋体" w:hint="default"/>
                <w:sz w:val="21"/>
                <w:szCs w:val="21"/>
              </w:rPr>
              <w:t>名</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959" w:right="0"/>
              <w:jc w:val="left"/>
              <w:rPr>
                <w:rFonts w:ascii="宋体" w:hAnsi="宋体" w:cs="宋体" w:eastAsia="宋体" w:hint="default"/>
                <w:sz w:val="21"/>
                <w:szCs w:val="21"/>
              </w:rPr>
            </w:pPr>
            <w:r>
              <w:rPr>
                <w:rFonts w:ascii="宋体" w:hAnsi="宋体" w:cs="宋体" w:eastAsia="宋体" w:hint="default"/>
                <w:sz w:val="21"/>
                <w:szCs w:val="21"/>
              </w:rPr>
              <w:t>股东单位名称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在股东单</w:t>
            </w:r>
          </w:p>
          <w:p>
            <w:pPr>
              <w:pStyle w:val="TableParagraph"/>
              <w:spacing w:line="268" w:lineRule="exact" w:before="30"/>
              <w:ind w:left="311" w:right="103" w:hanging="212"/>
              <w:jc w:val="left"/>
              <w:rPr>
                <w:rFonts w:ascii="宋体" w:hAnsi="宋体" w:cs="宋体" w:eastAsia="宋体" w:hint="default"/>
                <w:sz w:val="21"/>
                <w:szCs w:val="21"/>
              </w:rPr>
            </w:pPr>
            <w:r>
              <w:rPr>
                <w:rFonts w:ascii="宋体" w:hAnsi="宋体" w:cs="宋体" w:eastAsia="宋体" w:hint="default"/>
                <w:sz w:val="21"/>
                <w:szCs w:val="21"/>
              </w:rPr>
              <w:t>位担任的</w:t>
            </w:r>
            <w:r>
              <w:rPr>
                <w:rFonts w:ascii="宋体" w:hAnsi="宋体" w:cs="宋体" w:eastAsia="宋体" w:hint="default"/>
                <w:spacing w:val="-101"/>
                <w:sz w:val="21"/>
                <w:szCs w:val="21"/>
              </w:rPr>
              <w:t> </w:t>
            </w:r>
            <w:r>
              <w:rPr>
                <w:rFonts w:ascii="宋体" w:hAnsi="宋体" w:cs="宋体" w:eastAsia="宋体" w:hint="default"/>
                <w:sz w:val="21"/>
                <w:szCs w:val="21"/>
              </w:rPr>
              <w:t>职务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489" w:right="60" w:hanging="423"/>
              <w:jc w:val="left"/>
              <w:rPr>
                <w:rFonts w:ascii="宋体" w:hAnsi="宋体" w:cs="宋体" w:eastAsia="宋体" w:hint="default"/>
                <w:sz w:val="21"/>
                <w:szCs w:val="21"/>
              </w:rPr>
            </w:pPr>
            <w:r>
              <w:rPr>
                <w:rFonts w:ascii="宋体" w:hAnsi="宋体" w:cs="宋体" w:eastAsia="宋体" w:hint="default"/>
                <w:sz w:val="21"/>
                <w:szCs w:val="21"/>
              </w:rPr>
              <w:t>任期起始日</w:t>
            </w:r>
            <w:r>
              <w:rPr>
                <w:rFonts w:ascii="宋体" w:hAnsi="宋体" w:cs="宋体" w:eastAsia="宋体" w:hint="default"/>
                <w:spacing w:val="-100"/>
                <w:sz w:val="21"/>
                <w:szCs w:val="21"/>
              </w:rPr>
              <w:t> </w:t>
            </w:r>
            <w:r>
              <w:rPr>
                <w:rFonts w:ascii="宋体" w:hAnsi="宋体" w:cs="宋体" w:eastAsia="宋体" w:hint="default"/>
                <w:sz w:val="21"/>
                <w:szCs w:val="21"/>
              </w:rPr>
              <w:t>期</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5"/>
              <w:ind w:left="153" w:right="50" w:hanging="106"/>
              <w:jc w:val="left"/>
              <w:rPr>
                <w:rFonts w:ascii="宋体" w:hAnsi="宋体" w:cs="宋体" w:eastAsia="宋体" w:hint="default"/>
                <w:sz w:val="21"/>
                <w:szCs w:val="21"/>
              </w:rPr>
            </w:pPr>
            <w:r>
              <w:rPr>
                <w:rFonts w:ascii="宋体" w:hAnsi="宋体" w:cs="宋体" w:eastAsia="宋体" w:hint="default"/>
                <w:sz w:val="21"/>
                <w:szCs w:val="21"/>
              </w:rPr>
              <w:t>在股东单位是否</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领取报酬津贴</w:t>
            </w:r>
          </w:p>
        </w:tc>
      </w:tr>
      <w:tr>
        <w:trPr>
          <w:trHeight w:val="557"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颜金辉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深圳市东鸿信投资发展有限公司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9" w:right="0"/>
              <w:jc w:val="left"/>
              <w:rPr>
                <w:rFonts w:ascii="宋体" w:hAnsi="宋体" w:cs="宋体" w:eastAsia="宋体" w:hint="default"/>
                <w:sz w:val="21"/>
                <w:szCs w:val="21"/>
              </w:rPr>
            </w:pPr>
            <w:r>
              <w:rPr>
                <w:rFonts w:ascii="宋体" w:hAnsi="宋体" w:cs="宋体" w:eastAsia="宋体" w:hint="default"/>
                <w:sz w:val="21"/>
                <w:szCs w:val="21"/>
              </w:rPr>
              <w:t>法定代表</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spacing w:val="-9"/>
                <w:sz w:val="21"/>
                <w:szCs w:val="21"/>
              </w:rPr>
              <w:t>人、董事长</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高文清</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深圳市东鸿信投资发展有限公司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7"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罗伟光</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深圳市东鸿信投资发展有限公司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5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骆文明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中国宝安集团控股有限公司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02</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9" w:right="0"/>
              <w:jc w:val="lef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40" w:lineRule="auto"/>
        <w:jc w:val="left"/>
        <w:rPr>
          <w:rFonts w:ascii="宋体" w:hAnsi="宋体" w:cs="宋体" w:eastAsia="宋体" w:hint="default"/>
          <w:sz w:val="21"/>
          <w:szCs w:val="21"/>
        </w:rPr>
        <w:sectPr>
          <w:pgSz w:w="11900" w:h="16840"/>
          <w:pgMar w:header="872" w:footer="957" w:top="1120" w:bottom="1180" w:left="980" w:right="900"/>
        </w:sectPr>
      </w:pPr>
    </w:p>
    <w:p>
      <w:pPr>
        <w:spacing w:line="240" w:lineRule="auto" w:before="3"/>
        <w:rPr>
          <w:rFonts w:ascii="宋体" w:hAnsi="宋体" w:cs="宋体" w:eastAsia="宋体" w:hint="default"/>
          <w:sz w:val="19"/>
          <w:szCs w:val="19"/>
        </w:rPr>
      </w:pPr>
    </w:p>
    <w:p>
      <w:pPr>
        <w:pStyle w:val="BodyText"/>
        <w:spacing w:line="240" w:lineRule="auto" w:before="36"/>
        <w:ind w:right="0"/>
        <w:jc w:val="left"/>
      </w:pPr>
      <w:r>
        <w:rPr/>
        <w:t>在其他单位任职情况</w:t>
      </w:r>
    </w:p>
    <w:p>
      <w:pPr>
        <w:pStyle w:val="BodyText"/>
        <w:spacing w:line="240" w:lineRule="auto" w:before="133"/>
        <w:ind w:right="0"/>
        <w:jc w:val="left"/>
      </w:pPr>
      <w:r>
        <w:rPr/>
        <w:t>√ 适用 □</w:t>
      </w:r>
      <w:r>
        <w:rPr>
          <w:spacing w:val="3"/>
        </w:rPr>
        <w:t> </w:t>
      </w:r>
      <w:r>
        <w:rPr/>
        <w:t>不适用</w:t>
      </w:r>
    </w:p>
    <w:p>
      <w:pPr>
        <w:spacing w:line="240" w:lineRule="auto" w:before="10"/>
        <w:rPr>
          <w:rFonts w:ascii="宋体" w:hAnsi="宋体" w:cs="宋体" w:eastAsia="宋体"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195"/>
        <w:gridCol w:w="3182"/>
        <w:gridCol w:w="1061"/>
        <w:gridCol w:w="1190"/>
        <w:gridCol w:w="1320"/>
        <w:gridCol w:w="1589"/>
      </w:tblGrid>
      <w:tr>
        <w:trPr>
          <w:trHeight w:val="917" w:hRule="exact"/>
        </w:trPr>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3"/>
              <w:ind w:left="24" w:right="103"/>
              <w:jc w:val="left"/>
              <w:rPr>
                <w:rFonts w:ascii="宋体" w:hAnsi="宋体" w:cs="宋体" w:eastAsia="宋体" w:hint="default"/>
                <w:sz w:val="21"/>
                <w:szCs w:val="21"/>
              </w:rPr>
            </w:pPr>
            <w:r>
              <w:rPr>
                <w:rFonts w:ascii="宋体" w:hAnsi="宋体" w:cs="宋体" w:eastAsia="宋体" w:hint="default"/>
                <w:sz w:val="21"/>
                <w:szCs w:val="21"/>
              </w:rPr>
              <w:t>任职人员姓</w:t>
            </w:r>
            <w:r>
              <w:rPr>
                <w:rFonts w:ascii="宋体" w:hAnsi="宋体" w:cs="宋体" w:eastAsia="宋体" w:hint="default"/>
                <w:spacing w:val="-100"/>
                <w:sz w:val="21"/>
                <w:szCs w:val="21"/>
              </w:rPr>
              <w:t> </w:t>
            </w:r>
            <w:r>
              <w:rPr>
                <w:rFonts w:ascii="宋体" w:hAnsi="宋体" w:cs="宋体" w:eastAsia="宋体" w:hint="default"/>
                <w:sz w:val="21"/>
                <w:szCs w:val="21"/>
              </w:rPr>
              <w:t>名</w:t>
            </w:r>
          </w:p>
        </w:tc>
        <w:tc>
          <w:tcPr>
            <w:tcW w:w="3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955" w:right="0"/>
              <w:jc w:val="left"/>
              <w:rPr>
                <w:rFonts w:ascii="宋体" w:hAnsi="宋体" w:cs="宋体" w:eastAsia="宋体" w:hint="default"/>
                <w:sz w:val="21"/>
                <w:szCs w:val="21"/>
              </w:rPr>
            </w:pPr>
            <w:r>
              <w:rPr>
                <w:rFonts w:ascii="宋体" w:hAnsi="宋体" w:cs="宋体" w:eastAsia="宋体" w:hint="default"/>
                <w:sz w:val="21"/>
                <w:szCs w:val="21"/>
              </w:rPr>
              <w:t>其他单位名称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left="105" w:right="98"/>
              <w:jc w:val="center"/>
              <w:rPr>
                <w:rFonts w:ascii="宋体" w:hAnsi="宋体" w:cs="宋体" w:eastAsia="宋体" w:hint="default"/>
                <w:sz w:val="21"/>
                <w:szCs w:val="21"/>
              </w:rPr>
            </w:pPr>
            <w:r>
              <w:rPr>
                <w:rFonts w:ascii="宋体" w:hAnsi="宋体" w:cs="宋体" w:eastAsia="宋体" w:hint="default"/>
                <w:sz w:val="21"/>
                <w:szCs w:val="21"/>
              </w:rPr>
              <w:t>在其他单</w:t>
            </w:r>
            <w:r>
              <w:rPr>
                <w:rFonts w:ascii="宋体" w:hAnsi="宋体" w:cs="宋体" w:eastAsia="宋体" w:hint="default"/>
                <w:w w:val="100"/>
                <w:sz w:val="21"/>
                <w:szCs w:val="21"/>
              </w:rPr>
              <w:t> </w:t>
            </w:r>
            <w:r>
              <w:rPr>
                <w:rFonts w:ascii="宋体" w:hAnsi="宋体" w:cs="宋体" w:eastAsia="宋体" w:hint="default"/>
                <w:sz w:val="21"/>
                <w:szCs w:val="21"/>
              </w:rPr>
              <w:t>位担任的</w:t>
            </w:r>
            <w:r>
              <w:rPr>
                <w:rFonts w:ascii="宋体" w:hAnsi="宋体" w:cs="宋体" w:eastAsia="宋体" w:hint="default"/>
                <w:w w:val="100"/>
                <w:sz w:val="21"/>
                <w:szCs w:val="21"/>
              </w:rPr>
              <w:t> </w:t>
            </w:r>
            <w:r>
              <w:rPr>
                <w:rFonts w:ascii="宋体" w:hAnsi="宋体" w:cs="宋体" w:eastAsia="宋体" w:hint="default"/>
                <w:sz w:val="21"/>
                <w:szCs w:val="21"/>
              </w:rPr>
              <w:t>职务</w:t>
            </w:r>
          </w:p>
        </w:tc>
        <w:tc>
          <w:tcPr>
            <w:tcW w:w="1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3"/>
              <w:ind w:left="484" w:right="55" w:hanging="418"/>
              <w:jc w:val="left"/>
              <w:rPr>
                <w:rFonts w:ascii="宋体" w:hAnsi="宋体" w:cs="宋体" w:eastAsia="宋体" w:hint="default"/>
                <w:sz w:val="21"/>
                <w:szCs w:val="21"/>
              </w:rPr>
            </w:pPr>
            <w:r>
              <w:rPr>
                <w:rFonts w:ascii="宋体" w:hAnsi="宋体" w:cs="宋体" w:eastAsia="宋体" w:hint="default"/>
                <w:sz w:val="21"/>
                <w:szCs w:val="21"/>
              </w:rPr>
              <w:t>任期起始日</w:t>
            </w:r>
            <w:r>
              <w:rPr>
                <w:rFonts w:ascii="宋体" w:hAnsi="宋体" w:cs="宋体" w:eastAsia="宋体" w:hint="default"/>
                <w:spacing w:val="-100"/>
                <w:sz w:val="21"/>
                <w:szCs w:val="21"/>
              </w:rPr>
              <w:t> </w:t>
            </w:r>
            <w:r>
              <w:rPr>
                <w:rFonts w:ascii="宋体" w:hAnsi="宋体" w:cs="宋体" w:eastAsia="宋体" w:hint="default"/>
                <w:sz w:val="21"/>
                <w:szCs w:val="21"/>
              </w:rPr>
              <w:t>期</w:t>
            </w:r>
          </w:p>
        </w:tc>
        <w:tc>
          <w:tcPr>
            <w:tcW w:w="13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5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3"/>
              <w:ind w:left="158" w:right="50" w:hanging="106"/>
              <w:jc w:val="left"/>
              <w:rPr>
                <w:rFonts w:ascii="宋体" w:hAnsi="宋体" w:cs="宋体" w:eastAsia="宋体" w:hint="default"/>
                <w:sz w:val="21"/>
                <w:szCs w:val="21"/>
              </w:rPr>
            </w:pPr>
            <w:r>
              <w:rPr>
                <w:rFonts w:ascii="宋体" w:hAnsi="宋体" w:cs="宋体" w:eastAsia="宋体" w:hint="default"/>
                <w:sz w:val="21"/>
                <w:szCs w:val="21"/>
              </w:rPr>
              <w:t>在其他单位是否</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领取报酬津贴</w:t>
            </w:r>
          </w:p>
        </w:tc>
      </w:tr>
      <w:tr>
        <w:trPr>
          <w:trHeight w:val="903"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陈泰泉</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1061"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ind w:left="23" w:right="-41"/>
              <w:jc w:val="left"/>
              <w:rPr>
                <w:rFonts w:ascii="宋体" w:hAnsi="宋体" w:cs="宋体" w:eastAsia="宋体" w:hint="default"/>
                <w:sz w:val="21"/>
                <w:szCs w:val="21"/>
              </w:rPr>
            </w:pPr>
            <w:r>
              <w:rPr>
                <w:rFonts w:ascii="宋体" w:hAnsi="宋体" w:cs="宋体" w:eastAsia="宋体" w:hint="default"/>
                <w:sz w:val="21"/>
                <w:szCs w:val="21"/>
              </w:rPr>
              <w:t>董事局常</w:t>
            </w:r>
            <w:r>
              <w:rPr>
                <w:rFonts w:ascii="宋体" w:hAnsi="宋体" w:cs="宋体" w:eastAsia="宋体" w:hint="default"/>
                <w:spacing w:val="-101"/>
                <w:sz w:val="21"/>
                <w:szCs w:val="21"/>
              </w:rPr>
              <w:t> </w:t>
            </w:r>
            <w:r>
              <w:rPr>
                <w:rFonts w:ascii="宋体" w:hAnsi="宋体" w:cs="宋体" w:eastAsia="宋体" w:hint="default"/>
                <w:sz w:val="21"/>
                <w:szCs w:val="21"/>
              </w:rPr>
              <w:t>务副主席、</w:t>
            </w:r>
            <w:r>
              <w:rPr>
                <w:rFonts w:ascii="宋体" w:hAnsi="宋体" w:cs="宋体" w:eastAsia="宋体" w:hint="default"/>
                <w:spacing w:val="-100"/>
                <w:sz w:val="21"/>
                <w:szCs w:val="21"/>
              </w:rPr>
              <w:t> </w:t>
            </w:r>
            <w:r>
              <w:rPr>
                <w:rFonts w:ascii="宋体" w:hAnsi="宋体" w:cs="宋体" w:eastAsia="宋体" w:hint="default"/>
                <w:sz w:val="21"/>
                <w:szCs w:val="21"/>
              </w:rPr>
              <w:t>执行总裁</w:t>
            </w:r>
          </w:p>
        </w:tc>
        <w:tc>
          <w:tcPr>
            <w:tcW w:w="1190"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1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902"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颜金辉</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深圳市新鸿泰投资发展有限公司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3" w:right="17"/>
              <w:jc w:val="left"/>
              <w:rPr>
                <w:rFonts w:ascii="宋体" w:hAnsi="宋体" w:cs="宋体" w:eastAsia="宋体" w:hint="default"/>
                <w:sz w:val="21"/>
                <w:szCs w:val="21"/>
              </w:rPr>
            </w:pPr>
            <w:r>
              <w:rPr>
                <w:rFonts w:ascii="宋体" w:hAnsi="宋体" w:cs="宋体" w:eastAsia="宋体" w:hint="default"/>
                <w:sz w:val="21"/>
                <w:szCs w:val="21"/>
              </w:rPr>
              <w:t>法定代表</w:t>
            </w:r>
            <w:r>
              <w:rPr>
                <w:rFonts w:ascii="宋体" w:hAnsi="宋体" w:cs="宋体" w:eastAsia="宋体" w:hint="default"/>
                <w:spacing w:val="-101"/>
                <w:sz w:val="21"/>
                <w:szCs w:val="21"/>
              </w:rPr>
              <w:t> </w:t>
            </w:r>
            <w:r>
              <w:rPr>
                <w:rFonts w:ascii="宋体" w:hAnsi="宋体" w:cs="宋体" w:eastAsia="宋体" w:hint="default"/>
                <w:sz w:val="21"/>
                <w:szCs w:val="21"/>
              </w:rPr>
              <w:t>人、董事</w:t>
            </w:r>
            <w:r>
              <w:rPr>
                <w:rFonts w:ascii="宋体" w:hAnsi="宋体" w:cs="宋体" w:eastAsia="宋体" w:hint="default"/>
                <w:spacing w:val="-101"/>
                <w:sz w:val="21"/>
                <w:szCs w:val="21"/>
              </w:rPr>
              <w:t> </w:t>
            </w:r>
            <w:r>
              <w:rPr>
                <w:rFonts w:ascii="宋体" w:hAnsi="宋体" w:cs="宋体" w:eastAsia="宋体" w:hint="default"/>
                <w:spacing w:val="-10"/>
                <w:sz w:val="21"/>
                <w:szCs w:val="21"/>
              </w:rPr>
              <w:t>长、总经理</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71"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4" w:right="0"/>
              <w:jc w:val="left"/>
              <w:rPr>
                <w:rFonts w:ascii="宋体" w:hAnsi="宋体" w:cs="宋体" w:eastAsia="宋体" w:hint="default"/>
                <w:sz w:val="21"/>
                <w:szCs w:val="21"/>
              </w:rPr>
            </w:pPr>
            <w:r>
              <w:rPr>
                <w:rFonts w:ascii="宋体" w:hAnsi="宋体" w:cs="宋体" w:eastAsia="宋体" w:hint="default"/>
                <w:sz w:val="21"/>
                <w:szCs w:val="21"/>
              </w:rPr>
              <w:t>高文清</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3" w:right="0"/>
              <w:jc w:val="left"/>
              <w:rPr>
                <w:rFonts w:ascii="宋体" w:hAnsi="宋体" w:cs="宋体" w:eastAsia="宋体" w:hint="default"/>
                <w:sz w:val="21"/>
                <w:szCs w:val="21"/>
              </w:rPr>
            </w:pPr>
            <w:r>
              <w:rPr>
                <w:rFonts w:ascii="宋体" w:hAnsi="宋体" w:cs="宋体" w:eastAsia="宋体" w:hint="default"/>
                <w:sz w:val="21"/>
                <w:szCs w:val="21"/>
              </w:rPr>
              <w:t>深圳市新鸿泰投资发展有限公司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5"/>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71"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罗伟光</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深圳市新鸿泰投资发展有限公司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1099"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陈匡国</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3" w:right="0"/>
              <w:jc w:val="both"/>
              <w:rPr>
                <w:rFonts w:ascii="宋体" w:hAnsi="宋体" w:cs="宋体" w:eastAsia="宋体" w:hint="default"/>
                <w:sz w:val="21"/>
                <w:szCs w:val="21"/>
              </w:rPr>
            </w:pPr>
            <w:r>
              <w:rPr>
                <w:rFonts w:ascii="宋体" w:hAnsi="宋体" w:cs="宋体" w:eastAsia="宋体" w:hint="default"/>
                <w:spacing w:val="-10"/>
                <w:sz w:val="21"/>
                <w:szCs w:val="21"/>
              </w:rPr>
              <w:t>董事、金融</w:t>
            </w:r>
          </w:p>
          <w:p>
            <w:pPr>
              <w:pStyle w:val="TableParagraph"/>
              <w:spacing w:line="237" w:lineRule="auto" w:before="2"/>
              <w:ind w:left="23" w:right="180"/>
              <w:jc w:val="both"/>
              <w:rPr>
                <w:rFonts w:ascii="宋体" w:hAnsi="宋体" w:cs="宋体" w:eastAsia="宋体" w:hint="default"/>
                <w:sz w:val="21"/>
                <w:szCs w:val="21"/>
              </w:rPr>
            </w:pPr>
            <w:r>
              <w:rPr>
                <w:rFonts w:ascii="宋体" w:hAnsi="宋体" w:cs="宋体" w:eastAsia="宋体" w:hint="default"/>
                <w:sz w:val="21"/>
                <w:szCs w:val="21"/>
              </w:rPr>
              <w:t>投资部常</w:t>
            </w:r>
            <w:r>
              <w:rPr>
                <w:rFonts w:ascii="宋体" w:hAnsi="宋体" w:cs="宋体" w:eastAsia="宋体" w:hint="default"/>
                <w:spacing w:val="-101"/>
                <w:sz w:val="21"/>
                <w:szCs w:val="21"/>
              </w:rPr>
              <w:t> </w:t>
            </w:r>
            <w:r>
              <w:rPr>
                <w:rFonts w:ascii="宋体" w:hAnsi="宋体" w:cs="宋体" w:eastAsia="宋体" w:hint="default"/>
                <w:sz w:val="21"/>
                <w:szCs w:val="21"/>
              </w:rPr>
              <w:t>务副总经</w:t>
            </w:r>
            <w:r>
              <w:rPr>
                <w:rFonts w:ascii="宋体" w:hAnsi="宋体" w:cs="宋体" w:eastAsia="宋体" w:hint="default"/>
                <w:spacing w:val="-101"/>
                <w:sz w:val="21"/>
                <w:szCs w:val="21"/>
              </w:rPr>
              <w:t> </w:t>
            </w:r>
            <w:r>
              <w:rPr>
                <w:rFonts w:ascii="宋体" w:hAnsi="宋体" w:cs="宋体" w:eastAsia="宋体" w:hint="default"/>
                <w:sz w:val="21"/>
                <w:szCs w:val="21"/>
              </w:rPr>
              <w:t>理</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2"/>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341"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4" w:right="0"/>
              <w:jc w:val="left"/>
              <w:rPr>
                <w:rFonts w:ascii="宋体" w:hAnsi="宋体" w:cs="宋体" w:eastAsia="宋体" w:hint="default"/>
                <w:sz w:val="21"/>
                <w:szCs w:val="21"/>
              </w:rPr>
            </w:pPr>
            <w:r>
              <w:rPr>
                <w:rFonts w:ascii="宋体" w:hAnsi="宋体" w:cs="宋体" w:eastAsia="宋体" w:hint="default"/>
                <w:sz w:val="21"/>
                <w:szCs w:val="21"/>
              </w:rPr>
              <w:t>张育新</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23"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4" w:right="0"/>
              <w:jc w:val="left"/>
              <w:rPr>
                <w:rFonts w:ascii="宋体" w:hAnsi="宋体" w:cs="宋体" w:eastAsia="宋体" w:hint="default"/>
                <w:sz w:val="21"/>
                <w:szCs w:val="21"/>
              </w:rPr>
            </w:pPr>
            <w:r>
              <w:rPr>
                <w:rFonts w:ascii="宋体" w:hAnsi="宋体" w:cs="宋体" w:eastAsia="宋体" w:hint="default"/>
                <w:sz w:val="21"/>
                <w:szCs w:val="21"/>
              </w:rPr>
              <w:t>骆文明</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3"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3" w:right="0"/>
              <w:jc w:val="left"/>
              <w:rPr>
                <w:rFonts w:ascii="宋体" w:hAnsi="宋体" w:cs="宋体" w:eastAsia="宋体" w:hint="default"/>
                <w:sz w:val="21"/>
                <w:szCs w:val="21"/>
              </w:rPr>
            </w:pPr>
            <w:r>
              <w:rPr>
                <w:rFonts w:ascii="宋体" w:hAnsi="宋体" w:cs="宋体" w:eastAsia="宋体" w:hint="default"/>
                <w:sz w:val="21"/>
                <w:szCs w:val="21"/>
              </w:rPr>
              <w:t>审计长</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90"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4" w:right="0"/>
              <w:jc w:val="left"/>
              <w:rPr>
                <w:rFonts w:ascii="宋体" w:hAnsi="宋体" w:cs="宋体" w:eastAsia="宋体" w:hint="default"/>
                <w:sz w:val="21"/>
                <w:szCs w:val="21"/>
              </w:rPr>
            </w:pPr>
            <w:r>
              <w:rPr>
                <w:rFonts w:ascii="宋体" w:hAnsi="宋体" w:cs="宋体" w:eastAsia="宋体" w:hint="default"/>
                <w:sz w:val="21"/>
                <w:szCs w:val="21"/>
              </w:rPr>
              <w:t>尤明天</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3" w:right="0"/>
              <w:jc w:val="left"/>
              <w:rPr>
                <w:rFonts w:ascii="宋体" w:hAnsi="宋体" w:cs="宋体" w:eastAsia="宋体" w:hint="default"/>
                <w:sz w:val="21"/>
                <w:szCs w:val="21"/>
              </w:rPr>
            </w:pPr>
            <w:r>
              <w:rPr>
                <w:rFonts w:ascii="宋体" w:hAnsi="宋体" w:cs="宋体" w:eastAsia="宋体" w:hint="default"/>
                <w:sz w:val="21"/>
                <w:szCs w:val="21"/>
              </w:rPr>
              <w:t>福建东南广播电视网络有限公司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05" w:hRule="exact"/>
        </w:trPr>
        <w:tc>
          <w:tcPr>
            <w:tcW w:w="119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徐志新</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sz w:val="21"/>
                <w:szCs w:val="21"/>
              </w:rPr>
              <w:t>北京市地平线律师事务所</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1"/>
              <w:ind w:left="23" w:right="17"/>
              <w:jc w:val="left"/>
              <w:rPr>
                <w:rFonts w:ascii="宋体" w:hAnsi="宋体" w:cs="宋体" w:eastAsia="宋体" w:hint="default"/>
                <w:sz w:val="21"/>
                <w:szCs w:val="21"/>
              </w:rPr>
            </w:pPr>
            <w:r>
              <w:rPr>
                <w:rFonts w:ascii="宋体" w:hAnsi="宋体" w:cs="宋体" w:eastAsia="宋体" w:hint="default"/>
                <w:spacing w:val="-10"/>
                <w:sz w:val="21"/>
                <w:szCs w:val="21"/>
              </w:rPr>
              <w:t>合伙人、律</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师</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8"/>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605" w:hRule="exact"/>
        </w:trPr>
        <w:tc>
          <w:tcPr>
            <w:tcW w:w="1195" w:type="dxa"/>
            <w:vMerge/>
            <w:tcBorders>
              <w:left w:val="single" w:sz="4" w:space="0" w:color="000000"/>
              <w:right w:val="single" w:sz="4" w:space="0" w:color="000000"/>
            </w:tcBorders>
          </w:tcPr>
          <w:p>
            <w:pP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sz w:val="21"/>
                <w:szCs w:val="21"/>
              </w:rPr>
              <w:t>深圳零七股份有限公司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sz w:val="21"/>
                <w:szCs w:val="21"/>
              </w:rPr>
              <w:t>法律顾问</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7" w:hRule="exact"/>
        </w:trPr>
        <w:tc>
          <w:tcPr>
            <w:tcW w:w="1195" w:type="dxa"/>
            <w:vMerge/>
            <w:tcBorders>
              <w:left w:val="single" w:sz="4" w:space="0" w:color="000000"/>
              <w:right w:val="single" w:sz="4" w:space="0" w:color="000000"/>
            </w:tcBorders>
          </w:tcPr>
          <w:p>
            <w:pP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清华大学法学院</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3" w:right="0"/>
              <w:jc w:val="left"/>
              <w:rPr>
                <w:rFonts w:ascii="宋体" w:hAnsi="宋体" w:cs="宋体" w:eastAsia="宋体" w:hint="default"/>
                <w:sz w:val="21"/>
                <w:szCs w:val="21"/>
              </w:rPr>
            </w:pPr>
            <w:r>
              <w:rPr>
                <w:rFonts w:ascii="宋体" w:hAnsi="宋体" w:cs="宋体" w:eastAsia="宋体" w:hint="default"/>
                <w:sz w:val="21"/>
                <w:szCs w:val="21"/>
              </w:rPr>
              <w:t>法律硕士</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联合导师</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
        </w:tc>
      </w:tr>
      <w:tr>
        <w:trPr>
          <w:trHeight w:val="552" w:hRule="exact"/>
        </w:trPr>
        <w:tc>
          <w:tcPr>
            <w:tcW w:w="1195" w:type="dxa"/>
            <w:vMerge/>
            <w:tcBorders>
              <w:left w:val="single" w:sz="4" w:space="0" w:color="000000"/>
              <w:bottom w:val="single" w:sz="4" w:space="0" w:color="000000"/>
              <w:right w:val="single" w:sz="4" w:space="0" w:color="000000"/>
            </w:tcBorders>
          </w:tcPr>
          <w:p>
            <w:pP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广东深天正律师事务所</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pacing w:val="-10"/>
                <w:sz w:val="21"/>
                <w:szCs w:val="21"/>
              </w:rPr>
              <w:t>律师、主任</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1996</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902" w:hRule="exact"/>
        </w:trPr>
        <w:tc>
          <w:tcPr>
            <w:tcW w:w="119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梁发贤</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left="23" w:right="204"/>
              <w:jc w:val="left"/>
              <w:rPr>
                <w:rFonts w:ascii="宋体" w:hAnsi="宋体" w:cs="宋体" w:eastAsia="宋体" w:hint="default"/>
                <w:sz w:val="21"/>
                <w:szCs w:val="21"/>
              </w:rPr>
            </w:pPr>
            <w:r>
              <w:rPr>
                <w:rFonts w:ascii="宋体" w:hAnsi="宋体" w:cs="宋体" w:eastAsia="宋体" w:hint="default"/>
                <w:spacing w:val="-2"/>
                <w:sz w:val="21"/>
                <w:szCs w:val="21"/>
              </w:rPr>
              <w:t>深圳市宝龙会计师事务所有限公</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23" w:right="17"/>
              <w:jc w:val="left"/>
              <w:rPr>
                <w:rFonts w:ascii="宋体" w:hAnsi="宋体" w:cs="宋体" w:eastAsia="宋体" w:hint="default"/>
                <w:sz w:val="21"/>
                <w:szCs w:val="21"/>
              </w:rPr>
            </w:pPr>
            <w:r>
              <w:rPr>
                <w:rFonts w:ascii="宋体" w:hAnsi="宋体" w:cs="宋体" w:eastAsia="宋体" w:hint="default"/>
                <w:sz w:val="21"/>
                <w:szCs w:val="21"/>
              </w:rPr>
              <w:t>首席合伙</w:t>
            </w:r>
            <w:r>
              <w:rPr>
                <w:rFonts w:ascii="宋体" w:hAnsi="宋体" w:cs="宋体" w:eastAsia="宋体" w:hint="default"/>
                <w:spacing w:val="-101"/>
                <w:sz w:val="21"/>
                <w:szCs w:val="21"/>
              </w:rPr>
              <w:t> </w:t>
            </w:r>
            <w:r>
              <w:rPr>
                <w:rFonts w:ascii="宋体" w:hAnsi="宋体" w:cs="宋体" w:eastAsia="宋体" w:hint="default"/>
                <w:spacing w:val="-10"/>
                <w:sz w:val="21"/>
                <w:szCs w:val="21"/>
              </w:rPr>
              <w:t>人、注册会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计师</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34"/>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1998</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552" w:hRule="exact"/>
        </w:trPr>
        <w:tc>
          <w:tcPr>
            <w:tcW w:w="1195" w:type="dxa"/>
            <w:vMerge/>
            <w:tcBorders>
              <w:left w:val="single" w:sz="4" w:space="0" w:color="000000"/>
              <w:bottom w:val="single" w:sz="4" w:space="0" w:color="000000"/>
              <w:right w:val="single" w:sz="4" w:space="0" w:color="000000"/>
            </w:tcBorders>
          </w:tcPr>
          <w:p>
            <w:pP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深圳市宝龙诚资产评估有限公司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评估审计</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33"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605"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4" w:right="0"/>
              <w:jc w:val="left"/>
              <w:rPr>
                <w:rFonts w:ascii="宋体" w:hAnsi="宋体" w:cs="宋体" w:eastAsia="宋体" w:hint="default"/>
                <w:sz w:val="21"/>
                <w:szCs w:val="21"/>
              </w:rPr>
            </w:pPr>
            <w:r>
              <w:rPr>
                <w:rFonts w:ascii="宋体" w:hAnsi="宋体" w:cs="宋体" w:eastAsia="宋体" w:hint="default"/>
                <w:sz w:val="21"/>
                <w:szCs w:val="21"/>
              </w:rPr>
              <w:t>邓远帆</w:t>
            </w:r>
          </w:p>
        </w:tc>
        <w:tc>
          <w:tcPr>
            <w:tcW w:w="318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1"/>
              <w:ind w:left="23" w:right="17"/>
              <w:jc w:val="left"/>
              <w:rPr>
                <w:rFonts w:ascii="宋体" w:hAnsi="宋体" w:cs="宋体" w:eastAsia="宋体" w:hint="default"/>
                <w:sz w:val="21"/>
                <w:szCs w:val="21"/>
              </w:rPr>
            </w:pPr>
            <w:r>
              <w:rPr>
                <w:rFonts w:ascii="宋体" w:hAnsi="宋体" w:cs="宋体" w:eastAsia="宋体" w:hint="default"/>
                <w:spacing w:val="-3"/>
                <w:sz w:val="21"/>
                <w:szCs w:val="21"/>
              </w:rPr>
              <w:t>上海市锦天城（深圳）律师事务所</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高级合伙人、律师</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sz w:val="21"/>
                <w:szCs w:val="21"/>
              </w:rPr>
              <w:t>法律服务</w:t>
            </w:r>
          </w:p>
        </w:tc>
        <w:tc>
          <w:tcPr>
            <w:tcW w:w="1190"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pacing w:val="-3"/>
                <w:sz w:val="21"/>
                <w:szCs w:val="21"/>
              </w:rPr>
              <w:t>07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8"/>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bl>
    <w:p>
      <w:pPr>
        <w:spacing w:line="240" w:lineRule="auto" w:before="9"/>
        <w:rPr>
          <w:rFonts w:ascii="宋体" w:hAnsi="宋体" w:cs="宋体" w:eastAsia="宋体" w:hint="default"/>
          <w:sz w:val="17"/>
          <w:szCs w:val="17"/>
        </w:rPr>
      </w:pPr>
    </w:p>
    <w:p>
      <w:pPr>
        <w:pStyle w:val="Heading4"/>
        <w:spacing w:line="367" w:lineRule="exact"/>
        <w:ind w:right="0"/>
        <w:jc w:val="left"/>
        <w:rPr>
          <w:b w:val="0"/>
          <w:bCs w:val="0"/>
        </w:rPr>
      </w:pPr>
      <w:r>
        <w:rPr/>
        <w:t>三、董事、监事、高级管理人员报酬情况</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240" w:lineRule="auto"/>
        <w:ind w:right="0"/>
        <w:jc w:val="left"/>
      </w:pPr>
      <w:r>
        <w:rPr/>
        <w:t>董事、监事、高级管理人员报酬的决策程序、确定依据、实际支付情况</w:t>
      </w:r>
    </w:p>
    <w:p>
      <w:pPr>
        <w:spacing w:after="0" w:line="240" w:lineRule="auto"/>
        <w:jc w:val="left"/>
        <w:sectPr>
          <w:pgSz w:w="11900" w:h="16840"/>
          <w:pgMar w:header="872" w:footer="957" w:top="112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pStyle w:val="BodyText"/>
        <w:spacing w:line="240" w:lineRule="auto" w:before="36"/>
        <w:ind w:left="0" w:right="118"/>
        <w:jc w:val="right"/>
      </w:pPr>
      <w:r>
        <w:rPr/>
        <w:pict>
          <v:shape style="position:absolute;margin-left:56.16pt;margin-top:-87.216316pt;width:479.4pt;height:242.4pt;mso-position-horizontal-relative:page;mso-position-vertical-relative:paragraph;z-index:2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97"/>
                    <w:gridCol w:w="7570"/>
                  </w:tblGrid>
                  <w:tr>
                    <w:trPr>
                      <w:trHeight w:val="1056" w:hRule="exact"/>
                    </w:trPr>
                    <w:tc>
                      <w:tcPr>
                        <w:tcW w:w="1997" w:type="dxa"/>
                        <w:tcBorders>
                          <w:top w:val="single" w:sz="6" w:space="0" w:color="000000"/>
                          <w:left w:val="single" w:sz="6" w:space="0" w:color="000000"/>
                          <w:bottom w:val="single" w:sz="6" w:space="0" w:color="000000"/>
                          <w:right w:val="single" w:sz="6" w:space="0" w:color="000000"/>
                        </w:tcBorders>
                        <w:shd w:val="clear" w:color="auto" w:fill="C5E1FF"/>
                      </w:tcPr>
                      <w:p>
                        <w:pPr>
                          <w:pStyle w:val="TableParagraph"/>
                          <w:spacing w:line="297" w:lineRule="auto" w:before="33"/>
                          <w:ind w:left="4" w:right="79"/>
                          <w:jc w:val="both"/>
                          <w:rPr>
                            <w:rFonts w:ascii="宋体" w:hAnsi="宋体" w:cs="宋体" w:eastAsia="宋体" w:hint="default"/>
                            <w:sz w:val="21"/>
                            <w:szCs w:val="21"/>
                          </w:rPr>
                        </w:pPr>
                        <w:r>
                          <w:rPr>
                            <w:rFonts w:ascii="宋体" w:hAnsi="宋体" w:cs="宋体" w:eastAsia="宋体" w:hint="default"/>
                            <w:sz w:val="21"/>
                            <w:szCs w:val="21"/>
                          </w:rPr>
                          <w:t>董事、监事、高级管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理人员报酬的决策程</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序</w:t>
                        </w:r>
                      </w:p>
                    </w:tc>
                    <w:tc>
                      <w:tcPr>
                        <w:tcW w:w="7570" w:type="dxa"/>
                        <w:tcBorders>
                          <w:top w:val="single" w:sz="6" w:space="0" w:color="000000"/>
                          <w:left w:val="single" w:sz="6" w:space="0" w:color="000000"/>
                          <w:bottom w:val="single" w:sz="6" w:space="0" w:color="000000"/>
                          <w:right w:val="single" w:sz="6" w:space="0" w:color="000000"/>
                        </w:tcBorders>
                      </w:tcPr>
                      <w:p>
                        <w:pPr>
                          <w:pStyle w:val="TableParagraph"/>
                          <w:spacing w:line="297" w:lineRule="auto" w:before="33"/>
                          <w:ind w:left="4" w:right="0"/>
                          <w:jc w:val="left"/>
                          <w:rPr>
                            <w:rFonts w:ascii="宋体" w:hAnsi="宋体" w:cs="宋体" w:eastAsia="宋体" w:hint="default"/>
                            <w:sz w:val="21"/>
                            <w:szCs w:val="21"/>
                          </w:rPr>
                        </w:pPr>
                        <w:r>
                          <w:rPr>
                            <w:rFonts w:ascii="宋体" w:hAnsi="宋体" w:cs="宋体" w:eastAsia="宋体" w:hint="default"/>
                            <w:spacing w:val="-2"/>
                            <w:sz w:val="21"/>
                            <w:szCs w:val="21"/>
                          </w:rPr>
                          <w:t>根据《公司章程》的有关规定，股东大会决定董事、监事报酬，董事会决定高级管</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理人员报酬。</w:t>
                        </w:r>
                      </w:p>
                    </w:tc>
                  </w:tr>
                  <w:tr>
                    <w:trPr>
                      <w:trHeight w:val="380" w:hRule="exact"/>
                    </w:trPr>
                    <w:tc>
                      <w:tcPr>
                        <w:tcW w:w="1997" w:type="dxa"/>
                        <w:tcBorders>
                          <w:top w:val="single" w:sz="6" w:space="0" w:color="000000"/>
                          <w:left w:val="single" w:sz="6" w:space="0" w:color="000000"/>
                          <w:bottom w:val="nil" w:sz="6" w:space="0" w:color="auto"/>
                          <w:right w:val="single" w:sz="6" w:space="0" w:color="000000"/>
                        </w:tcBorders>
                        <w:shd w:val="clear" w:color="auto" w:fill="C5E1FF"/>
                      </w:tcPr>
                      <w:p>
                        <w:pPr>
                          <w:pStyle w:val="TableParagraph"/>
                          <w:spacing w:line="240" w:lineRule="auto" w:before="33"/>
                          <w:ind w:left="4" w:right="0"/>
                          <w:jc w:val="left"/>
                          <w:rPr>
                            <w:rFonts w:ascii="宋体" w:hAnsi="宋体" w:cs="宋体" w:eastAsia="宋体" w:hint="default"/>
                            <w:sz w:val="21"/>
                            <w:szCs w:val="21"/>
                          </w:rPr>
                        </w:pPr>
                        <w:r>
                          <w:rPr>
                            <w:rFonts w:ascii="宋体" w:hAnsi="宋体" w:cs="宋体" w:eastAsia="宋体" w:hint="default"/>
                            <w:sz w:val="21"/>
                            <w:szCs w:val="21"/>
                          </w:rPr>
                          <w:t>董事、监事、高级管</w:t>
                        </w:r>
                      </w:p>
                    </w:tc>
                    <w:tc>
                      <w:tcPr>
                        <w:tcW w:w="757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3"/>
                          <w:ind w:left="4" w:right="0"/>
                          <w:jc w:val="left"/>
                          <w:rPr>
                            <w:rFonts w:ascii="宋体" w:hAnsi="宋体" w:cs="宋体" w:eastAsia="宋体" w:hint="default"/>
                            <w:sz w:val="21"/>
                            <w:szCs w:val="21"/>
                          </w:rPr>
                        </w:pPr>
                        <w:r>
                          <w:rPr>
                            <w:rFonts w:ascii="宋体" w:hAnsi="宋体" w:cs="宋体" w:eastAsia="宋体" w:hint="default"/>
                            <w:spacing w:val="-2"/>
                            <w:sz w:val="21"/>
                            <w:szCs w:val="21"/>
                          </w:rPr>
                          <w:t>董事、监事报酬确定依据：公司董事（含独立董事）、监事津贴由公司股东大会审</w:t>
                        </w:r>
                      </w:p>
                    </w:tc>
                  </w:tr>
                  <w:tr>
                    <w:trPr>
                      <w:trHeight w:val="338" w:hRule="exact"/>
                    </w:trPr>
                    <w:tc>
                      <w:tcPr>
                        <w:tcW w:w="1997" w:type="dxa"/>
                        <w:tcBorders>
                          <w:top w:val="nil" w:sz="6" w:space="0" w:color="auto"/>
                          <w:left w:val="single" w:sz="6" w:space="0" w:color="000000"/>
                          <w:bottom w:val="nil" w:sz="6" w:space="0" w:color="auto"/>
                          <w:right w:val="single" w:sz="6" w:space="0" w:color="000000"/>
                        </w:tcBorders>
                        <w:shd w:val="clear" w:color="auto" w:fill="C5E1FF"/>
                      </w:tcPr>
                      <w:p>
                        <w:pPr>
                          <w:pStyle w:val="TableParagraph"/>
                          <w:spacing w:line="240" w:lineRule="auto" w:before="1"/>
                          <w:ind w:left="4" w:right="0"/>
                          <w:jc w:val="left"/>
                          <w:rPr>
                            <w:rFonts w:ascii="宋体" w:hAnsi="宋体" w:cs="宋体" w:eastAsia="宋体" w:hint="default"/>
                            <w:sz w:val="21"/>
                            <w:szCs w:val="21"/>
                          </w:rPr>
                        </w:pPr>
                        <w:r>
                          <w:rPr>
                            <w:rFonts w:ascii="宋体" w:hAnsi="宋体" w:cs="宋体" w:eastAsia="宋体" w:hint="default"/>
                            <w:sz w:val="21"/>
                            <w:szCs w:val="21"/>
                          </w:rPr>
                          <w:t>理人员报酬确定依据</w:t>
                        </w:r>
                      </w:p>
                    </w:tc>
                    <w:tc>
                      <w:tcPr>
                        <w:tcW w:w="7570"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left="4" w:right="0"/>
                          <w:jc w:val="left"/>
                          <w:rPr>
                            <w:rFonts w:ascii="宋体" w:hAnsi="宋体" w:cs="宋体" w:eastAsia="宋体" w:hint="default"/>
                            <w:sz w:val="21"/>
                            <w:szCs w:val="21"/>
                          </w:rPr>
                        </w:pPr>
                        <w:r>
                          <w:rPr>
                            <w:rFonts w:ascii="宋体" w:hAnsi="宋体" w:cs="宋体" w:eastAsia="宋体" w:hint="default"/>
                            <w:sz w:val="21"/>
                            <w:szCs w:val="21"/>
                          </w:rPr>
                          <w:t>议决定，按照股东大会决议的津贴标准发放；</w:t>
                        </w:r>
                      </w:p>
                    </w:tc>
                  </w:tr>
                  <w:tr>
                    <w:trPr>
                      <w:trHeight w:val="344" w:hRule="exact"/>
                    </w:trPr>
                    <w:tc>
                      <w:tcPr>
                        <w:tcW w:w="1997" w:type="dxa"/>
                        <w:tcBorders>
                          <w:top w:val="nil" w:sz="6" w:space="0" w:color="auto"/>
                          <w:left w:val="single" w:sz="6" w:space="0" w:color="000000"/>
                          <w:bottom w:val="nil" w:sz="6" w:space="0" w:color="auto"/>
                          <w:right w:val="single" w:sz="6" w:space="0" w:color="000000"/>
                        </w:tcBorders>
                        <w:shd w:val="clear" w:color="auto" w:fill="C5E1FF"/>
                      </w:tcPr>
                      <w:p>
                        <w:pPr/>
                      </w:p>
                    </w:tc>
                    <w:tc>
                      <w:tcPr>
                        <w:tcW w:w="7570" w:type="dxa"/>
                        <w:tcBorders>
                          <w:top w:val="nil" w:sz="6" w:space="0" w:color="auto"/>
                          <w:left w:val="single" w:sz="6" w:space="0" w:color="000000"/>
                          <w:bottom w:val="nil" w:sz="6" w:space="0" w:color="auto"/>
                          <w:right w:val="single" w:sz="6" w:space="0" w:color="000000"/>
                        </w:tcBorders>
                      </w:tcPr>
                      <w:p>
                        <w:pPr>
                          <w:pStyle w:val="TableParagraph"/>
                          <w:spacing w:line="289" w:lineRule="exact"/>
                          <w:ind w:left="4" w:right="0"/>
                          <w:jc w:val="left"/>
                          <w:rPr>
                            <w:rFonts w:ascii="宋体" w:hAnsi="宋体" w:cs="宋体" w:eastAsia="宋体" w:hint="default"/>
                            <w:sz w:val="21"/>
                            <w:szCs w:val="21"/>
                          </w:rPr>
                        </w:pPr>
                        <w:r>
                          <w:rPr>
                            <w:rFonts w:ascii="宋体" w:hAnsi="宋体" w:cs="宋体" w:eastAsia="宋体" w:hint="default"/>
                            <w:spacing w:val="-6"/>
                            <w:sz w:val="21"/>
                            <w:szCs w:val="21"/>
                          </w:rPr>
                          <w:t>高管报酬确定依据：公司高管的薪酬结构为：基本年薪</w:t>
                        </w:r>
                        <w:r>
                          <w:rPr>
                            <w:rFonts w:ascii="Times New Roman" w:hAnsi="Times New Roman" w:cs="Times New Roman" w:eastAsia="Times New Roman" w:hint="default"/>
                            <w:spacing w:val="-6"/>
                            <w:sz w:val="21"/>
                            <w:szCs w:val="21"/>
                          </w:rPr>
                          <w:t>+</w:t>
                        </w:r>
                        <w:r>
                          <w:rPr>
                            <w:rFonts w:ascii="宋体" w:hAnsi="宋体" w:cs="宋体" w:eastAsia="宋体" w:hint="default"/>
                            <w:spacing w:val="-6"/>
                            <w:sz w:val="21"/>
                            <w:szCs w:val="21"/>
                          </w:rPr>
                          <w:t>业绩薪酬</w:t>
                        </w:r>
                        <w:r>
                          <w:rPr>
                            <w:rFonts w:ascii="Times New Roman" w:hAnsi="Times New Roman" w:cs="Times New Roman" w:eastAsia="Times New Roman" w:hint="default"/>
                            <w:spacing w:val="-6"/>
                            <w:sz w:val="21"/>
                            <w:szCs w:val="21"/>
                          </w:rPr>
                          <w:t>+</w:t>
                        </w:r>
                        <w:r>
                          <w:rPr>
                            <w:rFonts w:ascii="宋体" w:hAnsi="宋体" w:cs="宋体" w:eastAsia="宋体" w:hint="default"/>
                            <w:spacing w:val="-6"/>
                            <w:sz w:val="21"/>
                            <w:szCs w:val="21"/>
                          </w:rPr>
                          <w:t>奖金。其中：</w:t>
                        </w:r>
                        <w:r>
                          <w:rPr>
                            <w:rFonts w:ascii="宋体" w:hAnsi="宋体" w:cs="宋体" w:eastAsia="宋体" w:hint="default"/>
                            <w:spacing w:val="-34"/>
                            <w:sz w:val="21"/>
                            <w:szCs w:val="21"/>
                          </w:rPr>
                          <w:t> </w:t>
                        </w:r>
                        <w:r>
                          <w:rPr>
                            <w:rFonts w:ascii="宋体" w:hAnsi="宋体" w:cs="宋体" w:eastAsia="宋体" w:hint="default"/>
                            <w:sz w:val="21"/>
                            <w:szCs w:val="21"/>
                          </w:rPr>
                          <w:t>一</w:t>
                        </w:r>
                      </w:p>
                    </w:tc>
                  </w:tr>
                  <w:tr>
                    <w:trPr>
                      <w:trHeight w:val="335" w:hRule="exact"/>
                    </w:trPr>
                    <w:tc>
                      <w:tcPr>
                        <w:tcW w:w="1997" w:type="dxa"/>
                        <w:tcBorders>
                          <w:top w:val="nil" w:sz="6" w:space="0" w:color="auto"/>
                          <w:left w:val="single" w:sz="6" w:space="0" w:color="000000"/>
                          <w:bottom w:val="nil" w:sz="6" w:space="0" w:color="auto"/>
                          <w:right w:val="single" w:sz="6" w:space="0" w:color="000000"/>
                        </w:tcBorders>
                        <w:shd w:val="clear" w:color="auto" w:fill="C5E1FF"/>
                      </w:tcPr>
                      <w:p>
                        <w:pPr/>
                      </w:p>
                    </w:tc>
                    <w:tc>
                      <w:tcPr>
                        <w:tcW w:w="7570" w:type="dxa"/>
                        <w:tcBorders>
                          <w:top w:val="nil" w:sz="6" w:space="0" w:color="auto"/>
                          <w:left w:val="single" w:sz="6" w:space="0" w:color="000000"/>
                          <w:bottom w:val="nil" w:sz="6" w:space="0" w:color="auto"/>
                          <w:right w:val="single" w:sz="6" w:space="0" w:color="000000"/>
                        </w:tcBorders>
                      </w:tcPr>
                      <w:p>
                        <w:pPr>
                          <w:pStyle w:val="TableParagraph"/>
                          <w:spacing w:line="270" w:lineRule="exact"/>
                          <w:ind w:left="4" w:right="-5"/>
                          <w:jc w:val="left"/>
                          <w:rPr>
                            <w:rFonts w:ascii="宋体" w:hAnsi="宋体" w:cs="宋体" w:eastAsia="宋体" w:hint="default"/>
                            <w:sz w:val="21"/>
                            <w:szCs w:val="21"/>
                          </w:rPr>
                        </w:pPr>
                        <w:r>
                          <w:rPr>
                            <w:rFonts w:ascii="宋体" w:hAnsi="宋体" w:cs="宋体" w:eastAsia="宋体" w:hint="default"/>
                            <w:spacing w:val="-3"/>
                            <w:sz w:val="21"/>
                            <w:szCs w:val="21"/>
                          </w:rPr>
                          <w:t>基本年薪：按各自职级档位发放；</w:t>
                        </w:r>
                        <w:r>
                          <w:rPr>
                            <w:rFonts w:ascii="宋体" w:hAnsi="宋体" w:cs="宋体" w:eastAsia="宋体" w:hint="default"/>
                            <w:spacing w:val="32"/>
                            <w:sz w:val="21"/>
                            <w:szCs w:val="21"/>
                          </w:rPr>
                          <w:t> </w:t>
                        </w:r>
                        <w:r>
                          <w:rPr>
                            <w:rFonts w:ascii="宋体" w:hAnsi="宋体" w:cs="宋体" w:eastAsia="宋体" w:hint="default"/>
                            <w:spacing w:val="-5"/>
                            <w:sz w:val="21"/>
                            <w:szCs w:val="21"/>
                          </w:rPr>
                          <w:t>二、业绩薪酬：根据年终个人业绩考核成绩，与</w:t>
                        </w:r>
                      </w:p>
                    </w:tc>
                  </w:tr>
                  <w:tr>
                    <w:trPr>
                      <w:trHeight w:val="341" w:hRule="exact"/>
                    </w:trPr>
                    <w:tc>
                      <w:tcPr>
                        <w:tcW w:w="1997" w:type="dxa"/>
                        <w:tcBorders>
                          <w:top w:val="nil" w:sz="6" w:space="0" w:color="auto"/>
                          <w:left w:val="single" w:sz="6" w:space="0" w:color="000000"/>
                          <w:bottom w:val="nil" w:sz="6" w:space="0" w:color="auto"/>
                          <w:right w:val="single" w:sz="6" w:space="0" w:color="000000"/>
                        </w:tcBorders>
                        <w:shd w:val="clear" w:color="auto" w:fill="C5E1FF"/>
                      </w:tcPr>
                      <w:p>
                        <w:pPr/>
                      </w:p>
                    </w:tc>
                    <w:tc>
                      <w:tcPr>
                        <w:tcW w:w="7570"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left="4" w:right="-5"/>
                          <w:jc w:val="left"/>
                          <w:rPr>
                            <w:rFonts w:ascii="宋体" w:hAnsi="宋体" w:cs="宋体" w:eastAsia="宋体" w:hint="default"/>
                            <w:sz w:val="21"/>
                            <w:szCs w:val="21"/>
                          </w:rPr>
                        </w:pPr>
                        <w:r>
                          <w:rPr>
                            <w:rFonts w:ascii="宋体" w:hAnsi="宋体" w:cs="宋体" w:eastAsia="宋体" w:hint="default"/>
                            <w:spacing w:val="-2"/>
                            <w:sz w:val="21"/>
                            <w:szCs w:val="21"/>
                          </w:rPr>
                          <w:t>基本年薪挂钩；根据于年初制订的高级管理人员年度《绩效责任书》，董事会对高</w:t>
                        </w:r>
                      </w:p>
                    </w:tc>
                  </w:tr>
                  <w:tr>
                    <w:trPr>
                      <w:trHeight w:val="341" w:hRule="exact"/>
                    </w:trPr>
                    <w:tc>
                      <w:tcPr>
                        <w:tcW w:w="1997" w:type="dxa"/>
                        <w:tcBorders>
                          <w:top w:val="nil" w:sz="6" w:space="0" w:color="auto"/>
                          <w:left w:val="single" w:sz="6" w:space="0" w:color="000000"/>
                          <w:bottom w:val="nil" w:sz="6" w:space="0" w:color="auto"/>
                          <w:right w:val="single" w:sz="6" w:space="0" w:color="000000"/>
                        </w:tcBorders>
                        <w:shd w:val="clear" w:color="auto" w:fill="C5E1FF"/>
                      </w:tcPr>
                      <w:p>
                        <w:pPr/>
                      </w:p>
                    </w:tc>
                    <w:tc>
                      <w:tcPr>
                        <w:tcW w:w="7570"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left="4" w:right="-1"/>
                          <w:jc w:val="left"/>
                          <w:rPr>
                            <w:rFonts w:ascii="宋体" w:hAnsi="宋体" w:cs="宋体" w:eastAsia="宋体" w:hint="default"/>
                            <w:sz w:val="21"/>
                            <w:szCs w:val="21"/>
                          </w:rPr>
                        </w:pPr>
                        <w:r>
                          <w:rPr>
                            <w:rFonts w:ascii="宋体" w:hAnsi="宋体" w:cs="宋体" w:eastAsia="宋体" w:hint="default"/>
                            <w:spacing w:val="-3"/>
                            <w:sz w:val="21"/>
                            <w:szCs w:val="21"/>
                          </w:rPr>
                          <w:t>管半年度、年度绩效完成情况予以考核，作为高管业绩薪酬的发放依据。</w:t>
                        </w:r>
                        <w:r>
                          <w:rPr>
                            <w:rFonts w:ascii="宋体" w:hAnsi="宋体" w:cs="宋体" w:eastAsia="宋体" w:hint="default"/>
                            <w:spacing w:val="9"/>
                            <w:sz w:val="21"/>
                            <w:szCs w:val="21"/>
                          </w:rPr>
                          <w:t> </w:t>
                        </w:r>
                        <w:r>
                          <w:rPr>
                            <w:rFonts w:ascii="宋体" w:hAnsi="宋体" w:cs="宋体" w:eastAsia="宋体" w:hint="default"/>
                            <w:spacing w:val="-8"/>
                            <w:sz w:val="21"/>
                            <w:szCs w:val="21"/>
                          </w:rPr>
                          <w:t>三、奖金</w:t>
                        </w:r>
                      </w:p>
                    </w:tc>
                  </w:tr>
                  <w:tr>
                    <w:trPr>
                      <w:trHeight w:val="642" w:hRule="exact"/>
                    </w:trPr>
                    <w:tc>
                      <w:tcPr>
                        <w:tcW w:w="1997" w:type="dxa"/>
                        <w:tcBorders>
                          <w:top w:val="nil" w:sz="6" w:space="0" w:color="auto"/>
                          <w:left w:val="single" w:sz="6" w:space="0" w:color="000000"/>
                          <w:bottom w:val="single" w:sz="6" w:space="0" w:color="000000"/>
                          <w:right w:val="single" w:sz="6" w:space="0" w:color="000000"/>
                        </w:tcBorders>
                        <w:shd w:val="clear" w:color="auto" w:fill="C5E1FF"/>
                      </w:tcPr>
                      <w:p>
                        <w:pPr/>
                      </w:p>
                    </w:tc>
                    <w:tc>
                      <w:tcPr>
                        <w:tcW w:w="757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1"/>
                            <w:szCs w:val="21"/>
                          </w:rPr>
                        </w:pPr>
                        <w:r>
                          <w:rPr>
                            <w:rFonts w:ascii="宋体" w:hAnsi="宋体" w:cs="宋体" w:eastAsia="宋体" w:hint="default"/>
                            <w:sz w:val="21"/>
                            <w:szCs w:val="21"/>
                          </w:rPr>
                          <w:t>的计提与公司年度业绩挂钩。</w:t>
                        </w:r>
                      </w:p>
                    </w:tc>
                  </w:tr>
                  <w:tr>
                    <w:trPr>
                      <w:trHeight w:val="380" w:hRule="exact"/>
                    </w:trPr>
                    <w:tc>
                      <w:tcPr>
                        <w:tcW w:w="1997" w:type="dxa"/>
                        <w:tcBorders>
                          <w:top w:val="single" w:sz="6" w:space="0" w:color="000000"/>
                          <w:left w:val="single" w:sz="6" w:space="0" w:color="000000"/>
                          <w:bottom w:val="nil" w:sz="6" w:space="0" w:color="auto"/>
                          <w:right w:val="single" w:sz="6" w:space="0" w:color="000000"/>
                        </w:tcBorders>
                        <w:shd w:val="clear" w:color="auto" w:fill="C5E1FF"/>
                      </w:tcPr>
                      <w:p>
                        <w:pPr>
                          <w:pStyle w:val="TableParagraph"/>
                          <w:spacing w:line="240" w:lineRule="auto" w:before="33"/>
                          <w:ind w:left="4" w:right="0"/>
                          <w:jc w:val="left"/>
                          <w:rPr>
                            <w:rFonts w:ascii="宋体" w:hAnsi="宋体" w:cs="宋体" w:eastAsia="宋体" w:hint="default"/>
                            <w:sz w:val="21"/>
                            <w:szCs w:val="21"/>
                          </w:rPr>
                        </w:pPr>
                        <w:r>
                          <w:rPr>
                            <w:rFonts w:ascii="宋体" w:hAnsi="宋体" w:cs="宋体" w:eastAsia="宋体" w:hint="default"/>
                            <w:sz w:val="21"/>
                            <w:szCs w:val="21"/>
                          </w:rPr>
                          <w:t>董事、监事和高级管</w:t>
                        </w:r>
                      </w:p>
                    </w:tc>
                    <w:tc>
                      <w:tcPr>
                        <w:tcW w:w="757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3"/>
                          <w:ind w:left="4" w:right="-5"/>
                          <w:jc w:val="left"/>
                          <w:rPr>
                            <w:rFonts w:ascii="宋体" w:hAnsi="宋体" w:cs="宋体" w:eastAsia="宋体" w:hint="default"/>
                            <w:sz w:val="21"/>
                            <w:szCs w:val="21"/>
                          </w:rPr>
                        </w:pPr>
                        <w:r>
                          <w:rPr>
                            <w:rFonts w:ascii="宋体" w:hAnsi="宋体" w:cs="宋体" w:eastAsia="宋体" w:hint="default"/>
                            <w:spacing w:val="-2"/>
                            <w:sz w:val="21"/>
                            <w:szCs w:val="21"/>
                          </w:rPr>
                          <w:t>公司严格按照董事、监事、高级管理人员薪酬的决策程序与确定依据支付薪酬，实</w:t>
                        </w:r>
                      </w:p>
                    </w:tc>
                  </w:tr>
                  <w:tr>
                    <w:trPr>
                      <w:trHeight w:val="338" w:hRule="exact"/>
                    </w:trPr>
                    <w:tc>
                      <w:tcPr>
                        <w:tcW w:w="1997" w:type="dxa"/>
                        <w:tcBorders>
                          <w:top w:val="nil" w:sz="6" w:space="0" w:color="auto"/>
                          <w:left w:val="single" w:sz="6" w:space="0" w:color="000000"/>
                          <w:bottom w:val="nil" w:sz="6" w:space="0" w:color="auto"/>
                          <w:right w:val="single" w:sz="6" w:space="0" w:color="000000"/>
                        </w:tcBorders>
                        <w:shd w:val="clear" w:color="auto" w:fill="C5E1FF"/>
                      </w:tcPr>
                      <w:p>
                        <w:pPr>
                          <w:pStyle w:val="TableParagraph"/>
                          <w:spacing w:line="240" w:lineRule="auto" w:before="1"/>
                          <w:ind w:left="4" w:right="0"/>
                          <w:jc w:val="left"/>
                          <w:rPr>
                            <w:rFonts w:ascii="宋体" w:hAnsi="宋体" w:cs="宋体" w:eastAsia="宋体" w:hint="default"/>
                            <w:sz w:val="21"/>
                            <w:szCs w:val="21"/>
                          </w:rPr>
                        </w:pPr>
                        <w:r>
                          <w:rPr>
                            <w:rFonts w:ascii="宋体" w:hAnsi="宋体" w:cs="宋体" w:eastAsia="宋体" w:hint="default"/>
                            <w:sz w:val="21"/>
                            <w:szCs w:val="21"/>
                          </w:rPr>
                          <w:t>理人员报酬的实际支</w:t>
                        </w:r>
                      </w:p>
                    </w:tc>
                    <w:tc>
                      <w:tcPr>
                        <w:tcW w:w="7570"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left="4" w:right="0"/>
                          <w:jc w:val="left"/>
                          <w:rPr>
                            <w:rFonts w:ascii="宋体" w:hAnsi="宋体" w:cs="宋体" w:eastAsia="宋体" w:hint="default"/>
                            <w:sz w:val="21"/>
                            <w:szCs w:val="21"/>
                          </w:rPr>
                        </w:pPr>
                        <w:r>
                          <w:rPr>
                            <w:rFonts w:ascii="宋体" w:hAnsi="宋体" w:cs="宋体" w:eastAsia="宋体" w:hint="default"/>
                            <w:sz w:val="21"/>
                            <w:szCs w:val="21"/>
                          </w:rPr>
                          <w:t>际支付情况详见下表。</w:t>
                        </w:r>
                      </w:p>
                    </w:tc>
                  </w:tr>
                  <w:tr>
                    <w:trPr>
                      <w:trHeight w:val="338" w:hRule="exact"/>
                    </w:trPr>
                    <w:tc>
                      <w:tcPr>
                        <w:tcW w:w="1997" w:type="dxa"/>
                        <w:tcBorders>
                          <w:top w:val="nil" w:sz="6" w:space="0" w:color="auto"/>
                          <w:left w:val="single" w:sz="6" w:space="0" w:color="000000"/>
                          <w:bottom w:val="single" w:sz="6" w:space="0" w:color="000000"/>
                          <w:right w:val="single" w:sz="6" w:space="0" w:color="000000"/>
                        </w:tcBorders>
                        <w:shd w:val="clear" w:color="auto" w:fill="C5E1FF"/>
                      </w:tcPr>
                      <w:p>
                        <w:pPr>
                          <w:pStyle w:val="TableParagraph"/>
                          <w:spacing w:line="273" w:lineRule="exact"/>
                          <w:ind w:left="4" w:right="0"/>
                          <w:jc w:val="left"/>
                          <w:rPr>
                            <w:rFonts w:ascii="宋体" w:hAnsi="宋体" w:cs="宋体" w:eastAsia="宋体" w:hint="default"/>
                            <w:sz w:val="21"/>
                            <w:szCs w:val="21"/>
                          </w:rPr>
                        </w:pPr>
                        <w:r>
                          <w:rPr>
                            <w:rFonts w:ascii="宋体" w:hAnsi="宋体" w:cs="宋体" w:eastAsia="宋体" w:hint="default"/>
                            <w:sz w:val="21"/>
                            <w:szCs w:val="21"/>
                          </w:rPr>
                          <w:t>付情况</w:t>
                        </w:r>
                      </w:p>
                    </w:tc>
                    <w:tc>
                      <w:tcPr>
                        <w:tcW w:w="7570" w:type="dxa"/>
                        <w:tcBorders>
                          <w:top w:val="nil" w:sz="6" w:space="0" w:color="auto"/>
                          <w:left w:val="single" w:sz="6" w:space="0" w:color="000000"/>
                          <w:bottom w:val="single" w:sz="6" w:space="0" w:color="000000"/>
                          <w:right w:val="single" w:sz="6" w:space="0" w:color="000000"/>
                        </w:tcBorders>
                      </w:tcPr>
                      <w:p>
                        <w:pPr/>
                      </w:p>
                    </w:tc>
                  </w:tr>
                </w:tbl>
                <w:p>
                  <w:pPr/>
                </w:p>
              </w:txbxContent>
            </v:textbox>
            <w10:wrap type="none"/>
          </v:shape>
        </w:pict>
      </w:r>
      <w:r>
        <w:rPr>
          <w:w w:val="100"/>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pStyle w:val="BodyText"/>
        <w:spacing w:line="240" w:lineRule="auto" w:before="36"/>
        <w:ind w:right="0"/>
        <w:jc w:val="left"/>
      </w:pPr>
      <w:r>
        <w:rPr/>
        <w:t>公司报告期内董事、监事和高级管理人员报酬情况</w:t>
      </w:r>
    </w:p>
    <w:p>
      <w:pPr>
        <w:spacing w:line="240" w:lineRule="auto" w:before="11"/>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200"/>
        <w:gridCol w:w="1354"/>
        <w:gridCol w:w="1046"/>
        <w:gridCol w:w="1200"/>
        <w:gridCol w:w="1200"/>
        <w:gridCol w:w="1200"/>
        <w:gridCol w:w="1200"/>
        <w:gridCol w:w="1200"/>
      </w:tblGrid>
      <w:tr>
        <w:trPr>
          <w:trHeight w:val="1233"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84"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3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383"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任职状态</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167"/>
              <w:ind w:left="67" w:right="65"/>
              <w:jc w:val="left"/>
              <w:rPr>
                <w:rFonts w:ascii="宋体" w:hAnsi="宋体" w:cs="宋体" w:eastAsia="宋体" w:hint="default"/>
                <w:sz w:val="21"/>
                <w:szCs w:val="21"/>
              </w:rPr>
            </w:pPr>
            <w:r>
              <w:rPr>
                <w:rFonts w:ascii="宋体" w:hAnsi="宋体" w:cs="宋体" w:eastAsia="宋体" w:hint="default"/>
                <w:sz w:val="21"/>
                <w:szCs w:val="21"/>
              </w:rPr>
              <w:t>从公司获得</w:t>
            </w:r>
            <w:r>
              <w:rPr>
                <w:rFonts w:ascii="宋体" w:hAnsi="宋体" w:cs="宋体" w:eastAsia="宋体" w:hint="default"/>
                <w:spacing w:val="-100"/>
                <w:sz w:val="21"/>
                <w:szCs w:val="21"/>
              </w:rPr>
              <w:t> </w:t>
            </w:r>
            <w:r>
              <w:rPr>
                <w:rFonts w:ascii="宋体" w:hAnsi="宋体" w:cs="宋体" w:eastAsia="宋体" w:hint="default"/>
                <w:sz w:val="21"/>
                <w:szCs w:val="21"/>
              </w:rPr>
              <w:t>的报酬总额</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67" w:right="0"/>
              <w:jc w:val="left"/>
              <w:rPr>
                <w:rFonts w:ascii="宋体" w:hAnsi="宋体" w:cs="宋体" w:eastAsia="宋体" w:hint="default"/>
                <w:sz w:val="21"/>
                <w:szCs w:val="21"/>
              </w:rPr>
            </w:pPr>
            <w:r>
              <w:rPr>
                <w:rFonts w:ascii="宋体" w:hAnsi="宋体" w:cs="宋体" w:eastAsia="宋体" w:hint="default"/>
                <w:sz w:val="21"/>
                <w:szCs w:val="21"/>
              </w:rPr>
              <w:t>从股东单位</w:t>
            </w:r>
          </w:p>
          <w:p>
            <w:pPr>
              <w:pStyle w:val="TableParagraph"/>
              <w:spacing w:line="355" w:lineRule="auto" w:before="133"/>
              <w:ind w:left="383" w:right="65" w:hanging="317"/>
              <w:jc w:val="left"/>
              <w:rPr>
                <w:rFonts w:ascii="宋体" w:hAnsi="宋体" w:cs="宋体" w:eastAsia="宋体" w:hint="default"/>
                <w:sz w:val="21"/>
                <w:szCs w:val="21"/>
              </w:rPr>
            </w:pPr>
            <w:r>
              <w:rPr>
                <w:rFonts w:ascii="宋体" w:hAnsi="宋体" w:cs="宋体" w:eastAsia="宋体" w:hint="default"/>
                <w:sz w:val="21"/>
                <w:szCs w:val="21"/>
              </w:rPr>
              <w:t>获得的报酬</w:t>
            </w:r>
            <w:r>
              <w:rPr>
                <w:rFonts w:ascii="宋体" w:hAnsi="宋体" w:cs="宋体" w:eastAsia="宋体" w:hint="default"/>
                <w:spacing w:val="-100"/>
                <w:sz w:val="21"/>
                <w:szCs w:val="21"/>
              </w:rPr>
              <w:t> </w:t>
            </w:r>
            <w:r>
              <w:rPr>
                <w:rFonts w:ascii="宋体" w:hAnsi="宋体" w:cs="宋体" w:eastAsia="宋体" w:hint="default"/>
                <w:sz w:val="21"/>
                <w:szCs w:val="21"/>
              </w:rPr>
              <w:t>总额</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167"/>
              <w:ind w:left="67" w:right="65"/>
              <w:jc w:val="left"/>
              <w:rPr>
                <w:rFonts w:ascii="宋体" w:hAnsi="宋体" w:cs="宋体" w:eastAsia="宋体" w:hint="default"/>
                <w:sz w:val="21"/>
                <w:szCs w:val="21"/>
              </w:rPr>
            </w:pPr>
            <w:r>
              <w:rPr>
                <w:rFonts w:ascii="宋体" w:hAnsi="宋体" w:cs="宋体" w:eastAsia="宋体" w:hint="default"/>
                <w:sz w:val="21"/>
                <w:szCs w:val="21"/>
              </w:rPr>
              <w:t>报告期末实</w:t>
            </w:r>
            <w:r>
              <w:rPr>
                <w:rFonts w:ascii="宋体" w:hAnsi="宋体" w:cs="宋体" w:eastAsia="宋体" w:hint="default"/>
                <w:spacing w:val="-100"/>
                <w:sz w:val="21"/>
                <w:szCs w:val="21"/>
              </w:rPr>
              <w:t> </w:t>
            </w:r>
            <w:r>
              <w:rPr>
                <w:rFonts w:ascii="宋体" w:hAnsi="宋体" w:cs="宋体" w:eastAsia="宋体" w:hint="default"/>
                <w:sz w:val="21"/>
                <w:szCs w:val="21"/>
              </w:rPr>
              <w:t>际所得报酬</w:t>
            </w:r>
          </w:p>
        </w:tc>
      </w:tr>
      <w:tr>
        <w:trPr>
          <w:trHeight w:val="418" w:hRule="exact"/>
        </w:trPr>
        <w:tc>
          <w:tcPr>
            <w:tcW w:w="9600"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5" w:lineRule="exact"/>
              <w:ind w:left="2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董事</w:t>
            </w:r>
            <w:r>
              <w:rPr>
                <w:rFonts w:ascii="Microsoft JhengHei" w:hAnsi="Microsoft JhengHei" w:cs="Microsoft JhengHei" w:eastAsia="Microsoft JhengHei" w:hint="default"/>
                <w:sz w:val="21"/>
                <w:szCs w:val="21"/>
              </w:rPr>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陈泰泉</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120,000.00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100,800.00</w:t>
            </w:r>
          </w:p>
        </w:tc>
      </w:tr>
      <w:tr>
        <w:trPr>
          <w:trHeight w:val="4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颜金辉</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318,000.00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241,301.95</w:t>
            </w:r>
          </w:p>
        </w:tc>
      </w:tr>
      <w:tr>
        <w:trPr>
          <w:trHeight w:val="57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4" w:right="0"/>
              <w:jc w:val="left"/>
              <w:rPr>
                <w:rFonts w:ascii="宋体" w:hAnsi="宋体" w:cs="宋体" w:eastAsia="宋体" w:hint="default"/>
                <w:sz w:val="21"/>
                <w:szCs w:val="21"/>
              </w:rPr>
            </w:pPr>
            <w:r>
              <w:rPr>
                <w:rFonts w:ascii="宋体" w:hAnsi="宋体" w:cs="宋体" w:eastAsia="宋体" w:hint="default"/>
                <w:sz w:val="21"/>
                <w:szCs w:val="21"/>
              </w:rPr>
              <w:t>周非</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z w:val="21"/>
              </w:rPr>
              <w:t>51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z w:val="21"/>
              </w:rPr>
              <w:t>816,131.50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z w:val="21"/>
              </w:rPr>
              <w:t>597,287.96</w:t>
            </w:r>
          </w:p>
        </w:tc>
      </w:tr>
      <w:tr>
        <w:trPr>
          <w:trHeight w:val="4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高文清</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396,000.00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295,901.95</w:t>
            </w:r>
          </w:p>
        </w:tc>
      </w:tr>
      <w:tr>
        <w:trPr>
          <w:trHeight w:val="82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4" w:right="0"/>
              <w:jc w:val="left"/>
              <w:rPr>
                <w:rFonts w:ascii="宋体" w:hAnsi="宋体" w:cs="宋体" w:eastAsia="宋体" w:hint="default"/>
                <w:sz w:val="21"/>
                <w:szCs w:val="21"/>
              </w:rPr>
            </w:pPr>
            <w:r>
              <w:rPr>
                <w:rFonts w:ascii="宋体" w:hAnsi="宋体" w:cs="宋体" w:eastAsia="宋体" w:hint="default"/>
                <w:sz w:val="21"/>
                <w:szCs w:val="21"/>
              </w:rPr>
              <w:t>罗伟光</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董事、副总经</w:t>
            </w:r>
          </w:p>
          <w:p>
            <w:pPr>
              <w:pStyle w:val="TableParagraph"/>
              <w:spacing w:line="240" w:lineRule="auto" w:before="133"/>
              <w:ind w:left="23" w:right="0"/>
              <w:jc w:val="left"/>
              <w:rPr>
                <w:rFonts w:ascii="宋体" w:hAnsi="宋体" w:cs="宋体" w:eastAsia="宋体" w:hint="default"/>
                <w:sz w:val="21"/>
                <w:szCs w:val="21"/>
              </w:rPr>
            </w:pPr>
            <w:r>
              <w:rPr>
                <w:rFonts w:ascii="宋体" w:hAnsi="宋体" w:cs="宋体" w:eastAsia="宋体" w:hint="default"/>
                <w:w w:val="100"/>
                <w:sz w:val="21"/>
                <w:szCs w:val="21"/>
              </w:rPr>
              <w:t>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59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630,453.00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469,612.57</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陈匡国</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张育新</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徐志新</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44</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120,000.00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100,800.00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陈伟强</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120,000.00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100,800.00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梁发贤</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邓远帆</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郭山清</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钟征宇</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贺雪琴</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陈凤娇</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bl>
    <w:p>
      <w:pPr>
        <w:spacing w:after="0" w:line="240" w:lineRule="auto"/>
        <w:jc w:val="right"/>
        <w:rPr>
          <w:rFonts w:ascii="Times New Roman" w:hAnsi="Times New Roman" w:cs="Times New Roman" w:eastAsia="Times New Roman" w:hint="default"/>
          <w:sz w:val="21"/>
          <w:szCs w:val="21"/>
        </w:rPr>
        <w:sectPr>
          <w:pgSz w:w="11900" w:h="16840"/>
          <w:pgMar w:header="872" w:footer="957" w:top="1120" w:bottom="1180" w:left="980" w:right="98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200"/>
        <w:gridCol w:w="1354"/>
        <w:gridCol w:w="1046"/>
        <w:gridCol w:w="1200"/>
        <w:gridCol w:w="1200"/>
        <w:gridCol w:w="1200"/>
        <w:gridCol w:w="1200"/>
        <w:gridCol w:w="1200"/>
      </w:tblGrid>
      <w:tr>
        <w:trPr>
          <w:trHeight w:val="451"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4" w:right="0"/>
              <w:jc w:val="left"/>
              <w:rPr>
                <w:rFonts w:ascii="宋体" w:hAnsi="宋体" w:cs="宋体" w:eastAsia="宋体" w:hint="default"/>
                <w:sz w:val="21"/>
                <w:szCs w:val="21"/>
              </w:rPr>
            </w:pPr>
            <w:r>
              <w:rPr>
                <w:rFonts w:ascii="宋体" w:hAnsi="宋体" w:cs="宋体" w:eastAsia="宋体" w:hint="default"/>
                <w:sz w:val="21"/>
                <w:szCs w:val="21"/>
              </w:rPr>
              <w:t>何祥增</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Times New Roman" w:hAnsi="Times New Roman" w:cs="Times New Roman" w:eastAsia="Times New Roman" w:hint="default"/>
                <w:sz w:val="21"/>
                <w:szCs w:val="21"/>
              </w:rPr>
            </w:pPr>
            <w:r>
              <w:rPr>
                <w:rFonts w:ascii="Times New Roman"/>
                <w:sz w:val="21"/>
              </w:rPr>
              <w:t>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20" w:hRule="exact"/>
        </w:trPr>
        <w:tc>
          <w:tcPr>
            <w:tcW w:w="9600" w:type="dxa"/>
            <w:gridSpan w:val="8"/>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65" w:lineRule="exact"/>
              <w:ind w:left="2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监事</w:t>
            </w:r>
            <w:r>
              <w:rPr>
                <w:rFonts w:ascii="Microsoft JhengHei" w:hAnsi="Microsoft JhengHei" w:cs="Microsoft JhengHei" w:eastAsia="Microsoft JhengHei" w:hint="default"/>
                <w:sz w:val="21"/>
                <w:szCs w:val="21"/>
              </w:rPr>
            </w:r>
          </w:p>
        </w:tc>
      </w:tr>
      <w:tr>
        <w:trPr>
          <w:trHeight w:val="42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骆文明</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监事长</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2"/>
              <w:jc w:val="right"/>
              <w:rPr>
                <w:rFonts w:ascii="Times New Roman" w:hAnsi="Times New Roman" w:cs="Times New Roman" w:eastAsia="Times New Roman" w:hint="default"/>
                <w:sz w:val="21"/>
                <w:szCs w:val="21"/>
              </w:rPr>
            </w:pPr>
            <w:r>
              <w:rPr>
                <w:rFonts w:ascii="Times New Roman"/>
                <w:sz w:val="21"/>
              </w:rPr>
              <w:t>49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2"/>
              <w:jc w:val="right"/>
              <w:rPr>
                <w:rFonts w:ascii="Times New Roman" w:hAnsi="Times New Roman" w:cs="Times New Roman" w:eastAsia="Times New Roman" w:hint="default"/>
                <w:sz w:val="21"/>
                <w:szCs w:val="21"/>
              </w:rPr>
            </w:pPr>
            <w:r>
              <w:rPr>
                <w:rFonts w:ascii="Times New Roman"/>
                <w:sz w:val="21"/>
              </w:rPr>
              <w:t>30,000.00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2"/>
              <w:jc w:val="right"/>
              <w:rPr>
                <w:rFonts w:ascii="Times New Roman" w:hAnsi="Times New Roman" w:cs="Times New Roman" w:eastAsia="Times New Roman" w:hint="default"/>
                <w:sz w:val="21"/>
                <w:szCs w:val="21"/>
              </w:rPr>
            </w:pPr>
            <w:r>
              <w:rPr>
                <w:rFonts w:ascii="Times New Roman"/>
                <w:sz w:val="21"/>
              </w:rPr>
              <w:t>25,200.00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尤明天</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506,195.00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380,034.30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陈昌华</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50,400.00</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李联添</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277,814.00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218,614.58</w:t>
            </w:r>
          </w:p>
        </w:tc>
      </w:tr>
      <w:tr>
        <w:trPr>
          <w:trHeight w:val="547"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张育新</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z w:val="21"/>
              </w:rPr>
              <w:t>63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z w:val="21"/>
              </w:rPr>
              <w:t>30,000.00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2"/>
              <w:jc w:val="right"/>
              <w:rPr>
                <w:rFonts w:ascii="Times New Roman" w:hAnsi="Times New Roman" w:cs="Times New Roman" w:eastAsia="Times New Roman" w:hint="default"/>
                <w:sz w:val="21"/>
                <w:szCs w:val="21"/>
              </w:rPr>
            </w:pPr>
            <w:r>
              <w:rPr>
                <w:rFonts w:ascii="Times New Roman"/>
                <w:sz w:val="21"/>
              </w:rPr>
              <w:t>25,200.00</w:t>
            </w:r>
          </w:p>
        </w:tc>
      </w:tr>
      <w:tr>
        <w:trPr>
          <w:trHeight w:val="422" w:hRule="exact"/>
        </w:trPr>
        <w:tc>
          <w:tcPr>
            <w:tcW w:w="9600" w:type="dxa"/>
            <w:gridSpan w:val="8"/>
            <w:tcBorders>
              <w:top w:val="single" w:sz="4" w:space="0" w:color="000000"/>
              <w:left w:val="single" w:sz="4" w:space="0" w:color="000000"/>
              <w:bottom w:val="single" w:sz="4" w:space="0" w:color="000000"/>
              <w:right w:val="single" w:sz="4" w:space="0" w:color="000000"/>
            </w:tcBorders>
            <w:shd w:val="clear" w:color="auto" w:fill="BFBFBF"/>
          </w:tcPr>
          <w:p>
            <w:pPr>
              <w:pStyle w:val="TableParagraph"/>
              <w:spacing w:line="265" w:lineRule="exact"/>
              <w:ind w:left="2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其他高级管理人员</w:t>
            </w:r>
            <w:r>
              <w:rPr>
                <w:rFonts w:ascii="Microsoft JhengHei" w:hAnsi="Microsoft JhengHei" w:cs="Microsoft JhengHei" w:eastAsia="Microsoft JhengHei" w:hint="default"/>
                <w:sz w:val="21"/>
                <w:szCs w:val="21"/>
              </w:rPr>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陈汉忠</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60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496,170.00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376,362.78</w:t>
            </w:r>
          </w:p>
        </w:tc>
      </w:tr>
      <w:tr>
        <w:trPr>
          <w:trHeight w:val="82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4" w:right="0"/>
              <w:jc w:val="left"/>
              <w:rPr>
                <w:rFonts w:ascii="宋体" w:hAnsi="宋体" w:cs="宋体" w:eastAsia="宋体" w:hint="default"/>
                <w:sz w:val="21"/>
                <w:szCs w:val="21"/>
              </w:rPr>
            </w:pPr>
            <w:r>
              <w:rPr>
                <w:rFonts w:ascii="宋体" w:hAnsi="宋体" w:cs="宋体" w:eastAsia="宋体" w:hint="default"/>
                <w:sz w:val="21"/>
                <w:szCs w:val="21"/>
              </w:rPr>
              <w:t>沈蜀江</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董事会秘书兼</w:t>
            </w:r>
          </w:p>
          <w:p>
            <w:pPr>
              <w:pStyle w:val="TableParagraph"/>
              <w:spacing w:line="240" w:lineRule="auto" w:before="133"/>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宋体" w:hAnsi="宋体" w:cs="宋体" w:eastAsia="宋体" w:hint="default"/>
                <w:w w:val="100"/>
                <w:sz w:val="21"/>
                <w:szCs w:val="21"/>
              </w:rPr>
              <w:t>女</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42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473,050.00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355,554.78</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钟民</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现任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496,030.00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376,236.78</w:t>
            </w:r>
          </w:p>
        </w:tc>
      </w:tr>
      <w:tr>
        <w:trPr>
          <w:trHeight w:val="422"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于银彪</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总经理助理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395,251.50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297,521.18</w:t>
            </w:r>
          </w:p>
        </w:tc>
      </w:tr>
      <w:tr>
        <w:trPr>
          <w:trHeight w:val="41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黄旭辉</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总经理助理</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395,186.50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297,375.68</w:t>
            </w:r>
          </w:p>
        </w:tc>
      </w:tr>
      <w:tr>
        <w:trPr>
          <w:trHeight w:val="430"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杨子宁</w:t>
            </w:r>
          </w:p>
        </w:tc>
        <w:tc>
          <w:tcPr>
            <w:tcW w:w="1354" w:type="dxa"/>
            <w:tcBorders>
              <w:top w:val="single" w:sz="4" w:space="0" w:color="000000"/>
              <w:left w:val="single" w:sz="4" w:space="0" w:color="000000"/>
              <w:bottom w:val="single" w:sz="14" w:space="0" w:color="D2D2D2"/>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046" w:type="dxa"/>
            <w:tcBorders>
              <w:top w:val="single" w:sz="4" w:space="0" w:color="000000"/>
              <w:left w:val="single" w:sz="4" w:space="0" w:color="000000"/>
              <w:bottom w:val="single" w:sz="14" w:space="0" w:color="D2D2D2"/>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男</w:t>
            </w:r>
          </w:p>
        </w:tc>
        <w:tc>
          <w:tcPr>
            <w:tcW w:w="1200" w:type="dxa"/>
            <w:tcBorders>
              <w:top w:val="single" w:sz="4" w:space="0" w:color="000000"/>
              <w:left w:val="single" w:sz="4" w:space="0" w:color="000000"/>
              <w:bottom w:val="single" w:sz="14" w:space="0" w:color="D2D2D2"/>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40</w:t>
            </w:r>
          </w:p>
        </w:tc>
        <w:tc>
          <w:tcPr>
            <w:tcW w:w="1200" w:type="dxa"/>
            <w:tcBorders>
              <w:top w:val="single" w:sz="4" w:space="0" w:color="000000"/>
              <w:left w:val="single" w:sz="4" w:space="0" w:color="000000"/>
              <w:bottom w:val="single" w:sz="14" w:space="0" w:color="D2D2D2"/>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450,000.00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333,547.92</w:t>
            </w:r>
          </w:p>
        </w:tc>
      </w:tr>
      <w:tr>
        <w:trPr>
          <w:trHeight w:val="394" w:hRule="exact"/>
        </w:trPr>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8" w:lineRule="exact"/>
              <w:ind w:left="38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1"/>
              <w:jc w:val="center"/>
              <w:rPr>
                <w:rFonts w:ascii="Times New Roman" w:hAnsi="Times New Roman" w:cs="Times New Roman" w:eastAsia="Times New Roman" w:hint="default"/>
                <w:sz w:val="21"/>
                <w:szCs w:val="21"/>
              </w:rPr>
            </w:pPr>
            <w:r>
              <w:rPr>
                <w:rFonts w:ascii="Times New Roman"/>
                <w:sz w:val="21"/>
              </w:rPr>
              <w:t>--</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1"/>
              <w:jc w:val="center"/>
              <w:rPr>
                <w:rFonts w:ascii="Times New Roman" w:hAnsi="Times New Roman" w:cs="Times New Roman" w:eastAsia="Times New Roman" w:hint="default"/>
                <w:sz w:val="21"/>
                <w:szCs w:val="21"/>
              </w:rPr>
            </w:pPr>
            <w:r>
              <w:rPr>
                <w:rFonts w:ascii="Times New Roman"/>
                <w:sz w:val="21"/>
              </w:rPr>
              <w:t>--</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1"/>
              <w:jc w:val="center"/>
              <w:rPr>
                <w:rFonts w:ascii="Times New Roman" w:hAnsi="Times New Roman" w:cs="Times New Roman" w:eastAsia="Times New Roman" w:hint="default"/>
                <w:sz w:val="21"/>
                <w:szCs w:val="21"/>
              </w:rPr>
            </w:pPr>
            <w:r>
              <w:rPr>
                <w:rFonts w:ascii="Times New Roman"/>
                <w:sz w:val="21"/>
              </w:rPr>
              <w:t>--</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
              <w:ind w:right="1"/>
              <w:jc w:val="center"/>
              <w:rPr>
                <w:rFonts w:ascii="Times New Roman" w:hAnsi="Times New Roman" w:cs="Times New Roman" w:eastAsia="Times New Roman" w:hint="default"/>
                <w:sz w:val="21"/>
                <w:szCs w:val="21"/>
              </w:rPr>
            </w:pPr>
            <w:r>
              <w:rPr>
                <w:rFonts w:ascii="Times New Roman"/>
                <w:sz w:val="21"/>
              </w:rPr>
              <w:t>--</w:t>
            </w:r>
          </w:p>
        </w:tc>
        <w:tc>
          <w:tcPr>
            <w:tcW w:w="120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2"/>
              <w:ind w:right="22"/>
              <w:jc w:val="right"/>
              <w:rPr>
                <w:rFonts w:ascii="Times New Roman" w:hAnsi="Times New Roman" w:cs="Times New Roman" w:eastAsia="Times New Roman" w:hint="default"/>
                <w:sz w:val="21"/>
                <w:szCs w:val="21"/>
              </w:rPr>
            </w:pPr>
            <w:r>
              <w:rPr>
                <w:rFonts w:ascii="Times New Roman"/>
                <w:sz w:val="21"/>
              </w:rPr>
              <w:t>6,670,281.50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22"/>
              <w:jc w:val="right"/>
              <w:rPr>
                <w:rFonts w:ascii="Times New Roman" w:hAnsi="Times New Roman" w:cs="Times New Roman" w:eastAsia="Times New Roman" w:hint="default"/>
                <w:sz w:val="21"/>
                <w:szCs w:val="21"/>
              </w:rPr>
            </w:pPr>
            <w:r>
              <w:rPr>
                <w:rFonts w:ascii="Times New Roman"/>
                <w:sz w:val="21"/>
              </w:rPr>
              <w:t>0.00</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22"/>
              <w:jc w:val="right"/>
              <w:rPr>
                <w:rFonts w:ascii="Times New Roman" w:hAnsi="Times New Roman" w:cs="Times New Roman" w:eastAsia="Times New Roman" w:hint="default"/>
                <w:sz w:val="21"/>
                <w:szCs w:val="21"/>
              </w:rPr>
            </w:pPr>
            <w:r>
              <w:rPr>
                <w:rFonts w:ascii="Times New Roman"/>
                <w:sz w:val="21"/>
              </w:rPr>
              <w:t>5,096,152.43</w:t>
            </w:r>
          </w:p>
        </w:tc>
      </w:tr>
    </w:tbl>
    <w:p>
      <w:pPr>
        <w:pStyle w:val="BodyText"/>
        <w:spacing w:line="252" w:lineRule="exact"/>
        <w:ind w:right="0"/>
        <w:jc w:val="left"/>
      </w:pPr>
      <w:r>
        <w:rPr/>
        <w:t>公司董事、监事、高级管理人员报告期内被授予的股权激励情况</w:t>
      </w:r>
    </w:p>
    <w:p>
      <w:pPr>
        <w:pStyle w:val="BodyText"/>
        <w:spacing w:line="240" w:lineRule="auto" w:before="133"/>
        <w:ind w:right="0"/>
        <w:jc w:val="left"/>
      </w:pPr>
      <w:r>
        <w:rPr/>
        <w:t>□ 适用 √</w:t>
      </w:r>
      <w:r>
        <w:rPr>
          <w:spacing w:val="3"/>
        </w:rPr>
        <w:t> </w:t>
      </w:r>
      <w:r>
        <w:rPr/>
        <w:t>不适用</w:t>
      </w:r>
    </w:p>
    <w:p>
      <w:pPr>
        <w:spacing w:line="240" w:lineRule="auto" w:before="8"/>
        <w:rPr>
          <w:rFonts w:ascii="宋体" w:hAnsi="宋体" w:cs="宋体" w:eastAsia="宋体" w:hint="default"/>
          <w:sz w:val="26"/>
          <w:szCs w:val="26"/>
        </w:rPr>
      </w:pPr>
    </w:p>
    <w:p>
      <w:pPr>
        <w:pStyle w:val="Heading4"/>
        <w:spacing w:line="240" w:lineRule="auto"/>
        <w:ind w:right="0"/>
        <w:jc w:val="left"/>
        <w:rPr>
          <w:b w:val="0"/>
          <w:bCs w:val="0"/>
        </w:rPr>
      </w:pPr>
      <w:r>
        <w:rPr/>
        <w:t>四、公司董事、监事、高级管理人员离职和解聘情况</w:t>
      </w:r>
      <w:r>
        <w:rPr>
          <w:b w:val="0"/>
          <w:bCs w:val="0"/>
        </w:rPr>
      </w:r>
    </w:p>
    <w:p>
      <w:pPr>
        <w:spacing w:line="240" w:lineRule="auto" w:before="5"/>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0"/>
        <w:gridCol w:w="1330"/>
        <w:gridCol w:w="4248"/>
      </w:tblGrid>
      <w:tr>
        <w:trPr>
          <w:trHeight w:val="278"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129"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类型</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2"/>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557"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郭山清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离职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任期届满</w:t>
            </w:r>
          </w:p>
        </w:tc>
      </w:tr>
      <w:tr>
        <w:trPr>
          <w:trHeight w:val="55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钟征宇</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离职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任期届满</w:t>
            </w:r>
          </w:p>
        </w:tc>
      </w:tr>
      <w:tr>
        <w:trPr>
          <w:trHeight w:val="557"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贺雪琴</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离职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任期届满</w:t>
            </w:r>
          </w:p>
        </w:tc>
      </w:tr>
      <w:tr>
        <w:trPr>
          <w:trHeight w:val="557"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陈凤娇</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离职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任期届满</w:t>
            </w:r>
          </w:p>
        </w:tc>
      </w:tr>
      <w:tr>
        <w:trPr>
          <w:trHeight w:val="55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李联添</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离职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任期届满</w:t>
            </w:r>
          </w:p>
        </w:tc>
      </w:tr>
      <w:tr>
        <w:trPr>
          <w:trHeight w:val="557"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张育新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离职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任期届满</w:t>
            </w:r>
          </w:p>
        </w:tc>
      </w:tr>
      <w:tr>
        <w:trPr>
          <w:trHeight w:val="55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杨子宁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解聘</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0"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公司工作安排</w:t>
            </w:r>
          </w:p>
        </w:tc>
      </w:tr>
      <w:tr>
        <w:trPr>
          <w:trHeight w:val="557"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于银彪</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总经理助理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根据《公</w:t>
            </w:r>
            <w:r>
              <w:rPr>
                <w:rFonts w:ascii="宋体" w:hAnsi="宋体" w:cs="宋体" w:eastAsia="宋体" w:hint="default"/>
                <w:spacing w:val="-5"/>
                <w:w w:val="100"/>
                <w:sz w:val="21"/>
                <w:szCs w:val="21"/>
              </w:rPr>
              <w:t>司</w:t>
            </w:r>
            <w:r>
              <w:rPr>
                <w:rFonts w:ascii="宋体" w:hAnsi="宋体" w:cs="宋体" w:eastAsia="宋体" w:hint="default"/>
                <w:w w:val="100"/>
                <w:sz w:val="21"/>
                <w:szCs w:val="21"/>
              </w:rPr>
              <w:t>章程</w:t>
            </w:r>
            <w:r>
              <w:rPr>
                <w:rFonts w:ascii="宋体" w:hAnsi="宋体" w:cs="宋体" w:eastAsia="宋体" w:hint="default"/>
                <w:spacing w:val="-106"/>
                <w:w w:val="100"/>
                <w:sz w:val="21"/>
                <w:szCs w:val="21"/>
              </w:rPr>
              <w:t>》</w:t>
            </w:r>
            <w:r>
              <w:rPr>
                <w:rFonts w:ascii="宋体" w:hAnsi="宋体" w:cs="宋体" w:eastAsia="宋体" w:hint="default"/>
                <w:spacing w:val="-1"/>
                <w:w w:val="100"/>
                <w:sz w:val="21"/>
                <w:szCs w:val="21"/>
              </w:rPr>
              <w:t>，</w:t>
            </w:r>
            <w:r>
              <w:rPr>
                <w:rFonts w:ascii="宋体" w:hAnsi="宋体" w:cs="宋体" w:eastAsia="宋体" w:hint="default"/>
                <w:spacing w:val="-5"/>
                <w:w w:val="100"/>
                <w:sz w:val="21"/>
                <w:szCs w:val="21"/>
              </w:rPr>
              <w:t>总</w:t>
            </w:r>
            <w:r>
              <w:rPr>
                <w:rFonts w:ascii="宋体" w:hAnsi="宋体" w:cs="宋体" w:eastAsia="宋体" w:hint="default"/>
                <w:w w:val="100"/>
                <w:sz w:val="21"/>
                <w:szCs w:val="21"/>
              </w:rPr>
              <w:t>经理助</w:t>
            </w:r>
            <w:r>
              <w:rPr>
                <w:rFonts w:ascii="宋体" w:hAnsi="宋体" w:cs="宋体" w:eastAsia="宋体" w:hint="default"/>
                <w:spacing w:val="-5"/>
                <w:w w:val="100"/>
                <w:sz w:val="21"/>
                <w:szCs w:val="21"/>
              </w:rPr>
              <w:t>理</w:t>
            </w:r>
            <w:r>
              <w:rPr>
                <w:rFonts w:ascii="宋体" w:hAnsi="宋体" w:cs="宋体" w:eastAsia="宋体" w:hint="default"/>
                <w:w w:val="100"/>
                <w:sz w:val="21"/>
                <w:szCs w:val="21"/>
              </w:rPr>
              <w:t>不再属</w:t>
            </w:r>
            <w:r>
              <w:rPr>
                <w:rFonts w:ascii="宋体" w:hAnsi="宋体" w:cs="宋体" w:eastAsia="宋体" w:hint="default"/>
                <w:spacing w:val="-5"/>
                <w:w w:val="100"/>
                <w:sz w:val="21"/>
                <w:szCs w:val="21"/>
              </w:rPr>
              <w:t>于</w:t>
            </w:r>
            <w:r>
              <w:rPr>
                <w:rFonts w:ascii="宋体" w:hAnsi="宋体" w:cs="宋体" w:eastAsia="宋体" w:hint="default"/>
                <w:w w:val="100"/>
                <w:sz w:val="21"/>
                <w:szCs w:val="21"/>
              </w:rPr>
              <w:t>高管</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职务。</w:t>
            </w:r>
          </w:p>
        </w:tc>
      </w:tr>
      <w:tr>
        <w:trPr>
          <w:trHeight w:val="55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4" w:right="0"/>
              <w:jc w:val="left"/>
              <w:rPr>
                <w:rFonts w:ascii="宋体" w:hAnsi="宋体" w:cs="宋体" w:eastAsia="宋体" w:hint="default"/>
                <w:sz w:val="21"/>
                <w:szCs w:val="21"/>
              </w:rPr>
            </w:pPr>
            <w:r>
              <w:rPr>
                <w:rFonts w:ascii="宋体" w:hAnsi="宋体" w:cs="宋体" w:eastAsia="宋体" w:hint="default"/>
                <w:sz w:val="21"/>
                <w:szCs w:val="21"/>
              </w:rPr>
              <w:t>黄旭辉</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总经理助理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4"/>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3" w:right="0"/>
              <w:jc w:val="left"/>
              <w:rPr>
                <w:rFonts w:ascii="宋体" w:hAnsi="宋体" w:cs="宋体" w:eastAsia="宋体" w:hint="default"/>
                <w:sz w:val="21"/>
                <w:szCs w:val="21"/>
              </w:rPr>
            </w:pPr>
            <w:r>
              <w:rPr>
                <w:rFonts w:ascii="宋体" w:hAnsi="宋体" w:cs="宋体" w:eastAsia="宋体" w:hint="default"/>
                <w:sz w:val="21"/>
                <w:szCs w:val="21"/>
              </w:rPr>
              <w:t>同上</w:t>
            </w:r>
          </w:p>
        </w:tc>
      </w:tr>
    </w:tbl>
    <w:p>
      <w:pPr>
        <w:spacing w:after="0" w:line="240" w:lineRule="auto"/>
        <w:jc w:val="left"/>
        <w:rPr>
          <w:rFonts w:ascii="宋体" w:hAnsi="宋体" w:cs="宋体" w:eastAsia="宋体" w:hint="default"/>
          <w:sz w:val="21"/>
          <w:szCs w:val="21"/>
        </w:rPr>
        <w:sectPr>
          <w:pgSz w:w="11900" w:h="16840"/>
          <w:pgMar w:header="872" w:footer="957" w:top="1120" w:bottom="1180" w:left="980" w:right="980"/>
        </w:sectPr>
      </w:pPr>
    </w:p>
    <w:p>
      <w:pPr>
        <w:spacing w:line="240" w:lineRule="auto" w:before="12"/>
        <w:rPr>
          <w:rFonts w:ascii="Microsoft JhengHei" w:hAnsi="Microsoft JhengHei" w:cs="Microsoft JhengHei" w:eastAsia="Microsoft JhengHei" w:hint="default"/>
          <w:b/>
          <w:bCs/>
          <w:sz w:val="14"/>
          <w:szCs w:val="14"/>
        </w:rPr>
      </w:pPr>
    </w:p>
    <w:p>
      <w:pPr>
        <w:pStyle w:val="Heading4"/>
        <w:spacing w:line="367" w:lineRule="exact"/>
        <w:ind w:left="136" w:right="8023"/>
        <w:jc w:val="center"/>
        <w:rPr>
          <w:b w:val="0"/>
          <w:bCs w:val="0"/>
        </w:rPr>
      </w:pPr>
      <w:r>
        <w:rPr/>
        <w:t>五、公司员工情况</w:t>
      </w:r>
      <w:r>
        <w:rPr>
          <w:b w:val="0"/>
          <w:bCs w:val="0"/>
        </w:rPr>
      </w:r>
    </w:p>
    <w:p>
      <w:pPr>
        <w:pStyle w:val="Heading6"/>
        <w:spacing w:line="240" w:lineRule="auto" w:before="207"/>
        <w:ind w:left="469" w:right="0"/>
        <w:jc w:val="left"/>
        <w:rPr>
          <w:b w:val="0"/>
          <w:bCs w:val="0"/>
        </w:rPr>
      </w:pPr>
      <w:r>
        <w:rPr/>
        <w:t>1、员工人数</w:t>
      </w:r>
      <w:r>
        <w:rPr>
          <w:b w:val="0"/>
          <w:bCs w:val="0"/>
        </w:rPr>
      </w:r>
    </w:p>
    <w:p>
      <w:pPr>
        <w:spacing w:line="240" w:lineRule="auto" w:before="0"/>
        <w:rPr>
          <w:rFonts w:ascii="Microsoft JhengHei" w:hAnsi="Microsoft JhengHei" w:cs="Microsoft JhengHei" w:eastAsia="Microsoft JhengHei" w:hint="default"/>
          <w:b/>
          <w:bCs/>
          <w:sz w:val="14"/>
          <w:szCs w:val="14"/>
        </w:rPr>
      </w:pPr>
    </w:p>
    <w:p>
      <w:pPr>
        <w:pStyle w:val="BodyText"/>
        <w:spacing w:line="240" w:lineRule="auto"/>
        <w:ind w:left="469" w:right="0"/>
        <w:jc w:val="left"/>
      </w:pPr>
      <w:r>
        <w:rPr/>
        <w:t>截止报告期末，公司在职员工总数</w:t>
      </w:r>
      <w:r>
        <w:rPr>
          <w:rFonts w:ascii="Times New Roman" w:hAnsi="Times New Roman" w:cs="Times New Roman" w:eastAsia="Times New Roman" w:hint="default"/>
        </w:rPr>
        <w:t>934</w:t>
      </w:r>
      <w:r>
        <w:rPr/>
        <w:t>人，其中：</w:t>
      </w:r>
    </w:p>
    <w:tbl>
      <w:tblPr>
        <w:tblW w:w="0" w:type="auto"/>
        <w:jc w:val="left"/>
        <w:tblInd w:w="143" w:type="dxa"/>
        <w:tblLayout w:type="fixed"/>
        <w:tblCellMar>
          <w:top w:w="0" w:type="dxa"/>
          <w:left w:w="0" w:type="dxa"/>
          <w:bottom w:w="0" w:type="dxa"/>
          <w:right w:w="0" w:type="dxa"/>
        </w:tblCellMar>
        <w:tblLook w:val="01E0"/>
      </w:tblPr>
      <w:tblGrid>
        <w:gridCol w:w="1642"/>
        <w:gridCol w:w="1642"/>
        <w:gridCol w:w="1642"/>
        <w:gridCol w:w="1642"/>
        <w:gridCol w:w="1642"/>
        <w:gridCol w:w="1646"/>
      </w:tblGrid>
      <w:tr>
        <w:trPr>
          <w:trHeight w:val="307" w:hRule="exact"/>
        </w:trPr>
        <w:tc>
          <w:tcPr>
            <w:tcW w:w="4925" w:type="dxa"/>
            <w:gridSpan w:val="3"/>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专业构成</w:t>
            </w:r>
          </w:p>
        </w:tc>
        <w:tc>
          <w:tcPr>
            <w:tcW w:w="49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学历构成</w:t>
            </w:r>
          </w:p>
        </w:tc>
      </w:tr>
      <w:tr>
        <w:trPr>
          <w:trHeight w:val="307" w:hRule="exact"/>
        </w:trPr>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人员类别</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人员类别</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9"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307" w:hRule="exact"/>
        </w:trPr>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136</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14.56%</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硕士及以上</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16</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7" w:right="0"/>
              <w:jc w:val="center"/>
              <w:rPr>
                <w:rFonts w:ascii="Times New Roman" w:hAnsi="Times New Roman" w:cs="Times New Roman" w:eastAsia="Times New Roman" w:hint="default"/>
                <w:sz w:val="21"/>
                <w:szCs w:val="21"/>
              </w:rPr>
            </w:pPr>
            <w:r>
              <w:rPr>
                <w:rFonts w:ascii="Times New Roman"/>
                <w:sz w:val="21"/>
              </w:rPr>
              <w:t>1.71%</w:t>
            </w:r>
          </w:p>
        </w:tc>
      </w:tr>
      <w:tr>
        <w:trPr>
          <w:trHeight w:val="307" w:hRule="exact"/>
        </w:trPr>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45</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4.82%</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140</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7" w:right="0"/>
              <w:jc w:val="center"/>
              <w:rPr>
                <w:rFonts w:ascii="Times New Roman" w:hAnsi="Times New Roman" w:cs="Times New Roman" w:eastAsia="Times New Roman" w:hint="default"/>
                <w:sz w:val="21"/>
                <w:szCs w:val="21"/>
              </w:rPr>
            </w:pPr>
            <w:r>
              <w:rPr>
                <w:rFonts w:ascii="Times New Roman"/>
                <w:sz w:val="21"/>
              </w:rPr>
              <w:t>14.99%</w:t>
            </w:r>
          </w:p>
        </w:tc>
      </w:tr>
      <w:tr>
        <w:trPr>
          <w:trHeight w:val="307" w:hRule="exact"/>
        </w:trPr>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43</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4.60%</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158</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7" w:right="0"/>
              <w:jc w:val="center"/>
              <w:rPr>
                <w:rFonts w:ascii="Times New Roman" w:hAnsi="Times New Roman" w:cs="Times New Roman" w:eastAsia="Times New Roman" w:hint="default"/>
                <w:sz w:val="21"/>
                <w:szCs w:val="21"/>
              </w:rPr>
            </w:pPr>
            <w:r>
              <w:rPr>
                <w:rFonts w:ascii="Times New Roman"/>
                <w:sz w:val="21"/>
              </w:rPr>
              <w:t>16.92%</w:t>
            </w:r>
          </w:p>
        </w:tc>
      </w:tr>
      <w:tr>
        <w:trPr>
          <w:trHeight w:val="307" w:hRule="exact"/>
        </w:trPr>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行政人员</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160</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17.13%</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中专</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283</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7" w:right="0"/>
              <w:jc w:val="center"/>
              <w:rPr>
                <w:rFonts w:ascii="Times New Roman" w:hAnsi="Times New Roman" w:cs="Times New Roman" w:eastAsia="Times New Roman" w:hint="default"/>
                <w:sz w:val="21"/>
                <w:szCs w:val="21"/>
              </w:rPr>
            </w:pPr>
            <w:r>
              <w:rPr>
                <w:rFonts w:ascii="Times New Roman"/>
                <w:sz w:val="21"/>
              </w:rPr>
              <w:t>30.30%</w:t>
            </w:r>
          </w:p>
        </w:tc>
      </w:tr>
      <w:tr>
        <w:trPr>
          <w:trHeight w:val="307" w:hRule="exact"/>
        </w:trPr>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其他人员</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550</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58.89%</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hAnsi="宋体" w:cs="宋体" w:eastAsia="宋体" w:hint="default"/>
                <w:sz w:val="21"/>
                <w:szCs w:val="21"/>
              </w:rPr>
              <w:t>高中</w:t>
            </w:r>
          </w:p>
        </w:tc>
        <w:tc>
          <w:tcPr>
            <w:tcW w:w="1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337</w:t>
            </w:r>
          </w:p>
        </w:tc>
        <w:tc>
          <w:tcPr>
            <w:tcW w:w="16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7" w:right="0"/>
              <w:jc w:val="center"/>
              <w:rPr>
                <w:rFonts w:ascii="Times New Roman" w:hAnsi="Times New Roman" w:cs="Times New Roman" w:eastAsia="Times New Roman" w:hint="default"/>
                <w:sz w:val="21"/>
                <w:szCs w:val="21"/>
              </w:rPr>
            </w:pPr>
            <w:r>
              <w:rPr>
                <w:rFonts w:ascii="Times New Roman"/>
                <w:sz w:val="21"/>
              </w:rPr>
              <w:t>36.08%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pStyle w:val="BodyText"/>
        <w:spacing w:line="240" w:lineRule="auto" w:before="36"/>
        <w:ind w:right="0"/>
        <w:jc w:val="left"/>
      </w:pPr>
      <w:r>
        <w:rPr/>
        <w:pict>
          <v:shape style="position:absolute;margin-left:56.639999pt;margin-top:-107.376328pt;width:387.181425pt;height:111pt;mso-position-horizontal-relative:page;mso-position-vertical-relative:paragraph;z-index:-999832" type="#_x0000_t75" stroked="false">
            <v:imagedata r:id="rId14" o:title=""/>
          </v:shape>
        </w:pict>
      </w:r>
      <w:r>
        <w:rPr/>
        <w:t>说明：离退休员工</w:t>
      </w:r>
      <w:r>
        <w:rPr>
          <w:rFonts w:ascii="Times New Roman" w:hAnsi="Times New Roman" w:cs="Times New Roman" w:eastAsia="Times New Roman" w:hint="default"/>
        </w:rPr>
        <w:t>15</w:t>
      </w:r>
      <w:r>
        <w:rPr/>
        <w:t>人，费用由社保基金统筹解决。</w:t>
      </w:r>
    </w:p>
    <w:p>
      <w:pPr>
        <w:spacing w:line="240" w:lineRule="auto" w:before="8"/>
        <w:rPr>
          <w:rFonts w:ascii="宋体" w:hAnsi="宋体" w:cs="宋体" w:eastAsia="宋体" w:hint="default"/>
          <w:sz w:val="30"/>
          <w:szCs w:val="30"/>
        </w:rPr>
      </w:pPr>
    </w:p>
    <w:p>
      <w:pPr>
        <w:spacing w:line="268" w:lineRule="auto" w:before="0"/>
        <w:ind w:left="512" w:right="0" w:firstLine="5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、公司目前薪酬政策</w:t>
      </w:r>
      <w:r>
        <w:rPr>
          <w:rFonts w:ascii="Microsoft JhengHei" w:hAnsi="Microsoft JhengHei" w:cs="Microsoft JhengHei" w:eastAsia="Microsoft JhengHei" w:hint="default"/>
          <w:b/>
          <w:bCs/>
          <w:w w:val="100"/>
          <w:sz w:val="21"/>
          <w:szCs w:val="21"/>
        </w:rPr>
        <w:t> </w:t>
      </w:r>
      <w:r>
        <w:rPr>
          <w:rFonts w:ascii="Microsoft JhengHei" w:hAnsi="Microsoft JhengHei" w:cs="Microsoft JhengHei" w:eastAsia="Microsoft JhengHei" w:hint="default"/>
          <w:b/>
          <w:bCs/>
          <w:spacing w:val="-1"/>
          <w:sz w:val="21"/>
          <w:szCs w:val="21"/>
        </w:rPr>
        <w:t>对外有竞争力：</w:t>
      </w:r>
      <w:r>
        <w:rPr>
          <w:rFonts w:ascii="宋体" w:hAnsi="宋体" w:cs="宋体" w:eastAsia="宋体" w:hint="default"/>
          <w:spacing w:val="-1"/>
          <w:sz w:val="21"/>
          <w:szCs w:val="21"/>
        </w:rPr>
        <w:t>为更好地吸引和留住优秀人才，保障公司整体的人力资源优势和持续发展，公司采取</w:t>
      </w:r>
    </w:p>
    <w:p>
      <w:pPr>
        <w:pStyle w:val="BodyText"/>
        <w:spacing w:line="240" w:lineRule="auto" w:before="75"/>
        <w:ind w:right="0"/>
        <w:jc w:val="left"/>
      </w:pPr>
      <w:r>
        <w:rPr/>
        <w:t>较有竞争力的薪酬策略。</w:t>
      </w:r>
    </w:p>
    <w:p>
      <w:pPr>
        <w:pStyle w:val="BodyText"/>
        <w:spacing w:line="312" w:lineRule="auto" w:before="66"/>
        <w:ind w:right="0" w:firstLine="360"/>
        <w:jc w:val="left"/>
      </w:pPr>
      <w:r>
        <w:rPr>
          <w:rFonts w:ascii="Microsoft JhengHei" w:hAnsi="Microsoft JhengHei" w:cs="Microsoft JhengHei" w:eastAsia="Microsoft JhengHei" w:hint="default"/>
          <w:b/>
          <w:bCs/>
          <w:spacing w:val="-3"/>
        </w:rPr>
        <w:t>对内兼顾效率公平：</w:t>
      </w:r>
      <w:r>
        <w:rPr>
          <w:spacing w:val="-3"/>
        </w:rPr>
        <w:t>为确保薪酬公平，集团实行以岗位价值和业绩为定薪依据，并参考行业薪酬水平、</w:t>
      </w:r>
      <w:r>
        <w:rPr>
          <w:w w:val="100"/>
        </w:rPr>
        <w:t> </w:t>
      </w:r>
      <w:r>
        <w:rPr/>
        <w:t>地方物价；同时为鼓励高效率，针对高素质、高业绩、市场稀缺的关键人才，给予优厚待遇。</w:t>
      </w:r>
    </w:p>
    <w:p>
      <w:pPr>
        <w:spacing w:line="240" w:lineRule="auto" w:before="2"/>
        <w:rPr>
          <w:rFonts w:ascii="宋体" w:hAnsi="宋体" w:cs="宋体" w:eastAsia="宋体" w:hint="default"/>
          <w:sz w:val="28"/>
          <w:szCs w:val="28"/>
        </w:rPr>
      </w:pPr>
    </w:p>
    <w:p>
      <w:pPr>
        <w:pStyle w:val="Heading6"/>
        <w:spacing w:line="240" w:lineRule="auto"/>
        <w:ind w:left="464" w:right="0"/>
        <w:jc w:val="left"/>
        <w:rPr>
          <w:b w:val="0"/>
          <w:bCs w:val="0"/>
        </w:rPr>
      </w:pPr>
      <w:r>
        <w:rPr>
          <w:rFonts w:ascii="Times New Roman" w:hAnsi="Times New Roman" w:cs="Times New Roman" w:eastAsia="Times New Roman" w:hint="default"/>
        </w:rPr>
        <w:t>3</w:t>
      </w:r>
      <w:r>
        <w:rPr/>
        <w:t>、公司培训计划</w:t>
      </w:r>
      <w:r>
        <w:rPr>
          <w:b w:val="0"/>
          <w:bCs w:val="0"/>
        </w:rPr>
      </w:r>
    </w:p>
    <w:p>
      <w:pPr>
        <w:pStyle w:val="BodyText"/>
        <w:spacing w:line="355" w:lineRule="auto" w:before="109"/>
        <w:ind w:right="321" w:firstLine="340"/>
        <w:jc w:val="both"/>
      </w:pPr>
      <w:r>
        <w:rPr/>
        <w:t>公司的发展离不开员工的成长，员工培训是公司人力资源管理的重点。公司结合业务发展需要、员工</w:t>
      </w:r>
      <w:r>
        <w:rPr>
          <w:w w:val="100"/>
        </w:rPr>
        <w:t> </w:t>
      </w:r>
      <w:r>
        <w:rPr>
          <w:spacing w:val="-2"/>
        </w:rPr>
        <w:t>学习诉求，制定有效合适的培训计划。具体包括入职培训、业务培训、管理培训、业余学习等等，不断提</w:t>
      </w:r>
      <w:r>
        <w:rPr>
          <w:spacing w:val="-35"/>
        </w:rPr>
        <w:t> </w:t>
      </w:r>
      <w:r>
        <w:rPr>
          <w:spacing w:val="-35"/>
        </w:rPr>
      </w:r>
      <w:r>
        <w:rPr/>
        <w:t>高员工的整体素质，实现公司与员工的双赢共进。</w:t>
      </w:r>
    </w:p>
    <w:p>
      <w:pPr>
        <w:spacing w:after="0" w:line="355" w:lineRule="auto"/>
        <w:jc w:val="both"/>
        <w:sectPr>
          <w:pgSz w:w="11900" w:h="16840"/>
          <w:pgMar w:header="872" w:footer="957" w:top="1120" w:bottom="1180" w:left="980" w:right="8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458" w:lineRule="exact"/>
        <w:ind w:right="3807"/>
        <w:jc w:val="center"/>
        <w:rPr>
          <w:b w:val="0"/>
          <w:bCs w:val="0"/>
        </w:rPr>
      </w:pPr>
      <w:bookmarkStart w:name="_TOC_250003" w:id="8"/>
      <w:r>
        <w:rPr/>
        <w:t>第八节 </w:t>
      </w:r>
      <w:r>
        <w:rPr>
          <w:spacing w:val="8"/>
        </w:rPr>
        <w:t> </w:t>
      </w:r>
      <w:r>
        <w:rPr/>
        <w:t>公司治理</w:t>
      </w:r>
      <w:bookmarkEnd w:id="8"/>
      <w:r>
        <w:rPr>
          <w:b w:val="0"/>
          <w:bCs w:val="0"/>
        </w:rPr>
      </w:r>
    </w:p>
    <w:p>
      <w:pPr>
        <w:spacing w:line="240" w:lineRule="auto" w:before="2"/>
        <w:rPr>
          <w:rFonts w:ascii="Microsoft JhengHei" w:hAnsi="Microsoft JhengHei" w:cs="Microsoft JhengHei" w:eastAsia="Microsoft JhengHei" w:hint="default"/>
          <w:b/>
          <w:bCs/>
          <w:sz w:val="14"/>
          <w:szCs w:val="14"/>
        </w:rPr>
      </w:pPr>
    </w:p>
    <w:p>
      <w:pPr>
        <w:pStyle w:val="Heading4"/>
        <w:spacing w:line="367" w:lineRule="exact"/>
        <w:ind w:right="0"/>
        <w:jc w:val="left"/>
        <w:rPr>
          <w:b w:val="0"/>
          <w:bCs w:val="0"/>
        </w:rPr>
      </w:pPr>
      <w:r>
        <w:rPr/>
        <w:t>一、公司治理的基本状况</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55" w:lineRule="auto"/>
        <w:ind w:right="0" w:firstLine="422"/>
        <w:jc w:val="left"/>
      </w:pPr>
      <w:r>
        <w:rPr>
          <w:spacing w:val="-2"/>
        </w:rPr>
        <w:t>报告期公司按照《公司法》、《证券法》、《上市公司治理准则》及中国证监会发布的有关上市公司</w:t>
      </w:r>
      <w:r>
        <w:rPr>
          <w:w w:val="100"/>
        </w:rPr>
        <w:t> </w:t>
      </w:r>
      <w:r>
        <w:rPr/>
        <w:t>治理的规范性文件要求，不断完善公司法人治理结构。公司股东大会、董事会及各专门委员、独立董事、</w:t>
      </w:r>
      <w:r>
        <w:rPr>
          <w:w w:val="100"/>
        </w:rPr>
        <w:t> </w:t>
      </w:r>
      <w:r>
        <w:rPr>
          <w:spacing w:val="-4"/>
        </w:rPr>
        <w:t>监事会、经理层等公司治理结构和高级管理人员认真履行职责，公司治理情况符合《上市公司治理准则》、</w:t>
      </w:r>
      <w:r>
        <w:rPr>
          <w:spacing w:val="-49"/>
        </w:rPr>
        <w:t> </w:t>
      </w:r>
      <w:r>
        <w:rPr>
          <w:spacing w:val="-49"/>
        </w:rPr>
      </w:r>
      <w:r>
        <w:rPr/>
        <w:t>中国证监会发布的有关上市公司治理的规范性文件要求。报告期公司在公司治理方面重点开展的工作有：</w:t>
      </w:r>
    </w:p>
    <w:p>
      <w:pPr>
        <w:pStyle w:val="BodyText"/>
        <w:spacing w:line="355" w:lineRule="auto" w:before="32"/>
        <w:ind w:left="575" w:right="0"/>
        <w:jc w:val="left"/>
      </w:pPr>
      <w:r>
        <w:rPr/>
        <w:t>（一）继续推进公司内部控制规范实施工作</w:t>
      </w:r>
      <w:r>
        <w:rPr>
          <w:w w:val="100"/>
        </w:rPr>
        <w:t> </w:t>
      </w:r>
      <w:r>
        <w:rPr>
          <w:spacing w:val="-2"/>
        </w:rPr>
        <w:t>报告期内,公司继续推进内部控制体系建设，根据《企业内部控制基本规范》、《企业内部控制评价</w:t>
      </w:r>
    </w:p>
    <w:p>
      <w:pPr>
        <w:pStyle w:val="BodyText"/>
        <w:spacing w:line="357" w:lineRule="auto" w:before="32"/>
        <w:ind w:right="202"/>
        <w:jc w:val="both"/>
      </w:pPr>
      <w:r>
        <w:rPr>
          <w:spacing w:val="-2"/>
        </w:rPr>
        <w:t>指引》及其他相关法律法规的要求，分别于年中及报告期末对公司内部控制设计与运行的有效性进行了自</w:t>
      </w:r>
      <w:r>
        <w:rPr>
          <w:spacing w:val="-35"/>
        </w:rPr>
        <w:t> </w:t>
      </w:r>
      <w:r>
        <w:rPr>
          <w:spacing w:val="-35"/>
        </w:rPr>
      </w:r>
      <w:r>
        <w:rPr/>
        <w:t>我评价,</w:t>
      </w:r>
      <w:r>
        <w:rPr>
          <w:spacing w:val="50"/>
        </w:rPr>
        <w:t> </w:t>
      </w:r>
      <w:r>
        <w:rPr>
          <w:spacing w:val="-2"/>
        </w:rPr>
        <w:t>公司评价过程中，内控工作工作小组采用了个别访谈、调查问题、专题讨论、穿行测试、实地查</w:t>
      </w:r>
      <w:r>
        <w:rPr>
          <w:spacing w:val="-99"/>
        </w:rPr>
        <w:t> </w:t>
      </w:r>
      <w:r>
        <w:rPr>
          <w:spacing w:val="-99"/>
        </w:rPr>
      </w:r>
      <w:r>
        <w:rPr>
          <w:spacing w:val="-2"/>
        </w:rPr>
        <w:t>验、抽样和比较分析等方法，广泛收集公司内部控制设计和运行是否有效的证据，如实填写了评价工作底</w:t>
      </w:r>
      <w:r>
        <w:rPr>
          <w:spacing w:val="-35"/>
        </w:rPr>
        <w:t> </w:t>
      </w:r>
      <w:r>
        <w:rPr>
          <w:spacing w:val="-35"/>
        </w:rPr>
      </w:r>
      <w:r>
        <w:rPr>
          <w:spacing w:val="-2"/>
        </w:rPr>
        <w:t>稿，分析、识别内部控制缺陷，就需要完善的方面和重要业务活动与被评价单位多次复核并提出了整改建</w:t>
      </w:r>
      <w:r>
        <w:rPr>
          <w:spacing w:val="-35"/>
        </w:rPr>
        <w:t> </w:t>
      </w:r>
      <w:r>
        <w:rPr>
          <w:spacing w:val="-35"/>
        </w:rPr>
      </w:r>
      <w:r>
        <w:rPr/>
        <w:t>议，汇总评价结果编制了评价报告,并积极配合外部审计单位做好2012年度内控审计工作。</w:t>
      </w:r>
    </w:p>
    <w:p>
      <w:pPr>
        <w:pStyle w:val="BodyText"/>
        <w:spacing w:line="355" w:lineRule="auto" w:before="30"/>
        <w:ind w:left="575" w:right="0"/>
        <w:jc w:val="left"/>
      </w:pPr>
      <w:r>
        <w:rPr/>
        <w:t>（二）贯彻落实中国证监会及深圳证监局有关现金分红事项的要求</w:t>
      </w:r>
      <w:r>
        <w:rPr>
          <w:w w:val="100"/>
        </w:rPr>
        <w:t> </w:t>
      </w:r>
      <w:r>
        <w:rPr>
          <w:spacing w:val="-2"/>
        </w:rPr>
        <w:t>根据中国证监会《关于进一步落实上市公司现金分红有关事项的通知》，以及深圳证监局《关于认真</w:t>
      </w:r>
    </w:p>
    <w:p>
      <w:pPr>
        <w:pStyle w:val="BodyText"/>
        <w:spacing w:line="355" w:lineRule="auto" w:before="32"/>
        <w:ind w:right="202"/>
        <w:jc w:val="left"/>
      </w:pPr>
      <w:r>
        <w:rPr>
          <w:spacing w:val="-2"/>
        </w:rPr>
        <w:t>贯彻落实&lt;关于进一步落实上市公司现金分红有关事项的通知&gt;有关要求的通知》（深证局公司字[2012]43</w:t>
      </w:r>
      <w:r>
        <w:rPr>
          <w:spacing w:val="-31"/>
        </w:rPr>
        <w:t> </w:t>
      </w:r>
      <w:r>
        <w:rPr>
          <w:spacing w:val="-31"/>
        </w:rPr>
      </w:r>
      <w:r>
        <w:rPr>
          <w:spacing w:val="-2"/>
        </w:rPr>
        <w:t>号）的要求，公司结合实际情况制订了《关于落实现金分红政策有关事项的工作方案》、《未来三年股东</w:t>
      </w:r>
      <w:r>
        <w:rPr>
          <w:spacing w:val="-36"/>
        </w:rPr>
        <w:t> </w:t>
      </w:r>
      <w:r>
        <w:rPr>
          <w:spacing w:val="-36"/>
        </w:rPr>
      </w:r>
      <w:r>
        <w:rPr/>
        <w:t>回报规划（2012-2014）》。董事会组织对股东回报规划事宜进行了论证，听取了独立董事、中小股东意</w:t>
      </w:r>
      <w:r>
        <w:rPr>
          <w:w w:val="100"/>
        </w:rPr>
        <w:t> </w:t>
      </w:r>
      <w:r>
        <w:rPr>
          <w:spacing w:val="-2"/>
        </w:rPr>
        <w:t>见后形成了论证报告，修订了《公司章程》，对公司现金分红的最低比例、利润分配的决策程序和机制等</w:t>
      </w:r>
      <w:r>
        <w:rPr>
          <w:spacing w:val="-40"/>
        </w:rPr>
        <w:t> </w:t>
      </w:r>
      <w:r>
        <w:rPr>
          <w:spacing w:val="-40"/>
        </w:rPr>
      </w:r>
      <w:r>
        <w:rPr/>
        <w:t>作了明确规定。</w:t>
      </w:r>
    </w:p>
    <w:p>
      <w:pPr>
        <w:pStyle w:val="BodyText"/>
        <w:spacing w:line="355" w:lineRule="auto" w:before="37"/>
        <w:ind w:left="575" w:right="0"/>
        <w:jc w:val="left"/>
      </w:pPr>
      <w:r>
        <w:rPr/>
        <w:t>（三）公司治理其他相关工作</w:t>
      </w:r>
      <w:r>
        <w:rPr>
          <w:w w:val="100"/>
        </w:rPr>
        <w:t> </w:t>
      </w:r>
      <w:r>
        <w:rPr>
          <w:spacing w:val="-2"/>
        </w:rPr>
        <w:t>公司按照《关于做好深入推进公司治理专项活动相关工作的通知》要求，及时清查与关联方的资金往</w:t>
      </w:r>
    </w:p>
    <w:p>
      <w:pPr>
        <w:pStyle w:val="BodyText"/>
        <w:spacing w:line="355" w:lineRule="auto" w:before="32"/>
        <w:ind w:left="575" w:right="0" w:hanging="423"/>
        <w:jc w:val="left"/>
      </w:pPr>
      <w:r>
        <w:rPr/>
        <w:t>来情况，向深圳证监局报送“上市公司关联方资金往来情况统计表”。</w:t>
      </w:r>
      <w:r>
        <w:rPr>
          <w:w w:val="100"/>
        </w:rPr>
        <w:t> </w:t>
      </w:r>
      <w:r>
        <w:rPr>
          <w:spacing w:val="-2"/>
        </w:rPr>
        <w:t>报告期内，公司不存在违规向大股东提供未公开信息的公司治理非规范情况。</w:t>
      </w:r>
    </w:p>
    <w:p>
      <w:pPr>
        <w:spacing w:line="240" w:lineRule="auto" w:before="13"/>
        <w:rPr>
          <w:rFonts w:ascii="宋体" w:hAnsi="宋体" w:cs="宋体" w:eastAsia="宋体" w:hint="default"/>
          <w:sz w:val="29"/>
          <w:szCs w:val="29"/>
        </w:rPr>
      </w:pPr>
    </w:p>
    <w:p>
      <w:pPr>
        <w:pStyle w:val="BodyText"/>
        <w:spacing w:line="240" w:lineRule="auto"/>
        <w:ind w:right="0"/>
        <w:jc w:val="left"/>
      </w:pPr>
      <w:r>
        <w:rPr/>
        <w:t>公司治理与《公司法》和中国证监会相关规定的要求是否存在差异</w:t>
      </w:r>
    </w:p>
    <w:p>
      <w:pPr>
        <w:pStyle w:val="BodyText"/>
        <w:spacing w:line="240" w:lineRule="auto" w:before="138"/>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否</w:t>
      </w:r>
    </w:p>
    <w:p>
      <w:pPr>
        <w:spacing w:line="240" w:lineRule="auto" w:before="0"/>
        <w:rPr>
          <w:rFonts w:ascii="宋体" w:hAnsi="宋体" w:cs="宋体" w:eastAsia="宋体" w:hint="default"/>
          <w:sz w:val="31"/>
          <w:szCs w:val="31"/>
        </w:rPr>
      </w:pPr>
    </w:p>
    <w:p>
      <w:pPr>
        <w:pStyle w:val="Heading6"/>
        <w:spacing w:line="355" w:lineRule="exact"/>
        <w:ind w:left="152" w:right="0"/>
        <w:jc w:val="left"/>
        <w:rPr>
          <w:b w:val="0"/>
          <w:bCs w:val="0"/>
        </w:rPr>
      </w:pPr>
      <w:r>
        <w:rPr/>
        <w:t>公司治理专项活动开展情况以及内幕信息知情人登记管理制度的制定、实施情况</w:t>
      </w:r>
      <w:r>
        <w:rPr>
          <w:b w:val="0"/>
          <w:bCs w:val="0"/>
        </w:rPr>
      </w:r>
    </w:p>
    <w:p>
      <w:pPr>
        <w:pStyle w:val="BodyText"/>
        <w:spacing w:line="355" w:lineRule="auto"/>
        <w:ind w:right="182" w:firstLine="422"/>
        <w:jc w:val="both"/>
      </w:pPr>
      <w:r>
        <w:rPr>
          <w:spacing w:val="-2"/>
        </w:rPr>
        <w:t>推进内幕交易防控体系建设，有效执行了《内幕信息知情人登记制度》，公司建立了内幕信息知情人</w:t>
      </w:r>
      <w:r>
        <w:rPr>
          <w:w w:val="100"/>
        </w:rPr>
        <w:t> </w:t>
      </w:r>
      <w:r>
        <w:rPr>
          <w:spacing w:val="-2"/>
        </w:rPr>
        <w:t>管理档案。报告期内，公司在定期报告披露、重大事项公告前等股票买卖“窗口期”均提醒董事、监事、</w:t>
      </w:r>
      <w:r>
        <w:rPr>
          <w:spacing w:val="-16"/>
        </w:rPr>
        <w:t> </w:t>
      </w:r>
      <w:r>
        <w:rPr>
          <w:spacing w:val="-16"/>
        </w:rPr>
      </w:r>
      <w:r>
        <w:rPr>
          <w:spacing w:val="-2"/>
        </w:rPr>
        <w:t>高管及相关内幕知情人不得违规买卖股票，公司董事、监事、高管及内幕信息知情人遵循了相关规定，没</w:t>
      </w:r>
      <w:r>
        <w:rPr>
          <w:spacing w:val="-35"/>
        </w:rPr>
        <w:t> </w:t>
      </w:r>
      <w:r>
        <w:rPr>
          <w:spacing w:val="-35"/>
        </w:rPr>
      </w:r>
      <w:r>
        <w:rPr/>
        <w:t>有发生因涉嫌内幕交易被监管部门采取监管措施及行政处罚的情形。</w:t>
      </w:r>
    </w:p>
    <w:p>
      <w:pPr>
        <w:spacing w:after="0" w:line="355" w:lineRule="auto"/>
        <w:jc w:val="both"/>
        <w:sectPr>
          <w:pgSz w:w="11900" w:h="16840"/>
          <w:pgMar w:header="872" w:footer="957" w:top="1120" w:bottom="1180" w:left="980" w:right="920"/>
        </w:sectPr>
      </w:pPr>
    </w:p>
    <w:p>
      <w:pPr>
        <w:spacing w:line="240" w:lineRule="auto" w:before="7"/>
        <w:rPr>
          <w:rFonts w:ascii="宋体" w:hAnsi="宋体" w:cs="宋体" w:eastAsia="宋体" w:hint="default"/>
          <w:sz w:val="19"/>
          <w:szCs w:val="19"/>
        </w:rPr>
      </w:pPr>
      <w:r>
        <w:rPr/>
        <w:pict>
          <v:group style="position:absolute;margin-left:297.359985pt;margin-top:329.600006pt;width:77.05pt;height:27.4pt;mso-position-horizontal-relative:page;mso-position-vertical-relative:page;z-index:-999808" coordorigin="5947,6592" coordsize="1541,548">
            <v:group style="position:absolute;left:5947;top:6592;width:1541;height:274" coordorigin="5947,6592" coordsize="1541,274">
              <v:shape style="position:absolute;left:5947;top:6592;width:1541;height:274" coordorigin="5947,6592" coordsize="1541,274" path="m5947,6866l7488,6866,7488,6592,5947,6592,5947,6866xe" filled="true" fillcolor="#ffffff" stroked="false">
                <v:path arrowok="t"/>
                <v:fill type="solid"/>
              </v:shape>
            </v:group>
            <v:group style="position:absolute;left:5947;top:6866;width:1541;height:274" coordorigin="5947,6866" coordsize="1541,274">
              <v:shape style="position:absolute;left:5947;top:6866;width:1541;height:274" coordorigin="5947,6866" coordsize="1541,274" path="m5947,7139l7488,7139,7488,6866,5947,6866,5947,7139xe" filled="true" fillcolor="#ffffff" stroked="false">
                <v:path arrowok="t"/>
                <v:fill type="solid"/>
              </v:shape>
            </v:group>
            <w10:wrap type="none"/>
          </v:group>
        </w:pict>
      </w:r>
      <w:r>
        <w:rPr/>
        <w:pict>
          <v:group style="position:absolute;margin-left:375.839996pt;margin-top:606.299988pt;width:79.2pt;height:61.5pt;mso-position-horizontal-relative:page;mso-position-vertical-relative:page;z-index:-999784" coordorigin="7517,12126" coordsize="1584,1230">
            <v:shape style="position:absolute;left:7517;top:12126;width:1584;height:1230" coordorigin="7517,12126" coordsize="1584,1230" path="m7517,13356l9101,13356,9101,12126,7517,12126,7517,13356xe" filled="true" fillcolor="#ffffff" stroked="false">
              <v:path arrowok="t"/>
              <v:fill type="solid"/>
            </v:shape>
            <w10:wrap type="none"/>
          </v:group>
        </w:pict>
      </w:r>
      <w:r>
        <w:rPr/>
        <w:pict>
          <v:group style="position:absolute;margin-left:297.359985pt;margin-top:681.919983pt;width:77.05pt;height:13.7pt;mso-position-horizontal-relative:page;mso-position-vertical-relative:page;z-index:-999760" coordorigin="5947,13638" coordsize="1541,274">
            <v:shape style="position:absolute;left:5947;top:13638;width:1541;height:274" coordorigin="5947,13638" coordsize="1541,274" path="m5947,13912l7488,13912,7488,13638,5947,13638,5947,13912xe" filled="true" fillcolor="#ffffff" stroked="false">
              <v:path arrowok="t"/>
              <v:fill type="solid"/>
            </v:shape>
            <w10:wrap type="none"/>
          </v:group>
        </w:pict>
      </w:r>
    </w:p>
    <w:p>
      <w:pPr>
        <w:pStyle w:val="Heading4"/>
        <w:spacing w:line="367" w:lineRule="exact"/>
        <w:ind w:right="0"/>
        <w:jc w:val="left"/>
        <w:rPr>
          <w:b w:val="0"/>
          <w:bCs w:val="0"/>
        </w:rPr>
      </w:pPr>
      <w:r>
        <w:rPr/>
        <w:t>二、报告期内召开的年度股东大会和临时股东大会的有关情况</w:t>
      </w:r>
      <w:r>
        <w:rPr>
          <w:b w:val="0"/>
          <w:bCs w:val="0"/>
        </w:rPr>
      </w:r>
    </w:p>
    <w:p>
      <w:pPr>
        <w:pStyle w:val="Heading6"/>
        <w:spacing w:line="240" w:lineRule="auto" w:before="207"/>
        <w:ind w:left="152" w:right="0"/>
        <w:jc w:val="left"/>
        <w:rPr>
          <w:b w:val="0"/>
          <w:bCs w:val="0"/>
        </w:rPr>
      </w:pPr>
      <w:r>
        <w:rPr>
          <w:rFonts w:ascii="Times New Roman" w:hAnsi="Times New Roman" w:cs="Times New Roman" w:eastAsia="Times New Roman" w:hint="default"/>
        </w:rPr>
        <w:t>1</w:t>
      </w:r>
      <w:r>
        <w:rPr/>
        <w:t>、本报告期年度股东大会情况</w:t>
      </w:r>
      <w:r>
        <w:rPr>
          <w:b w:val="0"/>
          <w:bCs w:val="0"/>
        </w:rPr>
      </w:r>
    </w:p>
    <w:p>
      <w:pPr>
        <w:spacing w:line="240" w:lineRule="auto" w:before="15"/>
        <w:rPr>
          <w:rFonts w:ascii="Microsoft JhengHei" w:hAnsi="Microsoft JhengHei" w:cs="Microsoft JhengHei" w:eastAsia="Microsoft JhengHei" w:hint="default"/>
          <w:b/>
          <w:bCs/>
          <w:sz w:val="17"/>
          <w:szCs w:val="17"/>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283"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4"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right="12"/>
              <w:jc w:val="center"/>
              <w:rPr>
                <w:rFonts w:ascii="宋体" w:hAnsi="宋体" w:cs="宋体" w:eastAsia="宋体" w:hint="default"/>
                <w:sz w:val="21"/>
                <w:szCs w:val="21"/>
              </w:rPr>
            </w:pPr>
            <w:r>
              <w:rPr>
                <w:rFonts w:ascii="宋体" w:hAnsi="宋体" w:cs="宋体" w:eastAsia="宋体" w:hint="default"/>
                <w:sz w:val="21"/>
                <w:szCs w:val="21"/>
              </w:rPr>
              <w:t>会议议案名称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决议情况</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披露索引</w:t>
            </w:r>
          </w:p>
        </w:tc>
      </w:tr>
      <w:tr>
        <w:trPr>
          <w:trHeight w:val="278" w:hRule="exact"/>
        </w:trPr>
        <w:tc>
          <w:tcPr>
            <w:tcW w:w="1598"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right="127"/>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、董事会</w:t>
            </w:r>
            <w:r>
              <w:rPr>
                <w:rFonts w:ascii="宋体" w:hAnsi="宋体" w:cs="宋体" w:eastAsia="宋体" w:hint="default"/>
                <w:spacing w:val="-44"/>
                <w:sz w:val="21"/>
                <w:szCs w:val="21"/>
              </w:rPr>
              <w:t> </w:t>
            </w:r>
            <w:r>
              <w:rPr>
                <w:rFonts w:ascii="Times New Roman" w:hAnsi="Times New Roman" w:cs="Times New Roman" w:eastAsia="Times New Roman" w:hint="default"/>
                <w:spacing w:val="-3"/>
                <w:sz w:val="21"/>
                <w:szCs w:val="21"/>
              </w:rPr>
              <w:t>2011</w:t>
            </w: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年度工作报告；</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74"/>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年度报告及其摘</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right="2"/>
              <w:jc w:val="center"/>
              <w:rPr>
                <w:rFonts w:ascii="Times New Roman" w:hAnsi="Times New Roman" w:cs="Times New Roman" w:eastAsia="Times New Roman" w:hint="default"/>
                <w:sz w:val="21"/>
                <w:szCs w:val="21"/>
              </w:rPr>
            </w:pPr>
            <w:r>
              <w:rPr>
                <w:rFonts w:ascii="宋体" w:hAnsi="宋体" w:cs="宋体" w:eastAsia="宋体" w:hint="default"/>
                <w:spacing w:val="-15"/>
                <w:sz w:val="21"/>
                <w:szCs w:val="21"/>
              </w:rPr>
              <w:t>要；</w:t>
            </w:r>
            <w:r>
              <w:rPr>
                <w:rFonts w:ascii="Times New Roman" w:hAnsi="Times New Roman" w:cs="Times New Roman" w:eastAsia="Times New Roman" w:hint="default"/>
                <w:spacing w:val="-15"/>
                <w:sz w:val="21"/>
                <w:szCs w:val="21"/>
              </w:rPr>
              <w:t>3</w:t>
            </w:r>
            <w:r>
              <w:rPr>
                <w:rFonts w:ascii="宋体" w:hAnsi="宋体" w:cs="宋体" w:eastAsia="宋体" w:hint="default"/>
                <w:spacing w:val="-15"/>
                <w:sz w:val="21"/>
                <w:szCs w:val="21"/>
              </w:rPr>
              <w:t>、公司</w:t>
            </w:r>
            <w:r>
              <w:rPr>
                <w:rFonts w:ascii="宋体" w:hAnsi="宋体" w:cs="宋体" w:eastAsia="宋体" w:hint="default"/>
                <w:spacing w:val="-41"/>
                <w:sz w:val="21"/>
                <w:szCs w:val="21"/>
              </w:rPr>
              <w:t> </w:t>
            </w:r>
            <w:r>
              <w:rPr>
                <w:rFonts w:ascii="Times New Roman" w:hAnsi="Times New Roman" w:cs="Times New Roman" w:eastAsia="Times New Roman" w:hint="default"/>
                <w:spacing w:val="-3"/>
                <w:sz w:val="21"/>
                <w:szCs w:val="21"/>
              </w:rPr>
              <w:t>2011</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年度财务决算报</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2"/>
              <w:jc w:val="center"/>
              <w:rPr>
                <w:rFonts w:ascii="Times New Roman" w:hAnsi="Times New Roman" w:cs="Times New Roman" w:eastAsia="Times New Roman" w:hint="default"/>
                <w:sz w:val="21"/>
                <w:szCs w:val="21"/>
              </w:rPr>
            </w:pPr>
            <w:r>
              <w:rPr>
                <w:rFonts w:ascii="宋体" w:hAnsi="宋体" w:cs="宋体" w:eastAsia="宋体" w:hint="default"/>
                <w:spacing w:val="-15"/>
                <w:sz w:val="21"/>
                <w:szCs w:val="21"/>
              </w:rPr>
              <w:t>告；</w:t>
            </w:r>
            <w:r>
              <w:rPr>
                <w:rFonts w:ascii="Times New Roman" w:hAnsi="Times New Roman" w:cs="Times New Roman" w:eastAsia="Times New Roman" w:hint="default"/>
                <w:spacing w:val="-15"/>
                <w:sz w:val="21"/>
                <w:szCs w:val="21"/>
              </w:rPr>
              <w:t>4</w:t>
            </w:r>
            <w:r>
              <w:rPr>
                <w:rFonts w:ascii="宋体" w:hAnsi="宋体" w:cs="宋体" w:eastAsia="宋体" w:hint="default"/>
                <w:spacing w:val="-15"/>
                <w:sz w:val="21"/>
                <w:szCs w:val="21"/>
              </w:rPr>
              <w:t>、公司</w:t>
            </w:r>
            <w:r>
              <w:rPr>
                <w:rFonts w:ascii="宋体" w:hAnsi="宋体" w:cs="宋体" w:eastAsia="宋体" w:hint="default"/>
                <w:spacing w:val="-41"/>
                <w:sz w:val="21"/>
                <w:szCs w:val="21"/>
              </w:rPr>
              <w:t> </w:t>
            </w:r>
            <w:r>
              <w:rPr>
                <w:rFonts w:ascii="Times New Roman" w:hAnsi="Times New Roman" w:cs="Times New Roman" w:eastAsia="Times New Roman" w:hint="default"/>
                <w:spacing w:val="-3"/>
                <w:sz w:val="21"/>
                <w:szCs w:val="21"/>
              </w:rPr>
              <w:t>2011</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453" w:hRule="exact"/>
        </w:trPr>
        <w:tc>
          <w:tcPr>
            <w:tcW w:w="15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4"/>
              <w:ind w:right="0"/>
              <w:jc w:val="left"/>
              <w:rPr>
                <w:rFonts w:ascii="Microsoft JhengHei" w:hAnsi="Microsoft JhengHei" w:cs="Microsoft JhengHei" w:eastAsia="Microsoft JhengHei" w:hint="default"/>
                <w:b/>
                <w:bCs/>
                <w:sz w:val="25"/>
                <w:szCs w:val="25"/>
              </w:rPr>
            </w:pPr>
          </w:p>
          <w:p>
            <w:pPr>
              <w:pStyle w:val="TableParagraph"/>
              <w:spacing w:line="230" w:lineRule="auto"/>
              <w:ind w:left="24" w:right="41"/>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年年度股东</w:t>
            </w:r>
            <w:r>
              <w:rPr>
                <w:rFonts w:ascii="宋体" w:hAnsi="宋体" w:cs="宋体" w:eastAsia="宋体" w:hint="default"/>
                <w:w w:val="100"/>
                <w:sz w:val="21"/>
                <w:szCs w:val="21"/>
              </w:rPr>
              <w:t> </w:t>
            </w:r>
            <w:r>
              <w:rPr>
                <w:rFonts w:ascii="宋体" w:hAnsi="宋体" w:cs="宋体" w:eastAsia="宋体" w:hint="default"/>
                <w:sz w:val="21"/>
                <w:szCs w:val="21"/>
              </w:rPr>
              <w:t>大会（暨第十九</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届）</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before="12"/>
              <w:ind w:right="0"/>
              <w:jc w:val="left"/>
              <w:rPr>
                <w:rFonts w:ascii="Microsoft JhengHei" w:hAnsi="Microsoft JhengHei" w:cs="Microsoft JhengHei" w:eastAsia="Microsoft JhengHei" w:hint="default"/>
                <w:b/>
                <w:bCs/>
                <w:sz w:val="30"/>
                <w:szCs w:val="30"/>
              </w:rPr>
            </w:pPr>
          </w:p>
          <w:p>
            <w:pPr>
              <w:pStyle w:val="TableParagraph"/>
              <w:spacing w:line="282" w:lineRule="exact"/>
              <w:ind w:left="1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26</w:t>
            </w:r>
          </w:p>
          <w:p>
            <w:pPr>
              <w:pStyle w:val="TableParagraph"/>
              <w:spacing w:line="266"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13" w:space="0" w:color="FFFFFF"/>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年度利润分配议</w:t>
            </w:r>
          </w:p>
          <w:p>
            <w:pPr>
              <w:pStyle w:val="TableParagraph"/>
              <w:spacing w:line="228" w:lineRule="auto" w:before="11"/>
              <w:ind w:left="19" w:right="9"/>
              <w:jc w:val="left"/>
              <w:rPr>
                <w:rFonts w:ascii="宋体" w:hAnsi="宋体" w:cs="宋体" w:eastAsia="宋体" w:hint="default"/>
                <w:sz w:val="21"/>
                <w:szCs w:val="21"/>
              </w:rPr>
            </w:pPr>
            <w:r>
              <w:rPr>
                <w:rFonts w:ascii="宋体" w:hAnsi="宋体" w:cs="宋体" w:eastAsia="宋体" w:hint="default"/>
                <w:sz w:val="21"/>
                <w:szCs w:val="21"/>
              </w:rPr>
              <w:t>案；</w:t>
            </w:r>
            <w:r>
              <w:rPr>
                <w:rFonts w:ascii="Times New Roman" w:hAnsi="Times New Roman" w:cs="Times New Roman" w:eastAsia="Times New Roman" w:hint="default"/>
                <w:sz w:val="21"/>
                <w:szCs w:val="21"/>
              </w:rPr>
              <w:t>5</w:t>
            </w:r>
            <w:r>
              <w:rPr>
                <w:rFonts w:ascii="宋体" w:hAnsi="宋体" w:cs="宋体" w:eastAsia="宋体" w:hint="default"/>
                <w:sz w:val="21"/>
                <w:szCs w:val="21"/>
              </w:rPr>
              <w:t>、监事会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年度工作报</w:t>
            </w:r>
            <w:r>
              <w:rPr>
                <w:rFonts w:ascii="宋体" w:hAnsi="宋体" w:cs="宋体" w:eastAsia="宋体" w:hint="default"/>
                <w:spacing w:val="-92"/>
                <w:sz w:val="21"/>
                <w:szCs w:val="21"/>
              </w:rPr>
              <w:t> </w:t>
            </w:r>
            <w:r>
              <w:rPr>
                <w:rFonts w:ascii="宋体" w:hAnsi="宋体" w:cs="宋体" w:eastAsia="宋体" w:hint="default"/>
                <w:spacing w:val="-6"/>
                <w:sz w:val="21"/>
                <w:szCs w:val="21"/>
              </w:rPr>
              <w:t>告；</w:t>
            </w:r>
            <w:r>
              <w:rPr>
                <w:rFonts w:ascii="Times New Roman" w:hAnsi="Times New Roman" w:cs="Times New Roman" w:eastAsia="Times New Roman" w:hint="default"/>
                <w:spacing w:val="-6"/>
                <w:sz w:val="21"/>
                <w:szCs w:val="21"/>
              </w:rPr>
              <w:t>6</w:t>
            </w:r>
            <w:r>
              <w:rPr>
                <w:rFonts w:ascii="宋体" w:hAnsi="宋体" w:cs="宋体" w:eastAsia="宋体" w:hint="default"/>
                <w:spacing w:val="-6"/>
                <w:sz w:val="21"/>
                <w:szCs w:val="21"/>
              </w:rPr>
              <w:t>、关于调整</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公司高层管理人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员薪酬方案的议</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4"/>
                <w:w w:val="100"/>
                <w:sz w:val="21"/>
                <w:szCs w:val="21"/>
              </w:rPr>
              <w:t>案；</w:t>
            </w:r>
            <w:r>
              <w:rPr>
                <w:rFonts w:ascii="Times New Roman" w:hAnsi="Times New Roman" w:cs="Times New Roman" w:eastAsia="Times New Roman" w:hint="default"/>
                <w:spacing w:val="-14"/>
                <w:w w:val="100"/>
                <w:sz w:val="21"/>
                <w:szCs w:val="21"/>
              </w:rPr>
              <w:t>7</w:t>
            </w:r>
            <w:r>
              <w:rPr>
                <w:rFonts w:ascii="宋体" w:hAnsi="宋体" w:cs="宋体" w:eastAsia="宋体" w:hint="default"/>
                <w:spacing w:val="-14"/>
                <w:w w:val="100"/>
                <w:sz w:val="21"/>
                <w:szCs w:val="21"/>
              </w:rPr>
              <w:t>、《公司章</w:t>
            </w:r>
            <w:r>
              <w:rPr>
                <w:rFonts w:ascii="宋体" w:hAnsi="宋体" w:cs="宋体" w:eastAsia="宋体" w:hint="default"/>
                <w:w w:val="100"/>
                <w:sz w:val="21"/>
                <w:szCs w:val="21"/>
              </w:rPr>
              <w:t> </w:t>
            </w:r>
            <w:r>
              <w:rPr>
                <w:rFonts w:ascii="宋体" w:hAnsi="宋体" w:cs="宋体" w:eastAsia="宋体" w:hint="default"/>
                <w:spacing w:val="-19"/>
                <w:sz w:val="21"/>
                <w:szCs w:val="21"/>
              </w:rPr>
              <w:t>程》修订议案；</w:t>
            </w:r>
            <w:r>
              <w:rPr>
                <w:rFonts w:ascii="Times New Roman" w:hAnsi="Times New Roman" w:cs="Times New Roman" w:eastAsia="Times New Roman" w:hint="default"/>
                <w:spacing w:val="-19"/>
                <w:sz w:val="21"/>
                <w:szCs w:val="21"/>
              </w:rPr>
              <w:t>8</w:t>
            </w:r>
            <w:r>
              <w:rPr>
                <w:rFonts w:ascii="Times New Roman" w:hAnsi="Times New Roman" w:cs="Times New Roman" w:eastAsia="Times New Roman" w:hint="default"/>
                <w:spacing w:val="-41"/>
                <w:sz w:val="21"/>
                <w:szCs w:val="21"/>
              </w:rPr>
              <w:t> </w:t>
            </w:r>
            <w:r>
              <w:rPr>
                <w:rFonts w:ascii="宋体" w:hAnsi="宋体" w:cs="宋体" w:eastAsia="宋体" w:hint="default"/>
                <w:sz w:val="21"/>
                <w:szCs w:val="21"/>
              </w:rPr>
              <w:t>聘任</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年度审</w:t>
            </w:r>
          </w:p>
        </w:tc>
        <w:tc>
          <w:tcPr>
            <w:tcW w:w="1594" w:type="dxa"/>
            <w:tcBorders>
              <w:top w:val="nil" w:sz="6" w:space="0" w:color="auto"/>
              <w:left w:val="single" w:sz="13" w:space="0" w:color="FFFFFF"/>
              <w:bottom w:val="nil" w:sz="6" w:space="0" w:color="auto"/>
              <w:right w:val="single" w:sz="4" w:space="0" w:color="000000"/>
            </w:tcBorders>
          </w:tcPr>
          <w:p>
            <w:pPr>
              <w:pStyle w:val="TableParagraph"/>
              <w:spacing w:line="237" w:lineRule="auto" w:before="98"/>
              <w:ind w:left="12" w:right="31"/>
              <w:jc w:val="left"/>
              <w:rPr>
                <w:rFonts w:ascii="宋体" w:hAnsi="宋体" w:cs="宋体" w:eastAsia="宋体" w:hint="default"/>
                <w:sz w:val="21"/>
                <w:szCs w:val="21"/>
              </w:rPr>
            </w:pPr>
            <w:r>
              <w:rPr>
                <w:rFonts w:ascii="宋体" w:hAnsi="宋体" w:cs="宋体" w:eastAsia="宋体" w:hint="default"/>
                <w:sz w:val="21"/>
                <w:szCs w:val="21"/>
              </w:rPr>
              <w:t>所有议案的表决</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结果均为：</w:t>
            </w:r>
            <w:r>
              <w:rPr>
                <w:rFonts w:ascii="宋体" w:hAnsi="宋体" w:cs="宋体" w:eastAsia="宋体" w:hint="default"/>
                <w:spacing w:val="-100"/>
                <w:sz w:val="21"/>
                <w:szCs w:val="21"/>
              </w:rPr>
              <w:t> </w:t>
            </w:r>
            <w:r>
              <w:rPr>
                <w:rFonts w:ascii="Times New Roman" w:hAnsi="Times New Roman" w:cs="Times New Roman" w:eastAsia="Times New Roman" w:hint="default"/>
                <w:sz w:val="21"/>
                <w:szCs w:val="21"/>
              </w:rPr>
              <w:t>163,680,976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股同</w:t>
            </w:r>
          </w:p>
          <w:p>
            <w:pPr>
              <w:pStyle w:val="TableParagraph"/>
              <w:spacing w:line="232" w:lineRule="auto"/>
              <w:ind w:left="12" w:right="17"/>
              <w:jc w:val="both"/>
              <w:rPr>
                <w:rFonts w:ascii="宋体" w:hAnsi="宋体" w:cs="宋体" w:eastAsia="宋体" w:hint="default"/>
                <w:sz w:val="21"/>
                <w:szCs w:val="21"/>
              </w:rPr>
            </w:pPr>
            <w:r>
              <w:rPr>
                <w:rFonts w:ascii="宋体" w:hAnsi="宋体" w:cs="宋体" w:eastAsia="宋体" w:hint="default"/>
                <w:sz w:val="21"/>
                <w:szCs w:val="21"/>
              </w:rPr>
              <w:t>意，占出席会议</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股东所持表决权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的 </w:t>
            </w:r>
            <w:r>
              <w:rPr>
                <w:rFonts w:ascii="Times New Roman" w:hAnsi="Times New Roman" w:cs="Times New Roman" w:eastAsia="Times New Roman" w:hint="default"/>
                <w:spacing w:val="-10"/>
                <w:sz w:val="21"/>
                <w:szCs w:val="21"/>
              </w:rPr>
              <w:t>100%</w:t>
            </w:r>
            <w:r>
              <w:rPr>
                <w:rFonts w:ascii="宋体" w:hAnsi="宋体" w:cs="宋体" w:eastAsia="宋体" w:hint="default"/>
                <w:spacing w:val="-10"/>
                <w:sz w:val="21"/>
                <w:szCs w:val="21"/>
              </w:rPr>
              <w:t>，</w:t>
            </w:r>
            <w:r>
              <w:rPr>
                <w:rFonts w:ascii="Times New Roman" w:hAnsi="Times New Roman" w:cs="Times New Roman" w:eastAsia="Times New Roman" w:hint="default"/>
                <w:spacing w:val="-10"/>
                <w:sz w:val="21"/>
                <w:szCs w:val="21"/>
              </w:rPr>
              <w:t>0</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股反</w:t>
            </w:r>
            <w:r>
              <w:rPr>
                <w:rFonts w:ascii="宋体" w:hAnsi="宋体" w:cs="宋体" w:eastAsia="宋体" w:hint="default"/>
                <w:w w:val="100"/>
                <w:sz w:val="21"/>
                <w:szCs w:val="21"/>
              </w:rPr>
              <w:t> </w:t>
            </w:r>
            <w:r>
              <w:rPr>
                <w:rFonts w:ascii="宋体" w:hAnsi="宋体" w:cs="宋体" w:eastAsia="宋体" w:hint="default"/>
                <w:sz w:val="21"/>
                <w:szCs w:val="21"/>
              </w:rPr>
              <w:t>对，</w:t>
            </w:r>
            <w:r>
              <w:rPr>
                <w:rFonts w:ascii="Times New Roman" w:hAnsi="Times New Roman" w:cs="Times New Roman" w:eastAsia="Times New Roman" w:hint="default"/>
                <w:sz w:val="21"/>
                <w:szCs w:val="21"/>
              </w:rPr>
              <w:t>0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股弃权，</w:t>
            </w:r>
          </w:p>
          <w:p>
            <w:pPr>
              <w:pStyle w:val="TableParagraph"/>
              <w:spacing w:line="54" w:lineRule="exact"/>
              <w:ind w:left="-152" w:right="0"/>
              <w:jc w:val="left"/>
              <w:rPr>
                <w:rFonts w:ascii="宋体" w:hAnsi="宋体" w:cs="宋体" w:eastAsia="宋体" w:hint="default"/>
                <w:sz w:val="21"/>
                <w:szCs w:val="21"/>
              </w:rPr>
            </w:pPr>
            <w:r>
              <w:rPr>
                <w:rFonts w:ascii="宋体" w:hAnsi="宋体" w:cs="宋体" w:eastAsia="宋体" w:hint="default"/>
                <w:w w:val="100"/>
                <w:sz w:val="21"/>
                <w:szCs w:val="21"/>
              </w:rPr>
              <w:t>、</w:t>
            </w:r>
          </w:p>
          <w:p>
            <w:pPr>
              <w:pStyle w:val="TableParagraph"/>
              <w:spacing w:line="205" w:lineRule="exact"/>
              <w:ind w:left="12" w:right="0"/>
              <w:jc w:val="left"/>
              <w:rPr>
                <w:rFonts w:ascii="宋体" w:hAnsi="宋体" w:cs="宋体" w:eastAsia="宋体" w:hint="default"/>
                <w:sz w:val="21"/>
                <w:szCs w:val="21"/>
              </w:rPr>
            </w:pPr>
            <w:r>
              <w:rPr>
                <w:rFonts w:ascii="宋体" w:hAnsi="宋体" w:cs="宋体" w:eastAsia="宋体" w:hint="default"/>
                <w:sz w:val="21"/>
                <w:szCs w:val="21"/>
              </w:rPr>
              <w:t>议案通过。</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2"/>
                <w:szCs w:val="22"/>
              </w:rPr>
            </w:pPr>
          </w:p>
          <w:p>
            <w:pPr>
              <w:pStyle w:val="TableParagraph"/>
              <w:spacing w:line="240" w:lineRule="auto" w:before="12"/>
              <w:ind w:right="0"/>
              <w:jc w:val="left"/>
              <w:rPr>
                <w:rFonts w:ascii="Microsoft JhengHei" w:hAnsi="Microsoft JhengHei" w:cs="Microsoft JhengHei" w:eastAsia="Microsoft JhengHei" w:hint="default"/>
                <w:b/>
                <w:bCs/>
                <w:sz w:val="30"/>
                <w:szCs w:val="30"/>
              </w:rPr>
            </w:pPr>
          </w:p>
          <w:p>
            <w:pPr>
              <w:pStyle w:val="TableParagraph"/>
              <w:spacing w:line="282"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27</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left"/>
              <w:rPr>
                <w:rFonts w:ascii="Microsoft JhengHei" w:hAnsi="Microsoft JhengHei" w:cs="Microsoft JhengHei" w:eastAsia="Microsoft JhengHei" w:hint="default"/>
                <w:b/>
                <w:bCs/>
                <w:sz w:val="20"/>
                <w:szCs w:val="20"/>
              </w:rPr>
            </w:pPr>
          </w:p>
          <w:p>
            <w:pPr>
              <w:pStyle w:val="TableParagraph"/>
              <w:spacing w:line="240" w:lineRule="auto" w:before="17"/>
              <w:ind w:right="0"/>
              <w:jc w:val="left"/>
              <w:rPr>
                <w:rFonts w:ascii="Microsoft JhengHei" w:hAnsi="Microsoft JhengHei" w:cs="Microsoft JhengHei" w:eastAsia="Microsoft JhengHei" w:hint="default"/>
                <w:b/>
                <w:bCs/>
                <w:sz w:val="22"/>
                <w:szCs w:val="22"/>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2012-23</w:t>
            </w: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计单位的议案；</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70"/>
              <w:jc w:val="center"/>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、聘任</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度内控审计单位</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right="70"/>
              <w:jc w:val="center"/>
              <w:rPr>
                <w:rFonts w:ascii="宋体" w:hAnsi="宋体" w:cs="宋体" w:eastAsia="宋体" w:hint="default"/>
                <w:sz w:val="21"/>
                <w:szCs w:val="21"/>
              </w:rPr>
            </w:pPr>
            <w:r>
              <w:rPr>
                <w:rFonts w:ascii="宋体" w:hAnsi="宋体" w:cs="宋体" w:eastAsia="宋体" w:hint="default"/>
                <w:sz w:val="21"/>
                <w:szCs w:val="21"/>
              </w:rPr>
              <w:t>的议案；</w:t>
            </w:r>
            <w:r>
              <w:rPr>
                <w:rFonts w:ascii="Times New Roman" w:hAnsi="Times New Roman" w:cs="Times New Roman" w:eastAsia="Times New Roman" w:hint="default"/>
                <w:sz w:val="21"/>
                <w:szCs w:val="21"/>
              </w:rPr>
              <w:t>10</w:t>
            </w:r>
            <w:r>
              <w:rPr>
                <w:rFonts w:ascii="宋体" w:hAnsi="宋体" w:cs="宋体" w:eastAsia="宋体" w:hint="default"/>
                <w:sz w:val="21"/>
                <w:szCs w:val="21"/>
              </w:rPr>
              <w:t>、董</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事会换届选举议</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right="74"/>
              <w:jc w:val="center"/>
              <w:rPr>
                <w:rFonts w:ascii="宋体" w:hAnsi="宋体" w:cs="宋体" w:eastAsia="宋体" w:hint="default"/>
                <w:sz w:val="21"/>
                <w:szCs w:val="21"/>
              </w:rPr>
            </w:pPr>
            <w:r>
              <w:rPr>
                <w:rFonts w:ascii="宋体" w:hAnsi="宋体" w:cs="宋体" w:eastAsia="宋体" w:hint="default"/>
                <w:sz w:val="21"/>
                <w:szCs w:val="21"/>
              </w:rPr>
              <w:t>案；</w:t>
            </w:r>
            <w:r>
              <w:rPr>
                <w:rFonts w:ascii="Times New Roman" w:hAnsi="Times New Roman" w:cs="Times New Roman" w:eastAsia="Times New Roman" w:hint="default"/>
                <w:sz w:val="21"/>
                <w:szCs w:val="21"/>
              </w:rPr>
              <w:t>11</w:t>
            </w:r>
            <w:r>
              <w:rPr>
                <w:rFonts w:ascii="宋体" w:hAnsi="宋体" w:cs="宋体" w:eastAsia="宋体" w:hint="default"/>
                <w:sz w:val="21"/>
                <w:szCs w:val="21"/>
              </w:rPr>
              <w:t>、监事会</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right="70"/>
              <w:jc w:val="center"/>
              <w:rPr>
                <w:rFonts w:ascii="宋体" w:hAnsi="宋体" w:cs="宋体" w:eastAsia="宋体" w:hint="default"/>
                <w:sz w:val="21"/>
                <w:szCs w:val="21"/>
              </w:rPr>
            </w:pPr>
            <w:r>
              <w:rPr>
                <w:rFonts w:ascii="宋体" w:hAnsi="宋体" w:cs="宋体" w:eastAsia="宋体" w:hint="default"/>
                <w:sz w:val="21"/>
                <w:szCs w:val="21"/>
              </w:rPr>
              <w:t>换届选举议案；</w:t>
            </w: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r>
    </w:tbl>
    <w:p>
      <w:pPr>
        <w:spacing w:line="240" w:lineRule="auto" w:before="14"/>
        <w:rPr>
          <w:rFonts w:ascii="Microsoft JhengHei" w:hAnsi="Microsoft JhengHei" w:cs="Microsoft JhengHei" w:eastAsia="Microsoft JhengHei" w:hint="default"/>
          <w:b/>
          <w:bCs/>
          <w:sz w:val="12"/>
          <w:szCs w:val="12"/>
        </w:rPr>
      </w:pPr>
    </w:p>
    <w:p>
      <w:pPr>
        <w:pStyle w:val="Heading6"/>
        <w:spacing w:line="335" w:lineRule="exact"/>
        <w:ind w:left="152" w:right="0"/>
        <w:jc w:val="left"/>
        <w:rPr>
          <w:b w:val="0"/>
          <w:bCs w:val="0"/>
        </w:rPr>
      </w:pPr>
      <w:r>
        <w:rPr>
          <w:rFonts w:ascii="Times New Roman" w:hAnsi="Times New Roman" w:cs="Times New Roman" w:eastAsia="Times New Roman" w:hint="default"/>
        </w:rPr>
        <w:t>2</w:t>
      </w:r>
      <w:r>
        <w:rPr/>
        <w:t>、本报告期临时股东大会情况</w:t>
      </w:r>
      <w:r>
        <w:rPr>
          <w:b w:val="0"/>
          <w:bCs w:val="0"/>
        </w:rPr>
      </w:r>
    </w:p>
    <w:p>
      <w:pPr>
        <w:spacing w:line="240" w:lineRule="auto" w:before="3"/>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283" w:hRule="exact"/>
        </w:trPr>
        <w:tc>
          <w:tcPr>
            <w:tcW w:w="1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4"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153" w:right="0"/>
              <w:jc w:val="left"/>
              <w:rPr>
                <w:rFonts w:ascii="宋体" w:hAnsi="宋体" w:cs="宋体" w:eastAsia="宋体" w:hint="default"/>
                <w:sz w:val="21"/>
                <w:szCs w:val="21"/>
              </w:rPr>
            </w:pPr>
            <w:r>
              <w:rPr>
                <w:rFonts w:ascii="宋体" w:hAnsi="宋体" w:cs="宋体" w:eastAsia="宋体" w:hint="default"/>
                <w:sz w:val="21"/>
                <w:szCs w:val="21"/>
              </w:rPr>
              <w:t>会议议案名称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决议情况</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ind w:left="369" w:right="0"/>
              <w:jc w:val="left"/>
              <w:rPr>
                <w:rFonts w:ascii="宋体" w:hAnsi="宋体" w:cs="宋体" w:eastAsia="宋体" w:hint="default"/>
                <w:sz w:val="21"/>
                <w:szCs w:val="21"/>
              </w:rPr>
            </w:pPr>
            <w:r>
              <w:rPr>
                <w:rFonts w:ascii="宋体" w:hAnsi="宋体" w:cs="宋体" w:eastAsia="宋体" w:hint="default"/>
                <w:sz w:val="21"/>
                <w:szCs w:val="21"/>
              </w:rPr>
              <w:t>披露索引</w:t>
            </w:r>
          </w:p>
        </w:tc>
      </w:tr>
      <w:tr>
        <w:trPr>
          <w:trHeight w:val="272" w:hRule="exact"/>
        </w:trPr>
        <w:tc>
          <w:tcPr>
            <w:tcW w:w="1598"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表决情况：</w:t>
            </w: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73,334,943</w:t>
            </w:r>
            <w:r>
              <w:rPr>
                <w:rFonts w:ascii="Times New Roman" w:hAnsi="Times New Roman" w:cs="Times New Roman" w:eastAsia="Times New Roman" w:hint="default"/>
                <w:spacing w:val="8"/>
                <w:sz w:val="21"/>
                <w:szCs w:val="21"/>
              </w:rPr>
              <w:t> </w:t>
            </w:r>
            <w:r>
              <w:rPr>
                <w:rFonts w:ascii="宋体" w:hAnsi="宋体" w:cs="宋体" w:eastAsia="宋体" w:hint="default"/>
                <w:spacing w:val="-3"/>
                <w:sz w:val="21"/>
                <w:szCs w:val="21"/>
              </w:rPr>
              <w:t>股同</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21"/>
                <w:szCs w:val="21"/>
              </w:rPr>
            </w:pPr>
            <w:r>
              <w:rPr>
                <w:rFonts w:ascii="宋体" w:hAnsi="宋体" w:cs="宋体" w:eastAsia="宋体" w:hint="default"/>
                <w:sz w:val="21"/>
                <w:szCs w:val="21"/>
              </w:rPr>
              <w:t>意，占出席会议</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公司关于受让惠</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股东有表决权股</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822" w:hRule="exact"/>
        </w:trPr>
        <w:tc>
          <w:tcPr>
            <w:tcW w:w="1598" w:type="dxa"/>
            <w:tcBorders>
              <w:top w:val="nil" w:sz="6" w:space="0" w:color="auto"/>
              <w:left w:val="single" w:sz="4" w:space="0" w:color="000000"/>
              <w:bottom w:val="nil" w:sz="6" w:space="0" w:color="auto"/>
              <w:right w:val="single" w:sz="4" w:space="0" w:color="000000"/>
            </w:tcBorders>
          </w:tcPr>
          <w:p>
            <w:pPr>
              <w:pStyle w:val="TableParagraph"/>
              <w:spacing w:line="274" w:lineRule="exact" w:before="128"/>
              <w:ind w:left="24" w:right="36"/>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年度第一次</w:t>
            </w:r>
            <w:r>
              <w:rPr>
                <w:rFonts w:ascii="宋体" w:hAnsi="宋体" w:cs="宋体" w:eastAsia="宋体" w:hint="default"/>
                <w:w w:val="100"/>
                <w:sz w:val="21"/>
                <w:szCs w:val="21"/>
              </w:rPr>
              <w:t> </w:t>
            </w:r>
            <w:r>
              <w:rPr>
                <w:rFonts w:ascii="宋体" w:hAnsi="宋体" w:cs="宋体" w:eastAsia="宋体" w:hint="default"/>
                <w:sz w:val="21"/>
                <w:szCs w:val="21"/>
              </w:rPr>
              <w:t>临时股东大会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82" w:lineRule="exact" w:before="102"/>
              <w:ind w:left="1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18</w:t>
            </w:r>
          </w:p>
          <w:p>
            <w:pPr>
              <w:pStyle w:val="TableParagraph"/>
              <w:spacing w:line="266"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19" w:right="0"/>
              <w:jc w:val="left"/>
              <w:rPr>
                <w:rFonts w:ascii="宋体" w:hAnsi="宋体" w:cs="宋体" w:eastAsia="宋体" w:hint="default"/>
                <w:sz w:val="21"/>
                <w:szCs w:val="21"/>
              </w:rPr>
            </w:pPr>
            <w:r>
              <w:rPr>
                <w:rFonts w:ascii="宋体" w:hAnsi="宋体" w:cs="宋体" w:eastAsia="宋体" w:hint="default"/>
                <w:sz w:val="21"/>
                <w:szCs w:val="21"/>
              </w:rPr>
              <w:t>州市宝安房地产</w:t>
            </w:r>
          </w:p>
          <w:p>
            <w:pPr>
              <w:pStyle w:val="TableParagraph"/>
              <w:spacing w:line="271" w:lineRule="exact"/>
              <w:ind w:left="19" w:right="0"/>
              <w:jc w:val="left"/>
              <w:rPr>
                <w:rFonts w:ascii="宋体" w:hAnsi="宋体" w:cs="宋体" w:eastAsia="宋体" w:hint="default"/>
                <w:sz w:val="21"/>
                <w:szCs w:val="21"/>
              </w:rPr>
            </w:pPr>
            <w:r>
              <w:rPr>
                <w:rFonts w:ascii="宋体" w:hAnsi="宋体" w:cs="宋体" w:eastAsia="宋体" w:hint="default"/>
                <w:sz w:val="21"/>
                <w:szCs w:val="21"/>
              </w:rPr>
              <w:t>开发有限公司</w:t>
            </w:r>
          </w:p>
          <w:p>
            <w:pPr>
              <w:pStyle w:val="TableParagraph"/>
              <w:spacing w:line="290"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100%</w:t>
            </w:r>
            <w:r>
              <w:rPr>
                <w:rFonts w:ascii="宋体" w:hAnsi="宋体" w:cs="宋体" w:eastAsia="宋体" w:hint="default"/>
                <w:sz w:val="21"/>
                <w:szCs w:val="21"/>
              </w:rPr>
              <w:t>股权的关</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份总数的</w:t>
            </w:r>
          </w:p>
          <w:p>
            <w:pPr>
              <w:pStyle w:val="TableParagraph"/>
              <w:spacing w:line="279"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99.28%</w:t>
            </w:r>
            <w:r>
              <w:rPr>
                <w:rFonts w:ascii="宋体" w:hAnsi="宋体" w:cs="宋体" w:eastAsia="宋体" w:hint="default"/>
                <w:sz w:val="21"/>
                <w:szCs w:val="21"/>
              </w:rPr>
              <w:t>；</w:t>
            </w:r>
            <w:r>
              <w:rPr>
                <w:rFonts w:ascii="Times New Roman" w:hAnsi="Times New Roman" w:cs="Times New Roman" w:eastAsia="Times New Roman" w:hint="default"/>
                <w:sz w:val="21"/>
                <w:szCs w:val="21"/>
              </w:rPr>
              <w:t>530,410</w:t>
            </w:r>
          </w:p>
          <w:p>
            <w:pPr>
              <w:pStyle w:val="TableParagraph"/>
              <w:spacing w:line="264" w:lineRule="exact"/>
              <w:ind w:left="23" w:right="0"/>
              <w:jc w:val="left"/>
              <w:rPr>
                <w:rFonts w:ascii="宋体" w:hAnsi="宋体" w:cs="宋体" w:eastAsia="宋体" w:hint="default"/>
                <w:sz w:val="21"/>
                <w:szCs w:val="21"/>
              </w:rPr>
            </w:pPr>
            <w:r>
              <w:rPr>
                <w:rFonts w:ascii="宋体" w:hAnsi="宋体" w:cs="宋体" w:eastAsia="宋体" w:hint="default"/>
                <w:sz w:val="21"/>
                <w:szCs w:val="21"/>
              </w:rPr>
              <w:t>股反对，占出席</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82" w:lineRule="exact" w:before="102"/>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6"/>
                <w:szCs w:val="16"/>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2012-15</w:t>
            </w: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联交易议案</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会议股东有表决</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1"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权股份总数的</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0.72</w:t>
            </w:r>
            <w:r>
              <w:rPr>
                <w:rFonts w:ascii="Times New Roman" w:hAnsi="Times New Roman" w:cs="Times New Roman" w:eastAsia="Times New Roman" w:hint="default"/>
                <w:spacing w:val="1"/>
                <w:w w:val="100"/>
                <w:sz w:val="21"/>
                <w:szCs w:val="21"/>
              </w:rPr>
              <w:t>%</w:t>
            </w:r>
            <w:r>
              <w:rPr>
                <w:rFonts w:ascii="宋体" w:hAnsi="宋体" w:cs="宋体" w:eastAsia="宋体" w:hint="default"/>
                <w:spacing w:val="-111"/>
                <w:w w:val="100"/>
                <w:sz w:val="21"/>
                <w:szCs w:val="21"/>
              </w:rPr>
              <w:t>；</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股</w:t>
            </w:r>
            <w:r>
              <w:rPr>
                <w:rFonts w:ascii="宋体" w:hAnsi="宋体" w:cs="宋体" w:eastAsia="宋体" w:hint="default"/>
                <w:spacing w:val="-5"/>
                <w:w w:val="100"/>
                <w:sz w:val="21"/>
                <w:szCs w:val="21"/>
              </w:rPr>
              <w:t>弃</w:t>
            </w:r>
            <w:r>
              <w:rPr>
                <w:rFonts w:ascii="宋体" w:hAnsi="宋体" w:cs="宋体" w:eastAsia="宋体" w:hint="default"/>
                <w:w w:val="100"/>
                <w:sz w:val="21"/>
                <w:szCs w:val="21"/>
              </w:rPr>
              <w:t>权</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35"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议案通过。</w:t>
            </w: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r>
      <w:tr>
        <w:trPr>
          <w:trHeight w:val="278" w:hRule="exact"/>
        </w:trPr>
        <w:tc>
          <w:tcPr>
            <w:tcW w:w="1598"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13" w:space="0" w:color="FFFFFF"/>
            </w:tcBorders>
          </w:tcPr>
          <w:p>
            <w:pPr>
              <w:pStyle w:val="TableParagraph"/>
              <w:spacing w:line="252"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、关于修订《公</w:t>
            </w:r>
          </w:p>
        </w:tc>
        <w:tc>
          <w:tcPr>
            <w:tcW w:w="1594" w:type="dxa"/>
            <w:tcBorders>
              <w:top w:val="single" w:sz="4" w:space="0" w:color="000000"/>
              <w:left w:val="single" w:sz="13" w:space="0" w:color="FFFFFF"/>
              <w:bottom w:val="nil" w:sz="6" w:space="0" w:color="auto"/>
              <w:right w:val="single" w:sz="4" w:space="0" w:color="000000"/>
            </w:tcBorders>
          </w:tcPr>
          <w:p>
            <w:pPr>
              <w:pStyle w:val="TableParagraph"/>
              <w:spacing w:line="236" w:lineRule="exact"/>
              <w:ind w:left="12" w:right="0"/>
              <w:jc w:val="left"/>
              <w:rPr>
                <w:rFonts w:ascii="宋体" w:hAnsi="宋体" w:cs="宋体" w:eastAsia="宋体" w:hint="default"/>
                <w:sz w:val="21"/>
                <w:szCs w:val="21"/>
              </w:rPr>
            </w:pPr>
            <w:r>
              <w:rPr>
                <w:rFonts w:ascii="宋体" w:hAnsi="宋体" w:cs="宋体" w:eastAsia="宋体" w:hint="default"/>
                <w:sz w:val="21"/>
                <w:szCs w:val="21"/>
              </w:rPr>
              <w:t>所有议案的表决</w:t>
            </w: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13" w:space="0" w:color="FFFFFF"/>
            </w:tcBorders>
          </w:tcPr>
          <w:p>
            <w:pPr>
              <w:pStyle w:val="TableParagraph"/>
              <w:spacing w:line="236" w:lineRule="exact"/>
              <w:ind w:left="19" w:right="-46"/>
              <w:jc w:val="left"/>
              <w:rPr>
                <w:rFonts w:ascii="宋体" w:hAnsi="宋体" w:cs="宋体" w:eastAsia="宋体" w:hint="default"/>
                <w:sz w:val="21"/>
                <w:szCs w:val="21"/>
              </w:rPr>
            </w:pPr>
            <w:r>
              <w:rPr>
                <w:rFonts w:ascii="宋体" w:hAnsi="宋体" w:cs="宋体" w:eastAsia="宋体" w:hint="default"/>
                <w:spacing w:val="-12"/>
                <w:sz w:val="21"/>
                <w:szCs w:val="21"/>
              </w:rPr>
              <w:t>司章程》的议案；</w:t>
            </w:r>
            <w:r>
              <w:rPr>
                <w:rFonts w:ascii="宋体" w:hAnsi="宋体" w:cs="宋体" w:eastAsia="宋体" w:hint="default"/>
                <w:sz w:val="21"/>
                <w:szCs w:val="21"/>
              </w:rPr>
            </w:r>
          </w:p>
        </w:tc>
        <w:tc>
          <w:tcPr>
            <w:tcW w:w="1594" w:type="dxa"/>
            <w:tcBorders>
              <w:top w:val="nil" w:sz="6" w:space="0" w:color="auto"/>
              <w:left w:val="single" w:sz="13" w:space="0" w:color="FFFFFF"/>
              <w:bottom w:val="nil" w:sz="6" w:space="0" w:color="auto"/>
              <w:right w:val="single" w:sz="4" w:space="0" w:color="000000"/>
            </w:tcBorders>
          </w:tcPr>
          <w:p>
            <w:pPr>
              <w:pStyle w:val="TableParagraph"/>
              <w:spacing w:line="236" w:lineRule="exact"/>
              <w:ind w:left="12" w:right="0"/>
              <w:jc w:val="left"/>
              <w:rPr>
                <w:rFonts w:ascii="宋体" w:hAnsi="宋体" w:cs="宋体" w:eastAsia="宋体" w:hint="default"/>
                <w:sz w:val="21"/>
                <w:szCs w:val="21"/>
              </w:rPr>
            </w:pPr>
            <w:r>
              <w:rPr>
                <w:rFonts w:ascii="宋体" w:hAnsi="宋体" w:cs="宋体" w:eastAsia="宋体" w:hint="default"/>
                <w:sz w:val="21"/>
                <w:szCs w:val="21"/>
              </w:rPr>
              <w:t>结果均为：</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822" w:hRule="exact"/>
        </w:trPr>
        <w:tc>
          <w:tcPr>
            <w:tcW w:w="1598" w:type="dxa"/>
            <w:tcBorders>
              <w:top w:val="nil" w:sz="6" w:space="0" w:color="auto"/>
              <w:left w:val="single" w:sz="4" w:space="0" w:color="000000"/>
              <w:bottom w:val="nil" w:sz="6" w:space="0" w:color="auto"/>
              <w:right w:val="single" w:sz="4" w:space="0" w:color="000000"/>
            </w:tcBorders>
          </w:tcPr>
          <w:p>
            <w:pPr>
              <w:pStyle w:val="TableParagraph"/>
              <w:spacing w:line="274" w:lineRule="exact" w:before="128"/>
              <w:ind w:left="24" w:right="36"/>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年度第二次</w:t>
            </w:r>
            <w:r>
              <w:rPr>
                <w:rFonts w:ascii="宋体" w:hAnsi="宋体" w:cs="宋体" w:eastAsia="宋体" w:hint="default"/>
                <w:w w:val="100"/>
                <w:sz w:val="21"/>
                <w:szCs w:val="21"/>
              </w:rPr>
              <w:t> </w:t>
            </w:r>
            <w:r>
              <w:rPr>
                <w:rFonts w:ascii="宋体" w:hAnsi="宋体" w:cs="宋体" w:eastAsia="宋体" w:hint="default"/>
                <w:sz w:val="21"/>
                <w:szCs w:val="21"/>
              </w:rPr>
              <w:t>临时股东大会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82" w:lineRule="exact" w:before="102"/>
              <w:ind w:left="1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30</w:t>
            </w:r>
          </w:p>
          <w:p>
            <w:pPr>
              <w:pStyle w:val="TableParagraph"/>
              <w:spacing w:line="266"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13" w:space="0" w:color="FFFFFF"/>
            </w:tcBorders>
          </w:tcPr>
          <w:p>
            <w:pPr>
              <w:pStyle w:val="TableParagraph"/>
              <w:spacing w:line="247"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、关于变更公司</w:t>
            </w:r>
          </w:p>
          <w:p>
            <w:pPr>
              <w:pStyle w:val="TableParagraph"/>
              <w:spacing w:line="274" w:lineRule="exact" w:before="15"/>
              <w:ind w:left="19" w:right="24"/>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年度审计单</w:t>
            </w:r>
            <w:r>
              <w:rPr>
                <w:rFonts w:ascii="宋体" w:hAnsi="宋体" w:cs="宋体" w:eastAsia="宋体" w:hint="default"/>
                <w:w w:val="100"/>
                <w:sz w:val="21"/>
                <w:szCs w:val="21"/>
              </w:rPr>
              <w:t> </w:t>
            </w:r>
            <w:r>
              <w:rPr>
                <w:rFonts w:ascii="宋体" w:hAnsi="宋体" w:cs="宋体" w:eastAsia="宋体" w:hint="default"/>
                <w:spacing w:val="-14"/>
                <w:w w:val="100"/>
                <w:sz w:val="21"/>
                <w:szCs w:val="21"/>
              </w:rPr>
              <w:t>位的议案；</w:t>
            </w:r>
            <w:r>
              <w:rPr>
                <w:rFonts w:ascii="Times New Roman" w:hAnsi="Times New Roman" w:cs="Times New Roman" w:eastAsia="Times New Roman" w:hint="default"/>
                <w:spacing w:val="-14"/>
                <w:w w:val="100"/>
                <w:sz w:val="21"/>
                <w:szCs w:val="21"/>
              </w:rPr>
              <w:t>3</w:t>
            </w:r>
            <w:r>
              <w:rPr>
                <w:rFonts w:ascii="宋体" w:hAnsi="宋体" w:cs="宋体" w:eastAsia="宋体" w:hint="default"/>
                <w:spacing w:val="-14"/>
                <w:w w:val="100"/>
                <w:sz w:val="21"/>
                <w:szCs w:val="21"/>
              </w:rPr>
              <w:t>、、</w:t>
            </w:r>
          </w:p>
        </w:tc>
        <w:tc>
          <w:tcPr>
            <w:tcW w:w="1594" w:type="dxa"/>
            <w:tcBorders>
              <w:top w:val="nil" w:sz="6" w:space="0" w:color="auto"/>
              <w:left w:val="single" w:sz="13" w:space="0" w:color="FFFFFF"/>
              <w:bottom w:val="nil" w:sz="6" w:space="0" w:color="auto"/>
              <w:right w:val="single" w:sz="4" w:space="0" w:color="000000"/>
            </w:tcBorders>
          </w:tcPr>
          <w:p>
            <w:pPr>
              <w:pStyle w:val="TableParagraph"/>
              <w:spacing w:line="247"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163,480,859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股同</w:t>
            </w:r>
          </w:p>
          <w:p>
            <w:pPr>
              <w:pStyle w:val="TableParagraph"/>
              <w:spacing w:line="274" w:lineRule="exact" w:before="15"/>
              <w:ind w:left="12" w:right="84"/>
              <w:jc w:val="left"/>
              <w:rPr>
                <w:rFonts w:ascii="宋体" w:hAnsi="宋体" w:cs="宋体" w:eastAsia="宋体" w:hint="default"/>
                <w:sz w:val="21"/>
                <w:szCs w:val="21"/>
              </w:rPr>
            </w:pPr>
            <w:r>
              <w:rPr>
                <w:rFonts w:ascii="宋体" w:hAnsi="宋体" w:cs="宋体" w:eastAsia="宋体" w:hint="default"/>
                <w:sz w:val="21"/>
                <w:szCs w:val="21"/>
              </w:rPr>
              <w:t>意，占出席会议</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股东所持表决权</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82" w:lineRule="exact" w:before="102"/>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31</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2012-35</w:t>
            </w:r>
          </w:p>
        </w:tc>
      </w:tr>
      <w:tr>
        <w:trPr>
          <w:trHeight w:val="271"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13" w:space="0" w:color="FFFFFF"/>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关于变更公司</w:t>
            </w:r>
          </w:p>
        </w:tc>
        <w:tc>
          <w:tcPr>
            <w:tcW w:w="1594" w:type="dxa"/>
            <w:tcBorders>
              <w:top w:val="nil" w:sz="6" w:space="0" w:color="auto"/>
              <w:left w:val="single" w:sz="13" w:space="0" w:color="FFFFFF"/>
              <w:bottom w:val="nil" w:sz="6" w:space="0" w:color="auto"/>
              <w:right w:val="single" w:sz="4" w:space="0" w:color="000000"/>
            </w:tcBorders>
          </w:tcPr>
          <w:p>
            <w:pPr>
              <w:pStyle w:val="TableParagraph"/>
              <w:spacing w:line="252" w:lineRule="exact"/>
              <w:ind w:left="12" w:right="0"/>
              <w:jc w:val="left"/>
              <w:rPr>
                <w:rFonts w:ascii="宋体" w:hAnsi="宋体" w:cs="宋体" w:eastAsia="宋体" w:hint="default"/>
                <w:sz w:val="21"/>
                <w:szCs w:val="21"/>
              </w:rPr>
            </w:pPr>
            <w:r>
              <w:rPr>
                <w:rFonts w:ascii="宋体" w:hAnsi="宋体" w:cs="宋体" w:eastAsia="宋体" w:hint="default"/>
                <w:sz w:val="21"/>
                <w:szCs w:val="21"/>
              </w:rPr>
              <w:t>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股反</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13" w:space="0" w:color="FFFFFF"/>
            </w:tcBorders>
          </w:tcPr>
          <w:p>
            <w:pPr>
              <w:pStyle w:val="TableParagraph"/>
              <w:spacing w:line="250"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年度内部控</w:t>
            </w:r>
          </w:p>
        </w:tc>
        <w:tc>
          <w:tcPr>
            <w:tcW w:w="1594" w:type="dxa"/>
            <w:tcBorders>
              <w:top w:val="nil" w:sz="6" w:space="0" w:color="auto"/>
              <w:left w:val="single" w:sz="13" w:space="0" w:color="FFFFFF"/>
              <w:bottom w:val="single" w:sz="4" w:space="0" w:color="000000"/>
              <w:right w:val="single" w:sz="4" w:space="0" w:color="000000"/>
            </w:tcBorders>
          </w:tcPr>
          <w:p>
            <w:pPr>
              <w:pStyle w:val="TableParagraph"/>
              <w:spacing w:line="250" w:lineRule="exact"/>
              <w:ind w:left="12" w:right="0"/>
              <w:jc w:val="left"/>
              <w:rPr>
                <w:rFonts w:ascii="宋体" w:hAnsi="宋体" w:cs="宋体" w:eastAsia="宋体" w:hint="default"/>
                <w:sz w:val="21"/>
                <w:szCs w:val="21"/>
              </w:rPr>
            </w:pPr>
            <w:r>
              <w:rPr>
                <w:rFonts w:ascii="宋体" w:hAnsi="宋体" w:cs="宋体" w:eastAsia="宋体" w:hint="default"/>
                <w:sz w:val="21"/>
                <w:szCs w:val="21"/>
              </w:rPr>
              <w:t>对，</w:t>
            </w:r>
            <w:r>
              <w:rPr>
                <w:rFonts w:ascii="Times New Roman" w:hAnsi="Times New Roman" w:cs="Times New Roman" w:eastAsia="Times New Roman" w:hint="default"/>
                <w:sz w:val="21"/>
                <w:szCs w:val="21"/>
              </w:rPr>
              <w:t>0 </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股弃权，</w:t>
            </w: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57" w:top="1120" w:bottom="1180" w:left="980" w:right="98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1598"/>
        <w:gridCol w:w="1594"/>
        <w:gridCol w:w="1594"/>
        <w:gridCol w:w="1594"/>
        <w:gridCol w:w="1594"/>
        <w:gridCol w:w="1594"/>
      </w:tblGrid>
      <w:tr>
        <w:trPr>
          <w:trHeight w:val="557" w:hRule="exact"/>
        </w:trPr>
        <w:tc>
          <w:tcPr>
            <w:tcW w:w="1598"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ind w:left="19" w:right="0"/>
              <w:jc w:val="left"/>
              <w:rPr>
                <w:rFonts w:ascii="宋体" w:hAnsi="宋体" w:cs="宋体" w:eastAsia="宋体" w:hint="default"/>
                <w:sz w:val="21"/>
                <w:szCs w:val="21"/>
              </w:rPr>
            </w:pPr>
            <w:r>
              <w:rPr>
                <w:rFonts w:ascii="宋体" w:hAnsi="宋体" w:cs="宋体" w:eastAsia="宋体" w:hint="default"/>
                <w:sz w:val="21"/>
                <w:szCs w:val="21"/>
              </w:rPr>
              <w:t>制审计单位的议</w:t>
            </w:r>
          </w:p>
          <w:p>
            <w:pPr>
              <w:pStyle w:val="TableParagraph"/>
              <w:spacing w:line="27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案</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议案通过。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1598"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关于为惠州市宝</w:t>
            </w:r>
          </w:p>
        </w:tc>
        <w:tc>
          <w:tcPr>
            <w:tcW w:w="1594"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表决结果：</w:t>
            </w: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9" w:right="0"/>
              <w:jc w:val="left"/>
              <w:rPr>
                <w:rFonts w:ascii="宋体" w:hAnsi="宋体" w:cs="宋体" w:eastAsia="宋体" w:hint="default"/>
                <w:sz w:val="21"/>
                <w:szCs w:val="21"/>
              </w:rPr>
            </w:pPr>
            <w:r>
              <w:rPr>
                <w:rFonts w:ascii="宋体" w:hAnsi="宋体" w:cs="宋体" w:eastAsia="宋体" w:hint="default"/>
                <w:sz w:val="21"/>
                <w:szCs w:val="21"/>
              </w:rPr>
              <w:t>安房地产开发有</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163,436,959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股同</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818" w:hRule="exact"/>
        </w:trPr>
        <w:tc>
          <w:tcPr>
            <w:tcW w:w="1598" w:type="dxa"/>
            <w:tcBorders>
              <w:top w:val="nil" w:sz="6" w:space="0" w:color="auto"/>
              <w:left w:val="single" w:sz="4" w:space="0" w:color="000000"/>
              <w:bottom w:val="nil" w:sz="6" w:space="0" w:color="auto"/>
              <w:right w:val="single" w:sz="4" w:space="0" w:color="000000"/>
            </w:tcBorders>
          </w:tcPr>
          <w:p>
            <w:pPr>
              <w:pStyle w:val="TableParagraph"/>
              <w:spacing w:line="268" w:lineRule="exact" w:before="131"/>
              <w:ind w:left="24" w:right="36"/>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年度第三次</w:t>
            </w:r>
            <w:r>
              <w:rPr>
                <w:rFonts w:ascii="宋体" w:hAnsi="宋体" w:cs="宋体" w:eastAsia="宋体" w:hint="default"/>
                <w:w w:val="100"/>
                <w:sz w:val="21"/>
                <w:szCs w:val="21"/>
              </w:rPr>
              <w:t> </w:t>
            </w:r>
            <w:r>
              <w:rPr>
                <w:rFonts w:ascii="宋体" w:hAnsi="宋体" w:cs="宋体" w:eastAsia="宋体" w:hint="default"/>
                <w:sz w:val="21"/>
                <w:szCs w:val="21"/>
              </w:rPr>
              <w:t>临时股东大会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80" w:lineRule="exact" w:before="101"/>
              <w:ind w:left="1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29</w:t>
            </w:r>
          </w:p>
          <w:p>
            <w:pPr>
              <w:pStyle w:val="TableParagraph"/>
              <w:spacing w:line="264"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限公司向农业银</w:t>
            </w:r>
          </w:p>
          <w:p>
            <w:pPr>
              <w:pStyle w:val="TableParagraph"/>
              <w:spacing w:line="240" w:lineRule="auto"/>
              <w:ind w:left="19" w:right="89"/>
              <w:jc w:val="left"/>
              <w:rPr>
                <w:rFonts w:ascii="宋体" w:hAnsi="宋体" w:cs="宋体" w:eastAsia="宋体" w:hint="default"/>
                <w:sz w:val="21"/>
                <w:szCs w:val="21"/>
              </w:rPr>
            </w:pPr>
            <w:r>
              <w:rPr>
                <w:rFonts w:ascii="宋体" w:hAnsi="宋体" w:cs="宋体" w:eastAsia="宋体" w:hint="default"/>
                <w:sz w:val="21"/>
                <w:szCs w:val="21"/>
              </w:rPr>
              <w:t>行惠州分行申请</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项目开发贷款额</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意，占出席会议</w:t>
            </w:r>
          </w:p>
          <w:p>
            <w:pPr>
              <w:pStyle w:val="TableParagraph"/>
              <w:spacing w:line="240" w:lineRule="auto"/>
              <w:ind w:left="23" w:right="17"/>
              <w:jc w:val="left"/>
              <w:rPr>
                <w:rFonts w:ascii="宋体" w:hAnsi="宋体" w:cs="宋体" w:eastAsia="宋体" w:hint="default"/>
                <w:sz w:val="21"/>
                <w:szCs w:val="21"/>
              </w:rPr>
            </w:pPr>
            <w:r>
              <w:rPr>
                <w:rFonts w:ascii="宋体" w:hAnsi="宋体" w:cs="宋体" w:eastAsia="宋体" w:hint="default"/>
                <w:sz w:val="21"/>
                <w:szCs w:val="21"/>
              </w:rPr>
              <w:t>股东所持表决权</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股反</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80" w:lineRule="exact" w:before="101"/>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30</w:t>
            </w:r>
          </w:p>
          <w:p>
            <w:pPr>
              <w:pStyle w:val="TableParagraph"/>
              <w:spacing w:line="264"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left="23" w:right="0"/>
              <w:jc w:val="left"/>
              <w:rPr>
                <w:rFonts w:ascii="Times New Roman" w:hAnsi="Times New Roman" w:cs="Times New Roman" w:eastAsia="Times New Roman" w:hint="default"/>
                <w:sz w:val="21"/>
                <w:szCs w:val="21"/>
              </w:rPr>
            </w:pPr>
            <w:r>
              <w:rPr>
                <w:rFonts w:ascii="Times New Roman"/>
                <w:sz w:val="21"/>
              </w:rPr>
              <w:t>2012-40</w:t>
            </w:r>
          </w:p>
        </w:tc>
      </w:tr>
      <w:tr>
        <w:trPr>
          <w:trHeight w:val="271"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19" w:right="0"/>
              <w:jc w:val="left"/>
              <w:rPr>
                <w:rFonts w:ascii="宋体" w:hAnsi="宋体" w:cs="宋体" w:eastAsia="宋体" w:hint="default"/>
                <w:sz w:val="21"/>
                <w:szCs w:val="21"/>
              </w:rPr>
            </w:pPr>
            <w:r>
              <w:rPr>
                <w:rFonts w:ascii="宋体" w:hAnsi="宋体" w:cs="宋体" w:eastAsia="宋体" w:hint="default"/>
                <w:sz w:val="21"/>
                <w:szCs w:val="21"/>
              </w:rPr>
              <w:t>度</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亿元提供</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宋体" w:hAnsi="宋体" w:cs="宋体" w:eastAsia="宋体" w:hint="default"/>
                <w:sz w:val="21"/>
                <w:szCs w:val="21"/>
              </w:rPr>
            </w:pPr>
            <w:r>
              <w:rPr>
                <w:rFonts w:ascii="宋体" w:hAnsi="宋体" w:cs="宋体" w:eastAsia="宋体" w:hint="default"/>
                <w:spacing w:val="-15"/>
                <w:sz w:val="21"/>
                <w:szCs w:val="21"/>
              </w:rPr>
              <w:t>对，</w:t>
            </w:r>
            <w:r>
              <w:rPr>
                <w:rFonts w:ascii="Times New Roman" w:hAnsi="Times New Roman" w:cs="Times New Roman" w:eastAsia="Times New Roman" w:hint="default"/>
                <w:spacing w:val="-15"/>
                <w:sz w:val="21"/>
                <w:szCs w:val="21"/>
              </w:rPr>
              <w:t>0</w:t>
            </w:r>
            <w:r>
              <w:rPr>
                <w:rFonts w:ascii="Times New Roman" w:hAnsi="Times New Roman" w:cs="Times New Roman" w:eastAsia="Times New Roman" w:hint="default"/>
                <w:spacing w:val="10"/>
                <w:sz w:val="21"/>
                <w:szCs w:val="21"/>
              </w:rPr>
              <w:t> </w:t>
            </w:r>
            <w:r>
              <w:rPr>
                <w:rFonts w:ascii="宋体" w:hAnsi="宋体" w:cs="宋体" w:eastAsia="宋体" w:hint="default"/>
                <w:spacing w:val="-11"/>
                <w:sz w:val="21"/>
                <w:szCs w:val="21"/>
              </w:rPr>
              <w:t>股弃权，议</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担保的议案</w:t>
            </w:r>
          </w:p>
        </w:tc>
        <w:tc>
          <w:tcPr>
            <w:tcW w:w="1594" w:type="dxa"/>
            <w:tcBorders>
              <w:top w:val="nil" w:sz="6" w:space="0" w:color="auto"/>
              <w:left w:val="single" w:sz="4" w:space="0" w:color="000000"/>
              <w:bottom w:val="single" w:sz="4" w:space="0" w:color="000000"/>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案通过。</w:t>
            </w: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r>
      <w:tr>
        <w:trPr>
          <w:trHeight w:val="278" w:hRule="exact"/>
        </w:trPr>
        <w:tc>
          <w:tcPr>
            <w:tcW w:w="1598"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Style w:val="TableParagraph"/>
              <w:spacing w:line="252"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、关于授权公司</w:t>
            </w: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c>
          <w:tcPr>
            <w:tcW w:w="1594" w:type="dxa"/>
            <w:tcBorders>
              <w:top w:val="single" w:sz="4" w:space="0" w:color="000000"/>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为全资控股子公</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9" w:right="0"/>
              <w:jc w:val="left"/>
              <w:rPr>
                <w:rFonts w:ascii="宋体" w:hAnsi="宋体" w:cs="宋体" w:eastAsia="宋体" w:hint="default"/>
                <w:sz w:val="21"/>
                <w:szCs w:val="21"/>
              </w:rPr>
            </w:pPr>
            <w:r>
              <w:rPr>
                <w:rFonts w:ascii="宋体" w:hAnsi="宋体" w:cs="宋体" w:eastAsia="宋体" w:hint="default"/>
                <w:sz w:val="21"/>
                <w:szCs w:val="21"/>
              </w:rPr>
              <w:t>司</w:t>
            </w:r>
            <w:r>
              <w:rPr>
                <w:rFonts w:ascii="Times New Roman" w:hAnsi="Times New Roman" w:cs="Times New Roman" w:eastAsia="Times New Roman" w:hint="default"/>
                <w:sz w:val="21"/>
                <w:szCs w:val="21"/>
              </w:rPr>
              <w:t>——</w:t>
            </w:r>
            <w:r>
              <w:rPr>
                <w:rFonts w:ascii="宋体" w:hAnsi="宋体" w:cs="宋体" w:eastAsia="宋体" w:hint="default"/>
                <w:sz w:val="21"/>
                <w:szCs w:val="21"/>
              </w:rPr>
              <w:t>湖南宝安</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鸿基房地产开发</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有限公司贷款</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亿元额度提供担</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9" w:right="0"/>
              <w:jc w:val="left"/>
              <w:rPr>
                <w:rFonts w:ascii="宋体" w:hAnsi="宋体" w:cs="宋体" w:eastAsia="宋体" w:hint="default"/>
                <w:sz w:val="21"/>
                <w:szCs w:val="21"/>
              </w:rPr>
            </w:pPr>
            <w:r>
              <w:rPr>
                <w:rFonts w:ascii="宋体" w:hAnsi="宋体" w:cs="宋体" w:eastAsia="宋体" w:hint="default"/>
                <w:spacing w:val="-6"/>
                <w:sz w:val="21"/>
                <w:szCs w:val="21"/>
              </w:rPr>
              <w:t>保的议案；</w:t>
            </w: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、关</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于授权公司为全</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1"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资控股子公司</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惠东县宝安</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鸿基房地产开发</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有限公司贷款</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亿元额度提供担</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9" w:right="0"/>
              <w:jc w:val="left"/>
              <w:rPr>
                <w:rFonts w:ascii="宋体" w:hAnsi="宋体" w:cs="宋体" w:eastAsia="宋体" w:hint="default"/>
                <w:sz w:val="21"/>
                <w:szCs w:val="21"/>
              </w:rPr>
            </w:pPr>
            <w:r>
              <w:rPr>
                <w:rFonts w:ascii="宋体" w:hAnsi="宋体" w:cs="宋体" w:eastAsia="宋体" w:hint="default"/>
                <w:sz w:val="21"/>
                <w:szCs w:val="21"/>
              </w:rPr>
              <w:t>保的议案</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、关</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于授权公司为全</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4"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资控股子公司</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东莞市宜久</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23" w:right="0"/>
              <w:jc w:val="left"/>
              <w:rPr>
                <w:rFonts w:ascii="宋体" w:hAnsi="宋体" w:cs="宋体" w:eastAsia="宋体" w:hint="default"/>
                <w:sz w:val="21"/>
                <w:szCs w:val="21"/>
              </w:rPr>
            </w:pPr>
            <w:r>
              <w:rPr>
                <w:rFonts w:ascii="宋体" w:hAnsi="宋体" w:cs="宋体" w:eastAsia="宋体" w:hint="default"/>
                <w:sz w:val="21"/>
                <w:szCs w:val="21"/>
              </w:rPr>
              <w:t>所有议案的表决</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sz w:val="21"/>
                <w:szCs w:val="21"/>
              </w:rPr>
              <w:t>房地产开发有限</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结果均为：</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公司贷款</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163,436,859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股同</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545" w:hRule="exact"/>
        </w:trPr>
        <w:tc>
          <w:tcPr>
            <w:tcW w:w="1598" w:type="dxa"/>
            <w:tcBorders>
              <w:top w:val="nil" w:sz="6" w:space="0" w:color="auto"/>
              <w:left w:val="single" w:sz="4" w:space="0" w:color="000000"/>
              <w:bottom w:val="nil" w:sz="6" w:space="0" w:color="auto"/>
              <w:right w:val="single" w:sz="4" w:space="0" w:color="000000"/>
            </w:tcBorders>
          </w:tcPr>
          <w:p>
            <w:pPr>
              <w:pStyle w:val="TableParagraph"/>
              <w:spacing w:line="244" w:lineRule="exact"/>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年度第四次</w:t>
            </w:r>
          </w:p>
          <w:p>
            <w:pPr>
              <w:pStyle w:val="TableParagraph"/>
              <w:spacing w:line="266" w:lineRule="exact"/>
              <w:ind w:left="24"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4" w:lineRule="exact"/>
              <w:ind w:left="1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p>
          <w:p>
            <w:pPr>
              <w:pStyle w:val="TableParagraph"/>
              <w:spacing w:line="266" w:lineRule="exact"/>
              <w:ind w:left="19"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额度提供担保的</w:t>
            </w:r>
          </w:p>
          <w:p>
            <w:pPr>
              <w:pStyle w:val="TableParagraph"/>
              <w:spacing w:line="290" w:lineRule="exact"/>
              <w:ind w:left="19" w:right="0"/>
              <w:jc w:val="left"/>
              <w:rPr>
                <w:rFonts w:ascii="宋体" w:hAnsi="宋体" w:cs="宋体" w:eastAsia="宋体" w:hint="default"/>
                <w:sz w:val="21"/>
                <w:szCs w:val="21"/>
              </w:rPr>
            </w:pPr>
            <w:r>
              <w:rPr>
                <w:rFonts w:ascii="宋体" w:hAnsi="宋体" w:cs="宋体" w:eastAsia="宋体" w:hint="default"/>
                <w:spacing w:val="-6"/>
                <w:sz w:val="21"/>
                <w:szCs w:val="21"/>
              </w:rPr>
              <w:t>议案；</w:t>
            </w:r>
            <w:r>
              <w:rPr>
                <w:rFonts w:ascii="Times New Roman" w:hAnsi="Times New Roman" w:cs="Times New Roman" w:eastAsia="Times New Roman" w:hint="default"/>
                <w:spacing w:val="-6"/>
                <w:sz w:val="21"/>
                <w:szCs w:val="21"/>
              </w:rPr>
              <w:t>4</w:t>
            </w:r>
            <w:r>
              <w:rPr>
                <w:rFonts w:ascii="宋体" w:hAnsi="宋体" w:cs="宋体" w:eastAsia="宋体" w:hint="default"/>
                <w:spacing w:val="-6"/>
                <w:sz w:val="21"/>
                <w:szCs w:val="21"/>
              </w:rPr>
              <w:t>、关于授</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意，占出席会议</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股东所持表决权</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4" w:lineRule="exact"/>
              <w:ind w:left="23"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pacing w:val="-5"/>
                <w:sz w:val="21"/>
                <w:szCs w:val="21"/>
              </w:rPr>
              <w:t>11</w:t>
            </w:r>
          </w:p>
          <w:p>
            <w:pPr>
              <w:pStyle w:val="TableParagraph"/>
              <w:spacing w:line="266"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left="23" w:right="0"/>
              <w:jc w:val="left"/>
              <w:rPr>
                <w:rFonts w:ascii="Times New Roman" w:hAnsi="Times New Roman" w:cs="Times New Roman" w:eastAsia="Times New Roman" w:hint="default"/>
                <w:sz w:val="21"/>
                <w:szCs w:val="21"/>
              </w:rPr>
            </w:pPr>
            <w:r>
              <w:rPr>
                <w:rFonts w:ascii="Times New Roman"/>
                <w:sz w:val="21"/>
              </w:rPr>
              <w:t>2012-46</w:t>
            </w:r>
          </w:p>
        </w:tc>
      </w:tr>
      <w:tr>
        <w:trPr>
          <w:trHeight w:val="274"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sz w:val="21"/>
                <w:szCs w:val="21"/>
              </w:rPr>
              <w:t>权公司为全资控</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5" w:lineRule="exact"/>
              <w:ind w:left="23" w:right="0"/>
              <w:jc w:val="left"/>
              <w:rPr>
                <w:rFonts w:ascii="宋体" w:hAnsi="宋体" w:cs="宋体" w:eastAsia="宋体" w:hint="default"/>
                <w:sz w:val="21"/>
                <w:szCs w:val="21"/>
              </w:rPr>
            </w:pPr>
            <w:r>
              <w:rPr>
                <w:rFonts w:ascii="宋体" w:hAnsi="宋体" w:cs="宋体" w:eastAsia="宋体" w:hint="default"/>
                <w:sz w:val="21"/>
                <w:szCs w:val="21"/>
              </w:rPr>
              <w:t>的</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股反</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1"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19" w:right="0"/>
              <w:jc w:val="left"/>
              <w:rPr>
                <w:rFonts w:ascii="宋体" w:hAnsi="宋体" w:cs="宋体" w:eastAsia="宋体" w:hint="default"/>
                <w:sz w:val="21"/>
                <w:szCs w:val="21"/>
              </w:rPr>
            </w:pPr>
            <w:r>
              <w:rPr>
                <w:rFonts w:ascii="宋体" w:hAnsi="宋体" w:cs="宋体" w:eastAsia="宋体" w:hint="default"/>
                <w:sz w:val="21"/>
                <w:szCs w:val="21"/>
              </w:rPr>
              <w:t>股子公司</w:t>
            </w:r>
            <w:r>
              <w:rPr>
                <w:rFonts w:ascii="Times New Roman" w:hAnsi="Times New Roman" w:cs="Times New Roman" w:eastAsia="Times New Roman" w:hint="default"/>
                <w:sz w:val="21"/>
                <w:szCs w:val="21"/>
              </w:rPr>
              <w:t>——</w:t>
            </w:r>
            <w:r>
              <w:rPr>
                <w:rFonts w:ascii="宋体" w:hAnsi="宋体" w:cs="宋体" w:eastAsia="宋体" w:hint="default"/>
                <w:sz w:val="21"/>
                <w:szCs w:val="21"/>
              </w:rPr>
              <w:t>深</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0" w:lineRule="exact"/>
              <w:ind w:left="23" w:right="0"/>
              <w:jc w:val="left"/>
              <w:rPr>
                <w:rFonts w:ascii="宋体" w:hAnsi="宋体" w:cs="宋体" w:eastAsia="宋体" w:hint="default"/>
                <w:sz w:val="21"/>
                <w:szCs w:val="21"/>
              </w:rPr>
            </w:pPr>
            <w:r>
              <w:rPr>
                <w:rFonts w:ascii="宋体" w:hAnsi="宋体" w:cs="宋体" w:eastAsia="宋体" w:hint="default"/>
                <w:spacing w:val="-15"/>
                <w:sz w:val="21"/>
                <w:szCs w:val="21"/>
              </w:rPr>
              <w:t>对，</w:t>
            </w:r>
            <w:r>
              <w:rPr>
                <w:rFonts w:ascii="Times New Roman" w:hAnsi="Times New Roman" w:cs="Times New Roman" w:eastAsia="Times New Roman" w:hint="default"/>
                <w:spacing w:val="-15"/>
                <w:sz w:val="21"/>
                <w:szCs w:val="21"/>
              </w:rPr>
              <w:t>0</w:t>
            </w:r>
            <w:r>
              <w:rPr>
                <w:rFonts w:ascii="Times New Roman" w:hAnsi="Times New Roman" w:cs="Times New Roman" w:eastAsia="Times New Roman" w:hint="default"/>
                <w:spacing w:val="10"/>
                <w:sz w:val="21"/>
                <w:szCs w:val="21"/>
              </w:rPr>
              <w:t> </w:t>
            </w:r>
            <w:r>
              <w:rPr>
                <w:rFonts w:ascii="宋体" w:hAnsi="宋体" w:cs="宋体" w:eastAsia="宋体" w:hint="default"/>
                <w:spacing w:val="-11"/>
                <w:sz w:val="21"/>
                <w:szCs w:val="21"/>
              </w:rPr>
              <w:t>股弃权，议</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圳市鸿基物业管</w:t>
            </w: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3" w:right="0"/>
              <w:jc w:val="left"/>
              <w:rPr>
                <w:rFonts w:ascii="宋体" w:hAnsi="宋体" w:cs="宋体" w:eastAsia="宋体" w:hint="default"/>
                <w:sz w:val="21"/>
                <w:szCs w:val="21"/>
              </w:rPr>
            </w:pPr>
            <w:r>
              <w:rPr>
                <w:rFonts w:ascii="宋体" w:hAnsi="宋体" w:cs="宋体" w:eastAsia="宋体" w:hint="default"/>
                <w:sz w:val="21"/>
                <w:szCs w:val="21"/>
              </w:rPr>
              <w:t>案通过。</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1"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理有限公司贷款</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6"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万元额度提</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供担保的议案；</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Times New Roman" w:hAnsi="Times New Roman" w:cs="Times New Roman" w:eastAsia="Times New Roman" w:hint="default"/>
                <w:spacing w:val="-6"/>
                <w:sz w:val="21"/>
                <w:szCs w:val="21"/>
              </w:rPr>
              <w:t>5</w:t>
            </w:r>
            <w:r>
              <w:rPr>
                <w:rFonts w:ascii="宋体" w:hAnsi="宋体" w:cs="宋体" w:eastAsia="宋体" w:hint="default"/>
                <w:spacing w:val="-6"/>
                <w:sz w:val="21"/>
                <w:szCs w:val="21"/>
              </w:rPr>
              <w:t>、关于授权公司</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sz w:val="21"/>
                <w:szCs w:val="21"/>
              </w:rPr>
              <w:t>为全资控股子公</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宋体" w:hAnsi="宋体" w:cs="宋体" w:eastAsia="宋体" w:hint="default"/>
                <w:sz w:val="21"/>
                <w:szCs w:val="21"/>
              </w:rPr>
              <w:t>司</w:t>
            </w:r>
            <w:r>
              <w:rPr>
                <w:rFonts w:ascii="Times New Roman" w:hAnsi="Times New Roman" w:cs="Times New Roman" w:eastAsia="Times New Roman" w:hint="default"/>
                <w:sz w:val="21"/>
                <w:szCs w:val="21"/>
              </w:rPr>
              <w:t>——</w:t>
            </w:r>
            <w:r>
              <w:rPr>
                <w:rFonts w:ascii="宋体" w:hAnsi="宋体" w:cs="宋体" w:eastAsia="宋体" w:hint="default"/>
                <w:sz w:val="21"/>
                <w:szCs w:val="21"/>
              </w:rPr>
              <w:t>深圳市鸿</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基物流有限公司</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宋体" w:hAnsi="宋体" w:cs="宋体" w:eastAsia="宋体" w:hint="default"/>
                <w:sz w:val="21"/>
                <w:szCs w:val="21"/>
              </w:rPr>
              <w:t>贷款</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亿元额</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sz w:val="21"/>
                <w:szCs w:val="21"/>
              </w:rPr>
              <w:t>度提供担保的议</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宋体" w:hAnsi="宋体" w:cs="宋体" w:eastAsia="宋体" w:hint="default"/>
                <w:spacing w:val="-6"/>
                <w:sz w:val="21"/>
                <w:szCs w:val="21"/>
              </w:rPr>
              <w:t>案；</w:t>
            </w:r>
            <w:r>
              <w:rPr>
                <w:rFonts w:ascii="Times New Roman" w:hAnsi="Times New Roman" w:cs="Times New Roman" w:eastAsia="Times New Roman" w:hint="default"/>
                <w:spacing w:val="-6"/>
                <w:sz w:val="21"/>
                <w:szCs w:val="21"/>
              </w:rPr>
              <w:t>6</w:t>
            </w:r>
            <w:r>
              <w:rPr>
                <w:rFonts w:ascii="宋体" w:hAnsi="宋体" w:cs="宋体" w:eastAsia="宋体" w:hint="default"/>
                <w:spacing w:val="-6"/>
                <w:sz w:val="21"/>
                <w:szCs w:val="21"/>
              </w:rPr>
              <w:t>、关于授权</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公司为全资控股</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7"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宋体" w:hAnsi="宋体" w:cs="宋体" w:eastAsia="宋体" w:hint="default"/>
                <w:sz w:val="21"/>
                <w:szCs w:val="21"/>
              </w:rPr>
              <w:t>子公司</w:t>
            </w:r>
            <w:r>
              <w:rPr>
                <w:rFonts w:ascii="Times New Roman" w:hAnsi="Times New Roman" w:cs="Times New Roman" w:eastAsia="Times New Roman" w:hint="default"/>
                <w:sz w:val="21"/>
                <w:szCs w:val="21"/>
              </w:rPr>
              <w:t>——</w:t>
            </w:r>
            <w:r>
              <w:rPr>
                <w:rFonts w:ascii="宋体" w:hAnsi="宋体" w:cs="宋体" w:eastAsia="宋体" w:hint="default"/>
                <w:sz w:val="21"/>
                <w:szCs w:val="21"/>
              </w:rPr>
              <w:t>深圳</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9" w:right="0"/>
              <w:jc w:val="left"/>
              <w:rPr>
                <w:rFonts w:ascii="宋体" w:hAnsi="宋体" w:cs="宋体" w:eastAsia="宋体" w:hint="default"/>
                <w:sz w:val="21"/>
                <w:szCs w:val="21"/>
              </w:rPr>
            </w:pPr>
            <w:r>
              <w:rPr>
                <w:rFonts w:ascii="宋体" w:hAnsi="宋体" w:cs="宋体" w:eastAsia="宋体" w:hint="default"/>
                <w:sz w:val="21"/>
                <w:szCs w:val="21"/>
              </w:rPr>
              <w:t>市宝鹏物流有限</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79"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58" w:lineRule="exact"/>
              <w:ind w:left="19" w:right="0"/>
              <w:jc w:val="left"/>
              <w:rPr>
                <w:rFonts w:ascii="宋体" w:hAnsi="宋体" w:cs="宋体" w:eastAsia="宋体" w:hint="default"/>
                <w:sz w:val="21"/>
                <w:szCs w:val="21"/>
              </w:rPr>
            </w:pPr>
            <w:r>
              <w:rPr>
                <w:rFonts w:ascii="宋体" w:hAnsi="宋体" w:cs="宋体" w:eastAsia="宋体" w:hint="default"/>
                <w:sz w:val="21"/>
                <w:szCs w:val="21"/>
              </w:rPr>
              <w:t>公司贷款</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5000</w:t>
            </w:r>
            <w:r>
              <w:rPr>
                <w:rFonts w:ascii="Times New Roman" w:hAnsi="Times New Roman" w:cs="Times New Roman" w:eastAsia="Times New Roman" w:hint="default"/>
                <w:spacing w:val="-21"/>
                <w:sz w:val="21"/>
                <w:szCs w:val="21"/>
              </w:rPr>
              <w:t> </w:t>
            </w:r>
            <w:r>
              <w:rPr>
                <w:rFonts w:ascii="宋体" w:hAnsi="宋体" w:cs="宋体" w:eastAsia="宋体" w:hint="default"/>
                <w:sz w:val="21"/>
                <w:szCs w:val="21"/>
              </w:rPr>
              <w:t>万</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68" w:hRule="exact"/>
        </w:trPr>
        <w:tc>
          <w:tcPr>
            <w:tcW w:w="1598"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19" w:right="0"/>
              <w:jc w:val="left"/>
              <w:rPr>
                <w:rFonts w:ascii="宋体" w:hAnsi="宋体" w:cs="宋体" w:eastAsia="宋体" w:hint="default"/>
                <w:sz w:val="21"/>
                <w:szCs w:val="21"/>
              </w:rPr>
            </w:pPr>
            <w:r>
              <w:rPr>
                <w:rFonts w:ascii="宋体" w:hAnsi="宋体" w:cs="宋体" w:eastAsia="宋体" w:hint="default"/>
                <w:sz w:val="21"/>
                <w:szCs w:val="21"/>
              </w:rPr>
              <w:t>元额度提供担保</w:t>
            </w: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c>
          <w:tcPr>
            <w:tcW w:w="1594" w:type="dxa"/>
            <w:tcBorders>
              <w:top w:val="nil" w:sz="6" w:space="0" w:color="auto"/>
              <w:left w:val="single" w:sz="4" w:space="0" w:color="000000"/>
              <w:bottom w:val="nil" w:sz="6" w:space="0" w:color="auto"/>
              <w:right w:val="single" w:sz="4" w:space="0" w:color="000000"/>
            </w:tcBorders>
          </w:tcPr>
          <w:p>
            <w:pPr/>
          </w:p>
        </w:tc>
      </w:tr>
      <w:tr>
        <w:trPr>
          <w:trHeight w:val="285" w:hRule="exact"/>
        </w:trPr>
        <w:tc>
          <w:tcPr>
            <w:tcW w:w="1598"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Style w:val="TableParagraph"/>
              <w:spacing w:line="242" w:lineRule="exact"/>
              <w:ind w:left="19" w:right="0"/>
              <w:jc w:val="left"/>
              <w:rPr>
                <w:rFonts w:ascii="宋体" w:hAnsi="宋体" w:cs="宋体" w:eastAsia="宋体" w:hint="default"/>
                <w:sz w:val="21"/>
                <w:szCs w:val="21"/>
              </w:rPr>
            </w:pPr>
            <w:r>
              <w:rPr>
                <w:rFonts w:ascii="宋体" w:hAnsi="宋体" w:cs="宋体" w:eastAsia="宋体" w:hint="default"/>
                <w:sz w:val="21"/>
                <w:szCs w:val="21"/>
              </w:rPr>
              <w:t>的议案</w:t>
            </w: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c>
          <w:tcPr>
            <w:tcW w:w="1594" w:type="dxa"/>
            <w:tcBorders>
              <w:top w:val="nil" w:sz="6" w:space="0" w:color="auto"/>
              <w:left w:val="single" w:sz="4" w:space="0" w:color="000000"/>
              <w:bottom w:val="single" w:sz="4" w:space="0" w:color="000000"/>
              <w:right w:val="single" w:sz="4" w:space="0" w:color="000000"/>
            </w:tcBorders>
          </w:tcPr>
          <w:p>
            <w:pPr/>
          </w:p>
        </w:tc>
      </w:tr>
    </w:tbl>
    <w:p>
      <w:pPr>
        <w:spacing w:after="0"/>
        <w:sectPr>
          <w:pgSz w:w="11900" w:h="16840"/>
          <w:pgMar w:header="872" w:footer="957" w:top="1120" w:bottom="1180" w:left="980" w:right="980"/>
        </w:sectPr>
      </w:pPr>
    </w:p>
    <w:p>
      <w:pPr>
        <w:spacing w:line="240" w:lineRule="auto" w:before="2"/>
        <w:rPr>
          <w:rFonts w:ascii="Times New Roman" w:hAnsi="Times New Roman" w:cs="Times New Roman" w:eastAsia="Times New Roman" w:hint="default"/>
          <w:sz w:val="22"/>
          <w:szCs w:val="22"/>
        </w:rPr>
      </w:pPr>
    </w:p>
    <w:p>
      <w:pPr>
        <w:pStyle w:val="Heading4"/>
        <w:spacing w:line="367" w:lineRule="exact"/>
        <w:ind w:right="0"/>
        <w:jc w:val="left"/>
        <w:rPr>
          <w:b w:val="0"/>
          <w:bCs w:val="0"/>
        </w:rPr>
      </w:pPr>
      <w:r>
        <w:rPr/>
        <w:t>三、报告期内独立董事履行职责的情况</w:t>
      </w:r>
      <w:r>
        <w:rPr>
          <w:b w:val="0"/>
          <w:bCs w:val="0"/>
        </w:rPr>
      </w:r>
    </w:p>
    <w:p>
      <w:pPr>
        <w:pStyle w:val="Heading6"/>
        <w:spacing w:line="240" w:lineRule="auto" w:before="207"/>
        <w:ind w:left="152" w:right="0"/>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8"/>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1622"/>
        <w:gridCol w:w="1320"/>
        <w:gridCol w:w="1325"/>
        <w:gridCol w:w="1320"/>
        <w:gridCol w:w="1320"/>
        <w:gridCol w:w="1325"/>
        <w:gridCol w:w="1320"/>
      </w:tblGrid>
      <w:tr>
        <w:trPr>
          <w:trHeight w:val="317" w:hRule="exact"/>
        </w:trPr>
        <w:tc>
          <w:tcPr>
            <w:tcW w:w="955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独立董事出席董事会情况</w:t>
            </w:r>
          </w:p>
        </w:tc>
      </w:tr>
      <w:tr>
        <w:trPr>
          <w:trHeight w:val="1238" w:hRule="exact"/>
        </w:trPr>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21"/>
                <w:szCs w:val="21"/>
              </w:rPr>
            </w:pPr>
          </w:p>
          <w:p>
            <w:pPr>
              <w:pStyle w:val="TableParagraph"/>
              <w:spacing w:line="240" w:lineRule="auto"/>
              <w:ind w:left="172" w:right="0"/>
              <w:jc w:val="left"/>
              <w:rPr>
                <w:rFonts w:ascii="宋体" w:hAnsi="宋体" w:cs="宋体" w:eastAsia="宋体" w:hint="default"/>
                <w:sz w:val="21"/>
                <w:szCs w:val="21"/>
              </w:rPr>
            </w:pPr>
            <w:r>
              <w:rPr>
                <w:rFonts w:ascii="宋体" w:hAnsi="宋体" w:cs="宋体" w:eastAsia="宋体" w:hint="default"/>
                <w:sz w:val="21"/>
                <w:szCs w:val="21"/>
              </w:rPr>
              <w:t>独立董事姓名</w:t>
            </w:r>
          </w:p>
        </w:tc>
        <w:tc>
          <w:tcPr>
            <w:tcW w:w="13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167"/>
              <w:ind w:left="23" w:right="17" w:firstLine="4"/>
              <w:jc w:val="left"/>
              <w:rPr>
                <w:rFonts w:ascii="宋体" w:hAnsi="宋体" w:cs="宋体" w:eastAsia="宋体" w:hint="default"/>
                <w:sz w:val="21"/>
                <w:szCs w:val="21"/>
              </w:rPr>
            </w:pPr>
            <w:r>
              <w:rPr>
                <w:rFonts w:ascii="宋体" w:hAnsi="宋体" w:cs="宋体" w:eastAsia="宋体" w:hint="default"/>
                <w:sz w:val="21"/>
                <w:szCs w:val="21"/>
              </w:rPr>
              <w:t>本报告期应参</w:t>
            </w:r>
            <w:r>
              <w:rPr>
                <w:rFonts w:ascii="宋体" w:hAnsi="宋体" w:cs="宋体" w:eastAsia="宋体" w:hint="default"/>
                <w:w w:val="100"/>
                <w:sz w:val="21"/>
                <w:szCs w:val="21"/>
              </w:rPr>
              <w:t> </w:t>
            </w:r>
            <w:r>
              <w:rPr>
                <w:rFonts w:ascii="宋体" w:hAnsi="宋体" w:cs="宋体" w:eastAsia="宋体" w:hint="default"/>
                <w:sz w:val="21"/>
                <w:szCs w:val="21"/>
              </w:rPr>
              <w:t>加董事会次数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21"/>
                <w:szCs w:val="21"/>
              </w:rPr>
            </w:pPr>
          </w:p>
          <w:p>
            <w:pPr>
              <w:pStyle w:val="TableParagraph"/>
              <w:spacing w:line="240" w:lineRule="auto"/>
              <w:ind w:right="26"/>
              <w:jc w:val="right"/>
              <w:rPr>
                <w:rFonts w:ascii="宋体" w:hAnsi="宋体" w:cs="宋体" w:eastAsia="宋体" w:hint="default"/>
                <w:sz w:val="21"/>
                <w:szCs w:val="21"/>
              </w:rPr>
            </w:pPr>
            <w:r>
              <w:rPr>
                <w:rFonts w:ascii="宋体" w:hAnsi="宋体" w:cs="宋体" w:eastAsia="宋体" w:hint="default"/>
                <w:spacing w:val="-1"/>
                <w:sz w:val="21"/>
                <w:szCs w:val="21"/>
              </w:rPr>
              <w:t>现场出席次数</w:t>
            </w:r>
          </w:p>
        </w:tc>
        <w:tc>
          <w:tcPr>
            <w:tcW w:w="13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5" w:lineRule="auto" w:before="167"/>
              <w:ind w:left="336" w:right="22" w:hanging="312"/>
              <w:jc w:val="left"/>
              <w:rPr>
                <w:rFonts w:ascii="宋体" w:hAnsi="宋体" w:cs="宋体" w:eastAsia="宋体" w:hint="default"/>
                <w:sz w:val="21"/>
                <w:szCs w:val="21"/>
              </w:rPr>
            </w:pPr>
            <w:r>
              <w:rPr>
                <w:rFonts w:ascii="宋体" w:hAnsi="宋体" w:cs="宋体" w:eastAsia="宋体" w:hint="default"/>
                <w:sz w:val="21"/>
                <w:szCs w:val="21"/>
              </w:rPr>
              <w:t>以通讯方式参</w:t>
            </w:r>
            <w:r>
              <w:rPr>
                <w:rFonts w:ascii="宋体" w:hAnsi="宋体" w:cs="宋体" w:eastAsia="宋体" w:hint="default"/>
                <w:w w:val="100"/>
                <w:sz w:val="21"/>
                <w:szCs w:val="21"/>
              </w:rPr>
              <w:t> </w:t>
            </w:r>
            <w:r>
              <w:rPr>
                <w:rFonts w:ascii="宋体" w:hAnsi="宋体" w:cs="宋体" w:eastAsia="宋体" w:hint="default"/>
                <w:sz w:val="21"/>
                <w:szCs w:val="21"/>
              </w:rPr>
              <w:t>加次数</w:t>
            </w:r>
          </w:p>
        </w:tc>
        <w:tc>
          <w:tcPr>
            <w:tcW w:w="13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21"/>
                <w:szCs w:val="21"/>
              </w:rPr>
            </w:pPr>
          </w:p>
          <w:p>
            <w:pPr>
              <w:pStyle w:val="TableParagraph"/>
              <w:spacing w:line="240" w:lineRule="auto"/>
              <w:ind w:right="22"/>
              <w:jc w:val="right"/>
              <w:rPr>
                <w:rFonts w:ascii="宋体" w:hAnsi="宋体" w:cs="宋体" w:eastAsia="宋体" w:hint="default"/>
                <w:sz w:val="21"/>
                <w:szCs w:val="21"/>
              </w:rPr>
            </w:pPr>
            <w:r>
              <w:rPr>
                <w:rFonts w:ascii="宋体" w:hAnsi="宋体" w:cs="宋体" w:eastAsia="宋体" w:hint="default"/>
                <w:spacing w:val="-1"/>
                <w:sz w:val="21"/>
                <w:szCs w:val="21"/>
              </w:rPr>
              <w:t>委托出席次数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Microsoft JhengHei" w:hAnsi="Microsoft JhengHei" w:cs="Microsoft JhengHei" w:eastAsia="Microsoft JhengHei" w:hint="default"/>
                <w:b/>
                <w:bCs/>
                <w:sz w:val="21"/>
                <w:szCs w:val="21"/>
              </w:rPr>
            </w:pPr>
          </w:p>
          <w:p>
            <w:pPr>
              <w:pStyle w:val="TableParagraph"/>
              <w:spacing w:line="240" w:lineRule="auto"/>
              <w:ind w:left="235" w:right="0"/>
              <w:jc w:val="left"/>
              <w:rPr>
                <w:rFonts w:ascii="宋体" w:hAnsi="宋体" w:cs="宋体" w:eastAsia="宋体" w:hint="default"/>
                <w:sz w:val="21"/>
                <w:szCs w:val="21"/>
              </w:rPr>
            </w:pPr>
            <w:r>
              <w:rPr>
                <w:rFonts w:ascii="宋体" w:hAnsi="宋体" w:cs="宋体" w:eastAsia="宋体" w:hint="default"/>
                <w:sz w:val="21"/>
                <w:szCs w:val="21"/>
              </w:rPr>
              <w:t>缺席次数</w:t>
            </w:r>
          </w:p>
        </w:tc>
        <w:tc>
          <w:tcPr>
            <w:tcW w:w="13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8" w:right="0"/>
              <w:jc w:val="left"/>
              <w:rPr>
                <w:rFonts w:ascii="宋体" w:hAnsi="宋体" w:cs="宋体" w:eastAsia="宋体" w:hint="default"/>
                <w:sz w:val="21"/>
                <w:szCs w:val="21"/>
              </w:rPr>
            </w:pPr>
            <w:r>
              <w:rPr>
                <w:rFonts w:ascii="宋体" w:hAnsi="宋体" w:cs="宋体" w:eastAsia="宋体" w:hint="default"/>
                <w:sz w:val="21"/>
                <w:szCs w:val="21"/>
              </w:rPr>
              <w:t>是否连续两次</w:t>
            </w:r>
          </w:p>
          <w:p>
            <w:pPr>
              <w:pStyle w:val="TableParagraph"/>
              <w:spacing w:line="355" w:lineRule="auto" w:before="133"/>
              <w:ind w:left="551" w:right="17" w:hanging="524"/>
              <w:jc w:val="left"/>
              <w:rPr>
                <w:rFonts w:ascii="宋体" w:hAnsi="宋体" w:cs="宋体" w:eastAsia="宋体" w:hint="default"/>
                <w:sz w:val="21"/>
                <w:szCs w:val="21"/>
              </w:rPr>
            </w:pPr>
            <w:r>
              <w:rPr>
                <w:rFonts w:ascii="宋体" w:hAnsi="宋体" w:cs="宋体" w:eastAsia="宋体" w:hint="default"/>
                <w:sz w:val="21"/>
                <w:szCs w:val="21"/>
              </w:rPr>
              <w:t>未亲自参加会</w:t>
            </w:r>
            <w:r>
              <w:rPr>
                <w:rFonts w:ascii="宋体" w:hAnsi="宋体" w:cs="宋体" w:eastAsia="宋体" w:hint="default"/>
                <w:w w:val="100"/>
                <w:sz w:val="21"/>
                <w:szCs w:val="21"/>
              </w:rPr>
              <w:t> </w:t>
            </w:r>
            <w:r>
              <w:rPr>
                <w:rFonts w:ascii="宋体" w:hAnsi="宋体" w:cs="宋体" w:eastAsia="宋体" w:hint="default"/>
                <w:sz w:val="21"/>
                <w:szCs w:val="21"/>
              </w:rPr>
              <w:t>议</w:t>
            </w:r>
          </w:p>
        </w:tc>
      </w:tr>
      <w:tr>
        <w:trPr>
          <w:trHeight w:val="418"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徐志新</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sz w:val="21"/>
              </w:rPr>
              <w:t>18</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21"/>
                <w:szCs w:val="21"/>
              </w:rPr>
            </w:pPr>
            <w:r>
              <w:rPr>
                <w:rFonts w:ascii="Times New Roman"/>
                <w:spacing w:val="-5"/>
                <w:sz w:val="21"/>
              </w:rPr>
              <w:t>11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2</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8"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陈伟强</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sz w:val="21"/>
              </w:rPr>
              <w:t>18</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7</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21"/>
                <w:szCs w:val="21"/>
              </w:rPr>
            </w:pPr>
            <w:r>
              <w:rPr>
                <w:rFonts w:ascii="Times New Roman"/>
                <w:spacing w:val="-5"/>
                <w:sz w:val="21"/>
              </w:rPr>
              <w:t>11</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8"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梁发贤</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9</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3</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6</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8"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邓远帆</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9</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3</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6</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22"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陈凤娇</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9</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2</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2</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18" w:hRule="exact"/>
        </w:trPr>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何祥增</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9</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2</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7"/>
              <w:jc w:val="right"/>
              <w:rPr>
                <w:rFonts w:ascii="Times New Roman" w:hAnsi="Times New Roman" w:cs="Times New Roman" w:eastAsia="Times New Roman" w:hint="default"/>
                <w:sz w:val="21"/>
                <w:szCs w:val="21"/>
              </w:rPr>
            </w:pPr>
            <w:r>
              <w:rPr>
                <w:rFonts w:ascii="Times New Roman"/>
                <w:w w:val="100"/>
                <w:sz w:val="21"/>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w w:val="100"/>
                <w:sz w:val="21"/>
              </w:rPr>
              <w:t>2</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r>
        <w:trPr>
          <w:trHeight w:val="418" w:hRule="exact"/>
        </w:trPr>
        <w:tc>
          <w:tcPr>
            <w:tcW w:w="294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独立董事列席股东大会次数</w:t>
            </w:r>
          </w:p>
        </w:tc>
        <w:tc>
          <w:tcPr>
            <w:tcW w:w="661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21"/>
                <w:szCs w:val="21"/>
              </w:rPr>
            </w:pPr>
            <w:r>
              <w:rPr>
                <w:rFonts w:ascii="Times New Roman"/>
                <w:sz w:val="21"/>
              </w:rPr>
              <w:t>17</w:t>
            </w:r>
          </w:p>
        </w:tc>
      </w:tr>
    </w:tbl>
    <w:p>
      <w:pPr>
        <w:pStyle w:val="BodyText"/>
        <w:spacing w:line="241" w:lineRule="exact"/>
        <w:ind w:right="0"/>
        <w:jc w:val="both"/>
      </w:pPr>
      <w:r>
        <w:rPr/>
        <w:t>连续两次未亲自出席董事会的说明：因公务原因缺席。</w:t>
      </w:r>
    </w:p>
    <w:p>
      <w:pPr>
        <w:spacing w:line="240" w:lineRule="auto" w:before="6"/>
        <w:rPr>
          <w:rFonts w:ascii="宋体" w:hAnsi="宋体" w:cs="宋体" w:eastAsia="宋体" w:hint="default"/>
          <w:sz w:val="27"/>
          <w:szCs w:val="27"/>
        </w:rPr>
      </w:pPr>
    </w:p>
    <w:p>
      <w:pPr>
        <w:pStyle w:val="Heading6"/>
        <w:spacing w:line="240" w:lineRule="auto"/>
        <w:ind w:left="152" w:right="0"/>
        <w:jc w:val="both"/>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4"/>
        <w:rPr>
          <w:rFonts w:ascii="Microsoft JhengHei" w:hAnsi="Microsoft JhengHei" w:cs="Microsoft JhengHei" w:eastAsia="Microsoft JhengHei" w:hint="default"/>
          <w:b/>
          <w:bCs/>
          <w:sz w:val="16"/>
          <w:szCs w:val="16"/>
        </w:rPr>
      </w:pPr>
    </w:p>
    <w:p>
      <w:pPr>
        <w:pStyle w:val="BodyText"/>
        <w:spacing w:line="240" w:lineRule="auto"/>
        <w:ind w:right="0"/>
        <w:jc w:val="both"/>
      </w:pPr>
      <w:r>
        <w:rPr/>
        <w:t>独立董事对公司有关事项是否提出异议</w:t>
      </w:r>
    </w:p>
    <w:p>
      <w:pPr>
        <w:pStyle w:val="BodyText"/>
        <w:spacing w:line="240" w:lineRule="auto" w:before="133"/>
        <w:ind w:right="0"/>
        <w:jc w:val="both"/>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否</w:t>
      </w:r>
    </w:p>
    <w:p>
      <w:pPr>
        <w:spacing w:line="240" w:lineRule="auto" w:before="3"/>
        <w:rPr>
          <w:rFonts w:ascii="宋体" w:hAnsi="宋体" w:cs="宋体" w:eastAsia="宋体" w:hint="default"/>
          <w:sz w:val="26"/>
          <w:szCs w:val="26"/>
        </w:rPr>
      </w:pPr>
    </w:p>
    <w:p>
      <w:pPr>
        <w:pStyle w:val="Heading6"/>
        <w:spacing w:line="240" w:lineRule="auto"/>
        <w:ind w:left="152" w:right="0"/>
        <w:jc w:val="both"/>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4"/>
        <w:rPr>
          <w:rFonts w:ascii="Microsoft JhengHei" w:hAnsi="Microsoft JhengHei" w:cs="Microsoft JhengHei" w:eastAsia="Microsoft JhengHei" w:hint="default"/>
          <w:b/>
          <w:bCs/>
          <w:sz w:val="16"/>
          <w:szCs w:val="16"/>
        </w:rPr>
      </w:pPr>
    </w:p>
    <w:p>
      <w:pPr>
        <w:pStyle w:val="BodyText"/>
        <w:spacing w:line="240" w:lineRule="auto"/>
        <w:ind w:right="0"/>
        <w:jc w:val="both"/>
      </w:pPr>
      <w:r>
        <w:rPr/>
        <w:t>独立董事对公司有关建议是否被采纳</w:t>
      </w:r>
    </w:p>
    <w:p>
      <w:pPr>
        <w:pStyle w:val="BodyText"/>
        <w:spacing w:line="240" w:lineRule="auto" w:before="133"/>
        <w:ind w:right="0"/>
        <w:jc w:val="both"/>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2"/>
        </w:rPr>
        <w:t> </w:t>
      </w:r>
      <w:r>
        <w:rPr/>
        <w:t>否</w:t>
      </w:r>
    </w:p>
    <w:p>
      <w:pPr>
        <w:spacing w:line="240" w:lineRule="auto" w:before="0"/>
        <w:rPr>
          <w:rFonts w:ascii="宋体" w:hAnsi="宋体" w:cs="宋体" w:eastAsia="宋体" w:hint="default"/>
          <w:sz w:val="22"/>
          <w:szCs w:val="22"/>
        </w:rPr>
      </w:pPr>
    </w:p>
    <w:p>
      <w:pPr>
        <w:pStyle w:val="Heading6"/>
        <w:spacing w:line="240" w:lineRule="auto" w:before="175"/>
        <w:ind w:left="152" w:right="0"/>
        <w:jc w:val="both"/>
        <w:rPr>
          <w:b w:val="0"/>
          <w:bCs w:val="0"/>
        </w:rPr>
      </w:pPr>
      <w:r>
        <w:rPr/>
        <w:t>独立董事履职说明</w:t>
      </w:r>
      <w:r>
        <w:rPr>
          <w:b w:val="0"/>
          <w:bCs w:val="0"/>
        </w:rPr>
      </w:r>
    </w:p>
    <w:p>
      <w:pPr>
        <w:pStyle w:val="BodyText"/>
        <w:spacing w:line="240" w:lineRule="auto" w:before="109"/>
        <w:ind w:left="632" w:right="0"/>
        <w:jc w:val="left"/>
      </w:pPr>
      <w:r>
        <w:rPr/>
        <w:t>报告期内，公司独立董事按照监管法规和公司《独立董事制度》的要求，认真履行了职责：</w:t>
      </w:r>
    </w:p>
    <w:p>
      <w:pPr>
        <w:pStyle w:val="BodyText"/>
        <w:spacing w:line="355" w:lineRule="auto" w:before="133"/>
        <w:ind w:left="632" w:right="0"/>
        <w:jc w:val="left"/>
      </w:pPr>
      <w:r>
        <w:rPr/>
        <w:t>（1）参加董事会会议及股东大会</w:t>
      </w:r>
      <w:r>
        <w:rPr>
          <w:w w:val="100"/>
        </w:rPr>
        <w:t> </w:t>
      </w:r>
      <w:r>
        <w:rPr>
          <w:spacing w:val="-3"/>
        </w:rPr>
        <w:t>按时出席董事会、股东大会；对于提交会议决策的重大事项，都事先对公司提供的资料进行了认真审</w:t>
      </w:r>
    </w:p>
    <w:p>
      <w:pPr>
        <w:pStyle w:val="BodyText"/>
        <w:spacing w:line="240" w:lineRule="auto" w:before="32"/>
        <w:ind w:right="0"/>
        <w:jc w:val="both"/>
      </w:pPr>
      <w:r>
        <w:rPr/>
        <w:t>核，为决策做了充分准备工作，并在此基础上独立、客观、审慎地行使表决权，提出了合理建议。</w:t>
      </w:r>
    </w:p>
    <w:p>
      <w:pPr>
        <w:pStyle w:val="BodyText"/>
        <w:spacing w:line="240" w:lineRule="auto" w:before="133"/>
        <w:ind w:left="632" w:right="0"/>
        <w:jc w:val="left"/>
      </w:pPr>
      <w:r>
        <w:rPr/>
        <w:t>（2）积极参与董事会专业委员会工作，对涉及公司定期财务报告、年度审计单位的履职评价及续聘</w:t>
      </w:r>
    </w:p>
    <w:p>
      <w:pPr>
        <w:pStyle w:val="BodyText"/>
        <w:spacing w:line="355" w:lineRule="auto" w:before="133"/>
        <w:ind w:right="142"/>
        <w:jc w:val="both"/>
      </w:pPr>
      <w:r>
        <w:rPr>
          <w:spacing w:val="-2"/>
        </w:rPr>
        <w:t>（改聘）、内控工作开展及实施、内控自我评价、高管绩效跟踪与考核等事项发表意见，对公司薪酬与绩</w:t>
      </w:r>
      <w:r>
        <w:rPr>
          <w:spacing w:val="-40"/>
        </w:rPr>
        <w:t> </w:t>
      </w:r>
      <w:r>
        <w:rPr>
          <w:spacing w:val="-40"/>
        </w:rPr>
      </w:r>
      <w:r>
        <w:rPr>
          <w:spacing w:val="-2"/>
        </w:rPr>
        <w:t>效管理的进一步完善提出建议，切实维护了公司和股东特别是社会公众股股东的利益，有利于发挥董事会</w:t>
      </w:r>
      <w:r>
        <w:rPr>
          <w:spacing w:val="-35"/>
        </w:rPr>
        <w:t> </w:t>
      </w:r>
      <w:r>
        <w:rPr>
          <w:spacing w:val="-35"/>
        </w:rPr>
      </w:r>
      <w:r>
        <w:rPr/>
        <w:t>在公司治理中的核心作用。</w:t>
      </w:r>
    </w:p>
    <w:p>
      <w:pPr>
        <w:pStyle w:val="BodyText"/>
        <w:spacing w:line="240" w:lineRule="auto" w:before="37"/>
        <w:ind w:left="632" w:right="0"/>
        <w:jc w:val="left"/>
      </w:pPr>
      <w:r>
        <w:rPr/>
        <w:t>（3）保持与公司管理层沟通，详实地听取相关人员的汇报，公司下属企业进行现场考察，深入了解</w:t>
      </w:r>
    </w:p>
    <w:p>
      <w:pPr>
        <w:spacing w:after="0" w:line="240" w:lineRule="auto"/>
        <w:jc w:val="left"/>
        <w:sectPr>
          <w:pgSz w:w="11900" w:h="16840"/>
          <w:pgMar w:header="872" w:footer="957" w:top="1120" w:bottom="1180" w:left="980" w:right="980"/>
        </w:sectPr>
      </w:pPr>
    </w:p>
    <w:p>
      <w:pPr>
        <w:spacing w:line="240" w:lineRule="auto" w:before="3"/>
        <w:rPr>
          <w:rFonts w:ascii="宋体" w:hAnsi="宋体" w:cs="宋体" w:eastAsia="宋体" w:hint="default"/>
          <w:sz w:val="19"/>
          <w:szCs w:val="19"/>
        </w:rPr>
      </w:pPr>
    </w:p>
    <w:p>
      <w:pPr>
        <w:pStyle w:val="BodyText"/>
        <w:spacing w:line="240" w:lineRule="auto" w:before="36"/>
        <w:ind w:right="0"/>
        <w:jc w:val="both"/>
      </w:pPr>
      <w:r>
        <w:rPr/>
        <w:t>公司的日常经营和项目建设情况，对公司的重大事项进展能够做到及时了解和掌握。</w:t>
      </w:r>
    </w:p>
    <w:p>
      <w:pPr>
        <w:pStyle w:val="BodyText"/>
        <w:spacing w:line="355" w:lineRule="auto" w:before="133"/>
        <w:ind w:left="632" w:right="0"/>
        <w:jc w:val="left"/>
      </w:pPr>
      <w:r>
        <w:rPr/>
        <w:t>（4）发表独立意见</w:t>
      </w:r>
      <w:r>
        <w:rPr>
          <w:spacing w:val="-101"/>
        </w:rPr>
        <w:t> </w:t>
      </w:r>
      <w:r>
        <w:rPr>
          <w:spacing w:val="-101"/>
        </w:rPr>
      </w:r>
      <w:r>
        <w:rPr>
          <w:spacing w:val="-4"/>
        </w:rPr>
        <w:t>报告期内，独立董事对关联交易、对外担保事项，改聘审计机构以及内部控制自我评价报告等重要事</w:t>
      </w:r>
    </w:p>
    <w:p>
      <w:pPr>
        <w:pStyle w:val="BodyText"/>
        <w:spacing w:line="240" w:lineRule="auto" w:before="32"/>
        <w:ind w:right="0"/>
        <w:jc w:val="both"/>
      </w:pPr>
      <w:r>
        <w:rPr/>
        <w:t>项发表了独立意见，切实履行了独立董事的监督职责。</w:t>
      </w:r>
    </w:p>
    <w:p>
      <w:pPr>
        <w:pStyle w:val="BodyText"/>
        <w:spacing w:line="240" w:lineRule="auto" w:before="133"/>
        <w:ind w:left="632" w:right="0"/>
        <w:jc w:val="left"/>
      </w:pPr>
      <w:r>
        <w:rPr/>
        <w:t>（详见巨潮资讯网</w:t>
      </w:r>
      <w:hyperlink r:id="rId15">
        <w:r>
          <w:rPr>
            <w:u w:val="single" w:color="000000"/>
          </w:rPr>
          <w:t>www.cninfo.com.cn</w:t>
        </w:r>
        <w:r>
          <w:rPr/>
          <w:t>刊载的公司独立董事述职报告</w:t>
        </w:r>
      </w:hyperlink>
      <w:r>
        <w:rPr/>
        <w:t>）</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Heading4"/>
        <w:spacing w:line="240" w:lineRule="auto"/>
        <w:ind w:right="0"/>
        <w:jc w:val="both"/>
        <w:rPr>
          <w:b w:val="0"/>
          <w:bCs w:val="0"/>
        </w:rPr>
      </w:pPr>
      <w:r>
        <w:rPr/>
        <w:t>四、董事会下设专门委员会在报告期内履行职责情况</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355" w:lineRule="auto"/>
        <w:ind w:right="0" w:firstLine="590"/>
        <w:jc w:val="left"/>
      </w:pPr>
      <w:r>
        <w:rPr>
          <w:spacing w:val="-6"/>
        </w:rPr>
        <w:t>报告期内，董事会审计委员会和薪酬与考核委员会根据《上市公司治理准则》、《公司章程》和《公</w:t>
      </w:r>
      <w:r>
        <w:rPr>
          <w:w w:val="100"/>
        </w:rPr>
        <w:t> </w:t>
      </w:r>
      <w:r>
        <w:rPr>
          <w:spacing w:val="-4"/>
        </w:rPr>
        <w:t>司董事会审计委员会实施细则》、《公司董事会薪酬与考核委员会工作规程》，认真履行专业委员会职责，</w:t>
      </w:r>
      <w:r>
        <w:rPr>
          <w:spacing w:val="-50"/>
        </w:rPr>
        <w:t> </w:t>
      </w:r>
      <w:r>
        <w:rPr>
          <w:spacing w:val="-50"/>
        </w:rPr>
      </w:r>
      <w:r>
        <w:rPr/>
        <w:t>勤勉尽责，进一步提升公司规范治理水平。</w:t>
      </w:r>
    </w:p>
    <w:p>
      <w:pPr>
        <w:pStyle w:val="BodyText"/>
        <w:spacing w:line="355" w:lineRule="auto" w:before="32"/>
        <w:ind w:left="575" w:right="0"/>
        <w:jc w:val="left"/>
      </w:pPr>
      <w:r>
        <w:rPr/>
        <w:t>一、董事会审计委员会履职情况</w:t>
      </w:r>
      <w:r>
        <w:rPr>
          <w:w w:val="100"/>
        </w:rPr>
        <w:t> </w:t>
      </w:r>
      <w:r>
        <w:rPr>
          <w:spacing w:val="-2"/>
        </w:rPr>
        <w:t>2012年度，审计委员会共召开9次会议。主要审议通过了公司定期财务报告、年度审计单位履职评价</w:t>
      </w:r>
    </w:p>
    <w:p>
      <w:pPr>
        <w:pStyle w:val="BodyText"/>
        <w:spacing w:line="357" w:lineRule="auto" w:before="32"/>
        <w:ind w:right="202"/>
        <w:jc w:val="both"/>
      </w:pPr>
      <w:r>
        <w:rPr>
          <w:spacing w:val="-2"/>
        </w:rPr>
        <w:t>及续聘（改聘）、关联交易事项、会计政策变更及内控自评报告等。除各项日常事务外，本年度，审计委</w:t>
      </w:r>
      <w:r>
        <w:rPr>
          <w:spacing w:val="-42"/>
        </w:rPr>
        <w:t> </w:t>
      </w:r>
      <w:r>
        <w:rPr>
          <w:spacing w:val="-42"/>
        </w:rPr>
      </w:r>
      <w:r>
        <w:rPr>
          <w:spacing w:val="-2"/>
        </w:rPr>
        <w:t>员会通过不定期与公司经营层的沟通，继续督促及协调相关各方尽快解决公司与深圳市赛德隆投资发展有</w:t>
      </w:r>
      <w:r>
        <w:rPr>
          <w:spacing w:val="-34"/>
        </w:rPr>
        <w:t> </w:t>
      </w:r>
      <w:r>
        <w:rPr>
          <w:spacing w:val="-34"/>
        </w:rPr>
      </w:r>
      <w:r>
        <w:rPr>
          <w:spacing w:val="-2"/>
        </w:rPr>
        <w:t>限公司之间债权债务清收等历史遗留问题解决，协助公司规避财务及法律风险。此外还重点关注了公司内</w:t>
      </w:r>
      <w:r>
        <w:rPr>
          <w:spacing w:val="-35"/>
        </w:rPr>
        <w:t> </w:t>
      </w:r>
      <w:r>
        <w:rPr>
          <w:spacing w:val="-35"/>
        </w:rPr>
      </w:r>
      <w:r>
        <w:rPr/>
        <w:t>部控制规范实施情况，审查公司内控制度，监督公司的内部审计制度及其实施。</w:t>
      </w:r>
    </w:p>
    <w:p>
      <w:pPr>
        <w:pStyle w:val="BodyText"/>
        <w:spacing w:line="355" w:lineRule="auto" w:before="30"/>
        <w:ind w:right="182" w:firstLine="422"/>
        <w:jc w:val="both"/>
      </w:pPr>
      <w:r>
        <w:rPr>
          <w:spacing w:val="-2"/>
        </w:rPr>
        <w:t>报告期内，审计委员会审议通过了《内部审计制度》修订案、《会计师事务所选聘制度》修订案，建</w:t>
      </w:r>
      <w:r>
        <w:rPr>
          <w:w w:val="100"/>
        </w:rPr>
        <w:t> </w:t>
      </w:r>
      <w:r>
        <w:rPr>
          <w:spacing w:val="-2"/>
        </w:rPr>
        <w:t>立了《反舞弊及举报制度》、《风险评估办法》、《内控自我评估办法》，为公司开展全面内部控制实施</w:t>
      </w:r>
      <w:r>
        <w:rPr>
          <w:spacing w:val="-37"/>
        </w:rPr>
        <w:t> </w:t>
      </w:r>
      <w:r>
        <w:rPr>
          <w:spacing w:val="-37"/>
        </w:rPr>
      </w:r>
      <w:r>
        <w:rPr>
          <w:spacing w:val="-2"/>
        </w:rPr>
        <w:t>工作奠定了制度基础；审计委员会积极支持公司审计部履行审计职能，发挥内部控制的检查和监督工作，</w:t>
      </w:r>
      <w:r>
        <w:rPr>
          <w:spacing w:val="-16"/>
        </w:rPr>
        <w:t> </w:t>
      </w:r>
      <w:r>
        <w:rPr>
          <w:spacing w:val="-16"/>
        </w:rPr>
      </w:r>
      <w:r>
        <w:rPr>
          <w:spacing w:val="-2"/>
        </w:rPr>
        <w:t>听取公司内部控制制度的建立和健全及执行情况汇报，在此基础上对公司整个内部控制制度的完善及执行</w:t>
      </w:r>
      <w:r>
        <w:rPr>
          <w:spacing w:val="-34"/>
        </w:rPr>
        <w:t> </w:t>
      </w:r>
      <w:r>
        <w:rPr>
          <w:spacing w:val="-34"/>
        </w:rPr>
      </w:r>
      <w:r>
        <w:rPr>
          <w:spacing w:val="-2"/>
        </w:rPr>
        <w:t>过程中存在的问题提出了意见和建议，促进公司不断完善内部控制体系，加大内部控制制度的执行力度，</w:t>
      </w:r>
      <w:r>
        <w:rPr>
          <w:spacing w:val="-15"/>
        </w:rPr>
        <w:t> </w:t>
      </w:r>
      <w:r>
        <w:rPr>
          <w:spacing w:val="-15"/>
        </w:rPr>
      </w:r>
      <w:r>
        <w:rPr/>
        <w:t>认真履行审计委员会委员的职责。</w:t>
      </w:r>
    </w:p>
    <w:p>
      <w:pPr>
        <w:pStyle w:val="BodyText"/>
        <w:spacing w:line="355" w:lineRule="auto" w:before="37"/>
        <w:ind w:left="575" w:right="0"/>
        <w:jc w:val="left"/>
      </w:pPr>
      <w:r>
        <w:rPr/>
        <w:t>审计委员会在公司2012年度审计过程中的履职说明</w:t>
      </w:r>
      <w:r>
        <w:rPr>
          <w:w w:val="100"/>
        </w:rPr>
        <w:t> </w:t>
      </w:r>
      <w:r>
        <w:rPr>
          <w:spacing w:val="-2"/>
        </w:rPr>
        <w:t>年度期末，审计委员会与内部审计部门经过与会计师事务所沟通，确定了公司年度财务报告审计工作</w:t>
      </w:r>
    </w:p>
    <w:p>
      <w:pPr>
        <w:pStyle w:val="BodyText"/>
        <w:spacing w:line="355" w:lineRule="auto" w:before="32"/>
        <w:ind w:right="202"/>
        <w:jc w:val="both"/>
      </w:pPr>
      <w:r>
        <w:rPr>
          <w:spacing w:val="-2"/>
        </w:rPr>
        <w:t>的时间安排；在年审注册会计师进场前，审计委员会审阅了公司编制的财务会计报表，发表了首次书面意</w:t>
      </w:r>
      <w:r>
        <w:rPr>
          <w:spacing w:val="-35"/>
        </w:rPr>
        <w:t> </w:t>
      </w:r>
      <w:r>
        <w:rPr>
          <w:spacing w:val="-35"/>
        </w:rPr>
      </w:r>
      <w:r>
        <w:rPr>
          <w:spacing w:val="-2"/>
        </w:rPr>
        <w:t>见。审计委员会认为：公司2011年度财务会计报表基本反映了公司报告期的财务状况和经营成果及现金流</w:t>
      </w:r>
      <w:r>
        <w:rPr>
          <w:spacing w:val="-32"/>
        </w:rPr>
        <w:t> </w:t>
      </w:r>
      <w:r>
        <w:rPr>
          <w:spacing w:val="-32"/>
        </w:rPr>
      </w:r>
      <w:r>
        <w:rPr>
          <w:spacing w:val="-2"/>
        </w:rPr>
        <w:t>量，并同意以此财务报表为基础进行年度的财务审计工作。在审计过程中，审计委员会与内部审计部门与</w:t>
      </w:r>
      <w:r>
        <w:rPr>
          <w:spacing w:val="-35"/>
        </w:rPr>
        <w:t> </w:t>
      </w:r>
      <w:r>
        <w:rPr>
          <w:spacing w:val="-35"/>
        </w:rPr>
      </w:r>
      <w:r>
        <w:rPr>
          <w:spacing w:val="-2"/>
        </w:rPr>
        <w:t>主要项目负责人进行沟通，了解审计工作进展和会计师关注的问题，及时反馈给公司有关部门，全程跟踪</w:t>
      </w:r>
      <w:r>
        <w:rPr>
          <w:spacing w:val="-35"/>
        </w:rPr>
        <w:t> </w:t>
      </w:r>
      <w:r>
        <w:rPr>
          <w:spacing w:val="-35"/>
        </w:rPr>
      </w:r>
      <w:r>
        <w:rPr>
          <w:spacing w:val="-2"/>
        </w:rPr>
        <w:t>督促年报审计工作。在会计师出具初步审计意见后再一次审阅公司财务会计报表，审计委员会第二次形成</w:t>
      </w:r>
      <w:r>
        <w:rPr>
          <w:spacing w:val="-35"/>
        </w:rPr>
        <w:t> </w:t>
      </w:r>
      <w:r>
        <w:rPr>
          <w:spacing w:val="-35"/>
        </w:rPr>
      </w:r>
      <w:r>
        <w:rPr>
          <w:spacing w:val="-2"/>
        </w:rPr>
        <w:t>书面意见，确认审计委员会与注册会计师之间在公司年度财务报告重要问题上不存在争议，同意以此审计</w:t>
      </w:r>
      <w:r>
        <w:rPr>
          <w:spacing w:val="-35"/>
        </w:rPr>
        <w:t> </w:t>
      </w:r>
      <w:r>
        <w:rPr>
          <w:spacing w:val="-35"/>
        </w:rPr>
      </w:r>
      <w:r>
        <w:rPr/>
        <w:t>报告为基础制作公司2011年度财务报告正文及其摘要，提交董事会审议。</w:t>
      </w:r>
    </w:p>
    <w:p>
      <w:pPr>
        <w:pStyle w:val="BodyText"/>
        <w:spacing w:line="355" w:lineRule="auto" w:before="37"/>
        <w:ind w:left="575" w:right="0"/>
        <w:jc w:val="left"/>
      </w:pPr>
      <w:r>
        <w:rPr/>
        <w:t>二、薪酬与考核委员会履职情况</w:t>
      </w:r>
      <w:r>
        <w:rPr>
          <w:w w:val="100"/>
        </w:rPr>
        <w:t> </w:t>
      </w:r>
      <w:r>
        <w:rPr>
          <w:spacing w:val="-2"/>
        </w:rPr>
        <w:t>报告期内，第六届、第七届董事会薪酬与考核委员会共召开了3次会议，主要审议了《关于公司高层</w:t>
      </w:r>
    </w:p>
    <w:p>
      <w:pPr>
        <w:spacing w:after="0" w:line="355" w:lineRule="auto"/>
        <w:jc w:val="left"/>
        <w:sectPr>
          <w:pgSz w:w="11900" w:h="16840"/>
          <w:pgMar w:header="872" w:footer="957" w:top="1120" w:bottom="1180" w:left="980" w:right="920"/>
        </w:sectPr>
      </w:pPr>
    </w:p>
    <w:p>
      <w:pPr>
        <w:spacing w:line="240" w:lineRule="auto" w:before="3"/>
        <w:rPr>
          <w:rFonts w:ascii="宋体" w:hAnsi="宋体" w:cs="宋体" w:eastAsia="宋体" w:hint="default"/>
          <w:sz w:val="19"/>
          <w:szCs w:val="19"/>
        </w:rPr>
      </w:pPr>
    </w:p>
    <w:p>
      <w:pPr>
        <w:pStyle w:val="BodyText"/>
        <w:spacing w:line="355" w:lineRule="auto" w:before="36"/>
        <w:ind w:right="222"/>
        <w:jc w:val="both"/>
      </w:pPr>
      <w:r>
        <w:rPr>
          <w:spacing w:val="-2"/>
        </w:rPr>
        <w:t>管理人员2011年绩效考核结果及运用建议的议案》、《关于设立第七届董事会薪酬与考核委员会工作组的</w:t>
      </w:r>
      <w:r>
        <w:rPr>
          <w:spacing w:val="-32"/>
        </w:rPr>
        <w:t> </w:t>
      </w:r>
      <w:r>
        <w:rPr>
          <w:spacing w:val="-32"/>
        </w:rPr>
      </w:r>
      <w:r>
        <w:rPr>
          <w:spacing w:val="-2"/>
        </w:rPr>
        <w:t>议案》、《薪酬管理办法》（修订稿）等；及时组织了公司高级管理人员年度绩效责任书的拟订、定期绩</w:t>
      </w:r>
      <w:r>
        <w:rPr>
          <w:spacing w:val="-36"/>
        </w:rPr>
        <w:t> </w:t>
      </w:r>
      <w:r>
        <w:rPr>
          <w:spacing w:val="-36"/>
        </w:rPr>
      </w:r>
      <w:r>
        <w:rPr>
          <w:spacing w:val="-2"/>
        </w:rPr>
        <w:t>效跟踪与考核。此外，委员会委员与薪酬与考核委员会工作组成员保持密切联系和沟通，及时掌握集团公</w:t>
      </w:r>
      <w:r>
        <w:rPr>
          <w:spacing w:val="-35"/>
        </w:rPr>
        <w:t> </w:t>
      </w:r>
      <w:r>
        <w:rPr>
          <w:spacing w:val="-35"/>
        </w:rPr>
      </w:r>
      <w:r>
        <w:rPr/>
        <w:t>司有关薪酬与考核工作情况，对公司薪酬与绩效管理的进一步完善提出建议。</w:t>
      </w:r>
    </w:p>
    <w:p>
      <w:pPr>
        <w:spacing w:line="240" w:lineRule="auto" w:before="12"/>
        <w:rPr>
          <w:rFonts w:ascii="宋体" w:hAnsi="宋体" w:cs="宋体" w:eastAsia="宋体" w:hint="default"/>
          <w:sz w:val="18"/>
          <w:szCs w:val="18"/>
        </w:rPr>
      </w:pPr>
    </w:p>
    <w:p>
      <w:pPr>
        <w:pStyle w:val="Heading4"/>
        <w:spacing w:line="240" w:lineRule="auto"/>
        <w:ind w:right="0"/>
        <w:jc w:val="both"/>
        <w:rPr>
          <w:b w:val="0"/>
          <w:bCs w:val="0"/>
        </w:rPr>
      </w:pPr>
      <w:r>
        <w:rPr/>
        <w:t>五、监事会工作情况</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240" w:lineRule="auto"/>
        <w:ind w:right="0"/>
        <w:jc w:val="both"/>
      </w:pPr>
      <w:r>
        <w:rPr/>
        <w:t>监事会在报告期内的监督活动中发现公司是否存在风险</w:t>
      </w:r>
    </w:p>
    <w:p>
      <w:pPr>
        <w:pStyle w:val="BodyText"/>
        <w:spacing w:line="336" w:lineRule="auto" w:before="133"/>
        <w:ind w:right="5362"/>
        <w:jc w:val="left"/>
      </w:pPr>
      <w:r>
        <w:rPr>
          <w:rFonts w:ascii="Times New Roman" w:hAnsi="Times New Roman" w:cs="Times New Roman" w:eastAsia="Times New Roman" w:hint="default"/>
        </w:rPr>
        <w:t>□</w:t>
      </w:r>
      <w:r>
        <w:rPr>
          <w:rFonts w:ascii="Times New Roman" w:hAnsi="Times New Roman" w:cs="Times New Roman" w:eastAsia="Times New Roman" w:hint="default"/>
          <w:spacing w:val="49"/>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否</w:t>
      </w:r>
      <w:r>
        <w:rPr>
          <w:spacing w:val="-102"/>
        </w:rPr>
        <w:t> </w:t>
      </w:r>
      <w:r>
        <w:rPr>
          <w:spacing w:val="-1"/>
        </w:rPr>
        <w:t>监事会对报告期内的监督事项无异议。</w:t>
      </w:r>
    </w:p>
    <w:p>
      <w:pPr>
        <w:spacing w:line="240" w:lineRule="auto" w:before="0"/>
        <w:rPr>
          <w:rFonts w:ascii="宋体" w:hAnsi="宋体" w:cs="宋体" w:eastAsia="宋体" w:hint="default"/>
          <w:sz w:val="21"/>
          <w:szCs w:val="21"/>
        </w:rPr>
      </w:pPr>
    </w:p>
    <w:p>
      <w:pPr>
        <w:pStyle w:val="Heading6"/>
        <w:spacing w:line="240" w:lineRule="auto"/>
        <w:ind w:left="152" w:right="0"/>
        <w:jc w:val="both"/>
        <w:rPr>
          <w:b w:val="0"/>
          <w:bCs w:val="0"/>
        </w:rPr>
      </w:pPr>
      <w:r>
        <w:rPr/>
        <w:t>六、 </w:t>
      </w:r>
      <w:r>
        <w:rPr>
          <w:spacing w:val="8"/>
        </w:rPr>
        <w:t> </w:t>
      </w:r>
      <w:r>
        <w:rPr/>
        <w:t>监事会报告</w:t>
      </w:r>
      <w:r>
        <w:rPr>
          <w:b w:val="0"/>
          <w:bCs w:val="0"/>
        </w:rPr>
      </w:r>
    </w:p>
    <w:p>
      <w:pPr>
        <w:spacing w:line="240" w:lineRule="auto" w:before="4"/>
        <w:rPr>
          <w:rFonts w:ascii="Microsoft JhengHei" w:hAnsi="Microsoft JhengHei" w:cs="Microsoft JhengHei" w:eastAsia="Microsoft JhengHei" w:hint="default"/>
          <w:b/>
          <w:bCs/>
          <w:sz w:val="16"/>
          <w:szCs w:val="16"/>
        </w:rPr>
      </w:pPr>
    </w:p>
    <w:p>
      <w:pPr>
        <w:pStyle w:val="BodyText"/>
        <w:spacing w:line="355" w:lineRule="auto"/>
        <w:ind w:right="114" w:firstLine="465"/>
        <w:jc w:val="left"/>
      </w:pPr>
      <w:r>
        <w:rPr>
          <w:spacing w:val="-3"/>
        </w:rPr>
        <w:t>2012年，公司第六届监事会根据《公司法》及《公司章程》等相关法律法规要求，通过召开监事会会</w:t>
      </w:r>
      <w:r>
        <w:rPr>
          <w:w w:val="100"/>
        </w:rPr>
        <w:t> </w:t>
      </w:r>
      <w:r>
        <w:rPr>
          <w:spacing w:val="-4"/>
        </w:rPr>
        <w:t>议、列席董事局会议、出席股东大会，勤勉、尽责地履行监事会的各项职责，在公司日常经营管理工作中，</w:t>
      </w:r>
      <w:r>
        <w:rPr>
          <w:spacing w:val="-45"/>
        </w:rPr>
        <w:t> </w:t>
      </w:r>
      <w:r>
        <w:rPr>
          <w:spacing w:val="-45"/>
        </w:rPr>
      </w:r>
      <w:r>
        <w:rPr/>
        <w:t>监事会能结合公司生产经营实际，及时掌握公司经营及财务运作情况，发挥应有的监督作用。2012年度，</w:t>
      </w:r>
      <w:r>
        <w:rPr>
          <w:w w:val="100"/>
        </w:rPr>
        <w:t> </w:t>
      </w:r>
      <w:r>
        <w:rPr/>
        <w:t>监事会共召开了七次会议，全体监事均出席了会议，对公司2012年度各项经营活动、投资决策、财务运作</w:t>
      </w:r>
      <w:r>
        <w:rPr>
          <w:w w:val="100"/>
        </w:rPr>
        <w:t> </w:t>
      </w:r>
      <w:r>
        <w:rPr/>
        <w:t>等重大经济活动进行了检查和监督，监事会认为：</w:t>
      </w:r>
    </w:p>
    <w:p>
      <w:pPr>
        <w:pStyle w:val="BodyText"/>
        <w:spacing w:line="355" w:lineRule="auto" w:before="32"/>
        <w:ind w:right="222" w:firstLine="600"/>
        <w:jc w:val="both"/>
      </w:pPr>
      <w:r>
        <w:rPr>
          <w:spacing w:val="-1"/>
        </w:rPr>
        <w:t>（一）公司在2012年度的经营决策，未违背法律法规，经营活动按照《公司章程》规定的权限和程</w:t>
      </w:r>
      <w:r>
        <w:rPr>
          <w:w w:val="100"/>
        </w:rPr>
        <w:t> </w:t>
      </w:r>
      <w:r>
        <w:rPr/>
        <w:t>序进行。</w:t>
      </w:r>
    </w:p>
    <w:p>
      <w:pPr>
        <w:pStyle w:val="BodyText"/>
        <w:spacing w:line="355" w:lineRule="auto" w:before="37"/>
        <w:ind w:right="231" w:firstLine="600"/>
        <w:jc w:val="both"/>
      </w:pPr>
      <w:r>
        <w:rPr>
          <w:spacing w:val="-2"/>
        </w:rPr>
        <w:t>（二）公司董事及其它高管人员在履行职责时，无违反法律法规和公司章程，亦未发生损害公司利</w:t>
      </w:r>
      <w:r>
        <w:rPr>
          <w:w w:val="100"/>
        </w:rPr>
        <w:t> </w:t>
      </w:r>
      <w:r>
        <w:rPr/>
        <w:t>益行为。</w:t>
      </w:r>
    </w:p>
    <w:p>
      <w:pPr>
        <w:pStyle w:val="BodyText"/>
        <w:spacing w:line="355" w:lineRule="auto" w:before="32"/>
        <w:ind w:right="222" w:firstLine="600"/>
        <w:jc w:val="both"/>
      </w:pPr>
      <w:r>
        <w:rPr>
          <w:spacing w:val="-6"/>
        </w:rPr>
        <w:t>（三）报告期内监事会对公司财务状况进行了认真检查，审核了《公司2011年度财务报告》、《2012</w:t>
      </w:r>
      <w:r>
        <w:rPr>
          <w:w w:val="100"/>
        </w:rPr>
        <w:t> </w:t>
      </w:r>
      <w:r>
        <w:rPr>
          <w:spacing w:val="-2"/>
        </w:rPr>
        <w:t>年第一季度财务报告》、《2012年中期财务报告》及《2012年第三季度财务报告》并出具确认意见，认为</w:t>
      </w:r>
      <w:r>
        <w:rPr>
          <w:spacing w:val="-34"/>
        </w:rPr>
        <w:t> </w:t>
      </w:r>
      <w:r>
        <w:rPr>
          <w:spacing w:val="-34"/>
        </w:rPr>
      </w:r>
      <w:r>
        <w:rPr/>
        <w:t>公司定期报告均客观、真实地反映公司经营状况和财务状况。</w:t>
      </w:r>
    </w:p>
    <w:p>
      <w:pPr>
        <w:pStyle w:val="BodyText"/>
        <w:spacing w:line="240" w:lineRule="auto" w:before="32"/>
        <w:ind w:left="575" w:right="114"/>
        <w:jc w:val="left"/>
      </w:pPr>
      <w:r>
        <w:rPr/>
        <w:t>（四）报告期内，未发现公司存在内幕交易和损害公司股东权益或造成公司资产流失的情况。</w:t>
      </w:r>
    </w:p>
    <w:p>
      <w:pPr>
        <w:pStyle w:val="BodyText"/>
        <w:spacing w:line="355" w:lineRule="auto" w:before="133"/>
        <w:ind w:right="114" w:firstLine="422"/>
        <w:jc w:val="left"/>
      </w:pPr>
      <w:r>
        <w:rPr>
          <w:spacing w:val="-2"/>
        </w:rPr>
        <w:t>（五）关于公司2012年度内部控制执行情况，公司根据自身的实际情况，建立了较为全面的内部控制</w:t>
      </w:r>
      <w:r>
        <w:rPr>
          <w:w w:val="100"/>
        </w:rPr>
        <w:t> </w:t>
      </w:r>
      <w:r>
        <w:rPr>
          <w:spacing w:val="-2"/>
        </w:rPr>
        <w:t>体系，对纳入评价范围的业务及事项均已建立了内部控制，符合国家有关法律、法规和监管部门的要求。</w:t>
      </w:r>
    </w:p>
    <w:p>
      <w:pPr>
        <w:spacing w:line="240" w:lineRule="auto" w:before="12"/>
        <w:rPr>
          <w:rFonts w:ascii="宋体" w:hAnsi="宋体" w:cs="宋体" w:eastAsia="宋体" w:hint="default"/>
          <w:sz w:val="18"/>
          <w:szCs w:val="18"/>
        </w:rPr>
      </w:pPr>
    </w:p>
    <w:p>
      <w:pPr>
        <w:pStyle w:val="Heading4"/>
        <w:spacing w:line="240" w:lineRule="auto"/>
        <w:ind w:right="0"/>
        <w:jc w:val="both"/>
        <w:rPr>
          <w:b w:val="0"/>
          <w:bCs w:val="0"/>
        </w:rPr>
      </w:pPr>
      <w:r>
        <w:rPr/>
        <w:t>七、公司相对于第一大股东在业务、人员、资产、机构、财务等方面的独立完整情况</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55" w:lineRule="auto"/>
        <w:ind w:right="114" w:firstLine="422"/>
        <w:jc w:val="left"/>
      </w:pPr>
      <w:r>
        <w:rPr>
          <w:spacing w:val="-2"/>
        </w:rPr>
        <w:t>公司与第一大股东中国宝安集团控股有限公司在业务、人员、资产、机构与财务等方面均实行分开，</w:t>
      </w:r>
      <w:r>
        <w:rPr>
          <w:w w:val="100"/>
        </w:rPr>
        <w:t> </w:t>
      </w:r>
      <w:r>
        <w:rPr/>
        <w:t>确保公司独立完整的业务及自主经营能力，其中：</w:t>
      </w:r>
    </w:p>
    <w:p>
      <w:pPr>
        <w:pStyle w:val="BodyText"/>
        <w:spacing w:line="240" w:lineRule="auto" w:before="32"/>
        <w:ind w:left="575" w:right="114"/>
        <w:jc w:val="left"/>
      </w:pPr>
      <w:r>
        <w:rPr/>
        <w:t>1、资产独立：第一大股东未占用公司资金，公司亦未向第一大股东提供任何担保。</w:t>
      </w:r>
    </w:p>
    <w:p>
      <w:pPr>
        <w:pStyle w:val="BodyText"/>
        <w:spacing w:line="355" w:lineRule="auto" w:before="133"/>
        <w:ind w:right="292" w:firstLine="422"/>
        <w:jc w:val="left"/>
      </w:pPr>
      <w:r>
        <w:rPr/>
        <w:t>2、人员分开:</w:t>
      </w:r>
      <w:r>
        <w:rPr>
          <w:spacing w:val="-1"/>
        </w:rPr>
        <w:t> </w:t>
      </w:r>
      <w:r>
        <w:rPr/>
        <w:t>公司高级管理人员未在第一大股东单位中担任除董事、监事之外的职务，同时亦未在</w:t>
      </w:r>
      <w:r>
        <w:rPr>
          <w:w w:val="100"/>
        </w:rPr>
        <w:t> </w:t>
      </w:r>
      <w:r>
        <w:rPr/>
        <w:t>第一大股东单位领取薪酬。</w:t>
      </w:r>
    </w:p>
    <w:p>
      <w:pPr>
        <w:spacing w:after="0" w:line="355" w:lineRule="auto"/>
        <w:jc w:val="left"/>
        <w:sectPr>
          <w:pgSz w:w="11900" w:h="16840"/>
          <w:pgMar w:header="872" w:footer="957" w:top="1120" w:bottom="1180" w:left="980" w:right="900"/>
        </w:sectPr>
      </w:pPr>
    </w:p>
    <w:p>
      <w:pPr>
        <w:spacing w:line="240" w:lineRule="auto" w:before="3"/>
        <w:rPr>
          <w:rFonts w:ascii="宋体" w:hAnsi="宋体" w:cs="宋体" w:eastAsia="宋体" w:hint="default"/>
          <w:sz w:val="19"/>
          <w:szCs w:val="19"/>
        </w:rPr>
      </w:pPr>
    </w:p>
    <w:p>
      <w:pPr>
        <w:pStyle w:val="BodyText"/>
        <w:spacing w:line="240" w:lineRule="auto" w:before="36"/>
        <w:ind w:left="575" w:right="0"/>
        <w:jc w:val="left"/>
      </w:pPr>
      <w:r>
        <w:rPr/>
        <w:t>3、业务独立：公司拥有自身独立完整的业务和自主经营权，不受第一大股东的制约。</w:t>
      </w:r>
    </w:p>
    <w:p>
      <w:pPr>
        <w:pStyle w:val="BodyText"/>
        <w:spacing w:line="355" w:lineRule="auto" w:before="133"/>
        <w:ind w:right="0" w:firstLine="422"/>
        <w:jc w:val="left"/>
      </w:pPr>
      <w:r>
        <w:rPr>
          <w:spacing w:val="-2"/>
        </w:rPr>
        <w:t>4、财务独立：公司按照有关法律法规的要求建立独立的会计核算体系和财务管理制度，与第一大股</w:t>
      </w:r>
      <w:r>
        <w:rPr>
          <w:w w:val="100"/>
        </w:rPr>
        <w:t> </w:t>
      </w:r>
      <w:r>
        <w:rPr/>
        <w:t>东严格分开、独立核算。</w:t>
      </w:r>
    </w:p>
    <w:p>
      <w:pPr>
        <w:pStyle w:val="BodyText"/>
        <w:spacing w:line="355" w:lineRule="auto" w:before="32"/>
        <w:ind w:right="0" w:firstLine="422"/>
        <w:jc w:val="left"/>
      </w:pPr>
      <w:r>
        <w:rPr>
          <w:spacing w:val="-2"/>
        </w:rPr>
        <w:t>5、机构分开：公司董事会、监事会及职能机构的设置与运作完全独立于第一大股东。第一大股东除</w:t>
      </w:r>
      <w:r>
        <w:rPr>
          <w:w w:val="100"/>
        </w:rPr>
        <w:t> </w:t>
      </w:r>
      <w:r>
        <w:rPr/>
        <w:t>通过股东大会和有关法定程序向公司推荐董事候选人及行使其股东权利外，不干预公司日常经营运作。</w:t>
      </w:r>
    </w:p>
    <w:p>
      <w:pPr>
        <w:spacing w:line="240" w:lineRule="auto" w:before="4"/>
        <w:rPr>
          <w:rFonts w:ascii="宋体" w:hAnsi="宋体" w:cs="宋体" w:eastAsia="宋体" w:hint="default"/>
          <w:sz w:val="19"/>
          <w:szCs w:val="19"/>
        </w:rPr>
      </w:pPr>
    </w:p>
    <w:p>
      <w:pPr>
        <w:pStyle w:val="Heading4"/>
        <w:spacing w:line="240" w:lineRule="auto"/>
        <w:ind w:right="0"/>
        <w:jc w:val="left"/>
        <w:rPr>
          <w:b w:val="0"/>
          <w:bCs w:val="0"/>
        </w:rPr>
      </w:pPr>
      <w:r>
        <w:rPr/>
        <w:t>八、高级管理人员的考评及激励情况</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355" w:lineRule="auto"/>
        <w:ind w:right="0" w:firstLine="374"/>
        <w:jc w:val="left"/>
      </w:pPr>
      <w:r>
        <w:rPr>
          <w:spacing w:val="-6"/>
          <w:w w:val="100"/>
        </w:rPr>
        <w:t>董事会薪酬与考核委员会根据公司《薪酬管理办法》、《绩效管理制度》及《董事会薪酬与考核委员会</w:t>
      </w:r>
      <w:r>
        <w:rPr>
          <w:w w:val="100"/>
        </w:rPr>
        <w:t> </w:t>
      </w:r>
      <w:r>
        <w:rPr>
          <w:spacing w:val="-4"/>
          <w:w w:val="100"/>
        </w:rPr>
        <w:t>工作规程》，负责组织实施对高级管理人员的绩效考核。具体程序为：报告期初董事会确定高级管理人员</w:t>
      </w:r>
      <w:r>
        <w:rPr>
          <w:spacing w:val="-83"/>
          <w:w w:val="100"/>
        </w:rPr>
        <w:t> </w:t>
      </w:r>
      <w:r>
        <w:rPr>
          <w:spacing w:val="-83"/>
          <w:w w:val="100"/>
        </w:rPr>
      </w:r>
      <w:r>
        <w:rPr>
          <w:spacing w:val="-2"/>
        </w:rPr>
        <w:t>年度《绩效责任书》内容，明确各高管年度绩效目标任务；薪酬与考核委员会组织高级管理人员对照《绩</w:t>
      </w:r>
      <w:r>
        <w:rPr>
          <w:spacing w:val="-42"/>
        </w:rPr>
        <w:t> </w:t>
      </w:r>
      <w:r>
        <w:rPr>
          <w:spacing w:val="-42"/>
        </w:rPr>
      </w:r>
      <w:r>
        <w:rPr>
          <w:spacing w:val="-4"/>
        </w:rPr>
        <w:t>效责任书》的目标任务完成情况自评打分；薪酬与考核委员会组织董事、总经理分别对高管进行考核评分；</w:t>
      </w:r>
      <w:r>
        <w:rPr>
          <w:spacing w:val="-51"/>
        </w:rPr>
        <w:t> </w:t>
      </w:r>
      <w:r>
        <w:rPr>
          <w:spacing w:val="-51"/>
        </w:rPr>
      </w:r>
      <w:r>
        <w:rPr/>
        <w:t>年终考核分数作为确定个人业绩薪酬和奖金计发的主要依据。</w:t>
      </w:r>
    </w:p>
    <w:p>
      <w:pPr>
        <w:pStyle w:val="BodyText"/>
        <w:spacing w:line="355" w:lineRule="auto" w:before="32"/>
        <w:ind w:right="0" w:firstLine="360"/>
        <w:jc w:val="left"/>
      </w:pPr>
      <w:r>
        <w:rPr>
          <w:spacing w:val="-2"/>
        </w:rPr>
        <w:t>公司高级管理人员薪酬结构为：基本年薪+业绩薪酬+奖金，其中基本年薪按各自职级档位发放，业绩</w:t>
      </w:r>
      <w:r>
        <w:rPr>
          <w:w w:val="100"/>
        </w:rPr>
        <w:t> </w:t>
      </w:r>
      <w:r>
        <w:rPr/>
        <w:t>薪酬根据年终个人业绩考核成绩与基本年薪挂钩，奖金总额的计提与公司年度业绩挂钩。</w:t>
      </w:r>
    </w:p>
    <w:p>
      <w:pPr>
        <w:spacing w:after="0" w:line="355" w:lineRule="auto"/>
        <w:jc w:val="left"/>
        <w:sectPr>
          <w:pgSz w:w="11900" w:h="16840"/>
          <w:pgMar w:header="872" w:footer="957" w:top="1120" w:bottom="1180" w:left="980" w:right="9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1"/>
        <w:spacing w:line="458" w:lineRule="exact"/>
        <w:ind w:right="3827"/>
        <w:jc w:val="center"/>
        <w:rPr>
          <w:b w:val="0"/>
          <w:bCs w:val="0"/>
        </w:rPr>
      </w:pPr>
      <w:bookmarkStart w:name="_TOC_250002" w:id="9"/>
      <w:r>
        <w:rPr/>
        <w:t>第九节 </w:t>
      </w:r>
      <w:r>
        <w:rPr>
          <w:spacing w:val="8"/>
        </w:rPr>
        <w:t> </w:t>
      </w:r>
      <w:r>
        <w:rPr/>
        <w:t>内部控制</w:t>
      </w:r>
      <w:bookmarkEnd w:id="9"/>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5"/>
        <w:rPr>
          <w:rFonts w:ascii="Microsoft JhengHei" w:hAnsi="Microsoft JhengHei" w:cs="Microsoft JhengHei" w:eastAsia="Microsoft JhengHei" w:hint="default"/>
          <w:b/>
          <w:bCs/>
          <w:sz w:val="28"/>
          <w:szCs w:val="28"/>
        </w:rPr>
      </w:pPr>
    </w:p>
    <w:p>
      <w:pPr>
        <w:pStyle w:val="Heading4"/>
        <w:spacing w:line="367" w:lineRule="exact"/>
        <w:ind w:right="114"/>
        <w:jc w:val="left"/>
        <w:rPr>
          <w:b w:val="0"/>
          <w:bCs w:val="0"/>
        </w:rPr>
      </w:pPr>
      <w:r>
        <w:rPr/>
        <w:t>一、内部控制建设情况</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357" w:lineRule="auto"/>
        <w:ind w:right="111" w:firstLine="422"/>
        <w:jc w:val="left"/>
      </w:pPr>
      <w:r>
        <w:rPr>
          <w:spacing w:val="-7"/>
          <w:w w:val="100"/>
        </w:rPr>
        <w:t>公司根据中国证监会上市部函［2011］031</w:t>
      </w:r>
      <w:r>
        <w:rPr>
          <w:spacing w:val="-29"/>
          <w:w w:val="100"/>
        </w:rPr>
        <w:t> </w:t>
      </w:r>
      <w:r>
        <w:rPr>
          <w:spacing w:val="-8"/>
          <w:w w:val="100"/>
        </w:rPr>
        <w:t>号《关于做好上市公司内部控制规范试点有关工作的通知》、</w:t>
      </w:r>
      <w:r>
        <w:rPr>
          <w:w w:val="100"/>
        </w:rPr>
        <w:t> </w:t>
      </w:r>
      <w:r>
        <w:rPr/>
        <w:t>财政部及证监会财办会[2012]30</w:t>
      </w:r>
      <w:r>
        <w:rPr>
          <w:spacing w:val="-53"/>
        </w:rPr>
        <w:t> </w:t>
      </w:r>
      <w:r>
        <w:rPr/>
        <w:t>号《关于</w:t>
      </w:r>
      <w:r>
        <w:rPr>
          <w:spacing w:val="-53"/>
        </w:rPr>
        <w:t> </w:t>
      </w:r>
      <w:r>
        <w:rPr/>
        <w:t>2012</w:t>
      </w:r>
      <w:r>
        <w:rPr>
          <w:spacing w:val="-57"/>
        </w:rPr>
        <w:t> </w:t>
      </w:r>
      <w:r>
        <w:rPr/>
        <w:t>年主板上市公司分类分批实施企业内部控制规范体系的通</w:t>
      </w:r>
      <w:r>
        <w:rPr>
          <w:w w:val="100"/>
        </w:rPr>
        <w:t> </w:t>
      </w:r>
      <w:r>
        <w:rPr>
          <w:spacing w:val="-11"/>
          <w:w w:val="100"/>
        </w:rPr>
        <w:t>知》、深圳证监局［2011］31</w:t>
      </w:r>
      <w:r>
        <w:rPr>
          <w:spacing w:val="-44"/>
          <w:w w:val="100"/>
        </w:rPr>
        <w:t> </w:t>
      </w:r>
      <w:r>
        <w:rPr>
          <w:spacing w:val="-6"/>
          <w:w w:val="100"/>
        </w:rPr>
        <w:t>号文《关于做好深圳辖区上市公司内部控制规范试点有关工作的通知》、深证</w:t>
      </w:r>
      <w:r>
        <w:rPr>
          <w:spacing w:val="-83"/>
          <w:w w:val="100"/>
        </w:rPr>
        <w:t> </w:t>
      </w:r>
      <w:r>
        <w:rPr>
          <w:spacing w:val="-83"/>
          <w:w w:val="100"/>
        </w:rPr>
      </w:r>
      <w:r>
        <w:rPr>
          <w:spacing w:val="-1"/>
          <w:w w:val="100"/>
        </w:rPr>
        <w:t>局公司字[2012]66</w:t>
      </w:r>
      <w:r>
        <w:rPr>
          <w:spacing w:val="-49"/>
          <w:w w:val="100"/>
        </w:rPr>
        <w:t> </w:t>
      </w:r>
      <w:r>
        <w:rPr>
          <w:spacing w:val="-6"/>
          <w:w w:val="100"/>
        </w:rPr>
        <w:t>号《关于做好深圳上市公司分类分批实施企业内部控制规范体系有关工作的通知》要求，</w:t>
      </w:r>
      <w:r>
        <w:rPr>
          <w:w w:val="100"/>
        </w:rPr>
        <w:t> </w:t>
      </w:r>
      <w:r>
        <w:rPr/>
        <w:t>制定公司内控实施工作方案，为确保内部控制规范体系建设工作的顺利开展，公司董事长作为内部控制实</w:t>
      </w:r>
      <w:r>
        <w:rPr>
          <w:w w:val="100"/>
        </w:rPr>
        <w:t> </w:t>
      </w:r>
      <w:r>
        <w:rPr>
          <w:spacing w:val="-4"/>
          <w:w w:val="100"/>
        </w:rPr>
        <w:t>施工作第一责任人，公司总经理为内部控制实施领导小组组长，下设办公室（日常办公机构设在审计部），</w:t>
      </w:r>
      <w:r>
        <w:rPr>
          <w:spacing w:val="-99"/>
          <w:w w:val="100"/>
        </w:rPr>
        <w:t> </w:t>
      </w:r>
      <w:r>
        <w:rPr>
          <w:spacing w:val="-99"/>
          <w:w w:val="100"/>
        </w:rPr>
      </w:r>
      <w:r>
        <w:rPr>
          <w:spacing w:val="-4"/>
        </w:rPr>
        <w:t>公司各部门、下属各单位分别抽调对企业情况熟悉，业务能力强的内控专员，协同开展组织内控建设工作，</w:t>
      </w:r>
      <w:r>
        <w:rPr>
          <w:spacing w:val="-48"/>
        </w:rPr>
        <w:t> </w:t>
      </w:r>
      <w:r>
        <w:rPr>
          <w:spacing w:val="-48"/>
        </w:rPr>
      </w:r>
      <w:r>
        <w:rPr/>
        <w:t>内部控制实施领导小组办公室负责组织落实及协调完成内控自我评价工作。年度内，公司根据业务发展需</w:t>
      </w:r>
      <w:r>
        <w:rPr>
          <w:w w:val="100"/>
        </w:rPr>
        <w:t> </w:t>
      </w:r>
      <w:r>
        <w:rPr/>
        <w:t>要及重要职能部门分管领导更换，及时对内部控制领导小组成员进行了调整，以满足内部控制相关工作的</w:t>
      </w:r>
      <w:r>
        <w:rPr>
          <w:w w:val="100"/>
        </w:rPr>
        <w:t> </w:t>
      </w:r>
      <w:r>
        <w:rPr/>
        <w:t>有序开展。</w:t>
      </w:r>
    </w:p>
    <w:p>
      <w:pPr>
        <w:spacing w:line="240" w:lineRule="auto" w:before="10"/>
        <w:rPr>
          <w:rFonts w:ascii="宋体" w:hAnsi="宋体" w:cs="宋体" w:eastAsia="宋体" w:hint="default"/>
          <w:sz w:val="18"/>
          <w:szCs w:val="18"/>
        </w:rPr>
      </w:pPr>
    </w:p>
    <w:p>
      <w:pPr>
        <w:pStyle w:val="Heading4"/>
        <w:spacing w:line="240" w:lineRule="auto"/>
        <w:ind w:right="114"/>
        <w:jc w:val="left"/>
        <w:rPr>
          <w:b w:val="0"/>
          <w:bCs w:val="0"/>
        </w:rPr>
      </w:pPr>
      <w:r>
        <w:rPr/>
        <w:t>二、董事会关于内部控制责任的声明</w:t>
      </w:r>
      <w:r>
        <w:rPr>
          <w:b w:val="0"/>
          <w:bCs w:val="0"/>
        </w:rPr>
      </w:r>
    </w:p>
    <w:p>
      <w:pPr>
        <w:spacing w:line="240" w:lineRule="auto" w:before="6"/>
        <w:rPr>
          <w:rFonts w:ascii="Microsoft JhengHei" w:hAnsi="Microsoft JhengHei" w:cs="Microsoft JhengHei" w:eastAsia="Microsoft JhengHei" w:hint="default"/>
          <w:b/>
          <w:bCs/>
          <w:sz w:val="16"/>
          <w:szCs w:val="16"/>
        </w:rPr>
      </w:pPr>
    </w:p>
    <w:p>
      <w:pPr>
        <w:pStyle w:val="BodyText"/>
        <w:spacing w:line="355" w:lineRule="auto"/>
        <w:ind w:right="222" w:firstLine="355"/>
        <w:jc w:val="both"/>
      </w:pPr>
      <w:r>
        <w:rPr>
          <w:spacing w:val="-2"/>
        </w:rPr>
        <w:t>公司董事会及全体董事保证本报告内容不存在任何虚假记载、误导性陈述或重大遗漏，并对报告内容</w:t>
      </w:r>
      <w:r>
        <w:rPr>
          <w:w w:val="100"/>
        </w:rPr>
        <w:t> </w:t>
      </w:r>
      <w:r>
        <w:rPr>
          <w:spacing w:val="-2"/>
        </w:rPr>
        <w:t>的真实性、准确性和完整性承担个别及连带责任。建立健全并有效实施内部控制是公司董事会的责任；监</w:t>
      </w:r>
      <w:r>
        <w:rPr>
          <w:spacing w:val="-35"/>
        </w:rPr>
        <w:t> </w:t>
      </w:r>
      <w:r>
        <w:rPr>
          <w:spacing w:val="-35"/>
        </w:rPr>
      </w:r>
      <w:r>
        <w:rPr/>
        <w:t>事会对董事会建立与实施内部控制进行监督；经营层负责组织领导公司内部控制的日常运行。</w:t>
      </w:r>
    </w:p>
    <w:p>
      <w:pPr>
        <w:pStyle w:val="BodyText"/>
        <w:spacing w:line="355" w:lineRule="auto" w:before="32"/>
        <w:ind w:right="114" w:firstLine="355"/>
        <w:jc w:val="left"/>
      </w:pPr>
      <w:r>
        <w:rPr/>
        <w:t>公司内部控制的目标是：合理保证经营合法合规、资产安全、财务报告及相关信息真实完整，提高经</w:t>
      </w:r>
      <w:r>
        <w:rPr>
          <w:w w:val="100"/>
        </w:rPr>
        <w:t> </w:t>
      </w:r>
      <w:r>
        <w:rPr>
          <w:spacing w:val="-4"/>
        </w:rPr>
        <w:t>营效率和效果，促进实现发展战略。由于内部控制存在固有局限性，故仅能对实现上述目标提供合理保证。</w:t>
      </w:r>
    </w:p>
    <w:p>
      <w:pPr>
        <w:spacing w:line="240" w:lineRule="auto" w:before="12"/>
        <w:rPr>
          <w:rFonts w:ascii="宋体" w:hAnsi="宋体" w:cs="宋体" w:eastAsia="宋体" w:hint="default"/>
          <w:sz w:val="18"/>
          <w:szCs w:val="18"/>
        </w:rPr>
      </w:pPr>
    </w:p>
    <w:p>
      <w:pPr>
        <w:pStyle w:val="Heading4"/>
        <w:spacing w:line="240" w:lineRule="auto"/>
        <w:ind w:right="114"/>
        <w:jc w:val="left"/>
        <w:rPr>
          <w:b w:val="0"/>
          <w:bCs w:val="0"/>
        </w:rPr>
      </w:pPr>
      <w:r>
        <w:rPr/>
        <w:t>三、建立财务报告内部控制的依据</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357" w:lineRule="auto"/>
        <w:ind w:right="222" w:firstLine="436"/>
        <w:jc w:val="both"/>
      </w:pPr>
      <w:r>
        <w:rPr>
          <w:spacing w:val="-7"/>
          <w:w w:val="100"/>
        </w:rPr>
        <w:t>公司依据相关法律法规和《企业会计准则》、《内部控制基本规范》以及财务报告的内控应用指引，结</w:t>
      </w:r>
      <w:r>
        <w:rPr>
          <w:w w:val="100"/>
        </w:rPr>
        <w:t> </w:t>
      </w:r>
      <w:r>
        <w:rPr>
          <w:spacing w:val="-7"/>
          <w:w w:val="100"/>
        </w:rPr>
        <w:t>合房地产行业的行业特性，建立了会计核算和财务管理制度体系，依据《企业内部控制基本规范》、《企业</w:t>
      </w:r>
      <w:r>
        <w:rPr>
          <w:spacing w:val="-65"/>
          <w:w w:val="100"/>
        </w:rPr>
        <w:t> </w:t>
      </w:r>
      <w:r>
        <w:rPr>
          <w:spacing w:val="-65"/>
          <w:w w:val="100"/>
        </w:rPr>
      </w:r>
      <w:r>
        <w:rPr>
          <w:spacing w:val="-11"/>
          <w:w w:val="100"/>
        </w:rPr>
        <w:t>内部控制应用指引》、《企业内部控制评价指引》、《深交所主板上市公司规范运作指引》的要求，结合公司</w:t>
      </w:r>
      <w:r>
        <w:rPr>
          <w:spacing w:val="-80"/>
          <w:w w:val="100"/>
        </w:rPr>
        <w:t> </w:t>
      </w:r>
      <w:r>
        <w:rPr>
          <w:spacing w:val="-80"/>
          <w:w w:val="100"/>
        </w:rPr>
      </w:r>
      <w:r>
        <w:rPr>
          <w:spacing w:val="-2"/>
        </w:rPr>
        <w:t>内部控制制度和评价方法，在内部控制日常监督和专项监督的基础上，对公司内部控制设计与运行的有效</w:t>
      </w:r>
      <w:r>
        <w:rPr>
          <w:spacing w:val="-35"/>
        </w:rPr>
        <w:t> </w:t>
      </w:r>
      <w:r>
        <w:rPr>
          <w:spacing w:val="-35"/>
        </w:rPr>
      </w:r>
      <w:r>
        <w:rPr/>
        <w:t>性进行评价。</w:t>
      </w:r>
    </w:p>
    <w:p>
      <w:pPr>
        <w:spacing w:after="0" w:line="357" w:lineRule="auto"/>
        <w:jc w:val="both"/>
        <w:sectPr>
          <w:pgSz w:w="11900" w:h="16840"/>
          <w:pgMar w:header="872" w:footer="957" w:top="1120" w:bottom="1180" w:left="980" w:right="900"/>
        </w:sectPr>
      </w:pPr>
    </w:p>
    <w:p>
      <w:pPr>
        <w:spacing w:line="240" w:lineRule="auto" w:before="7"/>
        <w:rPr>
          <w:rFonts w:ascii="宋体" w:hAnsi="宋体" w:cs="宋体" w:eastAsia="宋体" w:hint="default"/>
          <w:sz w:val="19"/>
          <w:szCs w:val="19"/>
        </w:rPr>
      </w:pPr>
    </w:p>
    <w:p>
      <w:pPr>
        <w:pStyle w:val="Heading4"/>
        <w:spacing w:line="367" w:lineRule="exact"/>
        <w:ind w:right="114"/>
        <w:jc w:val="left"/>
        <w:rPr>
          <w:b w:val="0"/>
          <w:bCs w:val="0"/>
        </w:rPr>
      </w:pPr>
      <w:r>
        <w:rPr/>
        <w:t>四、内部控制自我评价报告</w:t>
      </w:r>
      <w:r>
        <w:rPr>
          <w:b w:val="0"/>
          <w:bCs w:val="0"/>
        </w:rPr>
      </w:r>
    </w:p>
    <w:p>
      <w:pPr>
        <w:spacing w:line="240" w:lineRule="auto" w:before="0"/>
        <w:rPr>
          <w:rFonts w:ascii="Microsoft JhengHei" w:hAnsi="Microsoft JhengHei" w:cs="Microsoft JhengHei" w:eastAsia="Microsoft JhengHei" w:hint="default"/>
          <w:b/>
          <w:bCs/>
          <w:sz w:val="18"/>
          <w:szCs w:val="18"/>
        </w:rPr>
      </w:pPr>
    </w:p>
    <w:tbl>
      <w:tblPr>
        <w:tblW w:w="0" w:type="auto"/>
        <w:jc w:val="left"/>
        <w:tblInd w:w="148" w:type="dxa"/>
        <w:tblLayout w:type="fixed"/>
        <w:tblCellMar>
          <w:top w:w="0" w:type="dxa"/>
          <w:left w:w="0" w:type="dxa"/>
          <w:bottom w:w="0" w:type="dxa"/>
          <w:right w:w="0" w:type="dxa"/>
        </w:tblCellMar>
        <w:tblLook w:val="01E0"/>
      </w:tblPr>
      <w:tblGrid>
        <w:gridCol w:w="2652"/>
        <w:gridCol w:w="6914"/>
      </w:tblGrid>
      <w:tr>
        <w:trPr>
          <w:trHeight w:val="418" w:hRule="exact"/>
        </w:trPr>
        <w:tc>
          <w:tcPr>
            <w:tcW w:w="956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1521" w:right="0"/>
              <w:jc w:val="left"/>
              <w:rPr>
                <w:rFonts w:ascii="宋体" w:hAnsi="宋体" w:cs="宋体" w:eastAsia="宋体" w:hint="default"/>
                <w:sz w:val="21"/>
                <w:szCs w:val="21"/>
              </w:rPr>
            </w:pPr>
            <w:r>
              <w:rPr>
                <w:rFonts w:ascii="宋体" w:hAnsi="宋体" w:cs="宋体" w:eastAsia="宋体" w:hint="default"/>
                <w:sz w:val="21"/>
                <w:szCs w:val="21"/>
              </w:rPr>
              <w:t>内部控制自我评价报告中报告期内发现的内部控制重大缺陷的具体情况</w:t>
            </w:r>
          </w:p>
        </w:tc>
      </w:tr>
      <w:tr>
        <w:trPr>
          <w:trHeight w:val="418" w:hRule="exact"/>
        </w:trPr>
        <w:tc>
          <w:tcPr>
            <w:tcW w:w="9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公司报告期内未发现内部控制重大缺陷。</w:t>
            </w:r>
          </w:p>
        </w:tc>
      </w:tr>
      <w:tr>
        <w:trPr>
          <w:trHeight w:val="826"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内部控制自我评价报告全文</w:t>
            </w:r>
          </w:p>
          <w:p>
            <w:pPr>
              <w:pStyle w:val="TableParagraph"/>
              <w:spacing w:line="240" w:lineRule="auto" w:before="133"/>
              <w:ind w:left="24"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67"/>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830"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内部控制自我评价报告全文</w:t>
            </w:r>
          </w:p>
          <w:p>
            <w:pPr>
              <w:pStyle w:val="TableParagraph"/>
              <w:spacing w:line="240" w:lineRule="auto" w:before="133"/>
              <w:ind w:left="24" w:right="0"/>
              <w:jc w:val="left"/>
              <w:rPr>
                <w:rFonts w:ascii="宋体" w:hAnsi="宋体" w:cs="宋体" w:eastAsia="宋体" w:hint="default"/>
                <w:sz w:val="21"/>
                <w:szCs w:val="21"/>
              </w:rPr>
            </w:pPr>
            <w:r>
              <w:rPr>
                <w:rFonts w:ascii="宋体" w:hAnsi="宋体" w:cs="宋体" w:eastAsia="宋体" w:hint="default"/>
                <w:sz w:val="21"/>
                <w:szCs w:val="21"/>
              </w:rPr>
              <w:t>披露索引</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67"/>
              <w:ind w:left="2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巨潮资讯网：</w:t>
            </w:r>
            <w:hyperlink r:id="rId12">
              <w:r>
                <w:rPr>
                  <w:rFonts w:ascii="Times New Roman" w:hAnsi="Times New Roman" w:cs="Times New Roman" w:eastAsia="Times New Roman" w:hint="default"/>
                  <w:sz w:val="21"/>
                  <w:szCs w:val="21"/>
                </w:rPr>
                <w:t>http://www.cninfo.com.cn</w:t>
              </w:r>
            </w:hyperlink>
          </w:p>
        </w:tc>
      </w:tr>
    </w:tbl>
    <w:p>
      <w:pPr>
        <w:spacing w:line="240" w:lineRule="auto" w:before="5"/>
        <w:rPr>
          <w:rFonts w:ascii="Microsoft JhengHei" w:hAnsi="Microsoft JhengHei" w:cs="Microsoft JhengHei" w:eastAsia="Microsoft JhengHei" w:hint="default"/>
          <w:b/>
          <w:bCs/>
          <w:sz w:val="13"/>
          <w:szCs w:val="13"/>
        </w:rPr>
      </w:pPr>
    </w:p>
    <w:p>
      <w:pPr>
        <w:pStyle w:val="Heading4"/>
        <w:spacing w:line="367" w:lineRule="exact"/>
        <w:ind w:right="114"/>
        <w:jc w:val="left"/>
        <w:rPr>
          <w:b w:val="0"/>
          <w:bCs w:val="0"/>
        </w:rPr>
      </w:pPr>
      <w:r>
        <w:rPr/>
        <w:t>五、内部控制审计报告</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240" w:lineRule="auto"/>
        <w:ind w:right="114"/>
        <w:jc w:val="left"/>
      </w:pPr>
      <w:r>
        <w:rPr/>
        <w:t>√ 适用 □</w:t>
      </w:r>
      <w:r>
        <w:rPr>
          <w:spacing w:val="3"/>
        </w:rPr>
        <w:t> </w:t>
      </w:r>
      <w:r>
        <w:rPr/>
        <w:t>不适用</w:t>
      </w:r>
    </w:p>
    <w:p>
      <w:pPr>
        <w:spacing w:line="240" w:lineRule="auto" w:before="10"/>
        <w:rPr>
          <w:rFonts w:ascii="宋体" w:hAnsi="宋体" w:cs="宋体" w:eastAsia="宋体"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652"/>
        <w:gridCol w:w="6914"/>
      </w:tblGrid>
      <w:tr>
        <w:trPr>
          <w:trHeight w:val="418" w:hRule="exact"/>
        </w:trPr>
        <w:tc>
          <w:tcPr>
            <w:tcW w:w="956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内部控制审计报告中的审议意见段</w:t>
            </w:r>
          </w:p>
        </w:tc>
      </w:tr>
      <w:tr>
        <w:trPr>
          <w:trHeight w:val="1234" w:hRule="exact"/>
        </w:trPr>
        <w:tc>
          <w:tcPr>
            <w:tcW w:w="95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宝安鸿基地产集团股份有限公司之母公司及其子公司东莞市宜久房地产开发有限公司、西安深鸿基房地</w:t>
            </w:r>
          </w:p>
          <w:p>
            <w:pPr>
              <w:pStyle w:val="TableParagraph"/>
              <w:spacing w:line="336" w:lineRule="auto" w:before="133"/>
              <w:ind w:left="24" w:right="17"/>
              <w:jc w:val="left"/>
              <w:rPr>
                <w:rFonts w:ascii="宋体" w:hAnsi="宋体" w:cs="宋体" w:eastAsia="宋体" w:hint="default"/>
                <w:sz w:val="21"/>
                <w:szCs w:val="21"/>
              </w:rPr>
            </w:pPr>
            <w:r>
              <w:rPr>
                <w:rFonts w:ascii="宋体" w:hAnsi="宋体" w:cs="宋体" w:eastAsia="宋体" w:hint="default"/>
                <w:sz w:val="21"/>
                <w:szCs w:val="21"/>
              </w:rPr>
              <w:t>产开发有限公司于</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日按照《企业内部控制基本规范》和相关规定在所有重大方面保持了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有效的财务报告内部控制。</w:t>
            </w:r>
          </w:p>
        </w:tc>
      </w:tr>
      <w:tr>
        <w:trPr>
          <w:trHeight w:val="830"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内部控制审计报告全文披露</w:t>
            </w:r>
          </w:p>
          <w:p>
            <w:pPr>
              <w:pStyle w:val="TableParagraph"/>
              <w:spacing w:line="240" w:lineRule="auto" w:before="138"/>
              <w:ind w:left="24" w:right="0"/>
              <w:jc w:val="left"/>
              <w:rPr>
                <w:rFonts w:ascii="宋体" w:hAnsi="宋体" w:cs="宋体" w:eastAsia="宋体" w:hint="default"/>
                <w:sz w:val="21"/>
                <w:szCs w:val="21"/>
              </w:rPr>
            </w:pPr>
            <w:r>
              <w:rPr>
                <w:rFonts w:ascii="宋体" w:hAnsi="宋体" w:cs="宋体" w:eastAsia="宋体" w:hint="default"/>
                <w:sz w:val="21"/>
                <w:szCs w:val="21"/>
              </w:rPr>
              <w:t>日期</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67"/>
              <w:ind w:left="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826" w:hRule="exact"/>
        </w:trPr>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内部控制审计报告全文披露</w:t>
            </w:r>
          </w:p>
          <w:p>
            <w:pPr>
              <w:pStyle w:val="TableParagraph"/>
              <w:spacing w:line="240" w:lineRule="auto" w:before="133"/>
              <w:ind w:left="24" w:right="0"/>
              <w:jc w:val="left"/>
              <w:rPr>
                <w:rFonts w:ascii="宋体" w:hAnsi="宋体" w:cs="宋体" w:eastAsia="宋体" w:hint="default"/>
                <w:sz w:val="21"/>
                <w:szCs w:val="21"/>
              </w:rPr>
            </w:pPr>
            <w:r>
              <w:rPr>
                <w:rFonts w:ascii="宋体" w:hAnsi="宋体" w:cs="宋体" w:eastAsia="宋体" w:hint="default"/>
                <w:sz w:val="21"/>
                <w:szCs w:val="21"/>
              </w:rPr>
              <w:t>索引</w:t>
            </w:r>
          </w:p>
        </w:tc>
        <w:tc>
          <w:tcPr>
            <w:tcW w:w="69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67"/>
              <w:ind w:left="24"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巨潮资讯网：</w:t>
            </w:r>
            <w:hyperlink r:id="rId12">
              <w:r>
                <w:rPr>
                  <w:rFonts w:ascii="Times New Roman" w:hAnsi="Times New Roman" w:cs="Times New Roman" w:eastAsia="Times New Roman" w:hint="default"/>
                  <w:sz w:val="21"/>
                  <w:szCs w:val="21"/>
                </w:rPr>
                <w:t>http://www.cninfo.com.cn</w:t>
              </w:r>
            </w:hyperlink>
          </w:p>
        </w:tc>
      </w:tr>
    </w:tbl>
    <w:p>
      <w:pPr>
        <w:pStyle w:val="BodyText"/>
        <w:spacing w:line="241" w:lineRule="exact"/>
        <w:ind w:right="114"/>
        <w:jc w:val="left"/>
      </w:pPr>
      <w:r>
        <w:rPr/>
        <w:t>会计师事务所是否出具非标准意见的内部控制审计报告</w:t>
      </w:r>
    </w:p>
    <w:p>
      <w:pPr>
        <w:pStyle w:val="BodyText"/>
        <w:spacing w:line="355" w:lineRule="auto" w:before="133"/>
        <w:ind w:right="2194"/>
        <w:jc w:val="left"/>
      </w:pPr>
      <w:r>
        <w:rPr/>
        <w:t>□ 是 √ 否</w:t>
      </w:r>
      <w:r>
        <w:rPr>
          <w:spacing w:val="-101"/>
        </w:rPr>
        <w:t> </w:t>
      </w:r>
      <w:r>
        <w:rPr>
          <w:spacing w:val="-101"/>
        </w:rPr>
      </w:r>
      <w:r>
        <w:rPr>
          <w:spacing w:val="-2"/>
        </w:rPr>
        <w:t>会计师事务所出具的内部控制审计报告与董事会的自我评价报告意见是否一致</w:t>
      </w:r>
    </w:p>
    <w:p>
      <w:pPr>
        <w:pStyle w:val="BodyText"/>
        <w:spacing w:line="240" w:lineRule="auto" w:before="32"/>
        <w:ind w:right="114"/>
        <w:jc w:val="left"/>
      </w:pPr>
      <w:r>
        <w:rPr/>
        <w:t>√ 是 □</w:t>
      </w:r>
      <w:r>
        <w:rPr>
          <w:spacing w:val="4"/>
        </w:rPr>
        <w:t> </w:t>
      </w:r>
      <w:r>
        <w:rPr/>
        <w:t>否</w:t>
      </w:r>
    </w:p>
    <w:p>
      <w:pPr>
        <w:spacing w:line="240" w:lineRule="auto" w:before="13"/>
        <w:rPr>
          <w:rFonts w:ascii="宋体" w:hAnsi="宋体" w:cs="宋体" w:eastAsia="宋体" w:hint="default"/>
          <w:sz w:val="26"/>
          <w:szCs w:val="26"/>
        </w:rPr>
      </w:pPr>
    </w:p>
    <w:p>
      <w:pPr>
        <w:pStyle w:val="Heading4"/>
        <w:spacing w:line="240" w:lineRule="auto"/>
        <w:ind w:right="114"/>
        <w:jc w:val="left"/>
        <w:rPr>
          <w:b w:val="0"/>
          <w:bCs w:val="0"/>
        </w:rPr>
      </w:pPr>
      <w:r>
        <w:rPr/>
        <w:t>六、年度报告重大差错责任追究制度的建立与执行情况</w:t>
      </w:r>
      <w:r>
        <w:rPr>
          <w:b w:val="0"/>
          <w:bCs w:val="0"/>
        </w:rPr>
      </w:r>
    </w:p>
    <w:p>
      <w:pPr>
        <w:spacing w:line="240" w:lineRule="auto" w:before="1"/>
        <w:rPr>
          <w:rFonts w:ascii="Microsoft JhengHei" w:hAnsi="Microsoft JhengHei" w:cs="Microsoft JhengHei" w:eastAsia="Microsoft JhengHei" w:hint="default"/>
          <w:b/>
          <w:bCs/>
          <w:sz w:val="16"/>
          <w:szCs w:val="16"/>
        </w:rPr>
      </w:pPr>
    </w:p>
    <w:p>
      <w:pPr>
        <w:pStyle w:val="BodyText"/>
        <w:spacing w:line="355" w:lineRule="auto"/>
        <w:ind w:right="114" w:firstLine="422"/>
        <w:jc w:val="left"/>
      </w:pPr>
      <w:r>
        <w:rPr>
          <w:spacing w:val="-2"/>
          <w:w w:val="100"/>
        </w:rPr>
        <w:t>公司已于</w:t>
      </w:r>
      <w:r>
        <w:rPr>
          <w:spacing w:val="-53"/>
          <w:w w:val="100"/>
        </w:rPr>
        <w:t> </w:t>
      </w:r>
      <w:r>
        <w:rPr>
          <w:w w:val="100"/>
        </w:rPr>
        <w:t>2010</w:t>
      </w:r>
      <w:r>
        <w:rPr>
          <w:spacing w:val="-57"/>
          <w:w w:val="100"/>
        </w:rPr>
        <w:t> </w:t>
      </w:r>
      <w:r>
        <w:rPr>
          <w:w w:val="100"/>
        </w:rPr>
        <w:t>年</w:t>
      </w:r>
      <w:r>
        <w:rPr>
          <w:spacing w:val="-53"/>
          <w:w w:val="100"/>
        </w:rPr>
        <w:t> </w:t>
      </w:r>
      <w:r>
        <w:rPr>
          <w:w w:val="100"/>
        </w:rPr>
        <w:t>3</w:t>
      </w:r>
      <w:r>
        <w:rPr>
          <w:spacing w:val="-53"/>
          <w:w w:val="100"/>
        </w:rPr>
        <w:t> </w:t>
      </w:r>
      <w:r>
        <w:rPr>
          <w:spacing w:val="-5"/>
          <w:w w:val="100"/>
        </w:rPr>
        <w:t>月制定了《年报信息披露重大差错责任追究制度》，在制度中明确了出现年报信息</w:t>
      </w:r>
      <w:r>
        <w:rPr>
          <w:w w:val="100"/>
        </w:rPr>
        <w:t> </w:t>
      </w:r>
      <w:r>
        <w:rPr>
          <w:spacing w:val="-4"/>
        </w:rPr>
        <w:t>披露重大差错的情形、认定标准、处理程序和责任追究机制，落实年报信息披露的责任人，加大问责力度，</w:t>
      </w:r>
      <w:r>
        <w:rPr>
          <w:spacing w:val="-45"/>
        </w:rPr>
        <w:t> </w:t>
      </w:r>
      <w:r>
        <w:rPr>
          <w:spacing w:val="-45"/>
        </w:rPr>
      </w:r>
      <w:r>
        <w:rPr/>
        <w:t>提高公司年报信息编制与披露质量和透明度。报告期内，公司未发生违反《年报信息披露重大差错责任追</w:t>
      </w:r>
      <w:r>
        <w:rPr>
          <w:w w:val="100"/>
        </w:rPr>
        <w:t> </w:t>
      </w:r>
      <w:r>
        <w:rPr/>
        <w:t>究制度》规定的情形。</w:t>
      </w:r>
    </w:p>
    <w:p>
      <w:pPr>
        <w:spacing w:after="0" w:line="355" w:lineRule="auto"/>
        <w:jc w:val="left"/>
        <w:sectPr>
          <w:pgSz w:w="11900" w:h="16840"/>
          <w:pgMar w:header="872" w:footer="957" w:top="1120" w:bottom="1180" w:left="980" w:right="900"/>
        </w:sectPr>
      </w:pPr>
    </w:p>
    <w:p>
      <w:pPr>
        <w:spacing w:line="240" w:lineRule="auto" w:before="5"/>
        <w:rPr>
          <w:rFonts w:ascii="宋体" w:hAnsi="宋体" w:cs="宋体" w:eastAsia="宋体" w:hint="default"/>
          <w:sz w:val="20"/>
          <w:szCs w:val="20"/>
        </w:rPr>
      </w:pPr>
    </w:p>
    <w:p>
      <w:pPr>
        <w:pStyle w:val="Heading1"/>
        <w:spacing w:line="458" w:lineRule="exact"/>
        <w:ind w:right="3827"/>
        <w:jc w:val="center"/>
        <w:rPr>
          <w:b w:val="0"/>
          <w:bCs w:val="0"/>
        </w:rPr>
      </w:pPr>
      <w:bookmarkStart w:name="_TOC_250001" w:id="10"/>
      <w:r>
        <w:rPr/>
        <w:t>第十节 </w:t>
      </w:r>
      <w:r>
        <w:rPr>
          <w:spacing w:val="8"/>
        </w:rPr>
        <w:t> </w:t>
      </w:r>
      <w:r>
        <w:rPr/>
        <w:t>财务报告</w:t>
      </w:r>
      <w:bookmarkEnd w:id="10"/>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8"/>
        <w:rPr>
          <w:rFonts w:ascii="Microsoft JhengHei" w:hAnsi="Microsoft JhengHei" w:cs="Microsoft JhengHei" w:eastAsia="Microsoft JhengHei" w:hint="default"/>
          <w:b/>
          <w:bCs/>
          <w:sz w:val="18"/>
          <w:szCs w:val="18"/>
        </w:rPr>
      </w:pPr>
    </w:p>
    <w:p>
      <w:pPr>
        <w:pStyle w:val="BodyText"/>
        <w:spacing w:line="324" w:lineRule="exact"/>
        <w:ind w:left="5461" w:right="114"/>
        <w:jc w:val="left"/>
        <w:rPr>
          <w:rFonts w:ascii="微软雅黑" w:hAnsi="微软雅黑" w:cs="微软雅黑" w:eastAsia="微软雅黑" w:hint="default"/>
        </w:rPr>
      </w:pPr>
      <w:r>
        <w:rPr/>
        <w:pict>
          <v:shape style="position:absolute;margin-left:90.720001pt;margin-top:-16.534029pt;width:161.28pt;height:42.72pt;mso-position-horizontal-relative:page;mso-position-vertical-relative:paragraph;z-index:2176" type="#_x0000_t75" stroked="false">
            <v:imagedata r:id="rId16" o:title=""/>
          </v:shape>
        </w:pict>
      </w:r>
      <w:r>
        <w:rPr>
          <w:rFonts w:ascii="微软雅黑" w:hAnsi="微软雅黑" w:cs="微软雅黑" w:eastAsia="微软雅黑" w:hint="default"/>
          <w:color w:val="333399"/>
        </w:rPr>
        <w:t>国富浩华会计师事务所（特殊普通合伙）</w:t>
      </w:r>
      <w:r>
        <w:rPr>
          <w:rFonts w:ascii="微软雅黑" w:hAnsi="微软雅黑" w:cs="微软雅黑" w:eastAsia="微软雅黑" w:hint="default"/>
        </w:rPr>
      </w:r>
    </w:p>
    <w:p>
      <w:pPr>
        <w:spacing w:before="71"/>
        <w:ind w:left="5461" w:right="2247" w:firstLine="0"/>
        <w:jc w:val="left"/>
        <w:rPr>
          <w:rFonts w:ascii="微软雅黑" w:hAnsi="微软雅黑" w:cs="微软雅黑" w:eastAsia="微软雅黑" w:hint="default"/>
          <w:sz w:val="13"/>
          <w:szCs w:val="13"/>
        </w:rPr>
      </w:pPr>
      <w:r>
        <w:rPr>
          <w:rFonts w:ascii="微软雅黑" w:hAnsi="微软雅黑" w:cs="微软雅黑" w:eastAsia="微软雅黑" w:hint="default"/>
          <w:color w:val="333399"/>
          <w:sz w:val="13"/>
          <w:szCs w:val="13"/>
        </w:rPr>
        <w:t>北京市海淀区西四环中路 16 号院 2</w:t>
      </w:r>
      <w:r>
        <w:rPr>
          <w:rFonts w:ascii="微软雅黑" w:hAnsi="微软雅黑" w:cs="微软雅黑" w:eastAsia="微软雅黑" w:hint="default"/>
          <w:color w:val="333399"/>
          <w:spacing w:val="-26"/>
          <w:sz w:val="13"/>
          <w:szCs w:val="13"/>
        </w:rPr>
        <w:t> </w:t>
      </w:r>
      <w:r>
        <w:rPr>
          <w:rFonts w:ascii="微软雅黑" w:hAnsi="微软雅黑" w:cs="微软雅黑" w:eastAsia="微软雅黑" w:hint="default"/>
          <w:color w:val="333399"/>
          <w:sz w:val="13"/>
          <w:szCs w:val="13"/>
        </w:rPr>
        <w:t>号楼</w:t>
      </w:r>
      <w:r>
        <w:rPr>
          <w:rFonts w:ascii="微软雅黑" w:hAnsi="微软雅黑" w:cs="微软雅黑" w:eastAsia="微软雅黑" w:hint="default"/>
          <w:color w:val="333399"/>
          <w:w w:val="99"/>
          <w:sz w:val="13"/>
          <w:szCs w:val="13"/>
        </w:rPr>
        <w:t> </w:t>
      </w:r>
      <w:r>
        <w:rPr>
          <w:rFonts w:ascii="微软雅黑" w:hAnsi="微软雅黑" w:cs="微软雅黑" w:eastAsia="微软雅黑" w:hint="default"/>
          <w:color w:val="333399"/>
          <w:sz w:val="13"/>
          <w:szCs w:val="13"/>
        </w:rPr>
        <w:t>总机：0086-10-88219191</w:t>
      </w:r>
      <w:r>
        <w:rPr>
          <w:rFonts w:ascii="微软雅黑" w:hAnsi="微软雅黑" w:cs="微软雅黑" w:eastAsia="微软雅黑" w:hint="default"/>
          <w:sz w:val="13"/>
          <w:szCs w:val="13"/>
        </w:rPr>
      </w:r>
    </w:p>
    <w:p>
      <w:pPr>
        <w:spacing w:line="217" w:lineRule="exact" w:before="0"/>
        <w:ind w:left="5461" w:right="114" w:firstLine="0"/>
        <w:jc w:val="left"/>
        <w:rPr>
          <w:rFonts w:ascii="微软雅黑" w:hAnsi="微软雅黑" w:cs="微软雅黑" w:eastAsia="微软雅黑" w:hint="default"/>
          <w:sz w:val="13"/>
          <w:szCs w:val="13"/>
        </w:rPr>
      </w:pPr>
      <w:r>
        <w:rPr>
          <w:rFonts w:ascii="微软雅黑" w:hAnsi="微软雅黑" w:cs="微软雅黑" w:eastAsia="微软雅黑" w:hint="default"/>
          <w:color w:val="333399"/>
          <w:sz w:val="13"/>
          <w:szCs w:val="13"/>
        </w:rPr>
        <w:t>传真：0086-10-88210558</w:t>
      </w:r>
      <w:r>
        <w:rPr>
          <w:rFonts w:ascii="微软雅黑" w:hAnsi="微软雅黑" w:cs="微软雅黑" w:eastAsia="微软雅黑" w:hint="default"/>
          <w:sz w:val="13"/>
          <w:szCs w:val="13"/>
        </w:rPr>
      </w:r>
    </w:p>
    <w:p>
      <w:pPr>
        <w:spacing w:line="220" w:lineRule="exact" w:before="0"/>
        <w:ind w:left="5461" w:right="114" w:firstLine="0"/>
        <w:jc w:val="left"/>
        <w:rPr>
          <w:rFonts w:ascii="微软雅黑" w:hAnsi="微软雅黑" w:cs="微软雅黑" w:eastAsia="微软雅黑" w:hint="default"/>
          <w:sz w:val="13"/>
          <w:szCs w:val="13"/>
        </w:rPr>
      </w:pPr>
      <w:r>
        <w:rPr>
          <w:rFonts w:ascii="微软雅黑" w:hAnsi="微软雅黑" w:cs="微软雅黑" w:eastAsia="微软雅黑" w:hint="default"/>
          <w:color w:val="333399"/>
          <w:sz w:val="13"/>
          <w:szCs w:val="13"/>
        </w:rPr>
        <w:t>Website：</w:t>
      </w:r>
      <w:hyperlink r:id="rId17">
        <w:r>
          <w:rPr>
            <w:rFonts w:ascii="微软雅黑" w:hAnsi="微软雅黑" w:cs="微软雅黑" w:eastAsia="微软雅黑" w:hint="default"/>
            <w:color w:val="333399"/>
            <w:sz w:val="13"/>
            <w:szCs w:val="13"/>
          </w:rPr>
          <w:t>www.chcncpa.com</w:t>
        </w:r>
        <w:r>
          <w:rPr>
            <w:rFonts w:ascii="微软雅黑" w:hAnsi="微软雅黑" w:cs="微软雅黑" w:eastAsia="微软雅黑" w:hint="default"/>
            <w:sz w:val="13"/>
            <w:szCs w:val="13"/>
          </w:rPr>
        </w:r>
      </w:hyperlink>
    </w:p>
    <w:p>
      <w:pPr>
        <w:spacing w:line="240" w:lineRule="auto" w:before="16"/>
        <w:rPr>
          <w:rFonts w:ascii="微软雅黑" w:hAnsi="微软雅黑" w:cs="微软雅黑" w:eastAsia="微软雅黑" w:hint="default"/>
          <w:sz w:val="17"/>
          <w:szCs w:val="17"/>
        </w:rPr>
      </w:pPr>
    </w:p>
    <w:p>
      <w:pPr>
        <w:spacing w:line="458" w:lineRule="exact" w:before="0"/>
        <w:ind w:left="3744" w:right="3822"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审  计  报 </w:t>
      </w:r>
      <w:r>
        <w:rPr>
          <w:rFonts w:ascii="Microsoft JhengHei" w:hAnsi="Microsoft JhengHei" w:cs="Microsoft JhengHei" w:eastAsia="Microsoft JhengHei" w:hint="default"/>
          <w:b/>
          <w:bCs/>
          <w:spacing w:val="10"/>
          <w:sz w:val="32"/>
          <w:szCs w:val="32"/>
        </w:rPr>
        <w:t> </w:t>
      </w:r>
      <w:r>
        <w:rPr>
          <w:rFonts w:ascii="Microsoft JhengHei" w:hAnsi="Microsoft JhengHei" w:cs="Microsoft JhengHei" w:eastAsia="Microsoft JhengHei" w:hint="default"/>
          <w:b/>
          <w:bCs/>
          <w:sz w:val="32"/>
          <w:szCs w:val="32"/>
        </w:rPr>
        <w:t>告</w:t>
      </w:r>
      <w:r>
        <w:rPr>
          <w:rFonts w:ascii="Microsoft JhengHei" w:hAnsi="Microsoft JhengHei" w:cs="Microsoft JhengHei" w:eastAsia="Microsoft JhengHei" w:hint="default"/>
          <w:sz w:val="32"/>
          <w:szCs w:val="32"/>
        </w:rPr>
      </w:r>
    </w:p>
    <w:p>
      <w:pPr>
        <w:spacing w:line="240" w:lineRule="auto" w:before="1"/>
        <w:rPr>
          <w:rFonts w:ascii="Microsoft JhengHei" w:hAnsi="Microsoft JhengHei" w:cs="Microsoft JhengHei" w:eastAsia="Microsoft JhengHei" w:hint="default"/>
          <w:b/>
          <w:bCs/>
          <w:sz w:val="15"/>
          <w:szCs w:val="15"/>
        </w:rPr>
      </w:pPr>
    </w:p>
    <w:p>
      <w:pPr>
        <w:spacing w:after="0" w:line="240" w:lineRule="auto"/>
        <w:rPr>
          <w:rFonts w:ascii="Microsoft JhengHei" w:hAnsi="Microsoft JhengHei" w:cs="Microsoft JhengHei" w:eastAsia="Microsoft JhengHei" w:hint="default"/>
          <w:sz w:val="15"/>
          <w:szCs w:val="15"/>
        </w:rPr>
        <w:sectPr>
          <w:pgSz w:w="11900" w:h="16840"/>
          <w:pgMar w:header="872" w:footer="957" w:top="1120" w:bottom="1180" w:left="980" w:right="900"/>
        </w:sectPr>
      </w:pPr>
    </w:p>
    <w:p>
      <w:pPr>
        <w:spacing w:line="240" w:lineRule="auto" w:before="16"/>
        <w:rPr>
          <w:rFonts w:ascii="Microsoft JhengHei" w:hAnsi="Microsoft JhengHei" w:cs="Microsoft JhengHei" w:eastAsia="Microsoft JhengHei" w:hint="default"/>
          <w:b/>
          <w:bCs/>
          <w:sz w:val="14"/>
          <w:szCs w:val="14"/>
        </w:rPr>
      </w:pPr>
    </w:p>
    <w:p>
      <w:pPr>
        <w:pStyle w:val="Heading4"/>
        <w:spacing w:line="240" w:lineRule="auto"/>
        <w:ind w:right="-1"/>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rPr>
        <w:t>宝安鸿基地产集团股份有限公司全体股东：</w:t>
      </w:r>
      <w:r>
        <w:rPr>
          <w:rFonts w:ascii="Microsoft JhengHei" w:hAnsi="Microsoft JhengHei" w:cs="Microsoft JhengHei" w:eastAsia="Microsoft JhengHei" w:hint="default"/>
          <w:b w:val="0"/>
          <w:bCs w:val="0"/>
        </w:rPr>
      </w:r>
    </w:p>
    <w:p>
      <w:pPr>
        <w:spacing w:before="46"/>
        <w:ind w:left="152" w:right="0" w:firstLine="0"/>
        <w:jc w:val="left"/>
        <w:rPr>
          <w:rFonts w:ascii="黑体" w:hAnsi="黑体" w:cs="黑体" w:eastAsia="黑体" w:hint="default"/>
          <w:sz w:val="18"/>
          <w:szCs w:val="18"/>
        </w:rPr>
      </w:pPr>
      <w:r>
        <w:rPr/>
        <w:br w:type="column"/>
      </w:r>
      <w:r>
        <w:rPr>
          <w:rFonts w:ascii="黑体" w:hAnsi="黑体" w:cs="黑体" w:eastAsia="黑体" w:hint="default"/>
          <w:sz w:val="18"/>
          <w:szCs w:val="18"/>
        </w:rPr>
        <w:t>国浩审字[</w:t>
      </w:r>
      <w:r>
        <w:rPr>
          <w:rFonts w:ascii="黑体" w:hAnsi="黑体" w:cs="黑体" w:eastAsia="黑体" w:hint="default"/>
          <w:color w:val="1C1A10"/>
          <w:sz w:val="18"/>
          <w:szCs w:val="18"/>
        </w:rPr>
        <w:t>2013</w:t>
      </w:r>
      <w:r>
        <w:rPr>
          <w:rFonts w:ascii="黑体" w:hAnsi="黑体" w:cs="黑体" w:eastAsia="黑体" w:hint="default"/>
          <w:sz w:val="18"/>
          <w:szCs w:val="18"/>
        </w:rPr>
        <w:t>]第</w:t>
      </w:r>
      <w:r>
        <w:rPr>
          <w:rFonts w:ascii="黑体" w:hAnsi="黑体" w:cs="黑体" w:eastAsia="黑体" w:hint="default"/>
          <w:spacing w:val="-42"/>
          <w:sz w:val="18"/>
          <w:szCs w:val="18"/>
        </w:rPr>
        <w:t> </w:t>
      </w:r>
      <w:r>
        <w:rPr>
          <w:rFonts w:ascii="黑体" w:hAnsi="黑体" w:cs="黑体" w:eastAsia="黑体" w:hint="default"/>
          <w:sz w:val="18"/>
          <w:szCs w:val="18"/>
        </w:rPr>
        <w:t>817A0004</w:t>
      </w:r>
      <w:r>
        <w:rPr>
          <w:rFonts w:ascii="黑体" w:hAnsi="黑体" w:cs="黑体" w:eastAsia="黑体" w:hint="default"/>
          <w:spacing w:val="-47"/>
          <w:sz w:val="18"/>
          <w:szCs w:val="18"/>
        </w:rPr>
        <w:t> </w:t>
      </w:r>
      <w:r>
        <w:rPr>
          <w:rFonts w:ascii="黑体" w:hAnsi="黑体" w:cs="黑体" w:eastAsia="黑体" w:hint="default"/>
          <w:sz w:val="18"/>
          <w:szCs w:val="18"/>
        </w:rPr>
        <w:t>号</w:t>
      </w:r>
    </w:p>
    <w:p>
      <w:pPr>
        <w:spacing w:after="0"/>
        <w:jc w:val="left"/>
        <w:rPr>
          <w:rFonts w:ascii="黑体" w:hAnsi="黑体" w:cs="黑体" w:eastAsia="黑体" w:hint="default"/>
          <w:sz w:val="18"/>
          <w:szCs w:val="18"/>
        </w:rPr>
        <w:sectPr>
          <w:type w:val="continuous"/>
          <w:pgSz w:w="11900" w:h="16840"/>
          <w:pgMar w:top="860" w:bottom="280" w:left="980" w:right="900"/>
          <w:cols w:num="2" w:equalWidth="0">
            <w:col w:w="4732" w:space="2448"/>
            <w:col w:w="2840"/>
          </w:cols>
        </w:sectPr>
      </w:pPr>
    </w:p>
    <w:p>
      <w:pPr>
        <w:pStyle w:val="Heading5"/>
        <w:spacing w:line="355" w:lineRule="auto" w:before="124"/>
        <w:ind w:right="0" w:firstLine="480"/>
        <w:jc w:val="left"/>
      </w:pPr>
      <w:r>
        <w:rPr>
          <w:spacing w:val="-3"/>
        </w:rPr>
        <w:t>我们审计了后附的宝安鸿基地产集团股份有限公司（以下简称宝安地产公司）财务报表，</w:t>
      </w:r>
      <w:r>
        <w:rPr>
          <w:w w:val="99"/>
        </w:rPr>
        <w:t> </w:t>
      </w:r>
      <w:r>
        <w:rPr/>
        <w:t>包括</w:t>
      </w:r>
      <w:r>
        <w:rPr>
          <w:spacing w:val="-48"/>
        </w:rPr>
        <w:t> </w:t>
      </w:r>
      <w:r>
        <w:rPr/>
        <w:t>2012</w:t>
      </w:r>
      <w:r>
        <w:rPr>
          <w:spacing w:val="-48"/>
        </w:rPr>
        <w:t> </w:t>
      </w:r>
      <w:r>
        <w:rPr/>
        <w:t>年</w:t>
      </w:r>
      <w:r>
        <w:rPr>
          <w:spacing w:val="-48"/>
        </w:rPr>
        <w:t> </w:t>
      </w:r>
      <w:r>
        <w:rPr/>
        <w:t>12</w:t>
      </w:r>
      <w:r>
        <w:rPr>
          <w:spacing w:val="-48"/>
        </w:rPr>
        <w:t> </w:t>
      </w:r>
      <w:r>
        <w:rPr/>
        <w:t>月</w:t>
      </w:r>
      <w:r>
        <w:rPr>
          <w:spacing w:val="-48"/>
        </w:rPr>
        <w:t> </w:t>
      </w:r>
      <w:r>
        <w:rPr/>
        <w:t>31</w:t>
      </w:r>
      <w:r>
        <w:rPr>
          <w:spacing w:val="-48"/>
        </w:rPr>
        <w:t> </w:t>
      </w:r>
      <w:r>
        <w:rPr/>
        <w:t>日的合并及母公司资产负债表，2012</w:t>
      </w:r>
      <w:r>
        <w:rPr>
          <w:spacing w:val="-48"/>
        </w:rPr>
        <w:t> </w:t>
      </w:r>
      <w:r>
        <w:rPr/>
        <w:t>年度的合并及母公司利润表、合</w:t>
      </w:r>
      <w:r>
        <w:rPr>
          <w:w w:val="99"/>
        </w:rPr>
        <w:t> </w:t>
      </w:r>
      <w:r>
        <w:rPr/>
        <w:t>并及母公司现金流量表、合并及母公司股东权益变动表以及财务报表附注。</w:t>
      </w:r>
    </w:p>
    <w:p>
      <w:pPr>
        <w:pStyle w:val="Heading4"/>
        <w:spacing w:line="378" w:lineRule="exact"/>
        <w:ind w:left="632" w:right="114"/>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rPr>
        <w:t>一、管理层对财务报表的责任</w:t>
      </w:r>
      <w:r>
        <w:rPr>
          <w:rFonts w:ascii="Microsoft JhengHei" w:hAnsi="Microsoft JhengHei" w:cs="Microsoft JhengHei" w:eastAsia="Microsoft JhengHei" w:hint="default"/>
          <w:b w:val="0"/>
          <w:bCs w:val="0"/>
        </w:rPr>
      </w:r>
    </w:p>
    <w:p>
      <w:pPr>
        <w:spacing w:line="240" w:lineRule="auto" w:before="4"/>
        <w:rPr>
          <w:rFonts w:ascii="Microsoft JhengHei" w:hAnsi="Microsoft JhengHei" w:cs="Microsoft JhengHei" w:eastAsia="Microsoft JhengHei" w:hint="default"/>
          <w:b/>
          <w:bCs/>
          <w:sz w:val="16"/>
          <w:szCs w:val="16"/>
        </w:rPr>
      </w:pPr>
    </w:p>
    <w:p>
      <w:pPr>
        <w:pStyle w:val="Heading5"/>
        <w:spacing w:line="357" w:lineRule="auto"/>
        <w:ind w:right="227" w:firstLine="480"/>
        <w:jc w:val="both"/>
      </w:pPr>
      <w:r>
        <w:rPr>
          <w:spacing w:val="-3"/>
        </w:rPr>
        <w:t>编制和公允列报财务报表是管理层的责任，这种责任包括：(1)按照企业会计准则的规定</w:t>
      </w:r>
      <w:r>
        <w:rPr>
          <w:w w:val="99"/>
        </w:rPr>
        <w:t> </w:t>
      </w:r>
      <w:r>
        <w:rPr>
          <w:spacing w:val="-3"/>
        </w:rPr>
        <w:t>编制财务报表，并使其实现公允反映；(2)设计、执行和维护必要的内部控制，以使财务报表</w:t>
      </w:r>
      <w:r>
        <w:rPr>
          <w:spacing w:val="-81"/>
        </w:rPr>
        <w:t> </w:t>
      </w:r>
      <w:r>
        <w:rPr>
          <w:spacing w:val="-81"/>
        </w:rPr>
      </w:r>
      <w:r>
        <w:rPr/>
        <w:t>不存在由于舞弊或错误导致的重大错报。</w:t>
      </w:r>
    </w:p>
    <w:p>
      <w:pPr>
        <w:pStyle w:val="Heading4"/>
        <w:spacing w:line="371" w:lineRule="exact"/>
        <w:ind w:left="632" w:right="114"/>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rPr>
        <w:t>二、注册会计师的责任</w:t>
      </w:r>
      <w:r>
        <w:rPr>
          <w:rFonts w:ascii="Microsoft JhengHei" w:hAnsi="Microsoft JhengHei" w:cs="Microsoft JhengHei" w:eastAsia="Microsoft JhengHei" w:hint="default"/>
          <w:b w:val="0"/>
          <w:bCs w:val="0"/>
        </w:rPr>
      </w:r>
    </w:p>
    <w:p>
      <w:pPr>
        <w:spacing w:line="240" w:lineRule="auto" w:before="9"/>
        <w:rPr>
          <w:rFonts w:ascii="Microsoft JhengHei" w:hAnsi="Microsoft JhengHei" w:cs="Microsoft JhengHei" w:eastAsia="Microsoft JhengHei" w:hint="default"/>
          <w:b/>
          <w:bCs/>
          <w:sz w:val="16"/>
          <w:szCs w:val="16"/>
        </w:rPr>
      </w:pPr>
    </w:p>
    <w:p>
      <w:pPr>
        <w:pStyle w:val="Heading5"/>
        <w:spacing w:line="355" w:lineRule="auto"/>
        <w:ind w:right="232" w:firstLine="480"/>
        <w:jc w:val="both"/>
      </w:pPr>
      <w:r>
        <w:rPr/>
        <w:t>我们的责任是在执行审计工作的基础上对财务报表发表审计意见。我们按照中国注册会</w:t>
      </w:r>
      <w:r>
        <w:rPr>
          <w:w w:val="99"/>
        </w:rPr>
        <w:t> </w:t>
      </w:r>
      <w:r>
        <w:rPr/>
        <w:t>计师审计准则的规定执行了审计工作。中国注册会计师审计准则要求我们遵守中国注册会计</w:t>
      </w:r>
      <w:r>
        <w:rPr>
          <w:spacing w:val="-95"/>
        </w:rPr>
        <w:t> </w:t>
      </w:r>
      <w:r>
        <w:rPr>
          <w:spacing w:val="-95"/>
        </w:rPr>
      </w:r>
      <w:r>
        <w:rPr/>
        <w:t>师职业道德守则，计划和执行审计工作以对财务报表是否不存在重大错报获取合理保证。</w:t>
      </w:r>
    </w:p>
    <w:p>
      <w:pPr>
        <w:pStyle w:val="Heading5"/>
        <w:spacing w:line="357" w:lineRule="auto" w:before="41"/>
        <w:ind w:right="90" w:firstLine="480"/>
        <w:jc w:val="left"/>
      </w:pPr>
      <w:r>
        <w:rPr/>
        <w:t>审计工作涉及实施审计程序，以获取有关财务报表金额和披露的审计证据。选择的审计</w:t>
      </w:r>
      <w:r>
        <w:rPr>
          <w:w w:val="99"/>
        </w:rPr>
        <w:t> </w:t>
      </w:r>
      <w:r>
        <w:rPr>
          <w:spacing w:val="-2"/>
        </w:rPr>
        <w:t>程序取决于注册会计师的判断，包括对由于舞弊或错误导致的财务报表重大错报风险的评估。</w:t>
      </w:r>
      <w:r>
        <w:rPr>
          <w:w w:val="99"/>
        </w:rPr>
        <w:t> </w:t>
      </w:r>
      <w:r>
        <w:rPr/>
        <w:t>在进行风险评估时，注册会计师考虑与财务报表编制和公允列报相关的内部控制，以设计恰</w:t>
      </w:r>
      <w:r>
        <w:rPr>
          <w:spacing w:val="-94"/>
        </w:rPr>
        <w:t> </w:t>
      </w:r>
      <w:r>
        <w:rPr>
          <w:spacing w:val="-94"/>
        </w:rPr>
      </w:r>
      <w:r>
        <w:rPr/>
        <w:t>当的审计程序，但目的并非对内部控制的有效性发表意见。审计工作还包括评价管理层选用</w:t>
      </w:r>
      <w:r>
        <w:rPr>
          <w:spacing w:val="-95"/>
        </w:rPr>
        <w:t> </w:t>
      </w:r>
      <w:r>
        <w:rPr>
          <w:spacing w:val="-95"/>
        </w:rPr>
      </w:r>
      <w:r>
        <w:rPr/>
        <w:t>会计政策的恰当性和作出会计估计的合理性，以及评价财务报表的总体列报。</w:t>
      </w:r>
    </w:p>
    <w:p>
      <w:pPr>
        <w:pStyle w:val="Heading5"/>
        <w:spacing w:line="240" w:lineRule="auto" w:before="34"/>
        <w:ind w:left="632" w:right="114"/>
        <w:jc w:val="left"/>
      </w:pPr>
      <w:r>
        <w:rPr/>
        <w:t>我们相信，我们获取的审计证据是充分、适当的，为发表审计意见提供了基础。</w:t>
      </w:r>
    </w:p>
    <w:p>
      <w:pPr>
        <w:spacing w:after="0" w:line="240" w:lineRule="auto"/>
        <w:jc w:val="left"/>
        <w:sectPr>
          <w:type w:val="continuous"/>
          <w:pgSz w:w="11900" w:h="16840"/>
          <w:pgMar w:top="860" w:bottom="280" w:left="980" w:right="900"/>
        </w:sectPr>
      </w:pPr>
    </w:p>
    <w:p>
      <w:pPr>
        <w:spacing w:line="240" w:lineRule="auto" w:before="2"/>
        <w:rPr>
          <w:rFonts w:ascii="宋体" w:hAnsi="宋体" w:cs="宋体" w:eastAsia="宋体" w:hint="default"/>
          <w:sz w:val="19"/>
          <w:szCs w:val="19"/>
        </w:rPr>
      </w:pPr>
    </w:p>
    <w:p>
      <w:pPr>
        <w:pStyle w:val="Heading4"/>
        <w:spacing w:line="367" w:lineRule="exact"/>
        <w:ind w:left="632" w:right="0"/>
        <w:jc w:val="left"/>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rPr>
        <w:t>三、审计意见</w:t>
      </w:r>
      <w:r>
        <w:rPr>
          <w:rFonts w:ascii="Microsoft JhengHei" w:hAnsi="Microsoft JhengHei" w:cs="Microsoft JhengHei" w:eastAsia="Microsoft JhengHei" w:hint="default"/>
          <w:b w:val="0"/>
          <w:bCs w:val="0"/>
        </w:rPr>
      </w:r>
    </w:p>
    <w:p>
      <w:pPr>
        <w:spacing w:line="240" w:lineRule="auto" w:before="9"/>
        <w:rPr>
          <w:rFonts w:ascii="Microsoft JhengHei" w:hAnsi="Microsoft JhengHei" w:cs="Microsoft JhengHei" w:eastAsia="Microsoft JhengHei" w:hint="default"/>
          <w:b/>
          <w:bCs/>
          <w:sz w:val="16"/>
          <w:szCs w:val="16"/>
        </w:rPr>
      </w:pPr>
    </w:p>
    <w:p>
      <w:pPr>
        <w:pStyle w:val="Heading5"/>
        <w:spacing w:line="355" w:lineRule="auto"/>
        <w:ind w:right="146" w:firstLine="480"/>
        <w:jc w:val="both"/>
      </w:pPr>
      <w:r>
        <w:rPr/>
        <w:t>我们认为，宝安地产公司的财务报表在所有重大方面按照企业会计准则的规定编制，公</w:t>
      </w:r>
      <w:r>
        <w:rPr>
          <w:w w:val="99"/>
        </w:rPr>
        <w:t> </w:t>
      </w:r>
      <w:r>
        <w:rPr/>
        <w:t>允反映了宝安地产公司</w:t>
      </w:r>
      <w:r>
        <w:rPr>
          <w:spacing w:val="-57"/>
        </w:rPr>
        <w:t> </w:t>
      </w:r>
      <w:r>
        <w:rPr/>
        <w:t>2012</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日的合并及母公司财务状况以及</w:t>
      </w:r>
      <w:r>
        <w:rPr>
          <w:spacing w:val="-57"/>
        </w:rPr>
        <w:t> </w:t>
      </w:r>
      <w:r>
        <w:rPr/>
        <w:t>2012</w:t>
      </w:r>
      <w:r>
        <w:rPr>
          <w:spacing w:val="-57"/>
        </w:rPr>
        <w:t> </w:t>
      </w:r>
      <w:r>
        <w:rPr/>
        <w:t>年度的合并及</w:t>
      </w:r>
      <w:r>
        <w:rPr>
          <w:w w:val="99"/>
        </w:rPr>
        <w:t> </w:t>
      </w:r>
      <w:r>
        <w:rPr/>
        <w:t>母公司经营成果和现金流量。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9"/>
          <w:szCs w:val="29"/>
        </w:rPr>
      </w:pPr>
    </w:p>
    <w:p>
      <w:pPr>
        <w:pStyle w:val="Heading5"/>
        <w:tabs>
          <w:tab w:pos="6325" w:val="left" w:leader="none"/>
        </w:tabs>
        <w:spacing w:line="477" w:lineRule="auto"/>
        <w:ind w:left="1693" w:right="1932" w:hanging="1541"/>
        <w:jc w:val="left"/>
        <w:rPr>
          <w:rFonts w:ascii="黑体" w:hAnsi="黑体" w:cs="黑体" w:eastAsia="黑体" w:hint="default"/>
        </w:rPr>
      </w:pPr>
      <w:r>
        <w:rPr>
          <w:rFonts w:ascii="黑体" w:hAnsi="黑体" w:cs="黑体" w:eastAsia="黑体" w:hint="default"/>
          <w:w w:val="95"/>
        </w:rPr>
        <w:t>国富浩华会计师事务所（特殊普通合伙）</w:t>
        <w:tab/>
      </w:r>
      <w:r>
        <w:rPr>
          <w:rFonts w:ascii="黑体" w:hAnsi="黑体" w:cs="黑体" w:eastAsia="黑体" w:hint="default"/>
        </w:rPr>
        <w:t>中国注册会计师</w:t>
      </w:r>
      <w:r>
        <w:rPr>
          <w:rFonts w:ascii="黑体" w:hAnsi="黑体" w:cs="黑体" w:eastAsia="黑体" w:hint="default"/>
          <w:w w:val="99"/>
        </w:rPr>
        <w:t> </w:t>
      </w:r>
      <w:r>
        <w:rPr>
          <w:rFonts w:ascii="黑体" w:hAnsi="黑体" w:cs="黑体" w:eastAsia="黑体" w:hint="default"/>
        </w:rPr>
        <w:t>中国·北京</w:t>
      </w:r>
    </w:p>
    <w:p>
      <w:pPr>
        <w:pStyle w:val="Heading5"/>
        <w:spacing w:line="240" w:lineRule="auto" w:before="72"/>
        <w:ind w:left="911" w:right="0"/>
        <w:jc w:val="left"/>
        <w:rPr>
          <w:rFonts w:ascii="黑体" w:hAnsi="黑体" w:cs="黑体" w:eastAsia="黑体" w:hint="default"/>
        </w:rPr>
      </w:pPr>
      <w:r>
        <w:rPr>
          <w:rFonts w:ascii="黑体" w:hAnsi="黑体" w:cs="黑体" w:eastAsia="黑体" w:hint="default"/>
          <w:spacing w:val="10"/>
        </w:rPr>
        <w:t>二〇一三年三月二十七日</w:t>
      </w:r>
    </w:p>
    <w:p>
      <w:pPr>
        <w:pStyle w:val="Heading5"/>
        <w:spacing w:line="240" w:lineRule="auto" w:before="2"/>
        <w:ind w:left="0" w:right="2412"/>
        <w:jc w:val="right"/>
        <w:rPr>
          <w:rFonts w:ascii="黑体" w:hAnsi="黑体" w:cs="黑体" w:eastAsia="黑体" w:hint="default"/>
        </w:rPr>
      </w:pPr>
      <w:r>
        <w:rPr/>
        <w:pict>
          <v:group style="position:absolute;margin-left:346.799988pt;margin-top:2.115621pt;width:120.5pt;height:.1pt;mso-position-horizontal-relative:page;mso-position-vertical-relative:paragraph;z-index:-999712" coordorigin="6936,42" coordsize="2410,2">
            <v:shape style="position:absolute;left:6936;top:42;width:2410;height:2" coordorigin="6936,42" coordsize="2410,0" path="m6936,42l9346,42e" filled="false" stroked="true" strokeweight=".48pt" strokecolor="#000000">
              <v:path arrowok="t"/>
            </v:shape>
            <w10:wrap type="none"/>
          </v:group>
        </w:pict>
      </w:r>
      <w:r>
        <w:rPr>
          <w:rFonts w:ascii="黑体" w:hAnsi="黑体" w:cs="黑体" w:eastAsia="黑体" w:hint="default"/>
          <w:w w:val="95"/>
        </w:rPr>
        <w:t>侯立勋</w:t>
      </w:r>
      <w:r>
        <w:rPr>
          <w:rFonts w:ascii="黑体" w:hAnsi="黑体" w:cs="黑体" w:eastAsia="黑体" w:hint="default"/>
        </w:rPr>
      </w:r>
    </w:p>
    <w:p>
      <w:pPr>
        <w:spacing w:line="240" w:lineRule="auto" w:before="9"/>
        <w:rPr>
          <w:rFonts w:ascii="黑体" w:hAnsi="黑体" w:cs="黑体" w:eastAsia="黑体" w:hint="default"/>
          <w:sz w:val="21"/>
          <w:szCs w:val="21"/>
        </w:rPr>
      </w:pPr>
    </w:p>
    <w:p>
      <w:pPr>
        <w:pStyle w:val="Heading5"/>
        <w:spacing w:line="240" w:lineRule="auto" w:before="26"/>
        <w:ind w:left="6305" w:right="1915"/>
        <w:jc w:val="center"/>
        <w:rPr>
          <w:rFonts w:ascii="黑体" w:hAnsi="黑体" w:cs="黑体" w:eastAsia="黑体" w:hint="default"/>
        </w:rPr>
      </w:pPr>
      <w:r>
        <w:rPr>
          <w:rFonts w:ascii="黑体" w:hAnsi="黑体" w:cs="黑体" w:eastAsia="黑体" w:hint="default"/>
        </w:rPr>
        <w:t>中国注册会计师</w:t>
      </w:r>
    </w:p>
    <w:p>
      <w:pPr>
        <w:spacing w:line="240" w:lineRule="auto" w:before="0"/>
        <w:rPr>
          <w:rFonts w:ascii="黑体" w:hAnsi="黑体" w:cs="黑体" w:eastAsia="黑体" w:hint="default"/>
          <w:sz w:val="24"/>
          <w:szCs w:val="24"/>
        </w:rPr>
      </w:pPr>
    </w:p>
    <w:p>
      <w:pPr>
        <w:spacing w:line="240" w:lineRule="auto" w:before="0"/>
        <w:rPr>
          <w:rFonts w:ascii="黑体" w:hAnsi="黑体" w:cs="黑体" w:eastAsia="黑体" w:hint="default"/>
          <w:sz w:val="24"/>
          <w:szCs w:val="24"/>
        </w:rPr>
      </w:pPr>
    </w:p>
    <w:p>
      <w:pPr>
        <w:spacing w:line="240" w:lineRule="auto" w:before="0"/>
        <w:rPr>
          <w:rFonts w:ascii="黑体" w:hAnsi="黑体" w:cs="黑体" w:eastAsia="黑体" w:hint="default"/>
          <w:sz w:val="24"/>
          <w:szCs w:val="24"/>
        </w:rPr>
      </w:pPr>
    </w:p>
    <w:p>
      <w:pPr>
        <w:spacing w:line="240" w:lineRule="auto" w:before="8"/>
        <w:rPr>
          <w:rFonts w:ascii="黑体" w:hAnsi="黑体" w:cs="黑体" w:eastAsia="黑体" w:hint="default"/>
          <w:sz w:val="23"/>
          <w:szCs w:val="23"/>
        </w:rPr>
      </w:pPr>
    </w:p>
    <w:p>
      <w:pPr>
        <w:pStyle w:val="Heading5"/>
        <w:spacing w:line="240" w:lineRule="auto"/>
        <w:ind w:left="0" w:right="2412"/>
        <w:jc w:val="right"/>
        <w:rPr>
          <w:rFonts w:ascii="黑体" w:hAnsi="黑体" w:cs="黑体" w:eastAsia="黑体" w:hint="default"/>
        </w:rPr>
      </w:pPr>
      <w:r>
        <w:rPr/>
        <w:pict>
          <v:group style="position:absolute;margin-left:346.799988pt;margin-top:2.015619pt;width:120.5pt;height:.1pt;mso-position-horizontal-relative:page;mso-position-vertical-relative:paragraph;z-index:-999688" coordorigin="6936,40" coordsize="2410,2">
            <v:shape style="position:absolute;left:6936;top:40;width:2410;height:2" coordorigin="6936,40" coordsize="2410,0" path="m6936,40l9346,40e" filled="false" stroked="true" strokeweight=".48pt" strokecolor="#000000">
              <v:path arrowok="t"/>
            </v:shape>
            <w10:wrap type="none"/>
          </v:group>
        </w:pict>
      </w:r>
      <w:r>
        <w:rPr>
          <w:rFonts w:ascii="黑体" w:hAnsi="黑体" w:cs="黑体" w:eastAsia="黑体" w:hint="default"/>
          <w:w w:val="95"/>
        </w:rPr>
        <w:t>龙丽萍</w:t>
      </w:r>
      <w:r>
        <w:rPr>
          <w:rFonts w:ascii="黑体" w:hAnsi="黑体" w:cs="黑体" w:eastAsia="黑体" w:hint="default"/>
        </w:rPr>
      </w:r>
    </w:p>
    <w:p>
      <w:pPr>
        <w:spacing w:after="0" w:line="240" w:lineRule="auto"/>
        <w:jc w:val="right"/>
        <w:rPr>
          <w:rFonts w:ascii="黑体" w:hAnsi="黑体" w:cs="黑体" w:eastAsia="黑体" w:hint="default"/>
        </w:rPr>
        <w:sectPr>
          <w:pgSz w:w="11900" w:h="16840"/>
          <w:pgMar w:header="872" w:footer="957" w:top="1120" w:bottom="1180" w:left="980" w:right="980"/>
        </w:sectPr>
      </w:pPr>
    </w:p>
    <w:p>
      <w:pPr>
        <w:spacing w:line="240" w:lineRule="auto" w:before="0"/>
        <w:rPr>
          <w:rFonts w:ascii="黑体" w:hAnsi="黑体" w:cs="黑体" w:eastAsia="黑体" w:hint="default"/>
          <w:sz w:val="20"/>
          <w:szCs w:val="20"/>
        </w:rPr>
      </w:pPr>
    </w:p>
    <w:p>
      <w:pPr>
        <w:spacing w:before="122"/>
        <w:ind w:left="1919" w:right="1915" w:firstLine="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7"/>
          <w:sz w:val="20"/>
          <w:szCs w:val="20"/>
        </w:rPr>
        <w:t>合并资产负债表</w:t>
      </w:r>
      <w:r>
        <w:rPr>
          <w:rFonts w:ascii="Microsoft JhengHei" w:hAnsi="Microsoft JhengHei" w:cs="Microsoft JhengHei" w:eastAsia="Microsoft JhengHei" w:hint="default"/>
          <w:spacing w:val="7"/>
          <w:sz w:val="20"/>
          <w:szCs w:val="20"/>
        </w:rPr>
      </w:r>
    </w:p>
    <w:p>
      <w:pPr>
        <w:spacing w:line="240" w:lineRule="auto" w:before="8"/>
        <w:rPr>
          <w:rFonts w:ascii="Microsoft JhengHei" w:hAnsi="Microsoft JhengHei" w:cs="Microsoft JhengHei" w:eastAsia="Microsoft JhengHei" w:hint="default"/>
          <w:b/>
          <w:bCs/>
          <w:sz w:val="6"/>
          <w:szCs w:val="6"/>
        </w:rPr>
      </w:pPr>
    </w:p>
    <w:p>
      <w:pPr>
        <w:spacing w:before="71"/>
        <w:ind w:left="1929" w:right="1915" w:firstLine="0"/>
        <w:jc w:val="center"/>
        <w:rPr>
          <w:rFonts w:ascii="宋体" w:hAnsi="宋体" w:cs="宋体" w:eastAsia="宋体" w:hint="default"/>
          <w:sz w:val="12"/>
          <w:szCs w:val="12"/>
        </w:rPr>
      </w:pPr>
      <w:r>
        <w:rPr>
          <w:rFonts w:ascii="宋体" w:hAnsi="宋体" w:cs="宋体" w:eastAsia="宋体" w:hint="default"/>
          <w:spacing w:val="-3"/>
          <w:w w:val="105"/>
          <w:sz w:val="12"/>
          <w:szCs w:val="12"/>
        </w:rPr>
        <w:t>编制日期：</w:t>
      </w:r>
      <w:r>
        <w:rPr>
          <w:rFonts w:ascii="Times New Roman" w:hAnsi="Times New Roman" w:cs="Times New Roman" w:eastAsia="Times New Roman" w:hint="default"/>
          <w:spacing w:val="-3"/>
          <w:w w:val="105"/>
          <w:position w:val="1"/>
          <w:sz w:val="12"/>
          <w:szCs w:val="12"/>
        </w:rPr>
        <w:t>2012</w:t>
      </w:r>
      <w:r>
        <w:rPr>
          <w:rFonts w:ascii="宋体" w:hAnsi="宋体" w:cs="宋体" w:eastAsia="宋体" w:hint="default"/>
          <w:spacing w:val="-3"/>
          <w:w w:val="105"/>
          <w:sz w:val="12"/>
          <w:szCs w:val="12"/>
        </w:rPr>
        <w:t>年</w:t>
      </w:r>
      <w:r>
        <w:rPr>
          <w:rFonts w:ascii="Times New Roman" w:hAnsi="Times New Roman" w:cs="Times New Roman" w:eastAsia="Times New Roman" w:hint="default"/>
          <w:spacing w:val="-3"/>
          <w:w w:val="105"/>
          <w:position w:val="1"/>
          <w:sz w:val="12"/>
          <w:szCs w:val="12"/>
        </w:rPr>
        <w:t>12</w:t>
      </w:r>
      <w:r>
        <w:rPr>
          <w:rFonts w:ascii="宋体" w:hAnsi="宋体" w:cs="宋体" w:eastAsia="宋体" w:hint="default"/>
          <w:spacing w:val="-3"/>
          <w:w w:val="105"/>
          <w:sz w:val="12"/>
          <w:szCs w:val="12"/>
        </w:rPr>
        <w:t>月</w:t>
      </w:r>
      <w:r>
        <w:rPr>
          <w:rFonts w:ascii="Times New Roman" w:hAnsi="Times New Roman" w:cs="Times New Roman" w:eastAsia="Times New Roman" w:hint="default"/>
          <w:spacing w:val="-3"/>
          <w:w w:val="105"/>
          <w:position w:val="1"/>
          <w:sz w:val="12"/>
          <w:szCs w:val="12"/>
        </w:rPr>
        <w:t>31</w:t>
      </w:r>
      <w:r>
        <w:rPr>
          <w:rFonts w:ascii="宋体" w:hAnsi="宋体" w:cs="宋体" w:eastAsia="宋体" w:hint="default"/>
          <w:spacing w:val="-3"/>
          <w:w w:val="105"/>
          <w:sz w:val="12"/>
          <w:szCs w:val="12"/>
        </w:rPr>
        <w:t>日</w:t>
      </w:r>
      <w:r>
        <w:rPr>
          <w:rFonts w:ascii="宋体" w:hAnsi="宋体" w:cs="宋体" w:eastAsia="宋体" w:hint="default"/>
          <w:spacing w:val="-3"/>
          <w:sz w:val="12"/>
          <w:szCs w:val="12"/>
        </w:rPr>
      </w:r>
    </w:p>
    <w:p>
      <w:pPr>
        <w:spacing w:line="240" w:lineRule="auto" w:before="4"/>
        <w:rPr>
          <w:rFonts w:ascii="宋体" w:hAnsi="宋体" w:cs="宋体" w:eastAsia="宋体" w:hint="default"/>
          <w:sz w:val="9"/>
          <w:szCs w:val="9"/>
        </w:rPr>
      </w:pPr>
    </w:p>
    <w:p>
      <w:pPr>
        <w:tabs>
          <w:tab w:pos="8879" w:val="left" w:leader="none"/>
        </w:tabs>
        <w:spacing w:before="0"/>
        <w:ind w:left="181" w:right="0" w:firstLine="0"/>
        <w:jc w:val="left"/>
        <w:rPr>
          <w:rFonts w:ascii="宋体" w:hAnsi="宋体" w:cs="宋体" w:eastAsia="宋体" w:hint="default"/>
          <w:sz w:val="12"/>
          <w:szCs w:val="12"/>
        </w:rPr>
      </w:pPr>
      <w:r>
        <w:rPr>
          <w:rFonts w:ascii="宋体" w:hAnsi="宋体" w:cs="宋体" w:eastAsia="宋体" w:hint="default"/>
          <w:w w:val="105"/>
          <w:sz w:val="12"/>
          <w:szCs w:val="12"/>
        </w:rPr>
        <w:t>编制单位:</w:t>
      </w:r>
      <w:r>
        <w:rPr>
          <w:rFonts w:ascii="宋体" w:hAnsi="宋体" w:cs="宋体" w:eastAsia="宋体" w:hint="default"/>
          <w:spacing w:val="45"/>
          <w:w w:val="105"/>
          <w:sz w:val="12"/>
          <w:szCs w:val="12"/>
        </w:rPr>
        <w:t> </w:t>
      </w:r>
      <w:r>
        <w:rPr>
          <w:rFonts w:ascii="宋体" w:hAnsi="宋体" w:cs="宋体" w:eastAsia="宋体" w:hint="default"/>
          <w:w w:val="105"/>
          <w:sz w:val="12"/>
          <w:szCs w:val="12"/>
        </w:rPr>
        <w:t>宝安鸿基地产集团股份有限公司</w:t>
        <w:tab/>
        <w:t>单位：人民币元</w:t>
      </w:r>
      <w:r>
        <w:rPr>
          <w:rFonts w:ascii="宋体" w:hAnsi="宋体" w:cs="宋体" w:eastAsia="宋体" w:hint="default"/>
          <w:sz w:val="12"/>
          <w:szCs w:val="12"/>
        </w:rPr>
      </w:r>
    </w:p>
    <w:p>
      <w:pPr>
        <w:spacing w:line="240" w:lineRule="auto" w:before="4"/>
        <w:rPr>
          <w:rFonts w:ascii="宋体" w:hAnsi="宋体" w:cs="宋体" w:eastAsia="宋体" w:hint="default"/>
          <w:sz w:val="4"/>
          <w:szCs w:val="4"/>
        </w:rPr>
      </w:pPr>
    </w:p>
    <w:p>
      <w:pPr>
        <w:spacing w:line="20" w:lineRule="exact"/>
        <w:ind w:left="815" w:right="0" w:firstLine="0"/>
        <w:rPr>
          <w:rFonts w:ascii="宋体" w:hAnsi="宋体" w:cs="宋体" w:eastAsia="宋体" w:hint="default"/>
          <w:sz w:val="2"/>
          <w:szCs w:val="2"/>
        </w:rPr>
      </w:pPr>
      <w:r>
        <w:rPr>
          <w:rFonts w:ascii="宋体" w:hAnsi="宋体" w:cs="宋体" w:eastAsia="宋体" w:hint="default"/>
          <w:sz w:val="2"/>
          <w:szCs w:val="2"/>
        </w:rPr>
        <w:pict>
          <v:group style="width:93.6pt;height:.7pt;mso-position-horizontal-relative:char;mso-position-vertical-relative:line" coordorigin="0,0" coordsize="1872,14">
            <v:group style="position:absolute;left:6;top:2;width:1860;height:2" coordorigin="6,2" coordsize="1860,2">
              <v:shape style="position:absolute;left:6;top:2;width:1860;height:2" coordorigin="6,2" coordsize="1860,0" path="m6,2l1866,2e" filled="false" stroked="true" strokeweight=".24pt" strokecolor="#000000">
                <v:path arrowok="t"/>
              </v:shape>
            </v:group>
            <v:group style="position:absolute;left:5;top:8;width:1863;height:2" coordorigin="5,8" coordsize="1863,2">
              <v:shape style="position:absolute;left:5;top:8;width:1863;height:2" coordorigin="5,8" coordsize="1863,0" path="m5,8l1867,8e" filled="false" stroked="true" strokeweight=".48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7"/>
          <w:szCs w:val="7"/>
        </w:rPr>
      </w:pPr>
    </w:p>
    <w:tbl>
      <w:tblPr>
        <w:tblW w:w="0" w:type="auto"/>
        <w:jc w:val="left"/>
        <w:tblInd w:w="143" w:type="dxa"/>
        <w:tblLayout w:type="fixed"/>
        <w:tblCellMar>
          <w:top w:w="0" w:type="dxa"/>
          <w:left w:w="0" w:type="dxa"/>
          <w:bottom w:w="0" w:type="dxa"/>
          <w:right w:w="0" w:type="dxa"/>
        </w:tblCellMar>
        <w:tblLook w:val="01E0"/>
      </w:tblPr>
      <w:tblGrid>
        <w:gridCol w:w="2009"/>
        <w:gridCol w:w="513"/>
        <w:gridCol w:w="1133"/>
        <w:gridCol w:w="1191"/>
        <w:gridCol w:w="1881"/>
        <w:gridCol w:w="513"/>
        <w:gridCol w:w="1181"/>
        <w:gridCol w:w="1216"/>
      </w:tblGrid>
      <w:tr>
        <w:trPr>
          <w:trHeight w:val="277" w:hRule="exact"/>
        </w:trPr>
        <w:tc>
          <w:tcPr>
            <w:tcW w:w="2009" w:type="dxa"/>
            <w:tcBorders>
              <w:top w:val="single" w:sz="8" w:space="0" w:color="000000"/>
              <w:left w:val="nil" w:sz="6" w:space="0" w:color="auto"/>
              <w:bottom w:val="single" w:sz="4" w:space="0" w:color="000000"/>
              <w:right w:val="single" w:sz="4" w:space="0" w:color="000000"/>
            </w:tcBorders>
          </w:tcPr>
          <w:p>
            <w:pPr>
              <w:pStyle w:val="TableParagraph"/>
              <w:tabs>
                <w:tab w:pos="445" w:val="left" w:leader="none"/>
              </w:tabs>
              <w:spacing w:line="208" w:lineRule="exact"/>
              <w:ind w:right="1"/>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z w:val="12"/>
                <w:szCs w:val="12"/>
              </w:rPr>
              <w:t>资</w:t>
              <w:tab/>
            </w:r>
            <w:r>
              <w:rPr>
                <w:rFonts w:ascii="Microsoft JhengHei" w:hAnsi="Microsoft JhengHei" w:cs="Microsoft JhengHei" w:eastAsia="Microsoft JhengHei" w:hint="default"/>
                <w:b/>
                <w:bCs/>
                <w:w w:val="105"/>
                <w:sz w:val="12"/>
                <w:szCs w:val="12"/>
              </w:rPr>
              <w:t>产</w:t>
            </w:r>
            <w:r>
              <w:rPr>
                <w:rFonts w:ascii="Microsoft JhengHei" w:hAnsi="Microsoft JhengHei" w:cs="Microsoft JhengHei" w:eastAsia="Microsoft JhengHei" w:hint="default"/>
                <w:sz w:val="12"/>
                <w:szCs w:val="12"/>
              </w:rPr>
            </w:r>
          </w:p>
        </w:tc>
        <w:tc>
          <w:tcPr>
            <w:tcW w:w="51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left="116"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4"/>
                <w:w w:val="105"/>
                <w:sz w:val="12"/>
                <w:szCs w:val="12"/>
              </w:rPr>
              <w:t>附注</w:t>
            </w:r>
            <w:r>
              <w:rPr>
                <w:rFonts w:ascii="Microsoft JhengHei" w:hAnsi="Microsoft JhengHei" w:cs="Microsoft JhengHei" w:eastAsia="Microsoft JhengHei" w:hint="default"/>
                <w:spacing w:val="4"/>
                <w:sz w:val="12"/>
                <w:szCs w:val="12"/>
              </w:rPr>
            </w:r>
          </w:p>
        </w:tc>
        <w:tc>
          <w:tcPr>
            <w:tcW w:w="113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
              <w:ind w:left="289"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期末余额</w:t>
            </w:r>
            <w:r>
              <w:rPr>
                <w:rFonts w:ascii="Microsoft JhengHei" w:hAnsi="Microsoft JhengHei" w:cs="Microsoft JhengHei" w:eastAsia="Microsoft JhengHei" w:hint="default"/>
                <w:spacing w:val="7"/>
                <w:sz w:val="12"/>
                <w:szCs w:val="12"/>
              </w:rPr>
            </w:r>
          </w:p>
        </w:tc>
        <w:tc>
          <w:tcPr>
            <w:tcW w:w="1191" w:type="dxa"/>
            <w:tcBorders>
              <w:top w:val="single" w:sz="8" w:space="0" w:color="000000"/>
              <w:left w:val="single" w:sz="4" w:space="0" w:color="000000"/>
              <w:bottom w:val="single" w:sz="4" w:space="0" w:color="000000"/>
              <w:right w:val="single" w:sz="12" w:space="0" w:color="000000"/>
            </w:tcBorders>
          </w:tcPr>
          <w:p>
            <w:pPr>
              <w:pStyle w:val="TableParagraph"/>
              <w:spacing w:line="240" w:lineRule="auto" w:before="9"/>
              <w:ind w:left="31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年初余额</w:t>
            </w:r>
            <w:r>
              <w:rPr>
                <w:rFonts w:ascii="Microsoft JhengHei" w:hAnsi="Microsoft JhengHei" w:cs="Microsoft JhengHei" w:eastAsia="Microsoft JhengHei" w:hint="default"/>
                <w:spacing w:val="7"/>
                <w:sz w:val="12"/>
                <w:szCs w:val="12"/>
              </w:rPr>
            </w:r>
          </w:p>
        </w:tc>
        <w:tc>
          <w:tcPr>
            <w:tcW w:w="1881" w:type="dxa"/>
            <w:tcBorders>
              <w:top w:val="single" w:sz="8" w:space="0" w:color="000000"/>
              <w:left w:val="single" w:sz="12" w:space="0" w:color="000000"/>
              <w:bottom w:val="single" w:sz="4" w:space="0" w:color="000000"/>
              <w:right w:val="single" w:sz="4" w:space="0" w:color="000000"/>
            </w:tcBorders>
          </w:tcPr>
          <w:p>
            <w:pPr>
              <w:pStyle w:val="TableParagraph"/>
              <w:spacing w:line="208" w:lineRule="exact"/>
              <w:ind w:left="446"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负债及股东权益</w:t>
            </w:r>
            <w:r>
              <w:rPr>
                <w:rFonts w:ascii="Microsoft JhengHei" w:hAnsi="Microsoft JhengHei" w:cs="Microsoft JhengHei" w:eastAsia="Microsoft JhengHei" w:hint="default"/>
                <w:spacing w:val="7"/>
                <w:sz w:val="12"/>
                <w:szCs w:val="12"/>
              </w:rPr>
            </w:r>
          </w:p>
        </w:tc>
        <w:tc>
          <w:tcPr>
            <w:tcW w:w="513" w:type="dxa"/>
            <w:tcBorders>
              <w:top w:val="single" w:sz="8" w:space="0" w:color="000000"/>
              <w:left w:val="single" w:sz="4" w:space="0" w:color="000000"/>
              <w:bottom w:val="single" w:sz="4" w:space="0" w:color="000000"/>
              <w:right w:val="single" w:sz="6" w:space="0" w:color="000000"/>
            </w:tcBorders>
          </w:tcPr>
          <w:p>
            <w:pPr>
              <w:pStyle w:val="TableParagraph"/>
              <w:spacing w:line="240" w:lineRule="auto" w:before="9"/>
              <w:ind w:left="11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4"/>
                <w:w w:val="105"/>
                <w:sz w:val="12"/>
                <w:szCs w:val="12"/>
              </w:rPr>
              <w:t>附注</w:t>
            </w:r>
            <w:r>
              <w:rPr>
                <w:rFonts w:ascii="Microsoft JhengHei" w:hAnsi="Microsoft JhengHei" w:cs="Microsoft JhengHei" w:eastAsia="Microsoft JhengHei" w:hint="default"/>
                <w:spacing w:val="4"/>
                <w:sz w:val="12"/>
                <w:szCs w:val="12"/>
              </w:rPr>
            </w:r>
          </w:p>
        </w:tc>
        <w:tc>
          <w:tcPr>
            <w:tcW w:w="1181"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9"/>
              <w:ind w:left="30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期末余额</w:t>
            </w:r>
            <w:r>
              <w:rPr>
                <w:rFonts w:ascii="Microsoft JhengHei" w:hAnsi="Microsoft JhengHei" w:cs="Microsoft JhengHei" w:eastAsia="Microsoft JhengHei" w:hint="default"/>
                <w:spacing w:val="7"/>
                <w:sz w:val="12"/>
                <w:szCs w:val="12"/>
              </w:rPr>
            </w:r>
          </w:p>
        </w:tc>
        <w:tc>
          <w:tcPr>
            <w:tcW w:w="1216"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9"/>
              <w:ind w:left="3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年初余额</w:t>
            </w:r>
            <w:r>
              <w:rPr>
                <w:rFonts w:ascii="Microsoft JhengHei" w:hAnsi="Microsoft JhengHei" w:cs="Microsoft JhengHei" w:eastAsia="Microsoft JhengHei" w:hint="default"/>
                <w:spacing w:val="7"/>
                <w:sz w:val="12"/>
                <w:szCs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25"/>
                <w:sz w:val="12"/>
                <w:szCs w:val="12"/>
              </w:rPr>
              <w:t>流动资产:</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12" w:space="0" w:color="000000"/>
            </w:tcBorders>
          </w:tcPr>
          <w:p>
            <w:pP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left="9"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25"/>
                <w:sz w:val="12"/>
                <w:szCs w:val="12"/>
              </w:rPr>
              <w:t>流动负债:</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nil" w:sz="6" w:space="0" w:color="auto"/>
            </w:tcBorders>
          </w:tcPr>
          <w:p>
            <w:pP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货币资金</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宋体" w:hAnsi="宋体" w:cs="宋体" w:eastAsia="宋体" w:hint="default"/>
                <w:sz w:val="12"/>
                <w:szCs w:val="12"/>
              </w:rPr>
            </w:pPr>
            <w:r>
              <w:rPr>
                <w:rFonts w:ascii="宋体" w:hAnsi="宋体" w:cs="宋体" w:eastAsia="宋体" w:hint="default"/>
                <w:w w:val="105"/>
                <w:sz w:val="12"/>
                <w:szCs w:val="12"/>
              </w:rPr>
              <w:t>五、1</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
              <w:jc w:val="right"/>
              <w:rPr>
                <w:rFonts w:ascii="Times New Roman" w:hAnsi="Times New Roman" w:cs="Times New Roman" w:eastAsia="Times New Roman" w:hint="default"/>
                <w:sz w:val="12"/>
                <w:szCs w:val="12"/>
              </w:rPr>
            </w:pPr>
            <w:r>
              <w:rPr>
                <w:rFonts w:ascii="Times New Roman"/>
                <w:spacing w:val="-4"/>
                <w:w w:val="105"/>
                <w:sz w:val="12"/>
              </w:rPr>
              <w:t>176,261,385.76</w:t>
            </w:r>
            <w:r>
              <w:rPr>
                <w:rFonts w:ascii="Times New Roman"/>
                <w:spacing w:val="-4"/>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right="1"/>
              <w:jc w:val="right"/>
              <w:rPr>
                <w:rFonts w:ascii="Times New Roman" w:hAnsi="Times New Roman" w:cs="Times New Roman" w:eastAsia="Times New Roman" w:hint="default"/>
                <w:sz w:val="12"/>
                <w:szCs w:val="12"/>
              </w:rPr>
            </w:pPr>
            <w:r>
              <w:rPr>
                <w:rFonts w:ascii="Times New Roman"/>
                <w:spacing w:val="-4"/>
                <w:sz w:val="12"/>
              </w:rPr>
              <w:t>362,404,316.56</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短期借款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五、17</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9"/>
              <w:jc w:val="right"/>
              <w:rPr>
                <w:rFonts w:ascii="Times New Roman" w:hAnsi="Times New Roman" w:cs="Times New Roman" w:eastAsia="Times New Roman" w:hint="default"/>
                <w:sz w:val="12"/>
                <w:szCs w:val="12"/>
              </w:rPr>
            </w:pPr>
            <w:r>
              <w:rPr>
                <w:rFonts w:ascii="Times New Roman"/>
                <w:spacing w:val="-4"/>
                <w:w w:val="105"/>
                <w:sz w:val="12"/>
              </w:rPr>
              <w:t>206,500,000.00</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结算备付金</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向中央银行借款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拆出资金</w:t>
            </w:r>
            <w:r>
              <w:rPr>
                <w:rFonts w:ascii="宋体" w:hAnsi="宋体" w:cs="宋体" w:eastAsia="宋体" w:hint="default"/>
                <w:sz w:val="12"/>
                <w:szCs w:val="12"/>
              </w:rPr>
            </w:r>
          </w:p>
        </w:tc>
        <w:tc>
          <w:tcPr>
            <w:tcW w:w="513" w:type="dxa"/>
            <w:tcBorders>
              <w:top w:val="single" w:sz="4" w:space="0" w:color="000000"/>
              <w:left w:val="single" w:sz="4" w:space="0" w:color="000000"/>
              <w:bottom w:val="single" w:sz="6" w:space="0" w:color="000000"/>
              <w:right w:val="single" w:sz="4" w:space="0" w:color="000000"/>
            </w:tcBorders>
          </w:tcPr>
          <w:p>
            <w:pPr/>
          </w:p>
        </w:tc>
        <w:tc>
          <w:tcPr>
            <w:tcW w:w="113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6"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6"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吸收存款及同业存放</w:t>
            </w:r>
            <w:r>
              <w:rPr>
                <w:rFonts w:ascii="宋体" w:hAnsi="宋体" w:cs="宋体" w:eastAsia="宋体" w:hint="default"/>
                <w:sz w:val="12"/>
                <w:szCs w:val="12"/>
              </w:rPr>
            </w:r>
          </w:p>
        </w:tc>
        <w:tc>
          <w:tcPr>
            <w:tcW w:w="513" w:type="dxa"/>
            <w:tcBorders>
              <w:top w:val="single" w:sz="4" w:space="0" w:color="000000"/>
              <w:left w:val="single" w:sz="4" w:space="0" w:color="000000"/>
              <w:bottom w:val="single" w:sz="6" w:space="0" w:color="000000"/>
              <w:right w:val="single" w:sz="6" w:space="0" w:color="000000"/>
            </w:tcBorders>
          </w:tcPr>
          <w:p>
            <w:pPr/>
          </w:p>
        </w:tc>
        <w:tc>
          <w:tcPr>
            <w:tcW w:w="1181"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37"/>
              <w:ind w:left="163" w:right="0"/>
              <w:jc w:val="left"/>
              <w:rPr>
                <w:rFonts w:ascii="宋体" w:hAnsi="宋体" w:cs="宋体" w:eastAsia="宋体" w:hint="default"/>
                <w:sz w:val="12"/>
                <w:szCs w:val="12"/>
              </w:rPr>
            </w:pPr>
            <w:r>
              <w:rPr>
                <w:rFonts w:ascii="宋体" w:hAnsi="宋体" w:cs="宋体" w:eastAsia="宋体" w:hint="default"/>
                <w:w w:val="105"/>
                <w:sz w:val="12"/>
                <w:szCs w:val="12"/>
              </w:rPr>
              <w:t>交易性金融资产</w:t>
            </w:r>
            <w:r>
              <w:rPr>
                <w:rFonts w:ascii="宋体" w:hAnsi="宋体" w:cs="宋体" w:eastAsia="宋体" w:hint="default"/>
                <w:sz w:val="12"/>
                <w:szCs w:val="12"/>
              </w:rPr>
            </w:r>
          </w:p>
        </w:tc>
        <w:tc>
          <w:tcPr>
            <w:tcW w:w="513" w:type="dxa"/>
            <w:tcBorders>
              <w:top w:val="single" w:sz="6" w:space="0" w:color="000000"/>
              <w:left w:val="single" w:sz="4" w:space="0" w:color="000000"/>
              <w:bottom w:val="single" w:sz="4" w:space="0" w:color="000000"/>
              <w:right w:val="single" w:sz="4" w:space="0" w:color="000000"/>
            </w:tcBorders>
          </w:tcPr>
          <w:p>
            <w:pPr/>
          </w:p>
        </w:tc>
        <w:tc>
          <w:tcPr>
            <w:tcW w:w="113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6" w:space="0" w:color="000000"/>
              <w:left w:val="single" w:sz="4" w:space="0" w:color="000000"/>
              <w:bottom w:val="single" w:sz="4" w:space="0" w:color="000000"/>
              <w:right w:val="single" w:sz="12" w:space="0" w:color="000000"/>
            </w:tcBorders>
          </w:tcPr>
          <w:p>
            <w:pPr>
              <w:pStyle w:val="TableParagraph"/>
              <w:spacing w:line="240" w:lineRule="auto" w:before="56"/>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6" w:space="0" w:color="000000"/>
              <w:left w:val="single" w:sz="12" w:space="0" w:color="000000"/>
              <w:bottom w:val="single" w:sz="4" w:space="0" w:color="000000"/>
              <w:right w:val="single" w:sz="4" w:space="0" w:color="000000"/>
            </w:tcBorders>
          </w:tcPr>
          <w:p>
            <w:pPr>
              <w:pStyle w:val="TableParagraph"/>
              <w:spacing w:line="240" w:lineRule="auto" w:before="37"/>
              <w:ind w:left="143" w:right="0"/>
              <w:jc w:val="left"/>
              <w:rPr>
                <w:rFonts w:ascii="宋体" w:hAnsi="宋体" w:cs="宋体" w:eastAsia="宋体" w:hint="default"/>
                <w:sz w:val="12"/>
                <w:szCs w:val="12"/>
              </w:rPr>
            </w:pPr>
            <w:r>
              <w:rPr>
                <w:rFonts w:ascii="宋体" w:hAnsi="宋体" w:cs="宋体" w:eastAsia="宋体" w:hint="default"/>
                <w:w w:val="105"/>
                <w:sz w:val="12"/>
                <w:szCs w:val="12"/>
              </w:rPr>
              <w:t>拆入资金</w:t>
            </w:r>
            <w:r>
              <w:rPr>
                <w:rFonts w:ascii="宋体" w:hAnsi="宋体" w:cs="宋体" w:eastAsia="宋体" w:hint="default"/>
                <w:sz w:val="12"/>
                <w:szCs w:val="12"/>
              </w:rPr>
            </w:r>
          </w:p>
        </w:tc>
        <w:tc>
          <w:tcPr>
            <w:tcW w:w="513" w:type="dxa"/>
            <w:tcBorders>
              <w:top w:val="single" w:sz="6" w:space="0" w:color="000000"/>
              <w:left w:val="single" w:sz="4" w:space="0" w:color="000000"/>
              <w:bottom w:val="single" w:sz="4" w:space="0" w:color="000000"/>
              <w:right w:val="single" w:sz="6" w:space="0" w:color="000000"/>
            </w:tcBorders>
          </w:tcPr>
          <w:p>
            <w:pPr/>
          </w:p>
        </w:tc>
        <w:tc>
          <w:tcPr>
            <w:tcW w:w="1181"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56"/>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56"/>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应收票据</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交易性金融负债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6"/>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应收账款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88" w:right="0"/>
              <w:jc w:val="left"/>
              <w:rPr>
                <w:rFonts w:ascii="宋体" w:hAnsi="宋体" w:cs="宋体" w:eastAsia="宋体" w:hint="default"/>
                <w:sz w:val="12"/>
                <w:szCs w:val="12"/>
              </w:rPr>
            </w:pPr>
            <w:r>
              <w:rPr>
                <w:rFonts w:ascii="宋体" w:hAnsi="宋体" w:cs="宋体" w:eastAsia="宋体" w:hint="default"/>
                <w:w w:val="105"/>
                <w:sz w:val="12"/>
                <w:szCs w:val="12"/>
              </w:rPr>
              <w:t>五、2</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
              <w:jc w:val="right"/>
              <w:rPr>
                <w:rFonts w:ascii="Times New Roman" w:hAnsi="Times New Roman" w:cs="Times New Roman" w:eastAsia="Times New Roman" w:hint="default"/>
                <w:sz w:val="12"/>
                <w:szCs w:val="12"/>
              </w:rPr>
            </w:pPr>
            <w:r>
              <w:rPr>
                <w:rFonts w:ascii="Times New Roman"/>
                <w:spacing w:val="-4"/>
                <w:sz w:val="12"/>
              </w:rPr>
              <w:t>10,014,630.00</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1"/>
              <w:jc w:val="right"/>
              <w:rPr>
                <w:rFonts w:ascii="Times New Roman" w:hAnsi="Times New Roman" w:cs="Times New Roman" w:eastAsia="Times New Roman" w:hint="default"/>
                <w:sz w:val="12"/>
                <w:szCs w:val="12"/>
              </w:rPr>
            </w:pPr>
            <w:r>
              <w:rPr>
                <w:rFonts w:ascii="Times New Roman"/>
                <w:spacing w:val="-4"/>
                <w:sz w:val="12"/>
              </w:rPr>
              <w:t>4,609,851.26</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应付票据</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预付款项</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left"/>
              <w:rPr>
                <w:rFonts w:ascii="宋体" w:hAnsi="宋体" w:cs="宋体" w:eastAsia="宋体" w:hint="default"/>
                <w:sz w:val="12"/>
                <w:szCs w:val="12"/>
              </w:rPr>
            </w:pPr>
            <w:r>
              <w:rPr>
                <w:rFonts w:ascii="宋体" w:hAnsi="宋体" w:cs="宋体" w:eastAsia="宋体" w:hint="default"/>
                <w:w w:val="105"/>
                <w:sz w:val="12"/>
                <w:szCs w:val="12"/>
              </w:rPr>
              <w:t>五、4</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
              <w:jc w:val="right"/>
              <w:rPr>
                <w:rFonts w:ascii="Times New Roman" w:hAnsi="Times New Roman" w:cs="Times New Roman" w:eastAsia="Times New Roman" w:hint="default"/>
                <w:sz w:val="12"/>
                <w:szCs w:val="12"/>
              </w:rPr>
            </w:pPr>
            <w:r>
              <w:rPr>
                <w:rFonts w:ascii="Times New Roman"/>
                <w:spacing w:val="-4"/>
                <w:sz w:val="12"/>
              </w:rPr>
              <w:t>67,041,089.37</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1"/>
              <w:jc w:val="right"/>
              <w:rPr>
                <w:rFonts w:ascii="Times New Roman" w:hAnsi="Times New Roman" w:cs="Times New Roman" w:eastAsia="Times New Roman" w:hint="default"/>
                <w:sz w:val="12"/>
                <w:szCs w:val="12"/>
              </w:rPr>
            </w:pPr>
            <w:r>
              <w:rPr>
                <w:rFonts w:ascii="Times New Roman"/>
                <w:spacing w:val="-4"/>
                <w:sz w:val="12"/>
              </w:rPr>
              <w:t>7,136,384.54</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应付账款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9"/>
              <w:ind w:left="59" w:right="0"/>
              <w:jc w:val="left"/>
              <w:rPr>
                <w:rFonts w:ascii="宋体" w:hAnsi="宋体" w:cs="宋体" w:eastAsia="宋体" w:hint="default"/>
                <w:sz w:val="12"/>
                <w:szCs w:val="12"/>
              </w:rPr>
            </w:pPr>
            <w:r>
              <w:rPr>
                <w:rFonts w:ascii="宋体" w:hAnsi="宋体" w:cs="宋体" w:eastAsia="宋体" w:hint="default"/>
                <w:w w:val="105"/>
                <w:sz w:val="12"/>
                <w:szCs w:val="12"/>
              </w:rPr>
              <w:t>五、18</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8"/>
              <w:ind w:right="9"/>
              <w:jc w:val="right"/>
              <w:rPr>
                <w:rFonts w:ascii="Times New Roman" w:hAnsi="Times New Roman" w:cs="Times New Roman" w:eastAsia="Times New Roman" w:hint="default"/>
                <w:sz w:val="12"/>
                <w:szCs w:val="12"/>
              </w:rPr>
            </w:pPr>
            <w:r>
              <w:rPr>
                <w:rFonts w:ascii="Times New Roman"/>
                <w:spacing w:val="-4"/>
                <w:w w:val="105"/>
                <w:sz w:val="12"/>
              </w:rPr>
              <w:t>330,281,921.19</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21"/>
              <w:jc w:val="right"/>
              <w:rPr>
                <w:rFonts w:ascii="Times New Roman" w:hAnsi="Times New Roman" w:cs="Times New Roman" w:eastAsia="Times New Roman" w:hint="default"/>
                <w:sz w:val="12"/>
                <w:szCs w:val="12"/>
              </w:rPr>
            </w:pPr>
            <w:r>
              <w:rPr>
                <w:rFonts w:ascii="Times New Roman"/>
                <w:spacing w:val="-4"/>
                <w:sz w:val="12"/>
              </w:rPr>
              <w:t>169,687,725.97</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应收保费</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预收款项</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left="59" w:right="0"/>
              <w:jc w:val="left"/>
              <w:rPr>
                <w:rFonts w:ascii="宋体" w:hAnsi="宋体" w:cs="宋体" w:eastAsia="宋体" w:hint="default"/>
                <w:sz w:val="12"/>
                <w:szCs w:val="12"/>
              </w:rPr>
            </w:pPr>
            <w:r>
              <w:rPr>
                <w:rFonts w:ascii="宋体" w:hAnsi="宋体" w:cs="宋体" w:eastAsia="宋体" w:hint="default"/>
                <w:w w:val="105"/>
                <w:sz w:val="12"/>
                <w:szCs w:val="12"/>
              </w:rPr>
              <w:t>五、19</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6"/>
              <w:ind w:right="9"/>
              <w:jc w:val="right"/>
              <w:rPr>
                <w:rFonts w:ascii="Times New Roman" w:hAnsi="Times New Roman" w:cs="Times New Roman" w:eastAsia="Times New Roman" w:hint="default"/>
                <w:sz w:val="12"/>
                <w:szCs w:val="12"/>
              </w:rPr>
            </w:pPr>
            <w:r>
              <w:rPr>
                <w:rFonts w:ascii="Times New Roman"/>
                <w:spacing w:val="-4"/>
                <w:w w:val="105"/>
                <w:sz w:val="12"/>
              </w:rPr>
              <w:t>327,651,127.62</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21"/>
              <w:jc w:val="right"/>
              <w:rPr>
                <w:rFonts w:ascii="Times New Roman" w:hAnsi="Times New Roman" w:cs="Times New Roman" w:eastAsia="Times New Roman" w:hint="default"/>
                <w:sz w:val="12"/>
                <w:szCs w:val="12"/>
              </w:rPr>
            </w:pPr>
            <w:r>
              <w:rPr>
                <w:rFonts w:ascii="Times New Roman"/>
                <w:spacing w:val="-4"/>
                <w:sz w:val="12"/>
              </w:rPr>
              <w:t>434,428,888.21</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应收分保账款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卖出回购买金融资产款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应收分保合同准备金</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应付手续费及拥金</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8"/>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应收利息</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应付职工薪酬</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五、20</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6"/>
              <w:ind w:right="9"/>
              <w:jc w:val="right"/>
              <w:rPr>
                <w:rFonts w:ascii="Times New Roman" w:hAnsi="Times New Roman" w:cs="Times New Roman" w:eastAsia="Times New Roman" w:hint="default"/>
                <w:sz w:val="12"/>
                <w:szCs w:val="12"/>
              </w:rPr>
            </w:pPr>
            <w:r>
              <w:rPr>
                <w:rFonts w:ascii="Times New Roman"/>
                <w:spacing w:val="-4"/>
                <w:w w:val="105"/>
                <w:sz w:val="12"/>
              </w:rPr>
              <w:t>17,579,078.41</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21"/>
              <w:jc w:val="right"/>
              <w:rPr>
                <w:rFonts w:ascii="Times New Roman" w:hAnsi="Times New Roman" w:cs="Times New Roman" w:eastAsia="Times New Roman" w:hint="default"/>
                <w:sz w:val="12"/>
                <w:szCs w:val="12"/>
              </w:rPr>
            </w:pPr>
            <w:r>
              <w:rPr>
                <w:rFonts w:ascii="Times New Roman"/>
                <w:spacing w:val="-4"/>
                <w:sz w:val="12"/>
              </w:rPr>
              <w:t>5,715,754.48</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应收股利</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应交税费</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五、21</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9"/>
              <w:jc w:val="right"/>
              <w:rPr>
                <w:rFonts w:ascii="Times New Roman" w:hAnsi="Times New Roman" w:cs="Times New Roman" w:eastAsia="Times New Roman" w:hint="default"/>
                <w:sz w:val="12"/>
                <w:szCs w:val="12"/>
              </w:rPr>
            </w:pPr>
            <w:r>
              <w:rPr>
                <w:rFonts w:ascii="Times New Roman"/>
                <w:spacing w:val="-4"/>
                <w:w w:val="105"/>
                <w:sz w:val="12"/>
              </w:rPr>
              <w:t>175,213,744.46</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21"/>
              <w:jc w:val="right"/>
              <w:rPr>
                <w:rFonts w:ascii="Times New Roman" w:hAnsi="Times New Roman" w:cs="Times New Roman" w:eastAsia="Times New Roman" w:hint="default"/>
                <w:sz w:val="12"/>
                <w:szCs w:val="12"/>
              </w:rPr>
            </w:pPr>
            <w:r>
              <w:rPr>
                <w:rFonts w:ascii="Times New Roman"/>
                <w:spacing w:val="-4"/>
                <w:sz w:val="12"/>
              </w:rPr>
              <w:t>101,539,468.59</w:t>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其他应收款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left"/>
              <w:rPr>
                <w:rFonts w:ascii="宋体" w:hAnsi="宋体" w:cs="宋体" w:eastAsia="宋体" w:hint="default"/>
                <w:sz w:val="12"/>
                <w:szCs w:val="12"/>
              </w:rPr>
            </w:pPr>
            <w:r>
              <w:rPr>
                <w:rFonts w:ascii="宋体" w:hAnsi="宋体" w:cs="宋体" w:eastAsia="宋体" w:hint="default"/>
                <w:w w:val="105"/>
                <w:sz w:val="12"/>
                <w:szCs w:val="12"/>
              </w:rPr>
              <w:t>五、3</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
              <w:jc w:val="right"/>
              <w:rPr>
                <w:rFonts w:ascii="Times New Roman" w:hAnsi="Times New Roman" w:cs="Times New Roman" w:eastAsia="Times New Roman" w:hint="default"/>
                <w:sz w:val="12"/>
                <w:szCs w:val="12"/>
              </w:rPr>
            </w:pPr>
            <w:r>
              <w:rPr>
                <w:rFonts w:ascii="Times New Roman"/>
                <w:spacing w:val="-4"/>
                <w:sz w:val="12"/>
              </w:rPr>
              <w:t>82,738,287.83</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1"/>
              <w:jc w:val="right"/>
              <w:rPr>
                <w:rFonts w:ascii="Times New Roman" w:hAnsi="Times New Roman" w:cs="Times New Roman" w:eastAsia="Times New Roman" w:hint="default"/>
                <w:sz w:val="12"/>
                <w:szCs w:val="12"/>
              </w:rPr>
            </w:pPr>
            <w:r>
              <w:rPr>
                <w:rFonts w:ascii="Times New Roman"/>
                <w:spacing w:val="-4"/>
                <w:sz w:val="12"/>
              </w:rPr>
              <w:t>28,947,899.34</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应付利息</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9"/>
              <w:ind w:left="59" w:right="0"/>
              <w:jc w:val="left"/>
              <w:rPr>
                <w:rFonts w:ascii="宋体" w:hAnsi="宋体" w:cs="宋体" w:eastAsia="宋体" w:hint="default"/>
                <w:sz w:val="12"/>
                <w:szCs w:val="12"/>
              </w:rPr>
            </w:pPr>
            <w:r>
              <w:rPr>
                <w:rFonts w:ascii="宋体" w:hAnsi="宋体" w:cs="宋体" w:eastAsia="宋体" w:hint="default"/>
                <w:w w:val="105"/>
                <w:sz w:val="12"/>
                <w:szCs w:val="12"/>
              </w:rPr>
              <w:t>五、22</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8"/>
              <w:ind w:right="9"/>
              <w:jc w:val="right"/>
              <w:rPr>
                <w:rFonts w:ascii="Times New Roman" w:hAnsi="Times New Roman" w:cs="Times New Roman" w:eastAsia="Times New Roman" w:hint="default"/>
                <w:sz w:val="12"/>
                <w:szCs w:val="12"/>
              </w:rPr>
            </w:pPr>
            <w:r>
              <w:rPr>
                <w:rFonts w:ascii="Times New Roman"/>
                <w:spacing w:val="-4"/>
                <w:sz w:val="12"/>
              </w:rPr>
              <w:t>909,202.39</w:t>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21"/>
              <w:jc w:val="right"/>
              <w:rPr>
                <w:rFonts w:ascii="Times New Roman" w:hAnsi="Times New Roman" w:cs="Times New Roman" w:eastAsia="Times New Roman" w:hint="default"/>
                <w:sz w:val="12"/>
                <w:szCs w:val="12"/>
              </w:rPr>
            </w:pPr>
            <w:r>
              <w:rPr>
                <w:rFonts w:ascii="Times New Roman"/>
                <w:spacing w:val="-4"/>
                <w:sz w:val="12"/>
              </w:rPr>
              <w:t>178,256.94</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买入返售金融资产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应付股利</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五、23</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11"/>
              <w:jc w:val="right"/>
              <w:rPr>
                <w:rFonts w:ascii="Times New Roman" w:hAnsi="Times New Roman" w:cs="Times New Roman" w:eastAsia="Times New Roman" w:hint="default"/>
                <w:sz w:val="12"/>
                <w:szCs w:val="12"/>
              </w:rPr>
            </w:pPr>
            <w:r>
              <w:rPr>
                <w:rFonts w:ascii="Times New Roman"/>
                <w:spacing w:val="-4"/>
                <w:sz w:val="12"/>
              </w:rPr>
              <w:t>1,786,039.81</w:t>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spacing w:val="-4"/>
                <w:sz w:val="12"/>
              </w:rPr>
              <w:t>1,786,039.81</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存货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88" w:right="0"/>
              <w:jc w:val="left"/>
              <w:rPr>
                <w:rFonts w:ascii="宋体" w:hAnsi="宋体" w:cs="宋体" w:eastAsia="宋体" w:hint="default"/>
                <w:sz w:val="12"/>
                <w:szCs w:val="12"/>
              </w:rPr>
            </w:pPr>
            <w:r>
              <w:rPr>
                <w:rFonts w:ascii="宋体" w:hAnsi="宋体" w:cs="宋体" w:eastAsia="宋体" w:hint="default"/>
                <w:w w:val="105"/>
                <w:sz w:val="12"/>
                <w:szCs w:val="12"/>
              </w:rPr>
              <w:t>五、5</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1"/>
              <w:jc w:val="right"/>
              <w:rPr>
                <w:rFonts w:ascii="Times New Roman" w:hAnsi="Times New Roman" w:cs="Times New Roman" w:eastAsia="Times New Roman" w:hint="default"/>
                <w:sz w:val="12"/>
                <w:szCs w:val="12"/>
              </w:rPr>
            </w:pPr>
            <w:r>
              <w:rPr>
                <w:rFonts w:ascii="Times New Roman"/>
                <w:spacing w:val="-4"/>
                <w:sz w:val="12"/>
              </w:rPr>
              <w:t>2,047,179,454.97</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1"/>
              <w:jc w:val="right"/>
              <w:rPr>
                <w:rFonts w:ascii="Times New Roman" w:hAnsi="Times New Roman" w:cs="Times New Roman" w:eastAsia="Times New Roman" w:hint="default"/>
                <w:sz w:val="12"/>
                <w:szCs w:val="12"/>
              </w:rPr>
            </w:pPr>
            <w:r>
              <w:rPr>
                <w:rFonts w:ascii="Times New Roman"/>
                <w:spacing w:val="-4"/>
                <w:sz w:val="12"/>
              </w:rPr>
              <w:t>912,241,811.08</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其他应付款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五、24</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9"/>
              <w:jc w:val="right"/>
              <w:rPr>
                <w:rFonts w:ascii="Times New Roman" w:hAnsi="Times New Roman" w:cs="Times New Roman" w:eastAsia="Times New Roman" w:hint="default"/>
                <w:sz w:val="12"/>
                <w:szCs w:val="12"/>
              </w:rPr>
            </w:pPr>
            <w:r>
              <w:rPr>
                <w:rFonts w:ascii="Times New Roman"/>
                <w:spacing w:val="-4"/>
                <w:w w:val="105"/>
                <w:sz w:val="12"/>
              </w:rPr>
              <w:t>403,681,313.87</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21"/>
              <w:jc w:val="right"/>
              <w:rPr>
                <w:rFonts w:ascii="Times New Roman" w:hAnsi="Times New Roman" w:cs="Times New Roman" w:eastAsia="Times New Roman" w:hint="default"/>
                <w:sz w:val="12"/>
                <w:szCs w:val="12"/>
              </w:rPr>
            </w:pPr>
            <w:r>
              <w:rPr>
                <w:rFonts w:ascii="Times New Roman"/>
                <w:spacing w:val="-4"/>
                <w:sz w:val="12"/>
              </w:rPr>
              <w:t>74,320,398.06</w:t>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一年内到期的非流动资产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应付分保账款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8"/>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其他流动资产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保险合同准备金</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12" w:space="0" w:color="000000"/>
            </w:tcBorders>
          </w:tcPr>
          <w:p>
            <w:pP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代理买卖证券款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12" w:space="0" w:color="000000"/>
            </w:tcBorders>
          </w:tcPr>
          <w:p>
            <w:pP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代理承销证券款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12" w:space="0" w:color="000000"/>
            </w:tcBorders>
          </w:tcPr>
          <w:p>
            <w:pP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一年内到期的非流动负债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五、25</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spacing w:val="-4"/>
                <w:sz w:val="12"/>
              </w:rPr>
              <w:t>93,340,000.00</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left="600"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流动资产合计</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9"/>
              <w:jc w:val="right"/>
              <w:rPr>
                <w:rFonts w:ascii="Times New Roman" w:hAnsi="Times New Roman" w:cs="Times New Roman" w:eastAsia="Times New Roman" w:hint="default"/>
                <w:sz w:val="12"/>
                <w:szCs w:val="12"/>
              </w:rPr>
            </w:pPr>
            <w:r>
              <w:rPr>
                <w:rFonts w:ascii="Times New Roman"/>
                <w:b/>
                <w:w w:val="105"/>
                <w:sz w:val="12"/>
              </w:rPr>
              <w:t>2,383,234,847.93</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left="193" w:right="0"/>
              <w:jc w:val="left"/>
              <w:rPr>
                <w:rFonts w:ascii="Times New Roman" w:hAnsi="Times New Roman" w:cs="Times New Roman" w:eastAsia="Times New Roman" w:hint="default"/>
                <w:sz w:val="12"/>
                <w:szCs w:val="12"/>
              </w:rPr>
            </w:pPr>
            <w:r>
              <w:rPr>
                <w:rFonts w:ascii="Times New Roman"/>
                <w:b/>
                <w:w w:val="105"/>
                <w:sz w:val="12"/>
              </w:rPr>
              <w:t>1,315,340,262.78</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其他流动负债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1"/>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非流动资产：</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6" w:space="0" w:color="000000"/>
              <w:right w:val="single" w:sz="4" w:space="0" w:color="000000"/>
            </w:tcBorders>
          </w:tcPr>
          <w:p>
            <w:pPr/>
          </w:p>
        </w:tc>
        <w:tc>
          <w:tcPr>
            <w:tcW w:w="1133" w:type="dxa"/>
            <w:tcBorders>
              <w:top w:val="single" w:sz="4" w:space="0" w:color="000000"/>
              <w:left w:val="single" w:sz="4" w:space="0" w:color="000000"/>
              <w:bottom w:val="single" w:sz="6" w:space="0" w:color="000000"/>
              <w:right w:val="single" w:sz="4" w:space="0" w:color="000000"/>
            </w:tcBorders>
          </w:tcPr>
          <w:p>
            <w:pPr/>
          </w:p>
        </w:tc>
        <w:tc>
          <w:tcPr>
            <w:tcW w:w="1191" w:type="dxa"/>
            <w:tcBorders>
              <w:top w:val="single" w:sz="4" w:space="0" w:color="000000"/>
              <w:left w:val="single" w:sz="4" w:space="0" w:color="000000"/>
              <w:bottom w:val="single" w:sz="6" w:space="0" w:color="000000"/>
              <w:right w:val="single" w:sz="12" w:space="0" w:color="000000"/>
            </w:tcBorders>
          </w:tcPr>
          <w:p>
            <w:pPr/>
          </w:p>
        </w:tc>
        <w:tc>
          <w:tcPr>
            <w:tcW w:w="1881" w:type="dxa"/>
            <w:tcBorders>
              <w:top w:val="single" w:sz="4" w:space="0" w:color="000000"/>
              <w:left w:val="single" w:sz="12" w:space="0" w:color="000000"/>
              <w:bottom w:val="single" w:sz="6" w:space="0" w:color="000000"/>
              <w:right w:val="single" w:sz="4" w:space="0" w:color="000000"/>
            </w:tcBorders>
          </w:tcPr>
          <w:p>
            <w:pPr>
              <w:pStyle w:val="TableParagraph"/>
              <w:spacing w:line="240" w:lineRule="auto" w:before="1"/>
              <w:ind w:left="51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流动负债合计</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6" w:space="0" w:color="000000"/>
              <w:right w:val="single" w:sz="6" w:space="0" w:color="000000"/>
            </w:tcBorders>
          </w:tcPr>
          <w:p>
            <w:pPr/>
          </w:p>
        </w:tc>
        <w:tc>
          <w:tcPr>
            <w:tcW w:w="1181"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62"/>
              <w:ind w:right="49"/>
              <w:jc w:val="right"/>
              <w:rPr>
                <w:rFonts w:ascii="Times New Roman" w:hAnsi="Times New Roman" w:cs="Times New Roman" w:eastAsia="Times New Roman" w:hint="default"/>
                <w:sz w:val="12"/>
                <w:szCs w:val="12"/>
              </w:rPr>
            </w:pPr>
            <w:r>
              <w:rPr>
                <w:rFonts w:ascii="Times New Roman"/>
                <w:b/>
                <w:w w:val="105"/>
                <w:sz w:val="12"/>
              </w:rPr>
              <w:t>1,463,602,427.75</w:t>
            </w:r>
            <w:r>
              <w:rPr>
                <w:rFonts w:ascii="Times New Roman"/>
                <w:sz w:val="12"/>
              </w:rPr>
            </w:r>
          </w:p>
        </w:tc>
        <w:tc>
          <w:tcPr>
            <w:tcW w:w="1216"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62"/>
              <w:ind w:left="309" w:right="0"/>
              <w:jc w:val="left"/>
              <w:rPr>
                <w:rFonts w:ascii="Times New Roman" w:hAnsi="Times New Roman" w:cs="Times New Roman" w:eastAsia="Times New Roman" w:hint="default"/>
                <w:sz w:val="12"/>
                <w:szCs w:val="12"/>
              </w:rPr>
            </w:pPr>
            <w:r>
              <w:rPr>
                <w:rFonts w:ascii="Times New Roman"/>
                <w:b/>
                <w:spacing w:val="2"/>
                <w:w w:val="105"/>
                <w:sz w:val="12"/>
              </w:rPr>
              <w:t>880,996,532.06</w:t>
            </w:r>
            <w:r>
              <w:rPr>
                <w:rFonts w:ascii="Times New Roman"/>
                <w:spacing w:val="2"/>
                <w:sz w:val="12"/>
              </w:rPr>
            </w:r>
          </w:p>
        </w:tc>
      </w:tr>
      <w:tr>
        <w:trPr>
          <w:trHeight w:val="270" w:hRule="exact"/>
        </w:trPr>
        <w:tc>
          <w:tcPr>
            <w:tcW w:w="2009"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37"/>
              <w:ind w:left="163" w:right="0"/>
              <w:jc w:val="left"/>
              <w:rPr>
                <w:rFonts w:ascii="宋体" w:hAnsi="宋体" w:cs="宋体" w:eastAsia="宋体" w:hint="default"/>
                <w:sz w:val="12"/>
                <w:szCs w:val="12"/>
              </w:rPr>
            </w:pPr>
            <w:r>
              <w:rPr>
                <w:rFonts w:ascii="宋体" w:hAnsi="宋体" w:cs="宋体" w:eastAsia="宋体" w:hint="default"/>
                <w:w w:val="105"/>
                <w:sz w:val="12"/>
                <w:szCs w:val="12"/>
              </w:rPr>
              <w:t>发放委托贷款及垫款</w:t>
            </w:r>
            <w:r>
              <w:rPr>
                <w:rFonts w:ascii="宋体" w:hAnsi="宋体" w:cs="宋体" w:eastAsia="宋体" w:hint="default"/>
                <w:sz w:val="12"/>
                <w:szCs w:val="12"/>
              </w:rPr>
            </w:r>
          </w:p>
        </w:tc>
        <w:tc>
          <w:tcPr>
            <w:tcW w:w="513" w:type="dxa"/>
            <w:tcBorders>
              <w:top w:val="single" w:sz="6" w:space="0" w:color="000000"/>
              <w:left w:val="single" w:sz="4" w:space="0" w:color="000000"/>
              <w:bottom w:val="single" w:sz="4" w:space="0" w:color="000000"/>
              <w:right w:val="single" w:sz="4" w:space="0" w:color="000000"/>
            </w:tcBorders>
          </w:tcPr>
          <w:p>
            <w:pPr/>
          </w:p>
        </w:tc>
        <w:tc>
          <w:tcPr>
            <w:tcW w:w="113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6" w:space="0" w:color="000000"/>
              <w:left w:val="single" w:sz="4" w:space="0" w:color="000000"/>
              <w:bottom w:val="single" w:sz="4" w:space="0" w:color="000000"/>
              <w:right w:val="single" w:sz="12" w:space="0" w:color="000000"/>
            </w:tcBorders>
          </w:tcPr>
          <w:p>
            <w:pPr>
              <w:pStyle w:val="TableParagraph"/>
              <w:spacing w:line="240" w:lineRule="auto" w:before="56"/>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6" w:space="0" w:color="000000"/>
              <w:left w:val="single" w:sz="12" w:space="0" w:color="000000"/>
              <w:bottom w:val="single" w:sz="4" w:space="0" w:color="000000"/>
              <w:right w:val="single" w:sz="4" w:space="0" w:color="000000"/>
            </w:tcBorders>
          </w:tcPr>
          <w:p>
            <w:pPr>
              <w:pStyle w:val="TableParagraph"/>
              <w:spacing w:line="208" w:lineRule="exact"/>
              <w:ind w:left="9"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非流动负债：</w:t>
            </w:r>
            <w:r>
              <w:rPr>
                <w:rFonts w:ascii="Microsoft JhengHei" w:hAnsi="Microsoft JhengHei" w:cs="Microsoft JhengHei" w:eastAsia="Microsoft JhengHei" w:hint="default"/>
                <w:spacing w:val="7"/>
                <w:sz w:val="12"/>
                <w:szCs w:val="12"/>
              </w:rPr>
            </w:r>
          </w:p>
        </w:tc>
        <w:tc>
          <w:tcPr>
            <w:tcW w:w="513" w:type="dxa"/>
            <w:tcBorders>
              <w:top w:val="single" w:sz="6" w:space="0" w:color="000000"/>
              <w:left w:val="single" w:sz="4" w:space="0" w:color="000000"/>
              <w:bottom w:val="single" w:sz="4" w:space="0" w:color="000000"/>
              <w:right w:val="single" w:sz="6" w:space="0" w:color="000000"/>
            </w:tcBorders>
          </w:tcPr>
          <w:p>
            <w:pPr/>
          </w:p>
        </w:tc>
        <w:tc>
          <w:tcPr>
            <w:tcW w:w="1181" w:type="dxa"/>
            <w:tcBorders>
              <w:top w:val="single" w:sz="6" w:space="0" w:color="000000"/>
              <w:left w:val="single" w:sz="6" w:space="0" w:color="000000"/>
              <w:bottom w:val="single" w:sz="4" w:space="0" w:color="000000"/>
              <w:right w:val="single" w:sz="4" w:space="0" w:color="000000"/>
            </w:tcBorders>
          </w:tcPr>
          <w:p>
            <w:pPr/>
          </w:p>
        </w:tc>
        <w:tc>
          <w:tcPr>
            <w:tcW w:w="1216" w:type="dxa"/>
            <w:tcBorders>
              <w:top w:val="single" w:sz="6" w:space="0" w:color="000000"/>
              <w:left w:val="single" w:sz="4" w:space="0" w:color="000000"/>
              <w:bottom w:val="single" w:sz="4" w:space="0" w:color="000000"/>
              <w:right w:val="nil" w:sz="6" w:space="0" w:color="auto"/>
            </w:tcBorders>
          </w:tcPr>
          <w:p>
            <w:pP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可供出售金融资产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8" w:right="0"/>
              <w:jc w:val="left"/>
              <w:rPr>
                <w:rFonts w:ascii="宋体" w:hAnsi="宋体" w:cs="宋体" w:eastAsia="宋体" w:hint="default"/>
                <w:sz w:val="12"/>
                <w:szCs w:val="12"/>
              </w:rPr>
            </w:pPr>
            <w:r>
              <w:rPr>
                <w:rFonts w:ascii="宋体" w:hAnsi="宋体" w:cs="宋体" w:eastAsia="宋体" w:hint="default"/>
                <w:w w:val="105"/>
                <w:sz w:val="12"/>
                <w:szCs w:val="12"/>
              </w:rPr>
              <w:t>五、6</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
              <w:jc w:val="right"/>
              <w:rPr>
                <w:rFonts w:ascii="Times New Roman" w:hAnsi="Times New Roman" w:cs="Times New Roman" w:eastAsia="Times New Roman" w:hint="default"/>
                <w:sz w:val="12"/>
                <w:szCs w:val="12"/>
              </w:rPr>
            </w:pPr>
            <w:r>
              <w:rPr>
                <w:rFonts w:ascii="Times New Roman"/>
                <w:spacing w:val="-4"/>
                <w:sz w:val="12"/>
              </w:rPr>
              <w:t>32,276,398.62</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1"/>
              <w:jc w:val="right"/>
              <w:rPr>
                <w:rFonts w:ascii="Times New Roman" w:hAnsi="Times New Roman" w:cs="Times New Roman" w:eastAsia="Times New Roman" w:hint="default"/>
                <w:sz w:val="12"/>
                <w:szCs w:val="12"/>
              </w:rPr>
            </w:pPr>
            <w:r>
              <w:rPr>
                <w:rFonts w:ascii="Times New Roman"/>
                <w:spacing w:val="-4"/>
                <w:sz w:val="12"/>
              </w:rPr>
              <w:t>33,437,762.52</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长期借款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left="59" w:right="0"/>
              <w:jc w:val="left"/>
              <w:rPr>
                <w:rFonts w:ascii="宋体" w:hAnsi="宋体" w:cs="宋体" w:eastAsia="宋体" w:hint="default"/>
                <w:sz w:val="12"/>
                <w:szCs w:val="12"/>
              </w:rPr>
            </w:pPr>
            <w:r>
              <w:rPr>
                <w:rFonts w:ascii="宋体" w:hAnsi="宋体" w:cs="宋体" w:eastAsia="宋体" w:hint="default"/>
                <w:w w:val="105"/>
                <w:sz w:val="12"/>
                <w:szCs w:val="12"/>
              </w:rPr>
              <w:t>五、26</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6"/>
              <w:ind w:right="9"/>
              <w:jc w:val="right"/>
              <w:rPr>
                <w:rFonts w:ascii="Times New Roman" w:hAnsi="Times New Roman" w:cs="Times New Roman" w:eastAsia="Times New Roman" w:hint="default"/>
                <w:sz w:val="12"/>
                <w:szCs w:val="12"/>
              </w:rPr>
            </w:pPr>
            <w:r>
              <w:rPr>
                <w:rFonts w:ascii="Times New Roman"/>
                <w:spacing w:val="-4"/>
                <w:w w:val="105"/>
                <w:sz w:val="12"/>
              </w:rPr>
              <w:t>220,600,000.00</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持有至到期投资</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应付债券</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长期应收款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长期应付款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8"/>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长期股权投资</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8" w:right="0"/>
              <w:jc w:val="left"/>
              <w:rPr>
                <w:rFonts w:ascii="宋体" w:hAnsi="宋体" w:cs="宋体" w:eastAsia="宋体" w:hint="default"/>
                <w:sz w:val="12"/>
                <w:szCs w:val="12"/>
              </w:rPr>
            </w:pPr>
            <w:r>
              <w:rPr>
                <w:rFonts w:ascii="宋体" w:hAnsi="宋体" w:cs="宋体" w:eastAsia="宋体" w:hint="default"/>
                <w:w w:val="105"/>
                <w:sz w:val="12"/>
                <w:szCs w:val="12"/>
              </w:rPr>
              <w:t>五、7</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
              <w:jc w:val="right"/>
              <w:rPr>
                <w:rFonts w:ascii="Times New Roman" w:hAnsi="Times New Roman" w:cs="Times New Roman" w:eastAsia="Times New Roman" w:hint="default"/>
                <w:sz w:val="12"/>
                <w:szCs w:val="12"/>
              </w:rPr>
            </w:pPr>
            <w:r>
              <w:rPr>
                <w:rFonts w:ascii="Times New Roman"/>
                <w:spacing w:val="-4"/>
                <w:sz w:val="12"/>
              </w:rPr>
              <w:t>48,193,094.42</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1"/>
              <w:jc w:val="right"/>
              <w:rPr>
                <w:rFonts w:ascii="Times New Roman" w:hAnsi="Times New Roman" w:cs="Times New Roman" w:eastAsia="Times New Roman" w:hint="default"/>
                <w:sz w:val="12"/>
                <w:szCs w:val="12"/>
              </w:rPr>
            </w:pPr>
            <w:r>
              <w:rPr>
                <w:rFonts w:ascii="Times New Roman"/>
                <w:spacing w:val="-4"/>
                <w:sz w:val="12"/>
              </w:rPr>
              <w:t>52,652,491.59</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专项应付款</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6"/>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投资性房地产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88" w:right="0"/>
              <w:jc w:val="left"/>
              <w:rPr>
                <w:rFonts w:ascii="宋体" w:hAnsi="宋体" w:cs="宋体" w:eastAsia="宋体" w:hint="default"/>
                <w:sz w:val="12"/>
                <w:szCs w:val="12"/>
              </w:rPr>
            </w:pPr>
            <w:r>
              <w:rPr>
                <w:rFonts w:ascii="宋体" w:hAnsi="宋体" w:cs="宋体" w:eastAsia="宋体" w:hint="default"/>
                <w:w w:val="105"/>
                <w:sz w:val="12"/>
                <w:szCs w:val="12"/>
              </w:rPr>
              <w:t>五、9</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
              <w:jc w:val="right"/>
              <w:rPr>
                <w:rFonts w:ascii="Times New Roman" w:hAnsi="Times New Roman" w:cs="Times New Roman" w:eastAsia="Times New Roman" w:hint="default"/>
                <w:sz w:val="12"/>
                <w:szCs w:val="12"/>
              </w:rPr>
            </w:pPr>
            <w:r>
              <w:rPr>
                <w:rFonts w:ascii="Times New Roman"/>
                <w:spacing w:val="-4"/>
                <w:w w:val="105"/>
                <w:sz w:val="12"/>
              </w:rPr>
              <w:t>288,865,939.41</w:t>
            </w:r>
            <w:r>
              <w:rPr>
                <w:rFonts w:ascii="Times New Roman"/>
                <w:spacing w:val="-4"/>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1"/>
              <w:jc w:val="right"/>
              <w:rPr>
                <w:rFonts w:ascii="Times New Roman" w:hAnsi="Times New Roman" w:cs="Times New Roman" w:eastAsia="Times New Roman" w:hint="default"/>
                <w:sz w:val="12"/>
                <w:szCs w:val="12"/>
              </w:rPr>
            </w:pPr>
            <w:r>
              <w:rPr>
                <w:rFonts w:ascii="Times New Roman"/>
                <w:spacing w:val="-4"/>
                <w:sz w:val="12"/>
              </w:rPr>
              <w:t>367,041,939.04</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预计负债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固定资产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9" w:right="0"/>
              <w:jc w:val="left"/>
              <w:rPr>
                <w:rFonts w:ascii="宋体" w:hAnsi="宋体" w:cs="宋体" w:eastAsia="宋体" w:hint="default"/>
                <w:sz w:val="12"/>
                <w:szCs w:val="12"/>
              </w:rPr>
            </w:pPr>
            <w:r>
              <w:rPr>
                <w:rFonts w:ascii="宋体" w:hAnsi="宋体" w:cs="宋体" w:eastAsia="宋体" w:hint="default"/>
                <w:w w:val="105"/>
                <w:sz w:val="12"/>
                <w:szCs w:val="12"/>
              </w:rPr>
              <w:t>五、10</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0"/>
              <w:jc w:val="right"/>
              <w:rPr>
                <w:rFonts w:ascii="Times New Roman" w:hAnsi="Times New Roman" w:cs="Times New Roman" w:eastAsia="Times New Roman" w:hint="default"/>
                <w:sz w:val="12"/>
                <w:szCs w:val="12"/>
              </w:rPr>
            </w:pPr>
            <w:r>
              <w:rPr>
                <w:rFonts w:ascii="Times New Roman"/>
                <w:spacing w:val="-4"/>
                <w:sz w:val="12"/>
              </w:rPr>
              <w:t>90,064,020.44</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1"/>
              <w:jc w:val="right"/>
              <w:rPr>
                <w:rFonts w:ascii="Times New Roman" w:hAnsi="Times New Roman" w:cs="Times New Roman" w:eastAsia="Times New Roman" w:hint="default"/>
                <w:sz w:val="12"/>
                <w:szCs w:val="12"/>
              </w:rPr>
            </w:pPr>
            <w:r>
              <w:rPr>
                <w:rFonts w:ascii="Times New Roman"/>
                <w:spacing w:val="-4"/>
                <w:sz w:val="12"/>
              </w:rPr>
              <w:t>75,445,364.66</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递延所得税负债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9"/>
              <w:ind w:left="59" w:right="0"/>
              <w:jc w:val="left"/>
              <w:rPr>
                <w:rFonts w:ascii="宋体" w:hAnsi="宋体" w:cs="宋体" w:eastAsia="宋体" w:hint="default"/>
                <w:sz w:val="12"/>
                <w:szCs w:val="12"/>
              </w:rPr>
            </w:pPr>
            <w:r>
              <w:rPr>
                <w:rFonts w:ascii="宋体" w:hAnsi="宋体" w:cs="宋体" w:eastAsia="宋体" w:hint="default"/>
                <w:w w:val="105"/>
                <w:sz w:val="12"/>
                <w:szCs w:val="12"/>
              </w:rPr>
              <w:t>五、15</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8"/>
              <w:ind w:right="11"/>
              <w:jc w:val="right"/>
              <w:rPr>
                <w:rFonts w:ascii="Times New Roman" w:hAnsi="Times New Roman" w:cs="Times New Roman" w:eastAsia="Times New Roman" w:hint="default"/>
                <w:sz w:val="12"/>
                <w:szCs w:val="12"/>
              </w:rPr>
            </w:pPr>
            <w:r>
              <w:rPr>
                <w:rFonts w:ascii="Times New Roman"/>
                <w:spacing w:val="-4"/>
                <w:sz w:val="12"/>
              </w:rPr>
              <w:t>7,209,536.79</w:t>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21"/>
              <w:jc w:val="right"/>
              <w:rPr>
                <w:rFonts w:ascii="Times New Roman" w:hAnsi="Times New Roman" w:cs="Times New Roman" w:eastAsia="Times New Roman" w:hint="default"/>
                <w:sz w:val="12"/>
                <w:szCs w:val="12"/>
              </w:rPr>
            </w:pPr>
            <w:r>
              <w:rPr>
                <w:rFonts w:ascii="Times New Roman"/>
                <w:spacing w:val="-4"/>
                <w:sz w:val="12"/>
              </w:rPr>
              <w:t>7,499,877.76</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在建工程</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五、11</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其他非流动负债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五、27</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9"/>
              <w:jc w:val="right"/>
              <w:rPr>
                <w:rFonts w:ascii="Times New Roman" w:hAnsi="Times New Roman" w:cs="Times New Roman" w:eastAsia="Times New Roman" w:hint="default"/>
                <w:sz w:val="12"/>
                <w:szCs w:val="12"/>
              </w:rPr>
            </w:pPr>
            <w:r>
              <w:rPr>
                <w:rFonts w:ascii="Times New Roman"/>
                <w:spacing w:val="-4"/>
                <w:w w:val="105"/>
                <w:sz w:val="12"/>
              </w:rPr>
              <w:t>12,154,166.37</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spacing w:val="-4"/>
                <w:sz w:val="12"/>
              </w:rPr>
              <w:t>14,001,533.98</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工程物资</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left="446"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非流动负债合计</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2"/>
              <w:ind w:right="58"/>
              <w:jc w:val="right"/>
              <w:rPr>
                <w:rFonts w:ascii="Times New Roman" w:hAnsi="Times New Roman" w:cs="Times New Roman" w:eastAsia="Times New Roman" w:hint="default"/>
                <w:sz w:val="12"/>
                <w:szCs w:val="12"/>
              </w:rPr>
            </w:pPr>
            <w:r>
              <w:rPr>
                <w:rFonts w:ascii="Times New Roman"/>
                <w:b/>
                <w:spacing w:val="2"/>
                <w:w w:val="105"/>
                <w:sz w:val="12"/>
              </w:rPr>
              <w:t>239,963,703.16</w:t>
            </w:r>
            <w:r>
              <w:rPr>
                <w:rFonts w:ascii="Times New Roman"/>
                <w:spacing w:val="2"/>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left="366" w:right="0"/>
              <w:jc w:val="left"/>
              <w:rPr>
                <w:rFonts w:ascii="Times New Roman" w:hAnsi="Times New Roman" w:cs="Times New Roman" w:eastAsia="Times New Roman" w:hint="default"/>
                <w:sz w:val="12"/>
                <w:szCs w:val="12"/>
              </w:rPr>
            </w:pPr>
            <w:r>
              <w:rPr>
                <w:rFonts w:ascii="Times New Roman"/>
                <w:b/>
                <w:spacing w:val="2"/>
                <w:w w:val="105"/>
                <w:sz w:val="12"/>
              </w:rPr>
              <w:t>21,501,411.74</w:t>
            </w:r>
            <w:r>
              <w:rPr>
                <w:rFonts w:ascii="Times New Roman"/>
                <w:spacing w:val="2"/>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固定资产清理</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right="29"/>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负债合计</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2"/>
              <w:ind w:right="49"/>
              <w:jc w:val="right"/>
              <w:rPr>
                <w:rFonts w:ascii="Times New Roman" w:hAnsi="Times New Roman" w:cs="Times New Roman" w:eastAsia="Times New Roman" w:hint="default"/>
                <w:sz w:val="12"/>
                <w:szCs w:val="12"/>
              </w:rPr>
            </w:pPr>
            <w:r>
              <w:rPr>
                <w:rFonts w:ascii="Times New Roman"/>
                <w:b/>
                <w:w w:val="105"/>
                <w:sz w:val="12"/>
              </w:rPr>
              <w:t>1,703,566,130.91</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left="309" w:right="0"/>
              <w:jc w:val="left"/>
              <w:rPr>
                <w:rFonts w:ascii="Times New Roman" w:hAnsi="Times New Roman" w:cs="Times New Roman" w:eastAsia="Times New Roman" w:hint="default"/>
                <w:sz w:val="12"/>
                <w:szCs w:val="12"/>
              </w:rPr>
            </w:pPr>
            <w:r>
              <w:rPr>
                <w:rFonts w:ascii="Times New Roman"/>
                <w:b/>
                <w:spacing w:val="2"/>
                <w:w w:val="105"/>
                <w:sz w:val="12"/>
              </w:rPr>
              <w:t>902,497,943.80</w:t>
            </w:r>
            <w:r>
              <w:rPr>
                <w:rFonts w:ascii="Times New Roman"/>
                <w:spacing w:val="2"/>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生产性生物资产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
              <w:ind w:left="9"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股东权益：</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nil" w:sz="6" w:space="0" w:color="auto"/>
            </w:tcBorders>
          </w:tcPr>
          <w:p>
            <w:pP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油气资产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tabs>
                <w:tab w:pos="541" w:val="left" w:leader="none"/>
              </w:tabs>
              <w:spacing w:line="240" w:lineRule="auto" w:before="38"/>
              <w:ind w:left="143" w:right="0"/>
              <w:jc w:val="left"/>
              <w:rPr>
                <w:rFonts w:ascii="宋体" w:hAnsi="宋体" w:cs="宋体" w:eastAsia="宋体" w:hint="default"/>
                <w:sz w:val="12"/>
                <w:szCs w:val="12"/>
              </w:rPr>
            </w:pPr>
            <w:r>
              <w:rPr>
                <w:rFonts w:ascii="宋体" w:hAnsi="宋体" w:cs="宋体" w:eastAsia="宋体" w:hint="default"/>
                <w:sz w:val="12"/>
                <w:szCs w:val="12"/>
              </w:rPr>
              <w:t>股</w:t>
              <w:tab/>
            </w:r>
            <w:r>
              <w:rPr>
                <w:rFonts w:ascii="宋体" w:hAnsi="宋体" w:cs="宋体" w:eastAsia="宋体" w:hint="default"/>
                <w:w w:val="105"/>
                <w:sz w:val="12"/>
                <w:szCs w:val="12"/>
              </w:rPr>
              <w:t>本</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五、28</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9"/>
              <w:jc w:val="right"/>
              <w:rPr>
                <w:rFonts w:ascii="Times New Roman" w:hAnsi="Times New Roman" w:cs="Times New Roman" w:eastAsia="Times New Roman" w:hint="default"/>
                <w:sz w:val="12"/>
                <w:szCs w:val="12"/>
              </w:rPr>
            </w:pPr>
            <w:r>
              <w:rPr>
                <w:rFonts w:ascii="Times New Roman"/>
                <w:spacing w:val="-4"/>
                <w:w w:val="105"/>
                <w:sz w:val="12"/>
              </w:rPr>
              <w:t>469,593,364.00</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21"/>
              <w:jc w:val="right"/>
              <w:rPr>
                <w:rFonts w:ascii="Times New Roman" w:hAnsi="Times New Roman" w:cs="Times New Roman" w:eastAsia="Times New Roman" w:hint="default"/>
                <w:sz w:val="12"/>
                <w:szCs w:val="12"/>
              </w:rPr>
            </w:pPr>
            <w:r>
              <w:rPr>
                <w:rFonts w:ascii="Times New Roman"/>
                <w:spacing w:val="-4"/>
                <w:sz w:val="12"/>
              </w:rPr>
              <w:t>469,593,364.00</w:t>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无形资产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9" w:right="0"/>
              <w:jc w:val="left"/>
              <w:rPr>
                <w:rFonts w:ascii="宋体" w:hAnsi="宋体" w:cs="宋体" w:eastAsia="宋体" w:hint="default"/>
                <w:sz w:val="12"/>
                <w:szCs w:val="12"/>
              </w:rPr>
            </w:pPr>
            <w:r>
              <w:rPr>
                <w:rFonts w:ascii="宋体" w:hAnsi="宋体" w:cs="宋体" w:eastAsia="宋体" w:hint="default"/>
                <w:w w:val="105"/>
                <w:sz w:val="12"/>
                <w:szCs w:val="12"/>
              </w:rPr>
              <w:t>五、12</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
              <w:jc w:val="right"/>
              <w:rPr>
                <w:rFonts w:ascii="Times New Roman" w:hAnsi="Times New Roman" w:cs="Times New Roman" w:eastAsia="Times New Roman" w:hint="default"/>
                <w:sz w:val="12"/>
                <w:szCs w:val="12"/>
              </w:rPr>
            </w:pPr>
            <w:r>
              <w:rPr>
                <w:rFonts w:ascii="Times New Roman"/>
                <w:spacing w:val="-4"/>
                <w:sz w:val="12"/>
              </w:rPr>
              <w:t>14,265,445.30</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1"/>
              <w:jc w:val="right"/>
              <w:rPr>
                <w:rFonts w:ascii="Times New Roman" w:hAnsi="Times New Roman" w:cs="Times New Roman" w:eastAsia="Times New Roman" w:hint="default"/>
                <w:sz w:val="12"/>
                <w:szCs w:val="12"/>
              </w:rPr>
            </w:pPr>
            <w:r>
              <w:rPr>
                <w:rFonts w:ascii="Times New Roman"/>
                <w:spacing w:val="-4"/>
                <w:sz w:val="12"/>
              </w:rPr>
              <w:t>28,632,389.70</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资本公积</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9"/>
              <w:ind w:left="59" w:right="0"/>
              <w:jc w:val="left"/>
              <w:rPr>
                <w:rFonts w:ascii="宋体" w:hAnsi="宋体" w:cs="宋体" w:eastAsia="宋体" w:hint="default"/>
                <w:sz w:val="12"/>
                <w:szCs w:val="12"/>
              </w:rPr>
            </w:pPr>
            <w:r>
              <w:rPr>
                <w:rFonts w:ascii="宋体" w:hAnsi="宋体" w:cs="宋体" w:eastAsia="宋体" w:hint="default"/>
                <w:w w:val="105"/>
                <w:sz w:val="12"/>
                <w:szCs w:val="12"/>
              </w:rPr>
              <w:t>五、29</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9"/>
              <w:jc w:val="right"/>
              <w:rPr>
                <w:rFonts w:ascii="Times New Roman" w:hAnsi="Times New Roman" w:cs="Times New Roman" w:eastAsia="Times New Roman" w:hint="default"/>
                <w:sz w:val="12"/>
                <w:szCs w:val="12"/>
              </w:rPr>
            </w:pPr>
            <w:r>
              <w:rPr>
                <w:rFonts w:ascii="Times New Roman"/>
                <w:spacing w:val="-4"/>
                <w:w w:val="105"/>
                <w:sz w:val="12"/>
              </w:rPr>
              <w:t>313,833,186.36</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21"/>
              <w:jc w:val="right"/>
              <w:rPr>
                <w:rFonts w:ascii="Times New Roman" w:hAnsi="Times New Roman" w:cs="Times New Roman" w:eastAsia="Times New Roman" w:hint="default"/>
                <w:sz w:val="12"/>
                <w:szCs w:val="12"/>
              </w:rPr>
            </w:pPr>
            <w:r>
              <w:rPr>
                <w:rFonts w:ascii="Times New Roman"/>
                <w:spacing w:val="-4"/>
                <w:sz w:val="12"/>
              </w:rPr>
              <w:t>314,704,209.29</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开发支出</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1"/>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减：库存股</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1"/>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商誉</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五、13</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专项储备</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163" w:right="0"/>
              <w:jc w:val="left"/>
              <w:rPr>
                <w:rFonts w:ascii="宋体" w:hAnsi="宋体" w:cs="宋体" w:eastAsia="宋体" w:hint="default"/>
                <w:sz w:val="12"/>
                <w:szCs w:val="12"/>
              </w:rPr>
            </w:pPr>
            <w:r>
              <w:rPr>
                <w:rFonts w:ascii="宋体" w:hAnsi="宋体" w:cs="宋体" w:eastAsia="宋体" w:hint="default"/>
                <w:w w:val="105"/>
                <w:sz w:val="12"/>
                <w:szCs w:val="12"/>
              </w:rPr>
              <w:t>长期待摊费用</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五、14</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1"/>
              <w:jc w:val="right"/>
              <w:rPr>
                <w:rFonts w:ascii="Times New Roman" w:hAnsi="Times New Roman" w:cs="Times New Roman" w:eastAsia="Times New Roman" w:hint="default"/>
                <w:sz w:val="12"/>
                <w:szCs w:val="12"/>
              </w:rPr>
            </w:pPr>
            <w:r>
              <w:rPr>
                <w:rFonts w:ascii="Times New Roman"/>
                <w:spacing w:val="-4"/>
                <w:sz w:val="12"/>
              </w:rPr>
              <w:t>111,617.54</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盈余公积</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五、30</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9"/>
              <w:jc w:val="right"/>
              <w:rPr>
                <w:rFonts w:ascii="Times New Roman" w:hAnsi="Times New Roman" w:cs="Times New Roman" w:eastAsia="Times New Roman" w:hint="default"/>
                <w:sz w:val="12"/>
                <w:szCs w:val="12"/>
              </w:rPr>
            </w:pPr>
            <w:r>
              <w:rPr>
                <w:rFonts w:ascii="Times New Roman"/>
                <w:spacing w:val="-4"/>
                <w:w w:val="105"/>
                <w:sz w:val="12"/>
              </w:rPr>
              <w:t>108,913,008.68</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21"/>
              <w:jc w:val="right"/>
              <w:rPr>
                <w:rFonts w:ascii="Times New Roman" w:hAnsi="Times New Roman" w:cs="Times New Roman" w:eastAsia="Times New Roman" w:hint="default"/>
                <w:sz w:val="12"/>
                <w:szCs w:val="12"/>
              </w:rPr>
            </w:pPr>
            <w:r>
              <w:rPr>
                <w:rFonts w:ascii="Times New Roman"/>
                <w:spacing w:val="-4"/>
                <w:sz w:val="12"/>
              </w:rPr>
              <w:t>86,217,520.36</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163" w:right="0"/>
              <w:jc w:val="left"/>
              <w:rPr>
                <w:rFonts w:ascii="宋体" w:hAnsi="宋体" w:cs="宋体" w:eastAsia="宋体" w:hint="default"/>
                <w:sz w:val="12"/>
                <w:szCs w:val="12"/>
              </w:rPr>
            </w:pPr>
            <w:r>
              <w:rPr>
                <w:rFonts w:ascii="宋体" w:hAnsi="宋体" w:cs="宋体" w:eastAsia="宋体" w:hint="default"/>
                <w:w w:val="105"/>
                <w:sz w:val="12"/>
                <w:szCs w:val="12"/>
              </w:rPr>
              <w:t>递延所得税资产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9" w:right="0"/>
              <w:jc w:val="left"/>
              <w:rPr>
                <w:rFonts w:ascii="宋体" w:hAnsi="宋体" w:cs="宋体" w:eastAsia="宋体" w:hint="default"/>
                <w:sz w:val="12"/>
                <w:szCs w:val="12"/>
              </w:rPr>
            </w:pPr>
            <w:r>
              <w:rPr>
                <w:rFonts w:ascii="宋体" w:hAnsi="宋体" w:cs="宋体" w:eastAsia="宋体" w:hint="default"/>
                <w:w w:val="105"/>
                <w:sz w:val="12"/>
                <w:szCs w:val="12"/>
              </w:rPr>
              <w:t>五、15</w:t>
            </w:r>
            <w:r>
              <w:rPr>
                <w:rFonts w:ascii="宋体" w:hAnsi="宋体" w:cs="宋体" w:eastAsia="宋体" w:hint="default"/>
                <w:sz w:val="12"/>
                <w:szCs w:val="12"/>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
              <w:jc w:val="right"/>
              <w:rPr>
                <w:rFonts w:ascii="Times New Roman" w:hAnsi="Times New Roman" w:cs="Times New Roman" w:eastAsia="Times New Roman" w:hint="default"/>
                <w:sz w:val="12"/>
                <w:szCs w:val="12"/>
              </w:rPr>
            </w:pPr>
            <w:r>
              <w:rPr>
                <w:rFonts w:ascii="Times New Roman"/>
                <w:spacing w:val="-4"/>
                <w:sz w:val="12"/>
              </w:rPr>
              <w:t>11,450,595.09</w:t>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0"/>
              <w:ind w:right="1"/>
              <w:jc w:val="right"/>
              <w:rPr>
                <w:rFonts w:ascii="Times New Roman" w:hAnsi="Times New Roman" w:cs="Times New Roman" w:eastAsia="Times New Roman" w:hint="default"/>
                <w:sz w:val="12"/>
                <w:szCs w:val="12"/>
              </w:rPr>
            </w:pPr>
            <w:r>
              <w:rPr>
                <w:rFonts w:ascii="Times New Roman"/>
                <w:spacing w:val="-4"/>
                <w:sz w:val="12"/>
              </w:rPr>
              <w:t>15,479,767.27</w:t>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42"/>
              <w:ind w:left="143" w:right="0"/>
              <w:jc w:val="left"/>
              <w:rPr>
                <w:rFonts w:ascii="宋体" w:hAnsi="宋体" w:cs="宋体" w:eastAsia="宋体" w:hint="default"/>
                <w:sz w:val="12"/>
                <w:szCs w:val="12"/>
              </w:rPr>
            </w:pPr>
            <w:r>
              <w:rPr>
                <w:rFonts w:ascii="宋体" w:hAnsi="宋体" w:cs="宋体" w:eastAsia="宋体" w:hint="default"/>
                <w:w w:val="105"/>
                <w:sz w:val="12"/>
                <w:szCs w:val="12"/>
              </w:rPr>
              <w:t>一般风险准备</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
        </w:tc>
        <w:tc>
          <w:tcPr>
            <w:tcW w:w="1216" w:type="dxa"/>
            <w:tcBorders>
              <w:top w:val="single" w:sz="4" w:space="0" w:color="000000"/>
              <w:left w:val="single" w:sz="4" w:space="0" w:color="000000"/>
              <w:bottom w:val="single" w:sz="4" w:space="0" w:color="000000"/>
              <w:right w:val="nil" w:sz="6" w:space="0" w:color="auto"/>
            </w:tcBorders>
          </w:tcPr>
          <w:p>
            <w:pP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163" w:right="0"/>
              <w:jc w:val="left"/>
              <w:rPr>
                <w:rFonts w:ascii="宋体" w:hAnsi="宋体" w:cs="宋体" w:eastAsia="宋体" w:hint="default"/>
                <w:sz w:val="12"/>
                <w:szCs w:val="12"/>
              </w:rPr>
            </w:pPr>
            <w:r>
              <w:rPr>
                <w:rFonts w:ascii="宋体" w:hAnsi="宋体" w:cs="宋体" w:eastAsia="宋体" w:hint="default"/>
                <w:w w:val="105"/>
                <w:sz w:val="12"/>
                <w:szCs w:val="12"/>
              </w:rPr>
              <w:t>其他非流动资产</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9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7"/>
              <w:ind w:right="87"/>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未分配利润</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left="59" w:right="0"/>
              <w:jc w:val="left"/>
              <w:rPr>
                <w:rFonts w:ascii="宋体" w:hAnsi="宋体" w:cs="宋体" w:eastAsia="宋体" w:hint="default"/>
                <w:sz w:val="12"/>
                <w:szCs w:val="12"/>
              </w:rPr>
            </w:pPr>
            <w:r>
              <w:rPr>
                <w:rFonts w:ascii="宋体" w:hAnsi="宋体" w:cs="宋体" w:eastAsia="宋体" w:hint="default"/>
                <w:w w:val="105"/>
                <w:sz w:val="12"/>
                <w:szCs w:val="12"/>
              </w:rPr>
              <w:t>五、31</w:t>
            </w:r>
            <w:r>
              <w:rPr>
                <w:rFonts w:ascii="宋体" w:hAnsi="宋体" w:cs="宋体" w:eastAsia="宋体" w:hint="default"/>
                <w:sz w:val="12"/>
                <w:szCs w:val="12"/>
              </w:rPr>
            </w: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7"/>
              <w:ind w:right="9"/>
              <w:jc w:val="right"/>
              <w:rPr>
                <w:rFonts w:ascii="Times New Roman" w:hAnsi="Times New Roman" w:cs="Times New Roman" w:eastAsia="Times New Roman" w:hint="default"/>
                <w:sz w:val="12"/>
                <w:szCs w:val="12"/>
              </w:rPr>
            </w:pPr>
            <w:r>
              <w:rPr>
                <w:rFonts w:ascii="Times New Roman"/>
                <w:spacing w:val="-4"/>
                <w:w w:val="105"/>
                <w:sz w:val="12"/>
              </w:rPr>
              <w:t>282,451,623.94</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21"/>
              <w:jc w:val="right"/>
              <w:rPr>
                <w:rFonts w:ascii="Times New Roman" w:hAnsi="Times New Roman" w:cs="Times New Roman" w:eastAsia="Times New Roman" w:hint="default"/>
                <w:sz w:val="12"/>
                <w:szCs w:val="12"/>
              </w:rPr>
            </w:pPr>
            <w:r>
              <w:rPr>
                <w:rFonts w:ascii="Times New Roman"/>
                <w:spacing w:val="-4"/>
                <w:sz w:val="12"/>
              </w:rPr>
              <w:t>125,302,709.63</w:t>
            </w:r>
          </w:p>
        </w:tc>
      </w:tr>
      <w:tr>
        <w:trPr>
          <w:trHeight w:val="273" w:hRule="exact"/>
        </w:trPr>
        <w:tc>
          <w:tcPr>
            <w:tcW w:w="2009" w:type="dxa"/>
            <w:tcBorders>
              <w:top w:val="single" w:sz="4" w:space="0" w:color="000000"/>
              <w:left w:val="nil" w:sz="6" w:space="0" w:color="auto"/>
              <w:bottom w:val="single" w:sz="6" w:space="0" w:color="000000"/>
              <w:right w:val="single" w:sz="4" w:space="0" w:color="000000"/>
            </w:tcBorders>
          </w:tcPr>
          <w:p>
            <w:pPr/>
          </w:p>
        </w:tc>
        <w:tc>
          <w:tcPr>
            <w:tcW w:w="513" w:type="dxa"/>
            <w:tcBorders>
              <w:top w:val="single" w:sz="4" w:space="0" w:color="000000"/>
              <w:left w:val="single" w:sz="4" w:space="0" w:color="000000"/>
              <w:bottom w:val="single" w:sz="6" w:space="0" w:color="000000"/>
              <w:right w:val="single" w:sz="4" w:space="0" w:color="000000"/>
            </w:tcBorders>
          </w:tcPr>
          <w:p>
            <w:pPr/>
          </w:p>
        </w:tc>
        <w:tc>
          <w:tcPr>
            <w:tcW w:w="1133" w:type="dxa"/>
            <w:tcBorders>
              <w:top w:val="single" w:sz="4" w:space="0" w:color="000000"/>
              <w:left w:val="single" w:sz="4" w:space="0" w:color="000000"/>
              <w:bottom w:val="single" w:sz="6" w:space="0" w:color="000000"/>
              <w:right w:val="single" w:sz="4" w:space="0" w:color="000000"/>
            </w:tcBorders>
          </w:tcPr>
          <w:p>
            <w:pPr/>
          </w:p>
        </w:tc>
        <w:tc>
          <w:tcPr>
            <w:tcW w:w="1191" w:type="dxa"/>
            <w:tcBorders>
              <w:top w:val="single" w:sz="4" w:space="0" w:color="000000"/>
              <w:left w:val="single" w:sz="4" w:space="0" w:color="000000"/>
              <w:bottom w:val="single" w:sz="6" w:space="0" w:color="000000"/>
              <w:right w:val="single" w:sz="12" w:space="0" w:color="000000"/>
            </w:tcBorders>
          </w:tcPr>
          <w:p>
            <w:pPr/>
          </w:p>
        </w:tc>
        <w:tc>
          <w:tcPr>
            <w:tcW w:w="1881" w:type="dxa"/>
            <w:tcBorders>
              <w:top w:val="single" w:sz="4" w:space="0" w:color="000000"/>
              <w:left w:val="single" w:sz="12" w:space="0" w:color="000000"/>
              <w:bottom w:val="single" w:sz="6" w:space="0" w:color="000000"/>
              <w:right w:val="single" w:sz="4" w:space="0" w:color="000000"/>
            </w:tcBorders>
          </w:tcPr>
          <w:p>
            <w:pPr>
              <w:pStyle w:val="TableParagraph"/>
              <w:spacing w:line="240" w:lineRule="auto" w:before="39"/>
              <w:ind w:left="143" w:right="0"/>
              <w:jc w:val="left"/>
              <w:rPr>
                <w:rFonts w:ascii="宋体" w:hAnsi="宋体" w:cs="宋体" w:eastAsia="宋体" w:hint="default"/>
                <w:sz w:val="12"/>
                <w:szCs w:val="12"/>
              </w:rPr>
            </w:pPr>
            <w:r>
              <w:rPr>
                <w:rFonts w:ascii="宋体" w:hAnsi="宋体" w:cs="宋体" w:eastAsia="宋体" w:hint="default"/>
                <w:w w:val="105"/>
                <w:sz w:val="12"/>
                <w:szCs w:val="12"/>
              </w:rPr>
              <w:t>外币报表折算差额</w:t>
            </w:r>
            <w:r>
              <w:rPr>
                <w:rFonts w:ascii="宋体" w:hAnsi="宋体" w:cs="宋体" w:eastAsia="宋体" w:hint="default"/>
                <w:sz w:val="12"/>
                <w:szCs w:val="12"/>
              </w:rPr>
            </w:r>
          </w:p>
        </w:tc>
        <w:tc>
          <w:tcPr>
            <w:tcW w:w="513" w:type="dxa"/>
            <w:tcBorders>
              <w:top w:val="single" w:sz="4" w:space="0" w:color="000000"/>
              <w:left w:val="single" w:sz="4" w:space="0" w:color="000000"/>
              <w:bottom w:val="single" w:sz="6" w:space="0" w:color="000000"/>
              <w:right w:val="single" w:sz="6" w:space="0" w:color="000000"/>
            </w:tcBorders>
          </w:tcPr>
          <w:p>
            <w:pPr/>
          </w:p>
        </w:tc>
        <w:tc>
          <w:tcPr>
            <w:tcW w:w="1181"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57"/>
              <w:ind w:right="121"/>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c>
          <w:tcPr>
            <w:tcW w:w="1216"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57"/>
              <w:ind w:right="128"/>
              <w:jc w:val="right"/>
              <w:rPr>
                <w:rFonts w:ascii="Times New Roman" w:hAnsi="Times New Roman" w:cs="Times New Roman" w:eastAsia="Times New Roman" w:hint="default"/>
                <w:sz w:val="12"/>
                <w:szCs w:val="12"/>
              </w:rPr>
            </w:pPr>
            <w:r>
              <w:rPr>
                <w:rFonts w:ascii="Times New Roman"/>
                <w:w w:val="104"/>
                <w:sz w:val="12"/>
              </w:rPr>
              <w:t>-</w:t>
            </w:r>
            <w:r>
              <w:rPr>
                <w:rFonts w:ascii="Times New Roman"/>
                <w:sz w:val="12"/>
              </w:rPr>
            </w:r>
          </w:p>
        </w:tc>
      </w:tr>
      <w:tr>
        <w:trPr>
          <w:trHeight w:val="270" w:hRule="exact"/>
        </w:trPr>
        <w:tc>
          <w:tcPr>
            <w:tcW w:w="2009" w:type="dxa"/>
            <w:tcBorders>
              <w:top w:val="single" w:sz="6" w:space="0" w:color="000000"/>
              <w:left w:val="nil" w:sz="6" w:space="0" w:color="auto"/>
              <w:bottom w:val="single" w:sz="4" w:space="0" w:color="000000"/>
              <w:right w:val="single" w:sz="4" w:space="0" w:color="000000"/>
            </w:tcBorders>
          </w:tcPr>
          <w:p>
            <w:pPr/>
          </w:p>
        </w:tc>
        <w:tc>
          <w:tcPr>
            <w:tcW w:w="513" w:type="dxa"/>
            <w:tcBorders>
              <w:top w:val="single" w:sz="6" w:space="0" w:color="000000"/>
              <w:left w:val="single" w:sz="4" w:space="0" w:color="000000"/>
              <w:bottom w:val="single" w:sz="4" w:space="0" w:color="000000"/>
              <w:right w:val="single" w:sz="4" w:space="0" w:color="000000"/>
            </w:tcBorders>
          </w:tcPr>
          <w:p>
            <w:pPr/>
          </w:p>
        </w:tc>
        <w:tc>
          <w:tcPr>
            <w:tcW w:w="1133" w:type="dxa"/>
            <w:tcBorders>
              <w:top w:val="single" w:sz="6" w:space="0" w:color="000000"/>
              <w:left w:val="single" w:sz="4" w:space="0" w:color="000000"/>
              <w:bottom w:val="single" w:sz="4" w:space="0" w:color="000000"/>
              <w:right w:val="single" w:sz="4" w:space="0" w:color="000000"/>
            </w:tcBorders>
          </w:tcPr>
          <w:p>
            <w:pPr/>
          </w:p>
        </w:tc>
        <w:tc>
          <w:tcPr>
            <w:tcW w:w="1191" w:type="dxa"/>
            <w:tcBorders>
              <w:top w:val="single" w:sz="6" w:space="0" w:color="000000"/>
              <w:left w:val="single" w:sz="4" w:space="0" w:color="000000"/>
              <w:bottom w:val="single" w:sz="4" w:space="0" w:color="000000"/>
              <w:right w:val="single" w:sz="12" w:space="0" w:color="000000"/>
            </w:tcBorders>
          </w:tcPr>
          <w:p>
            <w:pPr/>
          </w:p>
        </w:tc>
        <w:tc>
          <w:tcPr>
            <w:tcW w:w="1881" w:type="dxa"/>
            <w:tcBorders>
              <w:top w:val="single" w:sz="6" w:space="0" w:color="000000"/>
              <w:left w:val="single" w:sz="12" w:space="0" w:color="000000"/>
              <w:bottom w:val="single" w:sz="4" w:space="0" w:color="000000"/>
              <w:right w:val="single" w:sz="4" w:space="0" w:color="000000"/>
            </w:tcBorders>
          </w:tcPr>
          <w:p>
            <w:pPr>
              <w:pStyle w:val="TableParagraph"/>
              <w:spacing w:line="240" w:lineRule="auto" w:before="37"/>
              <w:ind w:left="143" w:right="0"/>
              <w:jc w:val="left"/>
              <w:rPr>
                <w:rFonts w:ascii="宋体" w:hAnsi="宋体" w:cs="宋体" w:eastAsia="宋体" w:hint="default"/>
                <w:sz w:val="12"/>
                <w:szCs w:val="12"/>
              </w:rPr>
            </w:pPr>
            <w:r>
              <w:rPr>
                <w:rFonts w:ascii="宋体" w:hAnsi="宋体" w:cs="宋体" w:eastAsia="宋体" w:hint="default"/>
                <w:w w:val="105"/>
                <w:sz w:val="12"/>
                <w:szCs w:val="12"/>
              </w:rPr>
              <w:t>归属于母公司所有者权益合计</w:t>
            </w:r>
            <w:r>
              <w:rPr>
                <w:rFonts w:ascii="宋体" w:hAnsi="宋体" w:cs="宋体" w:eastAsia="宋体" w:hint="default"/>
                <w:sz w:val="12"/>
                <w:szCs w:val="12"/>
              </w:rPr>
            </w:r>
          </w:p>
        </w:tc>
        <w:tc>
          <w:tcPr>
            <w:tcW w:w="513" w:type="dxa"/>
            <w:tcBorders>
              <w:top w:val="single" w:sz="6" w:space="0" w:color="000000"/>
              <w:left w:val="single" w:sz="4" w:space="0" w:color="000000"/>
              <w:bottom w:val="single" w:sz="4" w:space="0" w:color="000000"/>
              <w:right w:val="single" w:sz="6" w:space="0" w:color="000000"/>
            </w:tcBorders>
          </w:tcPr>
          <w:p>
            <w:pPr/>
          </w:p>
        </w:tc>
        <w:tc>
          <w:tcPr>
            <w:tcW w:w="1181"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56"/>
              <w:ind w:right="38"/>
              <w:jc w:val="right"/>
              <w:rPr>
                <w:rFonts w:ascii="Times New Roman" w:hAnsi="Times New Roman" w:cs="Times New Roman" w:eastAsia="Times New Roman" w:hint="default"/>
                <w:sz w:val="12"/>
                <w:szCs w:val="12"/>
              </w:rPr>
            </w:pPr>
            <w:r>
              <w:rPr>
                <w:rFonts w:ascii="Times New Roman"/>
                <w:spacing w:val="-4"/>
                <w:sz w:val="12"/>
              </w:rPr>
              <w:t>1,174,791,182.98</w:t>
            </w:r>
          </w:p>
        </w:tc>
        <w:tc>
          <w:tcPr>
            <w:tcW w:w="1216"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56"/>
              <w:ind w:right="50"/>
              <w:jc w:val="right"/>
              <w:rPr>
                <w:rFonts w:ascii="Times New Roman" w:hAnsi="Times New Roman" w:cs="Times New Roman" w:eastAsia="Times New Roman" w:hint="default"/>
                <w:sz w:val="12"/>
                <w:szCs w:val="12"/>
              </w:rPr>
            </w:pPr>
            <w:r>
              <w:rPr>
                <w:rFonts w:ascii="Times New Roman"/>
                <w:spacing w:val="-4"/>
                <w:sz w:val="12"/>
              </w:rPr>
              <w:t>995,817,803.28</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91" w:type="dxa"/>
            <w:tcBorders>
              <w:top w:val="single" w:sz="4" w:space="0" w:color="000000"/>
              <w:left w:val="single" w:sz="4" w:space="0" w:color="000000"/>
              <w:bottom w:val="single" w:sz="4" w:space="0" w:color="000000"/>
              <w:right w:val="single" w:sz="12" w:space="0" w:color="000000"/>
            </w:tcBorders>
          </w:tcPr>
          <w:p>
            <w:pP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38"/>
              <w:ind w:left="143" w:right="0"/>
              <w:jc w:val="left"/>
              <w:rPr>
                <w:rFonts w:ascii="宋体" w:hAnsi="宋体" w:cs="宋体" w:eastAsia="宋体" w:hint="default"/>
                <w:sz w:val="12"/>
                <w:szCs w:val="12"/>
              </w:rPr>
            </w:pPr>
            <w:r>
              <w:rPr>
                <w:rFonts w:ascii="宋体" w:hAnsi="宋体" w:cs="宋体" w:eastAsia="宋体" w:hint="default"/>
                <w:w w:val="105"/>
                <w:sz w:val="12"/>
                <w:szCs w:val="12"/>
              </w:rPr>
              <w:t>少数股东权益</w:t>
            </w:r>
            <w:r>
              <w:rPr>
                <w:rFonts w:ascii="宋体" w:hAnsi="宋体" w:cs="宋体" w:eastAsia="宋体" w:hint="default"/>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6"/>
              <w:ind w:right="57"/>
              <w:jc w:val="right"/>
              <w:rPr>
                <w:rFonts w:ascii="Times New Roman" w:hAnsi="Times New Roman" w:cs="Times New Roman" w:eastAsia="Times New Roman" w:hint="default"/>
                <w:sz w:val="12"/>
                <w:szCs w:val="12"/>
              </w:rPr>
            </w:pPr>
            <w:r>
              <w:rPr>
                <w:rFonts w:ascii="Times New Roman"/>
                <w:spacing w:val="-4"/>
                <w:w w:val="105"/>
                <w:sz w:val="12"/>
              </w:rPr>
              <w:t>-10,006,972.68</w:t>
            </w:r>
            <w:r>
              <w:rPr>
                <w:rFonts w:ascii="Times New Roman"/>
                <w:spacing w:val="-4"/>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69"/>
              <w:jc w:val="right"/>
              <w:rPr>
                <w:rFonts w:ascii="Times New Roman" w:hAnsi="Times New Roman" w:cs="Times New Roman" w:eastAsia="Times New Roman" w:hint="default"/>
                <w:sz w:val="12"/>
                <w:szCs w:val="12"/>
              </w:rPr>
            </w:pPr>
            <w:r>
              <w:rPr>
                <w:rFonts w:ascii="Times New Roman"/>
                <w:spacing w:val="-4"/>
                <w:sz w:val="12"/>
              </w:rPr>
              <w:t>-10,174,151.98</w:t>
            </w:r>
          </w:p>
        </w:tc>
      </w:tr>
      <w:tr>
        <w:trPr>
          <w:trHeight w:val="273" w:hRule="exact"/>
        </w:trPr>
        <w:tc>
          <w:tcPr>
            <w:tcW w:w="200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left="53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非流动资产合计</w:t>
            </w:r>
            <w:r>
              <w:rPr>
                <w:rFonts w:ascii="Microsoft JhengHei" w:hAnsi="Microsoft JhengHei" w:cs="Microsoft JhengHei" w:eastAsia="Microsoft JhengHei" w:hint="default"/>
                <w:spacing w:val="8"/>
                <w:sz w:val="12"/>
                <w:szCs w:val="12"/>
              </w:rPr>
            </w:r>
          </w:p>
        </w:tc>
        <w:tc>
          <w:tcPr>
            <w:tcW w:w="51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68"/>
              <w:jc w:val="right"/>
              <w:rPr>
                <w:rFonts w:ascii="Times New Roman" w:hAnsi="Times New Roman" w:cs="Times New Roman" w:eastAsia="Times New Roman" w:hint="default"/>
                <w:sz w:val="12"/>
                <w:szCs w:val="12"/>
              </w:rPr>
            </w:pPr>
            <w:r>
              <w:rPr>
                <w:rFonts w:ascii="Times New Roman"/>
                <w:b/>
                <w:spacing w:val="2"/>
                <w:w w:val="105"/>
                <w:sz w:val="12"/>
              </w:rPr>
              <w:t>485,115,493.28</w:t>
            </w:r>
            <w:r>
              <w:rPr>
                <w:rFonts w:ascii="Times New Roman"/>
                <w:spacing w:val="2"/>
                <w:sz w:val="12"/>
              </w:rPr>
            </w:r>
          </w:p>
        </w:tc>
        <w:tc>
          <w:tcPr>
            <w:tcW w:w="119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2"/>
              <w:ind w:left="280" w:right="0"/>
              <w:jc w:val="left"/>
              <w:rPr>
                <w:rFonts w:ascii="Times New Roman" w:hAnsi="Times New Roman" w:cs="Times New Roman" w:eastAsia="Times New Roman" w:hint="default"/>
                <w:sz w:val="12"/>
                <w:szCs w:val="12"/>
              </w:rPr>
            </w:pPr>
            <w:r>
              <w:rPr>
                <w:rFonts w:ascii="Times New Roman"/>
                <w:b/>
                <w:spacing w:val="2"/>
                <w:w w:val="105"/>
                <w:sz w:val="12"/>
              </w:rPr>
              <w:t>572,801,332.32</w:t>
            </w:r>
            <w:r>
              <w:rPr>
                <w:rFonts w:ascii="Times New Roman"/>
                <w:spacing w:val="2"/>
                <w:sz w:val="12"/>
              </w:rPr>
            </w:r>
          </w:p>
        </w:tc>
        <w:tc>
          <w:tcPr>
            <w:tcW w:w="1881"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left="51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股东权益合计</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4" w:space="0" w:color="000000"/>
              <w:right w:val="single" w:sz="6" w:space="0" w:color="000000"/>
            </w:tcBorders>
          </w:tcPr>
          <w:p>
            <w:pPr/>
          </w:p>
        </w:tc>
        <w:tc>
          <w:tcPr>
            <w:tcW w:w="1181"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62"/>
              <w:ind w:right="49"/>
              <w:jc w:val="right"/>
              <w:rPr>
                <w:rFonts w:ascii="Times New Roman" w:hAnsi="Times New Roman" w:cs="Times New Roman" w:eastAsia="Times New Roman" w:hint="default"/>
                <w:sz w:val="12"/>
                <w:szCs w:val="12"/>
              </w:rPr>
            </w:pPr>
            <w:r>
              <w:rPr>
                <w:rFonts w:ascii="Times New Roman"/>
                <w:b/>
                <w:w w:val="105"/>
                <w:sz w:val="12"/>
              </w:rPr>
              <w:t>1,164,784,210.30</w:t>
            </w:r>
            <w:r>
              <w:rPr>
                <w:rFonts w:ascii="Times New Roman"/>
                <w:sz w:val="12"/>
              </w:rPr>
            </w:r>
          </w:p>
        </w:tc>
        <w:tc>
          <w:tcPr>
            <w:tcW w:w="121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left="309" w:right="0"/>
              <w:jc w:val="left"/>
              <w:rPr>
                <w:rFonts w:ascii="Times New Roman" w:hAnsi="Times New Roman" w:cs="Times New Roman" w:eastAsia="Times New Roman" w:hint="default"/>
                <w:sz w:val="12"/>
                <w:szCs w:val="12"/>
              </w:rPr>
            </w:pPr>
            <w:r>
              <w:rPr>
                <w:rFonts w:ascii="Times New Roman"/>
                <w:b/>
                <w:spacing w:val="2"/>
                <w:w w:val="105"/>
                <w:sz w:val="12"/>
              </w:rPr>
              <w:t>985,643,651.30</w:t>
            </w:r>
            <w:r>
              <w:rPr>
                <w:rFonts w:ascii="Times New Roman"/>
                <w:spacing w:val="2"/>
                <w:sz w:val="12"/>
              </w:rPr>
            </w:r>
          </w:p>
        </w:tc>
      </w:tr>
      <w:tr>
        <w:trPr>
          <w:trHeight w:val="266" w:hRule="exact"/>
        </w:trPr>
        <w:tc>
          <w:tcPr>
            <w:tcW w:w="2009"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
              <w:ind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资产总计</w:t>
            </w:r>
            <w:r>
              <w:rPr>
                <w:rFonts w:ascii="Microsoft JhengHei" w:hAnsi="Microsoft JhengHei" w:cs="Microsoft JhengHei" w:eastAsia="Microsoft JhengHei" w:hint="default"/>
                <w:spacing w:val="7"/>
                <w:sz w:val="12"/>
                <w:szCs w:val="12"/>
              </w:rPr>
            </w:r>
          </w:p>
        </w:tc>
        <w:tc>
          <w:tcPr>
            <w:tcW w:w="513" w:type="dxa"/>
            <w:tcBorders>
              <w:top w:val="single" w:sz="4" w:space="0" w:color="000000"/>
              <w:left w:val="single" w:sz="4" w:space="0" w:color="000000"/>
              <w:bottom w:val="single" w:sz="8" w:space="0" w:color="000000"/>
              <w:right w:val="single" w:sz="4" w:space="0" w:color="000000"/>
            </w:tcBorders>
          </w:tcPr>
          <w:p>
            <w:pPr/>
          </w:p>
        </w:tc>
        <w:tc>
          <w:tcPr>
            <w:tcW w:w="113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3"/>
              <w:ind w:right="59"/>
              <w:jc w:val="right"/>
              <w:rPr>
                <w:rFonts w:ascii="Times New Roman" w:hAnsi="Times New Roman" w:cs="Times New Roman" w:eastAsia="Times New Roman" w:hint="default"/>
                <w:sz w:val="12"/>
                <w:szCs w:val="12"/>
              </w:rPr>
            </w:pPr>
            <w:r>
              <w:rPr>
                <w:rFonts w:ascii="Times New Roman"/>
                <w:b/>
                <w:w w:val="105"/>
                <w:sz w:val="12"/>
              </w:rPr>
              <w:t>2,868,350,341.21</w:t>
            </w:r>
            <w:r>
              <w:rPr>
                <w:rFonts w:ascii="Times New Roman"/>
                <w:sz w:val="12"/>
              </w:rPr>
            </w:r>
          </w:p>
        </w:tc>
        <w:tc>
          <w:tcPr>
            <w:tcW w:w="1191" w:type="dxa"/>
            <w:tcBorders>
              <w:top w:val="single" w:sz="4" w:space="0" w:color="000000"/>
              <w:left w:val="single" w:sz="4" w:space="0" w:color="000000"/>
              <w:bottom w:val="single" w:sz="8" w:space="0" w:color="000000"/>
              <w:right w:val="single" w:sz="12" w:space="0" w:color="000000"/>
            </w:tcBorders>
          </w:tcPr>
          <w:p>
            <w:pPr>
              <w:pStyle w:val="TableParagraph"/>
              <w:spacing w:line="240" w:lineRule="auto" w:before="63"/>
              <w:ind w:left="193" w:right="0"/>
              <w:jc w:val="left"/>
              <w:rPr>
                <w:rFonts w:ascii="Times New Roman" w:hAnsi="Times New Roman" w:cs="Times New Roman" w:eastAsia="Times New Roman" w:hint="default"/>
                <w:sz w:val="12"/>
                <w:szCs w:val="12"/>
              </w:rPr>
            </w:pPr>
            <w:r>
              <w:rPr>
                <w:rFonts w:ascii="Times New Roman"/>
                <w:b/>
                <w:w w:val="105"/>
                <w:sz w:val="12"/>
              </w:rPr>
              <w:t>1,888,141,595.10</w:t>
            </w:r>
            <w:r>
              <w:rPr>
                <w:rFonts w:ascii="Times New Roman"/>
                <w:sz w:val="12"/>
              </w:rPr>
            </w:r>
          </w:p>
        </w:tc>
        <w:tc>
          <w:tcPr>
            <w:tcW w:w="1881" w:type="dxa"/>
            <w:tcBorders>
              <w:top w:val="single" w:sz="4" w:space="0" w:color="000000"/>
              <w:left w:val="single" w:sz="12" w:space="0" w:color="000000"/>
              <w:bottom w:val="single" w:sz="8" w:space="0" w:color="000000"/>
              <w:right w:val="single" w:sz="4" w:space="0" w:color="000000"/>
            </w:tcBorders>
          </w:tcPr>
          <w:p>
            <w:pPr>
              <w:pStyle w:val="TableParagraph"/>
              <w:spacing w:line="240" w:lineRule="auto" w:before="1"/>
              <w:ind w:left="31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负债和股东权益总计</w:t>
            </w:r>
            <w:r>
              <w:rPr>
                <w:rFonts w:ascii="Microsoft JhengHei" w:hAnsi="Microsoft JhengHei" w:cs="Microsoft JhengHei" w:eastAsia="Microsoft JhengHei" w:hint="default"/>
                <w:spacing w:val="8"/>
                <w:sz w:val="12"/>
                <w:szCs w:val="12"/>
              </w:rPr>
            </w:r>
          </w:p>
        </w:tc>
        <w:tc>
          <w:tcPr>
            <w:tcW w:w="513" w:type="dxa"/>
            <w:tcBorders>
              <w:top w:val="single" w:sz="4" w:space="0" w:color="000000"/>
              <w:left w:val="single" w:sz="4" w:space="0" w:color="000000"/>
              <w:bottom w:val="single" w:sz="8" w:space="0" w:color="000000"/>
              <w:right w:val="single" w:sz="6" w:space="0" w:color="000000"/>
            </w:tcBorders>
          </w:tcPr>
          <w:p>
            <w:pPr/>
          </w:p>
        </w:tc>
        <w:tc>
          <w:tcPr>
            <w:tcW w:w="1181" w:type="dxa"/>
            <w:tcBorders>
              <w:top w:val="single" w:sz="4" w:space="0" w:color="000000"/>
              <w:left w:val="single" w:sz="6" w:space="0" w:color="000000"/>
              <w:bottom w:val="single" w:sz="8" w:space="0" w:color="000000"/>
              <w:right w:val="single" w:sz="4" w:space="0" w:color="000000"/>
            </w:tcBorders>
          </w:tcPr>
          <w:p>
            <w:pPr>
              <w:pStyle w:val="TableParagraph"/>
              <w:spacing w:line="240" w:lineRule="auto" w:before="63"/>
              <w:ind w:right="49"/>
              <w:jc w:val="right"/>
              <w:rPr>
                <w:rFonts w:ascii="Times New Roman" w:hAnsi="Times New Roman" w:cs="Times New Roman" w:eastAsia="Times New Roman" w:hint="default"/>
                <w:sz w:val="12"/>
                <w:szCs w:val="12"/>
              </w:rPr>
            </w:pPr>
            <w:r>
              <w:rPr>
                <w:rFonts w:ascii="Times New Roman"/>
                <w:b/>
                <w:w w:val="105"/>
                <w:sz w:val="12"/>
              </w:rPr>
              <w:t>2,868,350,341.21</w:t>
            </w:r>
            <w:r>
              <w:rPr>
                <w:rFonts w:ascii="Times New Roman"/>
                <w:sz w:val="12"/>
              </w:rPr>
            </w:r>
          </w:p>
        </w:tc>
        <w:tc>
          <w:tcPr>
            <w:tcW w:w="1216"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63"/>
              <w:ind w:left="222" w:right="0"/>
              <w:jc w:val="left"/>
              <w:rPr>
                <w:rFonts w:ascii="Times New Roman" w:hAnsi="Times New Roman" w:cs="Times New Roman" w:eastAsia="Times New Roman" w:hint="default"/>
                <w:sz w:val="12"/>
                <w:szCs w:val="12"/>
              </w:rPr>
            </w:pPr>
            <w:r>
              <w:rPr>
                <w:rFonts w:ascii="Times New Roman"/>
                <w:b/>
                <w:w w:val="105"/>
                <w:sz w:val="12"/>
              </w:rPr>
              <w:t>1,888,141,595.10</w:t>
            </w:r>
            <w:r>
              <w:rPr>
                <w:rFonts w:ascii="Times New Roman"/>
                <w:sz w:val="12"/>
              </w:rPr>
            </w:r>
          </w:p>
        </w:tc>
      </w:tr>
    </w:tbl>
    <w:p>
      <w:pPr>
        <w:tabs>
          <w:tab w:pos="3834" w:val="left" w:leader="none"/>
          <w:tab w:pos="6906" w:val="left" w:leader="none"/>
        </w:tabs>
        <w:spacing w:before="52"/>
        <w:ind w:left="181" w:right="0" w:firstLine="0"/>
        <w:jc w:val="left"/>
        <w:rPr>
          <w:rFonts w:ascii="宋体" w:hAnsi="宋体" w:cs="宋体" w:eastAsia="宋体" w:hint="default"/>
          <w:sz w:val="12"/>
          <w:szCs w:val="12"/>
        </w:rPr>
      </w:pPr>
      <w:r>
        <w:rPr>
          <w:rFonts w:ascii="宋体" w:hAnsi="宋体" w:cs="宋体" w:eastAsia="宋体" w:hint="default"/>
          <w:sz w:val="12"/>
          <w:szCs w:val="12"/>
        </w:rPr>
        <w:t>法定代表人:</w:t>
        <w:tab/>
        <w:t>主管会计工作负责人：</w:t>
        <w:tab/>
      </w:r>
      <w:r>
        <w:rPr>
          <w:rFonts w:ascii="宋体" w:hAnsi="宋体" w:cs="宋体" w:eastAsia="宋体" w:hint="default"/>
          <w:w w:val="105"/>
          <w:sz w:val="12"/>
          <w:szCs w:val="12"/>
        </w:rPr>
        <w:t>会计机构负责人：</w:t>
      </w:r>
      <w:r>
        <w:rPr>
          <w:rFonts w:ascii="宋体" w:hAnsi="宋体" w:cs="宋体" w:eastAsia="宋体" w:hint="default"/>
          <w:sz w:val="12"/>
          <w:szCs w:val="12"/>
        </w:rPr>
      </w:r>
    </w:p>
    <w:p>
      <w:pPr>
        <w:spacing w:after="0"/>
        <w:jc w:val="left"/>
        <w:rPr>
          <w:rFonts w:ascii="宋体" w:hAnsi="宋体" w:cs="宋体" w:eastAsia="宋体" w:hint="default"/>
          <w:sz w:val="12"/>
          <w:szCs w:val="12"/>
        </w:rPr>
        <w:sectPr>
          <w:pgSz w:w="11900" w:h="16840"/>
          <w:pgMar w:header="872" w:footer="957" w:top="1120" w:bottom="1140" w:left="980" w:right="980"/>
        </w:sectPr>
      </w:pPr>
    </w:p>
    <w:p>
      <w:pPr>
        <w:spacing w:line="240" w:lineRule="auto" w:before="6"/>
        <w:rPr>
          <w:rFonts w:ascii="宋体" w:hAnsi="宋体" w:cs="宋体" w:eastAsia="宋体" w:hint="default"/>
          <w:sz w:val="27"/>
          <w:szCs w:val="27"/>
        </w:rPr>
      </w:pPr>
    </w:p>
    <w:p>
      <w:pPr>
        <w:pStyle w:val="Heading2"/>
        <w:spacing w:line="393" w:lineRule="exact"/>
        <w:ind w:right="1915"/>
        <w:jc w:val="center"/>
        <w:rPr>
          <w:b w:val="0"/>
          <w:bCs w:val="0"/>
        </w:rPr>
      </w:pPr>
      <w:r>
        <w:rPr>
          <w:w w:val="105"/>
        </w:rPr>
        <w:t>合   并   利   润</w:t>
      </w:r>
      <w:r>
        <w:rPr>
          <w:spacing w:val="26"/>
          <w:w w:val="105"/>
        </w:rPr>
        <w:t> </w:t>
      </w:r>
      <w:r>
        <w:rPr>
          <w:w w:val="105"/>
        </w:rPr>
        <w:t>表</w:t>
      </w:r>
      <w:r>
        <w:rPr>
          <w:b w:val="0"/>
          <w:bCs w:val="0"/>
        </w:rPr>
      </w:r>
    </w:p>
    <w:p>
      <w:pPr>
        <w:spacing w:before="102"/>
        <w:ind w:left="1931" w:right="1915" w:firstLine="0"/>
        <w:jc w:val="center"/>
        <w:rPr>
          <w:rFonts w:ascii="宋体" w:hAnsi="宋体" w:cs="宋体" w:eastAsia="宋体" w:hint="default"/>
          <w:sz w:val="16"/>
          <w:szCs w:val="16"/>
        </w:rPr>
      </w:pPr>
      <w:r>
        <w:rPr>
          <w:rFonts w:ascii="宋体" w:hAnsi="宋体" w:cs="宋体" w:eastAsia="宋体" w:hint="default"/>
          <w:spacing w:val="-4"/>
          <w:w w:val="105"/>
          <w:sz w:val="16"/>
          <w:szCs w:val="16"/>
        </w:rPr>
        <w:t>编制年度：</w:t>
      </w:r>
      <w:r>
        <w:rPr>
          <w:rFonts w:ascii="宋体" w:hAnsi="宋体" w:cs="宋体" w:eastAsia="宋体" w:hint="default"/>
          <w:spacing w:val="-31"/>
          <w:w w:val="105"/>
          <w:sz w:val="16"/>
          <w:szCs w:val="16"/>
        </w:rPr>
        <w:t> </w:t>
      </w:r>
      <w:r>
        <w:rPr>
          <w:rFonts w:ascii="Times New Roman" w:hAnsi="Times New Roman" w:cs="Times New Roman" w:eastAsia="Times New Roman" w:hint="default"/>
          <w:spacing w:val="-5"/>
          <w:w w:val="105"/>
          <w:sz w:val="16"/>
          <w:szCs w:val="16"/>
        </w:rPr>
        <w:t>2012</w:t>
      </w:r>
      <w:r>
        <w:rPr>
          <w:rFonts w:ascii="宋体" w:hAnsi="宋体" w:cs="宋体" w:eastAsia="宋体" w:hint="default"/>
          <w:spacing w:val="-5"/>
          <w:w w:val="105"/>
          <w:sz w:val="16"/>
          <w:szCs w:val="16"/>
        </w:rPr>
        <w:t>年度</w:t>
      </w:r>
      <w:r>
        <w:rPr>
          <w:rFonts w:ascii="宋体" w:hAnsi="宋体" w:cs="宋体" w:eastAsia="宋体" w:hint="default"/>
          <w:spacing w:val="-5"/>
          <w:sz w:val="16"/>
          <w:szCs w:val="16"/>
        </w:rPr>
      </w:r>
    </w:p>
    <w:p>
      <w:pPr>
        <w:tabs>
          <w:tab w:pos="8359" w:val="left" w:leader="none"/>
        </w:tabs>
        <w:spacing w:before="105"/>
        <w:ind w:left="2" w:right="0" w:firstLine="0"/>
        <w:jc w:val="center"/>
        <w:rPr>
          <w:rFonts w:ascii="宋体" w:hAnsi="宋体" w:cs="宋体" w:eastAsia="宋体" w:hint="default"/>
          <w:sz w:val="16"/>
          <w:szCs w:val="16"/>
        </w:rPr>
      </w:pPr>
      <w:r>
        <w:rPr>
          <w:rFonts w:ascii="宋体" w:hAnsi="宋体" w:cs="宋体" w:eastAsia="宋体" w:hint="default"/>
          <w:spacing w:val="-3"/>
          <w:w w:val="105"/>
          <w:sz w:val="16"/>
          <w:szCs w:val="16"/>
        </w:rPr>
        <w:t>编制单位: </w:t>
      </w:r>
      <w:r>
        <w:rPr>
          <w:rFonts w:ascii="宋体" w:hAnsi="宋体" w:cs="宋体" w:eastAsia="宋体" w:hint="default"/>
          <w:spacing w:val="27"/>
          <w:w w:val="105"/>
          <w:sz w:val="16"/>
          <w:szCs w:val="16"/>
        </w:rPr>
        <w:t> </w:t>
      </w:r>
      <w:r>
        <w:rPr>
          <w:rFonts w:ascii="宋体" w:hAnsi="宋体" w:cs="宋体" w:eastAsia="宋体" w:hint="default"/>
          <w:w w:val="105"/>
          <w:sz w:val="16"/>
          <w:szCs w:val="16"/>
        </w:rPr>
        <w:t>宝安鸿基地产集团股份有限公司</w:t>
        <w:tab/>
        <w:t>单位：人民币元</w:t>
      </w:r>
      <w:r>
        <w:rPr>
          <w:rFonts w:ascii="宋体" w:hAnsi="宋体" w:cs="宋体" w:eastAsia="宋体" w:hint="default"/>
          <w:sz w:val="16"/>
          <w:szCs w:val="16"/>
        </w:rPr>
      </w:r>
    </w:p>
    <w:p>
      <w:pPr>
        <w:spacing w:line="240" w:lineRule="auto" w:before="10"/>
        <w:rPr>
          <w:rFonts w:ascii="宋体" w:hAnsi="宋体" w:cs="宋体" w:eastAsia="宋体" w:hint="default"/>
          <w:sz w:val="4"/>
          <w:szCs w:val="4"/>
        </w:rPr>
      </w:pPr>
    </w:p>
    <w:p>
      <w:pPr>
        <w:spacing w:line="20" w:lineRule="exact"/>
        <w:ind w:left="1033" w:right="0" w:firstLine="0"/>
        <w:rPr>
          <w:rFonts w:ascii="宋体" w:hAnsi="宋体" w:cs="宋体" w:eastAsia="宋体" w:hint="default"/>
          <w:sz w:val="2"/>
          <w:szCs w:val="2"/>
        </w:rPr>
      </w:pPr>
      <w:r>
        <w:rPr>
          <w:rFonts w:ascii="宋体" w:hAnsi="宋体" w:cs="宋体" w:eastAsia="宋体" w:hint="default"/>
          <w:sz w:val="2"/>
          <w:szCs w:val="2"/>
        </w:rPr>
        <w:pict>
          <v:group style="width:174pt;height:.8pt;mso-position-horizontal-relative:char;mso-position-vertical-relative:line" coordorigin="0,0" coordsize="3480,16">
            <v:group style="position:absolute;left:6;top:2;width:3469;height:2" coordorigin="6,2" coordsize="3469,2">
              <v:shape style="position:absolute;left:6;top:2;width:3469;height:2" coordorigin="6,2" coordsize="3469,0" path="m6,2l3475,2e" filled="false" stroked="true" strokeweight=".24pt" strokecolor="#000000">
                <v:path arrowok="t"/>
              </v:shape>
            </v:group>
            <v:group style="position:absolute;left:7;top:9;width:3466;height:2" coordorigin="7,9" coordsize="3466,2">
              <v:shape style="position:absolute;left:7;top:9;width:3466;height:2" coordorigin="7,9" coordsize="3466,0" path="m7,9l3473,9e" filled="false" stroked="true" strokeweight=".72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10"/>
          <w:szCs w:val="10"/>
        </w:rPr>
      </w:pPr>
    </w:p>
    <w:tbl>
      <w:tblPr>
        <w:tblW w:w="0" w:type="auto"/>
        <w:jc w:val="left"/>
        <w:tblInd w:w="140" w:type="dxa"/>
        <w:tblLayout w:type="fixed"/>
        <w:tblCellMar>
          <w:top w:w="0" w:type="dxa"/>
          <w:left w:w="0" w:type="dxa"/>
          <w:bottom w:w="0" w:type="dxa"/>
          <w:right w:w="0" w:type="dxa"/>
        </w:tblCellMar>
        <w:tblLook w:val="01E0"/>
      </w:tblPr>
      <w:tblGrid>
        <w:gridCol w:w="4347"/>
        <w:gridCol w:w="915"/>
        <w:gridCol w:w="2184"/>
        <w:gridCol w:w="2192"/>
      </w:tblGrid>
      <w:tr>
        <w:trPr>
          <w:trHeight w:val="369" w:hRule="exact"/>
        </w:trPr>
        <w:tc>
          <w:tcPr>
            <w:tcW w:w="4347" w:type="dxa"/>
            <w:tcBorders>
              <w:top w:val="single" w:sz="10" w:space="0" w:color="000000"/>
              <w:left w:val="nil" w:sz="6" w:space="0" w:color="auto"/>
              <w:bottom w:val="single" w:sz="6" w:space="0" w:color="000000"/>
              <w:right w:val="single" w:sz="4" w:space="0" w:color="000000"/>
            </w:tcBorders>
          </w:tcPr>
          <w:p>
            <w:pPr>
              <w:pStyle w:val="TableParagraph"/>
              <w:tabs>
                <w:tab w:pos="609" w:val="left" w:leader="none"/>
              </w:tabs>
              <w:spacing w:line="240" w:lineRule="auto" w:before="2"/>
              <w:ind w:right="7"/>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w w:val="105"/>
                <w:sz w:val="16"/>
                <w:szCs w:val="16"/>
              </w:rPr>
              <w:t>项</w:t>
              <w:tab/>
              <w:t>目</w:t>
            </w:r>
            <w:r>
              <w:rPr>
                <w:rFonts w:ascii="Microsoft JhengHei" w:hAnsi="Microsoft JhengHei" w:cs="Microsoft JhengHei" w:eastAsia="Microsoft JhengHei" w:hint="default"/>
                <w:sz w:val="16"/>
                <w:szCs w:val="16"/>
              </w:rPr>
            </w:r>
          </w:p>
        </w:tc>
        <w:tc>
          <w:tcPr>
            <w:tcW w:w="915" w:type="dxa"/>
            <w:tcBorders>
              <w:top w:val="single" w:sz="10" w:space="0" w:color="000000"/>
              <w:left w:val="single" w:sz="4" w:space="0" w:color="000000"/>
              <w:bottom w:val="single" w:sz="6" w:space="0" w:color="000000"/>
              <w:right w:val="single" w:sz="6" w:space="0" w:color="000000"/>
            </w:tcBorders>
          </w:tcPr>
          <w:p>
            <w:pPr>
              <w:pStyle w:val="TableParagraph"/>
              <w:spacing w:line="240" w:lineRule="auto" w:before="2"/>
              <w:ind w:right="6"/>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5"/>
                <w:w w:val="105"/>
                <w:sz w:val="16"/>
                <w:szCs w:val="16"/>
              </w:rPr>
              <w:t>附注</w:t>
            </w:r>
            <w:r>
              <w:rPr>
                <w:rFonts w:ascii="Microsoft JhengHei" w:hAnsi="Microsoft JhengHei" w:cs="Microsoft JhengHei" w:eastAsia="Microsoft JhengHei" w:hint="default"/>
                <w:spacing w:val="5"/>
                <w:sz w:val="16"/>
                <w:szCs w:val="16"/>
              </w:rPr>
            </w:r>
          </w:p>
        </w:tc>
        <w:tc>
          <w:tcPr>
            <w:tcW w:w="218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
              <w:ind w:left="716"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9"/>
                <w:w w:val="105"/>
                <w:sz w:val="16"/>
                <w:szCs w:val="16"/>
              </w:rPr>
              <w:t>本期金额</w:t>
            </w:r>
            <w:r>
              <w:rPr>
                <w:rFonts w:ascii="Microsoft JhengHei" w:hAnsi="Microsoft JhengHei" w:cs="Microsoft JhengHei" w:eastAsia="Microsoft JhengHei" w:hint="default"/>
                <w:spacing w:val="9"/>
                <w:sz w:val="16"/>
                <w:szCs w:val="16"/>
              </w:rPr>
            </w:r>
          </w:p>
        </w:tc>
        <w:tc>
          <w:tcPr>
            <w:tcW w:w="2192" w:type="dxa"/>
            <w:tcBorders>
              <w:top w:val="single" w:sz="10" w:space="0" w:color="000000"/>
              <w:left w:val="single" w:sz="6" w:space="0" w:color="000000"/>
              <w:bottom w:val="single" w:sz="6" w:space="0" w:color="000000"/>
              <w:right w:val="nil" w:sz="6" w:space="0" w:color="auto"/>
            </w:tcBorders>
          </w:tcPr>
          <w:p>
            <w:pPr>
              <w:pStyle w:val="TableParagraph"/>
              <w:spacing w:line="240" w:lineRule="auto" w:before="2"/>
              <w:ind w:left="716"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9"/>
                <w:w w:val="105"/>
                <w:sz w:val="16"/>
                <w:szCs w:val="16"/>
              </w:rPr>
              <w:t>上期金额</w:t>
            </w:r>
            <w:r>
              <w:rPr>
                <w:rFonts w:ascii="Microsoft JhengHei" w:hAnsi="Microsoft JhengHei" w:cs="Microsoft JhengHei" w:eastAsia="Microsoft JhengHei" w:hint="default"/>
                <w:spacing w:val="9"/>
                <w:sz w:val="16"/>
                <w:szCs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26"/>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一、</w:t>
            </w:r>
            <w:r>
              <w:rPr>
                <w:rFonts w:ascii="Microsoft JhengHei" w:hAnsi="Microsoft JhengHei" w:cs="Microsoft JhengHei" w:eastAsia="Microsoft JhengHei" w:hint="default"/>
                <w:b/>
                <w:bCs/>
                <w:spacing w:val="3"/>
                <w:w w:val="105"/>
                <w:sz w:val="16"/>
                <w:szCs w:val="16"/>
              </w:rPr>
              <w:t> </w:t>
            </w:r>
            <w:r>
              <w:rPr>
                <w:rFonts w:ascii="Microsoft JhengHei" w:hAnsi="Microsoft JhengHei" w:cs="Microsoft JhengHei" w:eastAsia="Microsoft JhengHei" w:hint="default"/>
                <w:b/>
                <w:bCs/>
                <w:spacing w:val="9"/>
                <w:w w:val="105"/>
                <w:sz w:val="16"/>
                <w:szCs w:val="16"/>
              </w:rPr>
              <w:t>营业总收入</w:t>
            </w:r>
            <w:r>
              <w:rPr>
                <w:rFonts w:ascii="Microsoft JhengHei" w:hAnsi="Microsoft JhengHei" w:cs="Microsoft JhengHei" w:eastAsia="Microsoft JhengHei" w:hint="default"/>
                <w:spacing w:val="9"/>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4"/>
              <w:ind w:right="70"/>
              <w:jc w:val="right"/>
              <w:rPr>
                <w:rFonts w:ascii="Times New Roman" w:hAnsi="Times New Roman" w:cs="Times New Roman" w:eastAsia="Times New Roman" w:hint="default"/>
                <w:sz w:val="16"/>
                <w:szCs w:val="16"/>
              </w:rPr>
            </w:pPr>
            <w:r>
              <w:rPr>
                <w:rFonts w:ascii="Times New Roman"/>
                <w:b/>
                <w:spacing w:val="3"/>
                <w:w w:val="105"/>
                <w:sz w:val="16"/>
              </w:rPr>
              <w:t>860,886,746.14</w:t>
            </w:r>
            <w:r>
              <w:rPr>
                <w:rFonts w:ascii="Times New Roman"/>
                <w:spacing w:val="3"/>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4"/>
              <w:ind w:right="86"/>
              <w:jc w:val="right"/>
              <w:rPr>
                <w:rFonts w:ascii="Times New Roman" w:hAnsi="Times New Roman" w:cs="Times New Roman" w:eastAsia="Times New Roman" w:hint="default"/>
                <w:sz w:val="16"/>
                <w:szCs w:val="16"/>
              </w:rPr>
            </w:pPr>
            <w:r>
              <w:rPr>
                <w:rFonts w:ascii="Times New Roman"/>
                <w:b/>
                <w:spacing w:val="3"/>
                <w:w w:val="105"/>
                <w:sz w:val="16"/>
              </w:rPr>
              <w:t>817,369,601.45</w:t>
            </w:r>
            <w:r>
              <w:rPr>
                <w:rFonts w:ascii="Times New Roman"/>
                <w:spacing w:val="3"/>
                <w:sz w:val="16"/>
              </w:rPr>
            </w: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84"/>
              <w:ind w:left="38" w:right="0"/>
              <w:jc w:val="left"/>
              <w:rPr>
                <w:rFonts w:ascii="宋体" w:hAnsi="宋体" w:cs="宋体" w:eastAsia="宋体" w:hint="default"/>
                <w:sz w:val="16"/>
                <w:szCs w:val="16"/>
              </w:rPr>
            </w:pPr>
            <w:r>
              <w:rPr>
                <w:rFonts w:ascii="宋体" w:hAnsi="宋体" w:cs="宋体" w:eastAsia="宋体" w:hint="default"/>
                <w:w w:val="105"/>
                <w:sz w:val="16"/>
                <w:szCs w:val="16"/>
              </w:rPr>
              <w:t>其中：营业收入</w:t>
            </w:r>
            <w:r>
              <w:rPr>
                <w:rFonts w:ascii="宋体" w:hAnsi="宋体" w:cs="宋体" w:eastAsia="宋体" w:hint="default"/>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五、32</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860,886,746.14</w:t>
            </w:r>
            <w:r>
              <w:rPr>
                <w:rFonts w:ascii="Times New Roman"/>
                <w:spacing w:val="-6"/>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817,369,601.45</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27"/>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二、</w:t>
            </w:r>
            <w:r>
              <w:rPr>
                <w:rFonts w:ascii="Microsoft JhengHei" w:hAnsi="Microsoft JhengHei" w:cs="Microsoft JhengHei" w:eastAsia="Microsoft JhengHei" w:hint="default"/>
                <w:b/>
                <w:bCs/>
                <w:spacing w:val="3"/>
                <w:w w:val="105"/>
                <w:sz w:val="16"/>
                <w:szCs w:val="16"/>
              </w:rPr>
              <w:t> </w:t>
            </w:r>
            <w:r>
              <w:rPr>
                <w:rFonts w:ascii="Microsoft JhengHei" w:hAnsi="Microsoft JhengHei" w:cs="Microsoft JhengHei" w:eastAsia="Microsoft JhengHei" w:hint="default"/>
                <w:b/>
                <w:bCs/>
                <w:spacing w:val="9"/>
                <w:w w:val="105"/>
                <w:sz w:val="16"/>
                <w:szCs w:val="16"/>
              </w:rPr>
              <w:t>营业总成本</w:t>
            </w:r>
            <w:r>
              <w:rPr>
                <w:rFonts w:ascii="Microsoft JhengHei" w:hAnsi="Microsoft JhengHei" w:cs="Microsoft JhengHei" w:eastAsia="Microsoft JhengHei" w:hint="default"/>
                <w:spacing w:val="9"/>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70"/>
              <w:jc w:val="right"/>
              <w:rPr>
                <w:rFonts w:ascii="Times New Roman" w:hAnsi="Times New Roman" w:cs="Times New Roman" w:eastAsia="Times New Roman" w:hint="default"/>
                <w:sz w:val="16"/>
                <w:szCs w:val="16"/>
              </w:rPr>
            </w:pPr>
            <w:r>
              <w:rPr>
                <w:rFonts w:ascii="Times New Roman"/>
                <w:b/>
                <w:spacing w:val="3"/>
                <w:w w:val="105"/>
                <w:sz w:val="16"/>
              </w:rPr>
              <w:t>638,157,861.39</w:t>
            </w:r>
            <w:r>
              <w:rPr>
                <w:rFonts w:ascii="Times New Roman"/>
                <w:spacing w:val="3"/>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1"/>
              <w:ind w:right="86"/>
              <w:jc w:val="right"/>
              <w:rPr>
                <w:rFonts w:ascii="Times New Roman" w:hAnsi="Times New Roman" w:cs="Times New Roman" w:eastAsia="Times New Roman" w:hint="default"/>
                <w:sz w:val="16"/>
                <w:szCs w:val="16"/>
              </w:rPr>
            </w:pPr>
            <w:r>
              <w:rPr>
                <w:rFonts w:ascii="Times New Roman"/>
                <w:b/>
                <w:spacing w:val="3"/>
                <w:w w:val="105"/>
                <w:sz w:val="16"/>
              </w:rPr>
              <w:t>694,573,180.84</w:t>
            </w:r>
            <w:r>
              <w:rPr>
                <w:rFonts w:ascii="Times New Roman"/>
                <w:spacing w:val="3"/>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38" w:right="0"/>
              <w:jc w:val="left"/>
              <w:rPr>
                <w:rFonts w:ascii="宋体" w:hAnsi="宋体" w:cs="宋体" w:eastAsia="宋体" w:hint="default"/>
                <w:sz w:val="16"/>
                <w:szCs w:val="16"/>
              </w:rPr>
            </w:pPr>
            <w:r>
              <w:rPr>
                <w:rFonts w:ascii="宋体" w:hAnsi="宋体" w:cs="宋体" w:eastAsia="宋体" w:hint="default"/>
                <w:w w:val="105"/>
                <w:sz w:val="16"/>
                <w:szCs w:val="16"/>
              </w:rPr>
              <w:t>其中：营业成本</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92"/>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五、32</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54"/>
              <w:jc w:val="right"/>
              <w:rPr>
                <w:rFonts w:ascii="Times New Roman" w:hAnsi="Times New Roman" w:cs="Times New Roman" w:eastAsia="Times New Roman" w:hint="default"/>
                <w:sz w:val="16"/>
                <w:szCs w:val="16"/>
              </w:rPr>
            </w:pPr>
            <w:r>
              <w:rPr>
                <w:rFonts w:ascii="Times New Roman"/>
                <w:spacing w:val="-6"/>
                <w:w w:val="105"/>
                <w:sz w:val="16"/>
              </w:rPr>
              <w:t>381,921,300.48</w:t>
            </w:r>
            <w:r>
              <w:rPr>
                <w:rFonts w:ascii="Times New Roman"/>
                <w:spacing w:val="-6"/>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0"/>
              <w:ind w:right="69"/>
              <w:jc w:val="right"/>
              <w:rPr>
                <w:rFonts w:ascii="Times New Roman" w:hAnsi="Times New Roman" w:cs="Times New Roman" w:eastAsia="Times New Roman" w:hint="default"/>
                <w:sz w:val="16"/>
                <w:szCs w:val="16"/>
              </w:rPr>
            </w:pPr>
            <w:r>
              <w:rPr>
                <w:rFonts w:ascii="Times New Roman"/>
                <w:spacing w:val="-6"/>
                <w:w w:val="105"/>
                <w:sz w:val="16"/>
              </w:rPr>
              <w:t>541,275,221.19</w:t>
            </w:r>
            <w:r>
              <w:rPr>
                <w:rFonts w:ascii="Times New Roman"/>
                <w:spacing w:val="-6"/>
                <w:sz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77"/>
              <w:ind w:left="594" w:right="0"/>
              <w:jc w:val="left"/>
              <w:rPr>
                <w:rFonts w:ascii="宋体" w:hAnsi="宋体" w:cs="宋体" w:eastAsia="宋体" w:hint="default"/>
                <w:sz w:val="16"/>
                <w:szCs w:val="16"/>
              </w:rPr>
            </w:pPr>
            <w:r>
              <w:rPr>
                <w:rFonts w:ascii="宋体" w:hAnsi="宋体" w:cs="宋体" w:eastAsia="宋体" w:hint="default"/>
                <w:w w:val="105"/>
                <w:sz w:val="16"/>
                <w:szCs w:val="16"/>
              </w:rPr>
              <w:t>营业税金及附加</w:t>
            </w:r>
            <w:r>
              <w:rPr>
                <w:rFonts w:ascii="宋体" w:hAnsi="宋体" w:cs="宋体" w:eastAsia="宋体" w:hint="default"/>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92"/>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五、33</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5"/>
              <w:ind w:right="54"/>
              <w:jc w:val="right"/>
              <w:rPr>
                <w:rFonts w:ascii="Times New Roman" w:hAnsi="Times New Roman" w:cs="Times New Roman" w:eastAsia="Times New Roman" w:hint="default"/>
                <w:sz w:val="16"/>
                <w:szCs w:val="16"/>
              </w:rPr>
            </w:pPr>
            <w:r>
              <w:rPr>
                <w:rFonts w:ascii="Times New Roman"/>
                <w:spacing w:val="-6"/>
                <w:w w:val="105"/>
                <w:sz w:val="16"/>
              </w:rPr>
              <w:t>157,503,682.30</w:t>
            </w:r>
            <w:r>
              <w:rPr>
                <w:rFonts w:ascii="Times New Roman"/>
                <w:spacing w:val="-6"/>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5"/>
              <w:ind w:right="69"/>
              <w:jc w:val="right"/>
              <w:rPr>
                <w:rFonts w:ascii="Times New Roman" w:hAnsi="Times New Roman" w:cs="Times New Roman" w:eastAsia="Times New Roman" w:hint="default"/>
                <w:sz w:val="16"/>
                <w:szCs w:val="16"/>
              </w:rPr>
            </w:pPr>
            <w:r>
              <w:rPr>
                <w:rFonts w:ascii="Times New Roman"/>
                <w:spacing w:val="-6"/>
                <w:w w:val="105"/>
                <w:sz w:val="16"/>
              </w:rPr>
              <w:t>66,765,144.30</w:t>
            </w:r>
            <w:r>
              <w:rPr>
                <w:rFonts w:ascii="Times New Roman"/>
                <w:spacing w:val="-6"/>
                <w:sz w:val="16"/>
              </w:rPr>
            </w:r>
          </w:p>
        </w:tc>
      </w:tr>
      <w:tr>
        <w:trPr>
          <w:trHeight w:val="428" w:hRule="exact"/>
        </w:trPr>
        <w:tc>
          <w:tcPr>
            <w:tcW w:w="43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9"/>
              <w:ind w:left="594" w:right="0"/>
              <w:jc w:val="left"/>
              <w:rPr>
                <w:rFonts w:ascii="宋体" w:hAnsi="宋体" w:cs="宋体" w:eastAsia="宋体" w:hint="default"/>
                <w:sz w:val="16"/>
                <w:szCs w:val="16"/>
              </w:rPr>
            </w:pPr>
            <w:r>
              <w:rPr>
                <w:rFonts w:ascii="宋体" w:hAnsi="宋体" w:cs="宋体" w:eastAsia="宋体" w:hint="default"/>
                <w:w w:val="105"/>
                <w:sz w:val="16"/>
                <w:szCs w:val="16"/>
              </w:rPr>
              <w:t>销售费用</w:t>
            </w:r>
            <w:r>
              <w:rPr>
                <w:rFonts w:ascii="宋体" w:hAnsi="宋体" w:cs="宋体" w:eastAsia="宋体" w:hint="default"/>
                <w:sz w:val="16"/>
                <w:szCs w:val="16"/>
              </w:rPr>
            </w:r>
          </w:p>
        </w:tc>
        <w:tc>
          <w:tcPr>
            <w:tcW w:w="91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五、34</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21,510,719.13</w:t>
            </w:r>
            <w:r>
              <w:rPr>
                <w:rFonts w:ascii="Times New Roman"/>
                <w:spacing w:val="-6"/>
                <w:sz w:val="16"/>
              </w:rPr>
            </w:r>
          </w:p>
        </w:tc>
        <w:tc>
          <w:tcPr>
            <w:tcW w:w="21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6,389,169.00</w:t>
            </w:r>
            <w:r>
              <w:rPr>
                <w:rFonts w:ascii="Times New Roman"/>
                <w:spacing w:val="-6"/>
                <w:sz w:val="16"/>
              </w:rPr>
            </w: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83"/>
              <w:ind w:left="594" w:right="0"/>
              <w:jc w:val="left"/>
              <w:rPr>
                <w:rFonts w:ascii="宋体" w:hAnsi="宋体" w:cs="宋体" w:eastAsia="宋体" w:hint="default"/>
                <w:sz w:val="16"/>
                <w:szCs w:val="16"/>
              </w:rPr>
            </w:pPr>
            <w:r>
              <w:rPr>
                <w:rFonts w:ascii="宋体" w:hAnsi="宋体" w:cs="宋体" w:eastAsia="宋体" w:hint="default"/>
                <w:w w:val="105"/>
                <w:sz w:val="16"/>
                <w:szCs w:val="16"/>
              </w:rPr>
              <w:t>管理费用</w:t>
            </w:r>
            <w:r>
              <w:rPr>
                <w:rFonts w:ascii="宋体" w:hAnsi="宋体" w:cs="宋体" w:eastAsia="宋体" w:hint="default"/>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五、35</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79,357,918.33</w:t>
            </w:r>
            <w:r>
              <w:rPr>
                <w:rFonts w:ascii="Times New Roman"/>
                <w:spacing w:val="-6"/>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73,151,116.06</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594" w:right="0"/>
              <w:jc w:val="left"/>
              <w:rPr>
                <w:rFonts w:ascii="宋体" w:hAnsi="宋体" w:cs="宋体" w:eastAsia="宋体" w:hint="default"/>
                <w:sz w:val="16"/>
                <w:szCs w:val="16"/>
              </w:rPr>
            </w:pPr>
            <w:r>
              <w:rPr>
                <w:rFonts w:ascii="宋体" w:hAnsi="宋体" w:cs="宋体" w:eastAsia="宋体" w:hint="default"/>
                <w:w w:val="105"/>
                <w:sz w:val="16"/>
                <w:szCs w:val="16"/>
              </w:rPr>
              <w:t>财务费用</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92"/>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五、36</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54"/>
              <w:jc w:val="right"/>
              <w:rPr>
                <w:rFonts w:ascii="Times New Roman" w:hAnsi="Times New Roman" w:cs="Times New Roman" w:eastAsia="Times New Roman" w:hint="default"/>
                <w:sz w:val="16"/>
                <w:szCs w:val="16"/>
              </w:rPr>
            </w:pPr>
            <w:r>
              <w:rPr>
                <w:rFonts w:ascii="Times New Roman"/>
                <w:spacing w:val="-6"/>
                <w:w w:val="105"/>
                <w:sz w:val="16"/>
              </w:rPr>
              <w:t>7,929,706.21</w:t>
            </w:r>
            <w:r>
              <w:rPr>
                <w:rFonts w:ascii="Times New Roman"/>
                <w:spacing w:val="-6"/>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1"/>
              <w:ind w:right="69"/>
              <w:jc w:val="right"/>
              <w:rPr>
                <w:rFonts w:ascii="Times New Roman" w:hAnsi="Times New Roman" w:cs="Times New Roman" w:eastAsia="Times New Roman" w:hint="default"/>
                <w:sz w:val="16"/>
                <w:szCs w:val="16"/>
              </w:rPr>
            </w:pPr>
            <w:r>
              <w:rPr>
                <w:rFonts w:ascii="Times New Roman"/>
                <w:spacing w:val="-6"/>
                <w:w w:val="105"/>
                <w:sz w:val="16"/>
              </w:rPr>
              <w:t>1,691,128.57</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7"/>
              <w:ind w:left="594" w:right="0"/>
              <w:jc w:val="left"/>
              <w:rPr>
                <w:rFonts w:ascii="宋体" w:hAnsi="宋体" w:cs="宋体" w:eastAsia="宋体" w:hint="default"/>
                <w:sz w:val="16"/>
                <w:szCs w:val="16"/>
              </w:rPr>
            </w:pPr>
            <w:r>
              <w:rPr>
                <w:rFonts w:ascii="宋体" w:hAnsi="宋体" w:cs="宋体" w:eastAsia="宋体" w:hint="default"/>
                <w:w w:val="105"/>
                <w:sz w:val="16"/>
                <w:szCs w:val="16"/>
              </w:rPr>
              <w:t>资产减值损失</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92"/>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五、37</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54"/>
              <w:jc w:val="right"/>
              <w:rPr>
                <w:rFonts w:ascii="Times New Roman" w:hAnsi="Times New Roman" w:cs="Times New Roman" w:eastAsia="Times New Roman" w:hint="default"/>
                <w:sz w:val="16"/>
                <w:szCs w:val="16"/>
              </w:rPr>
            </w:pPr>
            <w:r>
              <w:rPr>
                <w:rFonts w:ascii="Times New Roman"/>
                <w:spacing w:val="-6"/>
                <w:w w:val="105"/>
                <w:sz w:val="16"/>
              </w:rPr>
              <w:t>-10,065,465.06</w:t>
            </w:r>
            <w:r>
              <w:rPr>
                <w:rFonts w:ascii="Times New Roman"/>
                <w:spacing w:val="-6"/>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5"/>
              <w:ind w:right="69"/>
              <w:jc w:val="right"/>
              <w:rPr>
                <w:rFonts w:ascii="Times New Roman" w:hAnsi="Times New Roman" w:cs="Times New Roman" w:eastAsia="Times New Roman" w:hint="default"/>
                <w:sz w:val="16"/>
                <w:szCs w:val="16"/>
              </w:rPr>
            </w:pPr>
            <w:r>
              <w:rPr>
                <w:rFonts w:ascii="Times New Roman"/>
                <w:spacing w:val="-6"/>
                <w:w w:val="105"/>
                <w:sz w:val="16"/>
              </w:rPr>
              <w:t>5,301,401.72</w:t>
            </w:r>
            <w:r>
              <w:rPr>
                <w:rFonts w:ascii="Times New Roman"/>
                <w:spacing w:val="-6"/>
                <w:sz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77"/>
              <w:ind w:left="38" w:right="0"/>
              <w:jc w:val="left"/>
              <w:rPr>
                <w:rFonts w:ascii="宋体" w:hAnsi="宋体" w:cs="宋体" w:eastAsia="宋体" w:hint="default"/>
                <w:sz w:val="16"/>
                <w:szCs w:val="16"/>
              </w:rPr>
            </w:pPr>
            <w:r>
              <w:rPr>
                <w:rFonts w:ascii="宋体" w:hAnsi="宋体" w:cs="宋体" w:eastAsia="宋体" w:hint="default"/>
                <w:w w:val="105"/>
                <w:sz w:val="16"/>
                <w:szCs w:val="16"/>
              </w:rPr>
              <w:t>加：公允价值变动收益（损失以“-”号填列)</w:t>
            </w:r>
            <w:r>
              <w:rPr>
                <w:rFonts w:ascii="宋体" w:hAnsi="宋体" w:cs="宋体" w:eastAsia="宋体" w:hint="default"/>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4"/>
              <w:ind w:right="218"/>
              <w:jc w:val="right"/>
              <w:rPr>
                <w:rFonts w:ascii="Times New Roman" w:hAnsi="Times New Roman" w:cs="Times New Roman" w:eastAsia="Times New Roman" w:hint="default"/>
                <w:sz w:val="16"/>
                <w:szCs w:val="16"/>
              </w:rPr>
            </w:pPr>
            <w:r>
              <w:rPr>
                <w:rFonts w:ascii="Times New Roman"/>
                <w:w w:val="107"/>
                <w:sz w:val="16"/>
              </w:rPr>
              <w:t>-</w:t>
            </w:r>
            <w:r>
              <w:rPr>
                <w:rFonts w:ascii="Times New Roman"/>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4"/>
              <w:ind w:right="233"/>
              <w:jc w:val="right"/>
              <w:rPr>
                <w:rFonts w:ascii="Times New Roman" w:hAnsi="Times New Roman" w:cs="Times New Roman" w:eastAsia="Times New Roman" w:hint="default"/>
                <w:sz w:val="16"/>
                <w:szCs w:val="16"/>
              </w:rPr>
            </w:pPr>
            <w:r>
              <w:rPr>
                <w:rFonts w:ascii="Times New Roman"/>
                <w:w w:val="107"/>
                <w:sz w:val="16"/>
              </w:rPr>
              <w:t>-</w:t>
            </w:r>
            <w:r>
              <w:rPr>
                <w:rFonts w:ascii="Times New Roman"/>
                <w:sz w:val="16"/>
              </w:rPr>
            </w: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83"/>
              <w:ind w:left="412" w:right="0"/>
              <w:jc w:val="left"/>
              <w:rPr>
                <w:rFonts w:ascii="宋体" w:hAnsi="宋体" w:cs="宋体" w:eastAsia="宋体" w:hint="default"/>
                <w:sz w:val="16"/>
                <w:szCs w:val="16"/>
              </w:rPr>
            </w:pPr>
            <w:r>
              <w:rPr>
                <w:rFonts w:ascii="宋体" w:hAnsi="宋体" w:cs="宋体" w:eastAsia="宋体" w:hint="default"/>
                <w:w w:val="105"/>
                <w:sz w:val="16"/>
                <w:szCs w:val="16"/>
              </w:rPr>
              <w:t>投资收益（损失以“-”号填列)</w:t>
            </w:r>
            <w:r>
              <w:rPr>
                <w:rFonts w:ascii="宋体" w:hAnsi="宋体" w:cs="宋体" w:eastAsia="宋体" w:hint="default"/>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五、38</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52,574,962.09</w:t>
            </w:r>
            <w:r>
              <w:rPr>
                <w:rFonts w:ascii="Times New Roman"/>
                <w:spacing w:val="-6"/>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106,109,855.95</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412" w:right="0"/>
              <w:jc w:val="left"/>
              <w:rPr>
                <w:rFonts w:ascii="宋体" w:hAnsi="宋体" w:cs="宋体" w:eastAsia="宋体" w:hint="default"/>
                <w:sz w:val="16"/>
                <w:szCs w:val="16"/>
              </w:rPr>
            </w:pPr>
            <w:r>
              <w:rPr>
                <w:rFonts w:ascii="宋体" w:hAnsi="宋体" w:cs="宋体" w:eastAsia="宋体" w:hint="default"/>
                <w:w w:val="105"/>
                <w:sz w:val="16"/>
                <w:szCs w:val="16"/>
              </w:rPr>
              <w:t>其中：对联营企业和合营企业的投资收益</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54"/>
              <w:jc w:val="right"/>
              <w:rPr>
                <w:rFonts w:ascii="Times New Roman" w:hAnsi="Times New Roman" w:cs="Times New Roman" w:eastAsia="Times New Roman" w:hint="default"/>
                <w:sz w:val="16"/>
                <w:szCs w:val="16"/>
              </w:rPr>
            </w:pPr>
            <w:r>
              <w:rPr>
                <w:rFonts w:ascii="Times New Roman"/>
                <w:spacing w:val="-6"/>
                <w:w w:val="105"/>
                <w:sz w:val="16"/>
              </w:rPr>
              <w:t>-4,459,397.17</w:t>
            </w:r>
            <w:r>
              <w:rPr>
                <w:rFonts w:ascii="Times New Roman"/>
                <w:spacing w:val="-6"/>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1"/>
              <w:ind w:right="69"/>
              <w:jc w:val="right"/>
              <w:rPr>
                <w:rFonts w:ascii="Times New Roman" w:hAnsi="Times New Roman" w:cs="Times New Roman" w:eastAsia="Times New Roman" w:hint="default"/>
                <w:sz w:val="16"/>
                <w:szCs w:val="16"/>
              </w:rPr>
            </w:pPr>
            <w:r>
              <w:rPr>
                <w:rFonts w:ascii="Times New Roman"/>
                <w:spacing w:val="-6"/>
                <w:w w:val="105"/>
                <w:sz w:val="16"/>
              </w:rPr>
              <w:t>-9,651,500.90</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7"/>
              <w:ind w:left="412" w:right="0"/>
              <w:jc w:val="left"/>
              <w:rPr>
                <w:rFonts w:ascii="宋体" w:hAnsi="宋体" w:cs="宋体" w:eastAsia="宋体" w:hint="default"/>
                <w:sz w:val="16"/>
                <w:szCs w:val="16"/>
              </w:rPr>
            </w:pPr>
            <w:r>
              <w:rPr>
                <w:rFonts w:ascii="宋体" w:hAnsi="宋体" w:cs="宋体" w:eastAsia="宋体" w:hint="default"/>
                <w:w w:val="105"/>
                <w:sz w:val="16"/>
                <w:szCs w:val="16"/>
              </w:rPr>
              <w:t>汇兑收益（损失以“-”号填列)</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218"/>
              <w:jc w:val="right"/>
              <w:rPr>
                <w:rFonts w:ascii="Times New Roman" w:hAnsi="Times New Roman" w:cs="Times New Roman" w:eastAsia="Times New Roman" w:hint="default"/>
                <w:sz w:val="16"/>
                <w:szCs w:val="16"/>
              </w:rPr>
            </w:pPr>
            <w:r>
              <w:rPr>
                <w:rFonts w:ascii="Times New Roman"/>
                <w:w w:val="107"/>
                <w:sz w:val="16"/>
              </w:rPr>
              <w:t>-</w:t>
            </w:r>
            <w:r>
              <w:rPr>
                <w:rFonts w:ascii="Times New Roman"/>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0"/>
              <w:ind w:right="233"/>
              <w:jc w:val="right"/>
              <w:rPr>
                <w:rFonts w:ascii="Times New Roman" w:hAnsi="Times New Roman" w:cs="Times New Roman" w:eastAsia="Times New Roman" w:hint="default"/>
                <w:sz w:val="16"/>
                <w:szCs w:val="16"/>
              </w:rPr>
            </w:pPr>
            <w:r>
              <w:rPr>
                <w:rFonts w:ascii="Times New Roman"/>
                <w:w w:val="107"/>
                <w:sz w:val="16"/>
              </w:rPr>
              <w:t>-</w:t>
            </w:r>
            <w:r>
              <w:rPr>
                <w:rFonts w:ascii="Times New Roman"/>
                <w:sz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26"/>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三、 </w:t>
            </w:r>
            <w:r>
              <w:rPr>
                <w:rFonts w:ascii="Microsoft JhengHei" w:hAnsi="Microsoft JhengHei" w:cs="Microsoft JhengHei" w:eastAsia="Microsoft JhengHei" w:hint="default"/>
                <w:b/>
                <w:bCs/>
                <w:spacing w:val="9"/>
                <w:w w:val="105"/>
                <w:sz w:val="16"/>
                <w:szCs w:val="16"/>
              </w:rPr>
              <w:t>营业利润（ </w:t>
            </w:r>
            <w:r>
              <w:rPr>
                <w:rFonts w:ascii="Microsoft JhengHei" w:hAnsi="Microsoft JhengHei" w:cs="Microsoft JhengHei" w:eastAsia="Microsoft JhengHei" w:hint="default"/>
                <w:b/>
                <w:bCs/>
                <w:spacing w:val="8"/>
                <w:w w:val="105"/>
                <w:sz w:val="16"/>
                <w:szCs w:val="16"/>
              </w:rPr>
              <w:t>亏损以“-”</w:t>
            </w:r>
            <w:r>
              <w:rPr>
                <w:rFonts w:ascii="Microsoft JhengHei" w:hAnsi="Microsoft JhengHei" w:cs="Microsoft JhengHei" w:eastAsia="Microsoft JhengHei" w:hint="default"/>
                <w:b/>
                <w:bCs/>
                <w:spacing w:val="-8"/>
                <w:w w:val="105"/>
                <w:sz w:val="16"/>
                <w:szCs w:val="16"/>
              </w:rPr>
              <w:t> </w:t>
            </w:r>
            <w:r>
              <w:rPr>
                <w:rFonts w:ascii="Microsoft JhengHei" w:hAnsi="Microsoft JhengHei" w:cs="Microsoft JhengHei" w:eastAsia="Microsoft JhengHei" w:hint="default"/>
                <w:b/>
                <w:bCs/>
                <w:spacing w:val="9"/>
                <w:w w:val="105"/>
                <w:sz w:val="16"/>
                <w:szCs w:val="16"/>
              </w:rPr>
              <w:t>号填列）</w:t>
            </w:r>
            <w:r>
              <w:rPr>
                <w:rFonts w:ascii="Microsoft JhengHei" w:hAnsi="Microsoft JhengHei" w:cs="Microsoft JhengHei" w:eastAsia="Microsoft JhengHei" w:hint="default"/>
                <w:spacing w:val="9"/>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4"/>
              <w:ind w:right="70"/>
              <w:jc w:val="right"/>
              <w:rPr>
                <w:rFonts w:ascii="Times New Roman" w:hAnsi="Times New Roman" w:cs="Times New Roman" w:eastAsia="Times New Roman" w:hint="default"/>
                <w:sz w:val="16"/>
                <w:szCs w:val="16"/>
              </w:rPr>
            </w:pPr>
            <w:r>
              <w:rPr>
                <w:rFonts w:ascii="Times New Roman"/>
                <w:b/>
                <w:spacing w:val="3"/>
                <w:w w:val="105"/>
                <w:sz w:val="16"/>
              </w:rPr>
              <w:t>275,303,846.84</w:t>
            </w:r>
            <w:r>
              <w:rPr>
                <w:rFonts w:ascii="Times New Roman"/>
                <w:spacing w:val="3"/>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4"/>
              <w:ind w:right="86"/>
              <w:jc w:val="right"/>
              <w:rPr>
                <w:rFonts w:ascii="Times New Roman" w:hAnsi="Times New Roman" w:cs="Times New Roman" w:eastAsia="Times New Roman" w:hint="default"/>
                <w:sz w:val="16"/>
                <w:szCs w:val="16"/>
              </w:rPr>
            </w:pPr>
            <w:r>
              <w:rPr>
                <w:rFonts w:ascii="Times New Roman"/>
                <w:b/>
                <w:spacing w:val="3"/>
                <w:w w:val="105"/>
                <w:sz w:val="16"/>
              </w:rPr>
              <w:t>228,906,276.56</w:t>
            </w:r>
            <w:r>
              <w:rPr>
                <w:rFonts w:ascii="Times New Roman"/>
                <w:spacing w:val="3"/>
                <w:sz w:val="16"/>
              </w:rPr>
            </w: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84"/>
              <w:ind w:left="38" w:right="0"/>
              <w:jc w:val="left"/>
              <w:rPr>
                <w:rFonts w:ascii="宋体" w:hAnsi="宋体" w:cs="宋体" w:eastAsia="宋体" w:hint="default"/>
                <w:sz w:val="16"/>
                <w:szCs w:val="16"/>
              </w:rPr>
            </w:pPr>
            <w:r>
              <w:rPr>
                <w:rFonts w:ascii="宋体" w:hAnsi="宋体" w:cs="宋体" w:eastAsia="宋体" w:hint="default"/>
                <w:w w:val="105"/>
                <w:sz w:val="16"/>
                <w:szCs w:val="16"/>
              </w:rPr>
              <w:t>加：营业外收入</w:t>
            </w:r>
            <w:r>
              <w:rPr>
                <w:rFonts w:ascii="宋体" w:hAnsi="宋体" w:cs="宋体" w:eastAsia="宋体" w:hint="default"/>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五、39</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5,190,224.34</w:t>
            </w:r>
            <w:r>
              <w:rPr>
                <w:rFonts w:ascii="Times New Roman"/>
                <w:spacing w:val="-6"/>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1,121,012.34</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38" w:right="0"/>
              <w:jc w:val="left"/>
              <w:rPr>
                <w:rFonts w:ascii="宋体" w:hAnsi="宋体" w:cs="宋体" w:eastAsia="宋体" w:hint="default"/>
                <w:sz w:val="16"/>
                <w:szCs w:val="16"/>
              </w:rPr>
            </w:pPr>
            <w:r>
              <w:rPr>
                <w:rFonts w:ascii="宋体" w:hAnsi="宋体" w:cs="宋体" w:eastAsia="宋体" w:hint="default"/>
                <w:w w:val="105"/>
                <w:sz w:val="16"/>
                <w:szCs w:val="16"/>
              </w:rPr>
              <w:t>减：营业外支出</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88"/>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五、40</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54"/>
              <w:jc w:val="right"/>
              <w:rPr>
                <w:rFonts w:ascii="Times New Roman" w:hAnsi="Times New Roman" w:cs="Times New Roman" w:eastAsia="Times New Roman" w:hint="default"/>
                <w:sz w:val="16"/>
                <w:szCs w:val="16"/>
              </w:rPr>
            </w:pPr>
            <w:r>
              <w:rPr>
                <w:rFonts w:ascii="Times New Roman"/>
                <w:spacing w:val="-6"/>
                <w:w w:val="105"/>
                <w:sz w:val="16"/>
              </w:rPr>
              <w:t>8,297,231.39</w:t>
            </w:r>
            <w:r>
              <w:rPr>
                <w:rFonts w:ascii="Times New Roman"/>
                <w:spacing w:val="-6"/>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1"/>
              <w:ind w:right="69"/>
              <w:jc w:val="right"/>
              <w:rPr>
                <w:rFonts w:ascii="Times New Roman" w:hAnsi="Times New Roman" w:cs="Times New Roman" w:eastAsia="Times New Roman" w:hint="default"/>
                <w:sz w:val="16"/>
                <w:szCs w:val="16"/>
              </w:rPr>
            </w:pPr>
            <w:r>
              <w:rPr>
                <w:rFonts w:ascii="Times New Roman"/>
                <w:spacing w:val="-6"/>
                <w:w w:val="105"/>
                <w:sz w:val="16"/>
              </w:rPr>
              <w:t>3,315,203.06</w:t>
            </w:r>
            <w:r>
              <w:rPr>
                <w:rFonts w:ascii="Times New Roman"/>
                <w:spacing w:val="-6"/>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412" w:right="0"/>
              <w:jc w:val="left"/>
              <w:rPr>
                <w:rFonts w:ascii="宋体" w:hAnsi="宋体" w:cs="宋体" w:eastAsia="宋体" w:hint="default"/>
                <w:sz w:val="16"/>
                <w:szCs w:val="16"/>
              </w:rPr>
            </w:pPr>
            <w:r>
              <w:rPr>
                <w:rFonts w:ascii="宋体" w:hAnsi="宋体" w:cs="宋体" w:eastAsia="宋体" w:hint="default"/>
                <w:w w:val="105"/>
                <w:sz w:val="16"/>
                <w:szCs w:val="16"/>
              </w:rPr>
              <w:t>其中：非流动资产处置损失</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0"/>
              <w:ind w:right="54"/>
              <w:jc w:val="right"/>
              <w:rPr>
                <w:rFonts w:ascii="Times New Roman" w:hAnsi="Times New Roman" w:cs="Times New Roman" w:eastAsia="Times New Roman" w:hint="default"/>
                <w:sz w:val="16"/>
                <w:szCs w:val="16"/>
              </w:rPr>
            </w:pPr>
            <w:r>
              <w:rPr>
                <w:rFonts w:ascii="Times New Roman"/>
                <w:spacing w:val="-5"/>
                <w:w w:val="105"/>
                <w:sz w:val="16"/>
              </w:rPr>
              <w:t>8,540.00</w:t>
            </w:r>
            <w:r>
              <w:rPr>
                <w:rFonts w:ascii="Times New Roman"/>
                <w:spacing w:val="-5"/>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0"/>
              <w:ind w:right="69"/>
              <w:jc w:val="right"/>
              <w:rPr>
                <w:rFonts w:ascii="Times New Roman" w:hAnsi="Times New Roman" w:cs="Times New Roman" w:eastAsia="Times New Roman" w:hint="default"/>
                <w:sz w:val="16"/>
                <w:szCs w:val="16"/>
              </w:rPr>
            </w:pPr>
            <w:r>
              <w:rPr>
                <w:rFonts w:ascii="Times New Roman"/>
                <w:spacing w:val="-6"/>
                <w:w w:val="105"/>
                <w:sz w:val="16"/>
              </w:rPr>
              <w:t>380,000.00</w:t>
            </w:r>
            <w:r>
              <w:rPr>
                <w:rFonts w:ascii="Times New Roman"/>
                <w:spacing w:val="-6"/>
                <w:sz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26"/>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四、 </w:t>
            </w:r>
            <w:r>
              <w:rPr>
                <w:rFonts w:ascii="Microsoft JhengHei" w:hAnsi="Microsoft JhengHei" w:cs="Microsoft JhengHei" w:eastAsia="Microsoft JhengHei" w:hint="default"/>
                <w:b/>
                <w:bCs/>
                <w:spacing w:val="9"/>
                <w:w w:val="105"/>
                <w:sz w:val="16"/>
                <w:szCs w:val="16"/>
              </w:rPr>
              <w:t>利润总额（ </w:t>
            </w:r>
            <w:r>
              <w:rPr>
                <w:rFonts w:ascii="Microsoft JhengHei" w:hAnsi="Microsoft JhengHei" w:cs="Microsoft JhengHei" w:eastAsia="Microsoft JhengHei" w:hint="default"/>
                <w:b/>
                <w:bCs/>
                <w:spacing w:val="11"/>
                <w:w w:val="105"/>
                <w:sz w:val="16"/>
                <w:szCs w:val="16"/>
              </w:rPr>
              <w:t>亏损总额以“-”</w:t>
            </w:r>
            <w:r>
              <w:rPr>
                <w:rFonts w:ascii="Microsoft JhengHei" w:hAnsi="Microsoft JhengHei" w:cs="Microsoft JhengHei" w:eastAsia="Microsoft JhengHei" w:hint="default"/>
                <w:b/>
                <w:bCs/>
                <w:spacing w:val="-1"/>
                <w:w w:val="105"/>
                <w:sz w:val="16"/>
                <w:szCs w:val="16"/>
              </w:rPr>
              <w:t> </w:t>
            </w:r>
            <w:r>
              <w:rPr>
                <w:rFonts w:ascii="Microsoft JhengHei" w:hAnsi="Microsoft JhengHei" w:cs="Microsoft JhengHei" w:eastAsia="Microsoft JhengHei" w:hint="default"/>
                <w:b/>
                <w:bCs/>
                <w:spacing w:val="9"/>
                <w:w w:val="105"/>
                <w:sz w:val="16"/>
                <w:szCs w:val="16"/>
              </w:rPr>
              <w:t>号填列）</w:t>
            </w:r>
            <w:r>
              <w:rPr>
                <w:rFonts w:ascii="Microsoft JhengHei" w:hAnsi="Microsoft JhengHei" w:cs="Microsoft JhengHei" w:eastAsia="Microsoft JhengHei" w:hint="default"/>
                <w:spacing w:val="9"/>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5"/>
              <w:ind w:right="70"/>
              <w:jc w:val="right"/>
              <w:rPr>
                <w:rFonts w:ascii="Times New Roman" w:hAnsi="Times New Roman" w:cs="Times New Roman" w:eastAsia="Times New Roman" w:hint="default"/>
                <w:sz w:val="16"/>
                <w:szCs w:val="16"/>
              </w:rPr>
            </w:pPr>
            <w:r>
              <w:rPr>
                <w:rFonts w:ascii="Times New Roman"/>
                <w:b/>
                <w:spacing w:val="3"/>
                <w:w w:val="105"/>
                <w:sz w:val="16"/>
              </w:rPr>
              <w:t>272,196,839.79</w:t>
            </w:r>
            <w:r>
              <w:rPr>
                <w:rFonts w:ascii="Times New Roman"/>
                <w:spacing w:val="3"/>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5"/>
              <w:ind w:right="86"/>
              <w:jc w:val="right"/>
              <w:rPr>
                <w:rFonts w:ascii="Times New Roman" w:hAnsi="Times New Roman" w:cs="Times New Roman" w:eastAsia="Times New Roman" w:hint="default"/>
                <w:sz w:val="16"/>
                <w:szCs w:val="16"/>
              </w:rPr>
            </w:pPr>
            <w:r>
              <w:rPr>
                <w:rFonts w:ascii="Times New Roman"/>
                <w:b/>
                <w:spacing w:val="3"/>
                <w:w w:val="105"/>
                <w:sz w:val="16"/>
              </w:rPr>
              <w:t>226,712,085.84</w:t>
            </w:r>
            <w:r>
              <w:rPr>
                <w:rFonts w:ascii="Times New Roman"/>
                <w:spacing w:val="3"/>
                <w:sz w:val="16"/>
              </w:rPr>
            </w:r>
          </w:p>
        </w:tc>
      </w:tr>
      <w:tr>
        <w:trPr>
          <w:trHeight w:val="428" w:hRule="exact"/>
        </w:trPr>
        <w:tc>
          <w:tcPr>
            <w:tcW w:w="43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4"/>
              <w:ind w:left="38" w:right="0"/>
              <w:jc w:val="left"/>
              <w:rPr>
                <w:rFonts w:ascii="宋体" w:hAnsi="宋体" w:cs="宋体" w:eastAsia="宋体" w:hint="default"/>
                <w:sz w:val="16"/>
                <w:szCs w:val="16"/>
              </w:rPr>
            </w:pPr>
            <w:r>
              <w:rPr>
                <w:rFonts w:ascii="宋体" w:hAnsi="宋体" w:cs="宋体" w:eastAsia="宋体" w:hint="default"/>
                <w:w w:val="105"/>
                <w:sz w:val="16"/>
                <w:szCs w:val="16"/>
              </w:rPr>
              <w:t>减：所得税费用</w:t>
            </w:r>
            <w:r>
              <w:rPr>
                <w:rFonts w:ascii="宋体" w:hAnsi="宋体" w:cs="宋体" w:eastAsia="宋体" w:hint="default"/>
                <w:sz w:val="16"/>
                <w:szCs w:val="16"/>
              </w:rPr>
            </w:r>
          </w:p>
        </w:tc>
        <w:tc>
          <w:tcPr>
            <w:tcW w:w="915"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五、41</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78,097,456.94</w:t>
            </w:r>
            <w:r>
              <w:rPr>
                <w:rFonts w:ascii="Times New Roman"/>
                <w:spacing w:val="-6"/>
                <w:sz w:val="16"/>
              </w:rPr>
            </w:r>
          </w:p>
        </w:tc>
        <w:tc>
          <w:tcPr>
            <w:tcW w:w="21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86,233,621.66</w:t>
            </w:r>
            <w:r>
              <w:rPr>
                <w:rFonts w:ascii="Times New Roman"/>
                <w:spacing w:val="-6"/>
                <w:sz w:val="16"/>
              </w:rPr>
            </w: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32"/>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10"/>
                <w:sz w:val="16"/>
                <w:szCs w:val="16"/>
              </w:rPr>
              <w:t>五、</w:t>
            </w:r>
            <w:r>
              <w:rPr>
                <w:rFonts w:ascii="Microsoft JhengHei" w:hAnsi="Microsoft JhengHei" w:cs="Microsoft JhengHei" w:eastAsia="Microsoft JhengHei" w:hint="default"/>
                <w:b/>
                <w:bCs/>
                <w:spacing w:val="-35"/>
                <w:w w:val="110"/>
                <w:sz w:val="16"/>
                <w:szCs w:val="16"/>
              </w:rPr>
              <w:t> </w:t>
            </w:r>
            <w:r>
              <w:rPr>
                <w:rFonts w:ascii="Microsoft JhengHei" w:hAnsi="Microsoft JhengHei" w:cs="Microsoft JhengHei" w:eastAsia="Microsoft JhengHei" w:hint="default"/>
                <w:b/>
                <w:bCs/>
                <w:spacing w:val="8"/>
                <w:w w:val="110"/>
                <w:sz w:val="16"/>
                <w:szCs w:val="16"/>
              </w:rPr>
              <w:t>净利润（</w:t>
            </w:r>
            <w:r>
              <w:rPr>
                <w:rFonts w:ascii="Microsoft JhengHei" w:hAnsi="Microsoft JhengHei" w:cs="Microsoft JhengHei" w:eastAsia="Microsoft JhengHei" w:hint="default"/>
                <w:b/>
                <w:bCs/>
                <w:spacing w:val="-35"/>
                <w:w w:val="110"/>
                <w:sz w:val="16"/>
                <w:szCs w:val="16"/>
              </w:rPr>
              <w:t> </w:t>
            </w:r>
            <w:r>
              <w:rPr>
                <w:rFonts w:ascii="Microsoft JhengHei" w:hAnsi="Microsoft JhengHei" w:cs="Microsoft JhengHei" w:eastAsia="Microsoft JhengHei" w:hint="default"/>
                <w:b/>
                <w:bCs/>
                <w:spacing w:val="9"/>
                <w:w w:val="110"/>
                <w:sz w:val="16"/>
                <w:szCs w:val="16"/>
              </w:rPr>
              <w:t>净亏损以“-”</w:t>
            </w:r>
            <w:r>
              <w:rPr>
                <w:rFonts w:ascii="Microsoft JhengHei" w:hAnsi="Microsoft JhengHei" w:cs="Microsoft JhengHei" w:eastAsia="Microsoft JhengHei" w:hint="default"/>
                <w:b/>
                <w:bCs/>
                <w:spacing w:val="-35"/>
                <w:w w:val="110"/>
                <w:sz w:val="16"/>
                <w:szCs w:val="16"/>
              </w:rPr>
              <w:t> </w:t>
            </w:r>
            <w:r>
              <w:rPr>
                <w:rFonts w:ascii="Microsoft JhengHei" w:hAnsi="Microsoft JhengHei" w:cs="Microsoft JhengHei" w:eastAsia="Microsoft JhengHei" w:hint="default"/>
                <w:b/>
                <w:bCs/>
                <w:spacing w:val="9"/>
                <w:w w:val="110"/>
                <w:sz w:val="16"/>
                <w:szCs w:val="16"/>
              </w:rPr>
              <w:t>号填列)</w:t>
            </w:r>
            <w:r>
              <w:rPr>
                <w:rFonts w:ascii="Microsoft JhengHei" w:hAnsi="Microsoft JhengHei" w:cs="Microsoft JhengHei" w:eastAsia="Microsoft JhengHei" w:hint="default"/>
                <w:spacing w:val="9"/>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70"/>
              <w:jc w:val="right"/>
              <w:rPr>
                <w:rFonts w:ascii="Times New Roman" w:hAnsi="Times New Roman" w:cs="Times New Roman" w:eastAsia="Times New Roman" w:hint="default"/>
                <w:sz w:val="16"/>
                <w:szCs w:val="16"/>
              </w:rPr>
            </w:pPr>
            <w:r>
              <w:rPr>
                <w:rFonts w:ascii="Times New Roman"/>
                <w:b/>
                <w:spacing w:val="3"/>
                <w:w w:val="105"/>
                <w:sz w:val="16"/>
              </w:rPr>
              <w:t>194,099,382.85</w:t>
            </w:r>
            <w:r>
              <w:rPr>
                <w:rFonts w:ascii="Times New Roman"/>
                <w:spacing w:val="3"/>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86"/>
              <w:jc w:val="right"/>
              <w:rPr>
                <w:rFonts w:ascii="Times New Roman" w:hAnsi="Times New Roman" w:cs="Times New Roman" w:eastAsia="Times New Roman" w:hint="default"/>
                <w:sz w:val="16"/>
                <w:szCs w:val="16"/>
              </w:rPr>
            </w:pPr>
            <w:r>
              <w:rPr>
                <w:rFonts w:ascii="Times New Roman"/>
                <w:b/>
                <w:spacing w:val="3"/>
                <w:w w:val="105"/>
                <w:sz w:val="16"/>
              </w:rPr>
              <w:t>140,478,464.18</w:t>
            </w:r>
            <w:r>
              <w:rPr>
                <w:rFonts w:ascii="Times New Roman"/>
                <w:spacing w:val="3"/>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412" w:right="0"/>
              <w:jc w:val="left"/>
              <w:rPr>
                <w:rFonts w:ascii="宋体" w:hAnsi="宋体" w:cs="宋体" w:eastAsia="宋体" w:hint="default"/>
                <w:sz w:val="16"/>
                <w:szCs w:val="16"/>
              </w:rPr>
            </w:pPr>
            <w:r>
              <w:rPr>
                <w:rFonts w:ascii="宋体" w:hAnsi="宋体" w:cs="宋体" w:eastAsia="宋体" w:hint="default"/>
                <w:w w:val="105"/>
                <w:sz w:val="16"/>
                <w:szCs w:val="16"/>
              </w:rPr>
              <w:t>归属于母公司所有者的净利润</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54"/>
              <w:jc w:val="right"/>
              <w:rPr>
                <w:rFonts w:ascii="Times New Roman" w:hAnsi="Times New Roman" w:cs="Times New Roman" w:eastAsia="Times New Roman" w:hint="default"/>
                <w:sz w:val="16"/>
                <w:szCs w:val="16"/>
              </w:rPr>
            </w:pPr>
            <w:r>
              <w:rPr>
                <w:rFonts w:ascii="Times New Roman"/>
                <w:spacing w:val="-6"/>
                <w:w w:val="105"/>
                <w:sz w:val="16"/>
              </w:rPr>
              <w:t>193,932,203.55</w:t>
            </w:r>
            <w:r>
              <w:rPr>
                <w:rFonts w:ascii="Times New Roman"/>
                <w:spacing w:val="-6"/>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1"/>
              <w:ind w:right="69"/>
              <w:jc w:val="right"/>
              <w:rPr>
                <w:rFonts w:ascii="Times New Roman" w:hAnsi="Times New Roman" w:cs="Times New Roman" w:eastAsia="Times New Roman" w:hint="default"/>
                <w:sz w:val="16"/>
                <w:szCs w:val="16"/>
              </w:rPr>
            </w:pPr>
            <w:r>
              <w:rPr>
                <w:rFonts w:ascii="Times New Roman"/>
                <w:spacing w:val="-6"/>
                <w:w w:val="105"/>
                <w:sz w:val="16"/>
              </w:rPr>
              <w:t>140,080,654.63</w:t>
            </w:r>
            <w:r>
              <w:rPr>
                <w:rFonts w:ascii="Times New Roman"/>
                <w:spacing w:val="-6"/>
                <w:sz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77"/>
              <w:ind w:left="412" w:right="0"/>
              <w:jc w:val="left"/>
              <w:rPr>
                <w:rFonts w:ascii="宋体" w:hAnsi="宋体" w:cs="宋体" w:eastAsia="宋体" w:hint="default"/>
                <w:sz w:val="16"/>
                <w:szCs w:val="16"/>
              </w:rPr>
            </w:pPr>
            <w:r>
              <w:rPr>
                <w:rFonts w:ascii="宋体" w:hAnsi="宋体" w:cs="宋体" w:eastAsia="宋体" w:hint="default"/>
                <w:w w:val="105"/>
                <w:sz w:val="16"/>
                <w:szCs w:val="16"/>
              </w:rPr>
              <w:t>少数股东损益</w:t>
            </w:r>
            <w:r>
              <w:rPr>
                <w:rFonts w:ascii="宋体" w:hAnsi="宋体" w:cs="宋体" w:eastAsia="宋体" w:hint="default"/>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5"/>
              <w:ind w:right="54"/>
              <w:jc w:val="right"/>
              <w:rPr>
                <w:rFonts w:ascii="Times New Roman" w:hAnsi="Times New Roman" w:cs="Times New Roman" w:eastAsia="Times New Roman" w:hint="default"/>
                <w:sz w:val="16"/>
                <w:szCs w:val="16"/>
              </w:rPr>
            </w:pPr>
            <w:r>
              <w:rPr>
                <w:rFonts w:ascii="Times New Roman"/>
                <w:spacing w:val="-5"/>
                <w:w w:val="105"/>
                <w:sz w:val="16"/>
              </w:rPr>
              <w:t>167,179.30</w:t>
            </w:r>
            <w:r>
              <w:rPr>
                <w:rFonts w:ascii="Times New Roman"/>
                <w:spacing w:val="-5"/>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5"/>
              <w:ind w:right="69"/>
              <w:jc w:val="right"/>
              <w:rPr>
                <w:rFonts w:ascii="Times New Roman" w:hAnsi="Times New Roman" w:cs="Times New Roman" w:eastAsia="Times New Roman" w:hint="default"/>
                <w:sz w:val="16"/>
                <w:szCs w:val="16"/>
              </w:rPr>
            </w:pPr>
            <w:r>
              <w:rPr>
                <w:rFonts w:ascii="Times New Roman"/>
                <w:spacing w:val="-6"/>
                <w:w w:val="105"/>
                <w:sz w:val="16"/>
              </w:rPr>
              <w:t>397,809.55</w:t>
            </w:r>
            <w:r>
              <w:rPr>
                <w:rFonts w:ascii="Times New Roman"/>
                <w:spacing w:val="-6"/>
                <w:sz w:val="16"/>
              </w:rPr>
            </w:r>
          </w:p>
        </w:tc>
      </w:tr>
      <w:tr>
        <w:trPr>
          <w:trHeight w:val="428" w:hRule="exact"/>
        </w:trPr>
        <w:tc>
          <w:tcPr>
            <w:tcW w:w="43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六、</w:t>
            </w:r>
            <w:r>
              <w:rPr>
                <w:rFonts w:ascii="Microsoft JhengHei" w:hAnsi="Microsoft JhengHei" w:cs="Microsoft JhengHei" w:eastAsia="Microsoft JhengHei" w:hint="default"/>
                <w:b/>
                <w:bCs/>
                <w:spacing w:val="4"/>
                <w:w w:val="105"/>
                <w:sz w:val="16"/>
                <w:szCs w:val="16"/>
              </w:rPr>
              <w:t> </w:t>
            </w:r>
            <w:r>
              <w:rPr>
                <w:rFonts w:ascii="Microsoft JhengHei" w:hAnsi="Microsoft JhengHei" w:cs="Microsoft JhengHei" w:eastAsia="Microsoft JhengHei" w:hint="default"/>
                <w:b/>
                <w:bCs/>
                <w:spacing w:val="6"/>
                <w:w w:val="105"/>
                <w:sz w:val="16"/>
                <w:szCs w:val="16"/>
              </w:rPr>
              <w:t>每股收益：</w:t>
            </w:r>
            <w:r>
              <w:rPr>
                <w:rFonts w:ascii="Microsoft JhengHei" w:hAnsi="Microsoft JhengHei" w:cs="Microsoft JhengHei" w:eastAsia="Microsoft JhengHei" w:hint="default"/>
                <w:spacing w:val="6"/>
                <w:sz w:val="16"/>
                <w:szCs w:val="16"/>
              </w:rPr>
            </w:r>
          </w:p>
        </w:tc>
        <w:tc>
          <w:tcPr>
            <w:tcW w:w="915" w:type="dxa"/>
            <w:tcBorders>
              <w:top w:val="single" w:sz="4" w:space="0" w:color="000000"/>
              <w:left w:val="single" w:sz="4" w:space="0" w:color="000000"/>
              <w:bottom w:val="single" w:sz="4" w:space="0" w:color="000000"/>
              <w:right w:val="single" w:sz="6" w:space="0" w:color="000000"/>
            </w:tcBorders>
          </w:tcPr>
          <w:p>
            <w:pPr/>
          </w:p>
        </w:tc>
        <w:tc>
          <w:tcPr>
            <w:tcW w:w="2184" w:type="dxa"/>
            <w:tcBorders>
              <w:top w:val="single" w:sz="4" w:space="0" w:color="000000"/>
              <w:left w:val="single" w:sz="6" w:space="0" w:color="000000"/>
              <w:bottom w:val="single" w:sz="4" w:space="0" w:color="000000"/>
              <w:right w:val="single" w:sz="6" w:space="0" w:color="000000"/>
            </w:tcBorders>
          </w:tcPr>
          <w:p>
            <w:pPr/>
          </w:p>
        </w:tc>
        <w:tc>
          <w:tcPr>
            <w:tcW w:w="2192" w:type="dxa"/>
            <w:tcBorders>
              <w:top w:val="single" w:sz="4" w:space="0" w:color="000000"/>
              <w:left w:val="single" w:sz="6" w:space="0" w:color="000000"/>
              <w:bottom w:val="single" w:sz="4" w:space="0" w:color="000000"/>
              <w:right w:val="nil" w:sz="6" w:space="0" w:color="auto"/>
            </w:tcBorders>
          </w:tcPr>
          <w:p>
            <w:pP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83"/>
              <w:ind w:left="412" w:right="0"/>
              <w:jc w:val="left"/>
              <w:rPr>
                <w:rFonts w:ascii="宋体" w:hAnsi="宋体" w:cs="宋体" w:eastAsia="宋体" w:hint="default"/>
                <w:sz w:val="16"/>
                <w:szCs w:val="16"/>
              </w:rPr>
            </w:pPr>
            <w:r>
              <w:rPr>
                <w:rFonts w:ascii="宋体" w:hAnsi="宋体" w:cs="宋体" w:eastAsia="宋体" w:hint="default"/>
                <w:w w:val="105"/>
                <w:sz w:val="16"/>
                <w:szCs w:val="16"/>
              </w:rPr>
              <w:t>（一）基本每股收益</w:t>
            </w:r>
            <w:r>
              <w:rPr>
                <w:rFonts w:ascii="宋体" w:hAnsi="宋体" w:cs="宋体" w:eastAsia="宋体" w:hint="default"/>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93"/>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五、42</w:t>
            </w:r>
            <w:r>
              <w:rPr>
                <w:rFonts w:ascii="宋体" w:hAnsi="宋体" w:cs="宋体" w:eastAsia="宋体" w:hint="default"/>
                <w:spacing w:val="-3"/>
                <w:sz w:val="16"/>
                <w:szCs w:val="16"/>
              </w:rPr>
            </w: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55"/>
              <w:jc w:val="right"/>
              <w:rPr>
                <w:rFonts w:ascii="Times New Roman" w:hAnsi="Times New Roman" w:cs="Times New Roman" w:eastAsia="Times New Roman" w:hint="default"/>
                <w:sz w:val="16"/>
                <w:szCs w:val="16"/>
              </w:rPr>
            </w:pPr>
            <w:r>
              <w:rPr>
                <w:rFonts w:ascii="Times New Roman"/>
                <w:spacing w:val="-4"/>
                <w:w w:val="105"/>
                <w:sz w:val="16"/>
              </w:rPr>
              <w:t>0.41</w:t>
            </w:r>
            <w:r>
              <w:rPr>
                <w:rFonts w:ascii="Times New Roman"/>
                <w:spacing w:val="-4"/>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70"/>
              <w:jc w:val="right"/>
              <w:rPr>
                <w:rFonts w:ascii="Times New Roman" w:hAnsi="Times New Roman" w:cs="Times New Roman" w:eastAsia="Times New Roman" w:hint="default"/>
                <w:sz w:val="16"/>
                <w:szCs w:val="16"/>
              </w:rPr>
            </w:pPr>
            <w:r>
              <w:rPr>
                <w:rFonts w:ascii="Times New Roman"/>
                <w:spacing w:val="-5"/>
                <w:w w:val="105"/>
                <w:sz w:val="16"/>
              </w:rPr>
              <w:t>0.30</w:t>
            </w:r>
            <w:r>
              <w:rPr>
                <w:rFonts w:ascii="Times New Roman"/>
                <w:spacing w:val="-5"/>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78"/>
              <w:ind w:left="412" w:right="0"/>
              <w:jc w:val="left"/>
              <w:rPr>
                <w:rFonts w:ascii="宋体" w:hAnsi="宋体" w:cs="宋体" w:eastAsia="宋体" w:hint="default"/>
                <w:sz w:val="16"/>
                <w:szCs w:val="16"/>
              </w:rPr>
            </w:pPr>
            <w:r>
              <w:rPr>
                <w:rFonts w:ascii="宋体" w:hAnsi="宋体" w:cs="宋体" w:eastAsia="宋体" w:hint="default"/>
                <w:w w:val="105"/>
                <w:sz w:val="16"/>
                <w:szCs w:val="16"/>
              </w:rPr>
              <w:t>（二）稀释每股收益</w:t>
            </w:r>
            <w:r>
              <w:rPr>
                <w:rFonts w:ascii="宋体" w:hAnsi="宋体" w:cs="宋体" w:eastAsia="宋体" w:hint="default"/>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92"/>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五、42</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1"/>
              <w:ind w:right="55"/>
              <w:jc w:val="right"/>
              <w:rPr>
                <w:rFonts w:ascii="Times New Roman" w:hAnsi="Times New Roman" w:cs="Times New Roman" w:eastAsia="Times New Roman" w:hint="default"/>
                <w:sz w:val="16"/>
                <w:szCs w:val="16"/>
              </w:rPr>
            </w:pPr>
            <w:r>
              <w:rPr>
                <w:rFonts w:ascii="Times New Roman"/>
                <w:spacing w:val="-4"/>
                <w:w w:val="105"/>
                <w:sz w:val="16"/>
              </w:rPr>
              <w:t>0.41</w:t>
            </w:r>
            <w:r>
              <w:rPr>
                <w:rFonts w:ascii="Times New Roman"/>
                <w:spacing w:val="-4"/>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1"/>
              <w:ind w:right="70"/>
              <w:jc w:val="right"/>
              <w:rPr>
                <w:rFonts w:ascii="Times New Roman" w:hAnsi="Times New Roman" w:cs="Times New Roman" w:eastAsia="Times New Roman" w:hint="default"/>
                <w:sz w:val="16"/>
                <w:szCs w:val="16"/>
              </w:rPr>
            </w:pPr>
            <w:r>
              <w:rPr>
                <w:rFonts w:ascii="Times New Roman"/>
                <w:spacing w:val="-5"/>
                <w:w w:val="105"/>
                <w:sz w:val="16"/>
              </w:rPr>
              <w:t>0.30</w:t>
            </w:r>
            <w:r>
              <w:rPr>
                <w:rFonts w:ascii="Times New Roman"/>
                <w:spacing w:val="-5"/>
                <w:sz w:val="16"/>
              </w:rPr>
            </w:r>
          </w:p>
        </w:tc>
      </w:tr>
      <w:tr>
        <w:trPr>
          <w:trHeight w:val="428" w:hRule="exact"/>
        </w:trPr>
        <w:tc>
          <w:tcPr>
            <w:tcW w:w="4347"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27"/>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七、</w:t>
            </w:r>
            <w:r>
              <w:rPr>
                <w:rFonts w:ascii="Microsoft JhengHei" w:hAnsi="Microsoft JhengHei" w:cs="Microsoft JhengHei" w:eastAsia="Microsoft JhengHei" w:hint="default"/>
                <w:b/>
                <w:bCs/>
                <w:spacing w:val="6"/>
                <w:w w:val="105"/>
                <w:sz w:val="16"/>
                <w:szCs w:val="16"/>
              </w:rPr>
              <w:t> </w:t>
            </w:r>
            <w:r>
              <w:rPr>
                <w:rFonts w:ascii="Microsoft JhengHei" w:hAnsi="Microsoft JhengHei" w:cs="Microsoft JhengHei" w:eastAsia="Microsoft JhengHei" w:hint="default"/>
                <w:b/>
                <w:bCs/>
                <w:spacing w:val="10"/>
                <w:w w:val="105"/>
                <w:sz w:val="16"/>
                <w:szCs w:val="16"/>
              </w:rPr>
              <w:t>其他综合收益</w:t>
            </w:r>
            <w:r>
              <w:rPr>
                <w:rFonts w:ascii="Microsoft JhengHei" w:hAnsi="Microsoft JhengHei" w:cs="Microsoft JhengHei" w:eastAsia="Microsoft JhengHei" w:hint="default"/>
                <w:spacing w:val="10"/>
                <w:sz w:val="16"/>
                <w:szCs w:val="16"/>
              </w:rPr>
            </w:r>
          </w:p>
        </w:tc>
        <w:tc>
          <w:tcPr>
            <w:tcW w:w="915"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92"/>
              <w:ind w:right="15"/>
              <w:jc w:val="center"/>
              <w:rPr>
                <w:rFonts w:ascii="宋体" w:hAnsi="宋体" w:cs="宋体" w:eastAsia="宋体" w:hint="default"/>
                <w:sz w:val="16"/>
                <w:szCs w:val="16"/>
              </w:rPr>
            </w:pPr>
            <w:r>
              <w:rPr>
                <w:rFonts w:ascii="宋体" w:hAnsi="宋体" w:cs="宋体" w:eastAsia="宋体" w:hint="default"/>
                <w:spacing w:val="-3"/>
                <w:w w:val="105"/>
                <w:sz w:val="16"/>
                <w:szCs w:val="16"/>
              </w:rPr>
              <w:t>五、43</w:t>
            </w:r>
            <w:r>
              <w:rPr>
                <w:rFonts w:ascii="宋体" w:hAnsi="宋体" w:cs="宋体" w:eastAsia="宋体" w:hint="default"/>
                <w:spacing w:val="-3"/>
                <w:sz w:val="16"/>
                <w:szCs w:val="16"/>
              </w:rPr>
            </w:r>
          </w:p>
        </w:tc>
        <w:tc>
          <w:tcPr>
            <w:tcW w:w="21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5"/>
              <w:ind w:right="70"/>
              <w:jc w:val="right"/>
              <w:rPr>
                <w:rFonts w:ascii="Times New Roman" w:hAnsi="Times New Roman" w:cs="Times New Roman" w:eastAsia="Times New Roman" w:hint="default"/>
                <w:sz w:val="16"/>
                <w:szCs w:val="16"/>
              </w:rPr>
            </w:pPr>
            <w:r>
              <w:rPr>
                <w:rFonts w:ascii="Times New Roman"/>
                <w:b/>
                <w:spacing w:val="2"/>
                <w:w w:val="105"/>
                <w:sz w:val="16"/>
              </w:rPr>
              <w:t>-871,022.93</w:t>
            </w:r>
            <w:r>
              <w:rPr>
                <w:rFonts w:ascii="Times New Roman"/>
                <w:spacing w:val="2"/>
                <w:sz w:val="16"/>
              </w:rPr>
            </w:r>
          </w:p>
        </w:tc>
        <w:tc>
          <w:tcPr>
            <w:tcW w:w="21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5"/>
              <w:ind w:right="85"/>
              <w:jc w:val="right"/>
              <w:rPr>
                <w:rFonts w:ascii="Times New Roman" w:hAnsi="Times New Roman" w:cs="Times New Roman" w:eastAsia="Times New Roman" w:hint="default"/>
                <w:sz w:val="16"/>
                <w:szCs w:val="16"/>
              </w:rPr>
            </w:pPr>
            <w:r>
              <w:rPr>
                <w:rFonts w:ascii="Times New Roman"/>
                <w:b/>
                <w:spacing w:val="2"/>
                <w:w w:val="105"/>
                <w:sz w:val="16"/>
              </w:rPr>
              <w:t>-15,298,925.47</w:t>
            </w:r>
            <w:r>
              <w:rPr>
                <w:rFonts w:ascii="Times New Roman"/>
                <w:spacing w:val="2"/>
                <w:sz w:val="16"/>
              </w:rPr>
            </w:r>
          </w:p>
        </w:tc>
      </w:tr>
      <w:tr>
        <w:trPr>
          <w:trHeight w:val="428" w:hRule="exact"/>
        </w:trPr>
        <w:tc>
          <w:tcPr>
            <w:tcW w:w="4347"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26"/>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7"/>
                <w:w w:val="105"/>
                <w:sz w:val="16"/>
                <w:szCs w:val="16"/>
              </w:rPr>
              <w:t>八、</w:t>
            </w:r>
            <w:r>
              <w:rPr>
                <w:rFonts w:ascii="Microsoft JhengHei" w:hAnsi="Microsoft JhengHei" w:cs="Microsoft JhengHei" w:eastAsia="Microsoft JhengHei" w:hint="default"/>
                <w:b/>
                <w:bCs/>
                <w:spacing w:val="6"/>
                <w:w w:val="105"/>
                <w:sz w:val="16"/>
                <w:szCs w:val="16"/>
              </w:rPr>
              <w:t> </w:t>
            </w:r>
            <w:r>
              <w:rPr>
                <w:rFonts w:ascii="Microsoft JhengHei" w:hAnsi="Microsoft JhengHei" w:cs="Microsoft JhengHei" w:eastAsia="Microsoft JhengHei" w:hint="default"/>
                <w:b/>
                <w:bCs/>
                <w:spacing w:val="10"/>
                <w:w w:val="105"/>
                <w:sz w:val="16"/>
                <w:szCs w:val="16"/>
              </w:rPr>
              <w:t>综合收益总额</w:t>
            </w:r>
            <w:r>
              <w:rPr>
                <w:rFonts w:ascii="Microsoft JhengHei" w:hAnsi="Microsoft JhengHei" w:cs="Microsoft JhengHei" w:eastAsia="Microsoft JhengHei" w:hint="default"/>
                <w:spacing w:val="10"/>
                <w:sz w:val="16"/>
                <w:szCs w:val="16"/>
              </w:rPr>
            </w:r>
          </w:p>
        </w:tc>
        <w:tc>
          <w:tcPr>
            <w:tcW w:w="915" w:type="dxa"/>
            <w:tcBorders>
              <w:top w:val="single" w:sz="6" w:space="0" w:color="000000"/>
              <w:left w:val="single" w:sz="4" w:space="0" w:color="000000"/>
              <w:bottom w:val="single" w:sz="4" w:space="0" w:color="000000"/>
              <w:right w:val="single" w:sz="6" w:space="0" w:color="000000"/>
            </w:tcBorders>
          </w:tcPr>
          <w:p>
            <w:pPr/>
          </w:p>
        </w:tc>
        <w:tc>
          <w:tcPr>
            <w:tcW w:w="218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14"/>
              <w:ind w:right="70"/>
              <w:jc w:val="right"/>
              <w:rPr>
                <w:rFonts w:ascii="Times New Roman" w:hAnsi="Times New Roman" w:cs="Times New Roman" w:eastAsia="Times New Roman" w:hint="default"/>
                <w:sz w:val="16"/>
                <w:szCs w:val="16"/>
              </w:rPr>
            </w:pPr>
            <w:r>
              <w:rPr>
                <w:rFonts w:ascii="Times New Roman"/>
                <w:b/>
                <w:spacing w:val="3"/>
                <w:w w:val="105"/>
                <w:sz w:val="16"/>
              </w:rPr>
              <w:t>193,228,359.92</w:t>
            </w:r>
            <w:r>
              <w:rPr>
                <w:rFonts w:ascii="Times New Roman"/>
                <w:spacing w:val="3"/>
                <w:sz w:val="16"/>
              </w:rPr>
            </w:r>
          </w:p>
        </w:tc>
        <w:tc>
          <w:tcPr>
            <w:tcW w:w="2192"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114"/>
              <w:ind w:right="86"/>
              <w:jc w:val="right"/>
              <w:rPr>
                <w:rFonts w:ascii="Times New Roman" w:hAnsi="Times New Roman" w:cs="Times New Roman" w:eastAsia="Times New Roman" w:hint="default"/>
                <w:sz w:val="16"/>
                <w:szCs w:val="16"/>
              </w:rPr>
            </w:pPr>
            <w:r>
              <w:rPr>
                <w:rFonts w:ascii="Times New Roman"/>
                <w:b/>
                <w:spacing w:val="3"/>
                <w:w w:val="105"/>
                <w:sz w:val="16"/>
              </w:rPr>
              <w:t>125,179,538.71</w:t>
            </w:r>
            <w:r>
              <w:rPr>
                <w:rFonts w:ascii="Times New Roman"/>
                <w:spacing w:val="3"/>
                <w:sz w:val="16"/>
              </w:rPr>
            </w:r>
          </w:p>
        </w:tc>
      </w:tr>
      <w:tr>
        <w:trPr>
          <w:trHeight w:val="430" w:hRule="exact"/>
        </w:trPr>
        <w:tc>
          <w:tcPr>
            <w:tcW w:w="4347"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84"/>
              <w:ind w:left="412" w:right="0"/>
              <w:jc w:val="left"/>
              <w:rPr>
                <w:rFonts w:ascii="宋体" w:hAnsi="宋体" w:cs="宋体" w:eastAsia="宋体" w:hint="default"/>
                <w:sz w:val="16"/>
                <w:szCs w:val="16"/>
              </w:rPr>
            </w:pPr>
            <w:r>
              <w:rPr>
                <w:rFonts w:ascii="宋体" w:hAnsi="宋体" w:cs="宋体" w:eastAsia="宋体" w:hint="default"/>
                <w:w w:val="105"/>
                <w:sz w:val="16"/>
                <w:szCs w:val="16"/>
              </w:rPr>
              <w:t>归属于母公司所有者的综合收益总额</w:t>
            </w:r>
            <w:r>
              <w:rPr>
                <w:rFonts w:ascii="宋体" w:hAnsi="宋体" w:cs="宋体" w:eastAsia="宋体" w:hint="default"/>
                <w:sz w:val="16"/>
                <w:szCs w:val="16"/>
              </w:rPr>
            </w:r>
          </w:p>
        </w:tc>
        <w:tc>
          <w:tcPr>
            <w:tcW w:w="915" w:type="dxa"/>
            <w:tcBorders>
              <w:top w:val="single" w:sz="4" w:space="0" w:color="000000"/>
              <w:left w:val="single" w:sz="4" w:space="0" w:color="000000"/>
              <w:bottom w:val="single" w:sz="6" w:space="0" w:color="000000"/>
              <w:right w:val="single" w:sz="6" w:space="0" w:color="000000"/>
            </w:tcBorders>
          </w:tcPr>
          <w:p>
            <w:pPr/>
          </w:p>
        </w:tc>
        <w:tc>
          <w:tcPr>
            <w:tcW w:w="218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16"/>
              <w:ind w:right="54"/>
              <w:jc w:val="right"/>
              <w:rPr>
                <w:rFonts w:ascii="Times New Roman" w:hAnsi="Times New Roman" w:cs="Times New Roman" w:eastAsia="Times New Roman" w:hint="default"/>
                <w:sz w:val="16"/>
                <w:szCs w:val="16"/>
              </w:rPr>
            </w:pPr>
            <w:r>
              <w:rPr>
                <w:rFonts w:ascii="Times New Roman"/>
                <w:spacing w:val="-6"/>
                <w:w w:val="105"/>
                <w:sz w:val="16"/>
              </w:rPr>
              <w:t>193,061,180.62</w:t>
            </w:r>
            <w:r>
              <w:rPr>
                <w:rFonts w:ascii="Times New Roman"/>
                <w:spacing w:val="-6"/>
                <w:sz w:val="16"/>
              </w:rPr>
            </w:r>
          </w:p>
        </w:tc>
        <w:tc>
          <w:tcPr>
            <w:tcW w:w="21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116"/>
              <w:ind w:right="69"/>
              <w:jc w:val="right"/>
              <w:rPr>
                <w:rFonts w:ascii="Times New Roman" w:hAnsi="Times New Roman" w:cs="Times New Roman" w:eastAsia="Times New Roman" w:hint="default"/>
                <w:sz w:val="16"/>
                <w:szCs w:val="16"/>
              </w:rPr>
            </w:pPr>
            <w:r>
              <w:rPr>
                <w:rFonts w:ascii="Times New Roman"/>
                <w:spacing w:val="-6"/>
                <w:w w:val="105"/>
                <w:sz w:val="16"/>
              </w:rPr>
              <w:t>124,781,729.16</w:t>
            </w:r>
            <w:r>
              <w:rPr>
                <w:rFonts w:ascii="Times New Roman"/>
                <w:spacing w:val="-6"/>
                <w:sz w:val="16"/>
              </w:rPr>
            </w:r>
          </w:p>
        </w:tc>
      </w:tr>
      <w:tr>
        <w:trPr>
          <w:trHeight w:val="424" w:hRule="exact"/>
        </w:trPr>
        <w:tc>
          <w:tcPr>
            <w:tcW w:w="4347" w:type="dxa"/>
            <w:tcBorders>
              <w:top w:val="single" w:sz="6" w:space="0" w:color="000000"/>
              <w:left w:val="nil" w:sz="6" w:space="0" w:color="auto"/>
              <w:bottom w:val="single" w:sz="10" w:space="0" w:color="000000"/>
              <w:right w:val="single" w:sz="4" w:space="0" w:color="000000"/>
            </w:tcBorders>
          </w:tcPr>
          <w:p>
            <w:pPr>
              <w:pStyle w:val="TableParagraph"/>
              <w:spacing w:line="240" w:lineRule="auto" w:before="78"/>
              <w:ind w:left="412" w:right="0"/>
              <w:jc w:val="left"/>
              <w:rPr>
                <w:rFonts w:ascii="宋体" w:hAnsi="宋体" w:cs="宋体" w:eastAsia="宋体" w:hint="default"/>
                <w:sz w:val="16"/>
                <w:szCs w:val="16"/>
              </w:rPr>
            </w:pPr>
            <w:r>
              <w:rPr>
                <w:rFonts w:ascii="宋体" w:hAnsi="宋体" w:cs="宋体" w:eastAsia="宋体" w:hint="default"/>
                <w:w w:val="105"/>
                <w:sz w:val="16"/>
                <w:szCs w:val="16"/>
              </w:rPr>
              <w:t>归属于少数股东的综合收益总额</w:t>
            </w:r>
            <w:r>
              <w:rPr>
                <w:rFonts w:ascii="宋体" w:hAnsi="宋体" w:cs="宋体" w:eastAsia="宋体" w:hint="default"/>
                <w:sz w:val="16"/>
                <w:szCs w:val="16"/>
              </w:rPr>
            </w:r>
          </w:p>
        </w:tc>
        <w:tc>
          <w:tcPr>
            <w:tcW w:w="915" w:type="dxa"/>
            <w:tcBorders>
              <w:top w:val="single" w:sz="6" w:space="0" w:color="000000"/>
              <w:left w:val="single" w:sz="4" w:space="0" w:color="000000"/>
              <w:bottom w:val="single" w:sz="10" w:space="0" w:color="000000"/>
              <w:right w:val="single" w:sz="6" w:space="0" w:color="000000"/>
            </w:tcBorders>
          </w:tcPr>
          <w:p>
            <w:pPr/>
          </w:p>
        </w:tc>
        <w:tc>
          <w:tcPr>
            <w:tcW w:w="2184"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11"/>
              <w:ind w:right="54"/>
              <w:jc w:val="right"/>
              <w:rPr>
                <w:rFonts w:ascii="Times New Roman" w:hAnsi="Times New Roman" w:cs="Times New Roman" w:eastAsia="Times New Roman" w:hint="default"/>
                <w:sz w:val="16"/>
                <w:szCs w:val="16"/>
              </w:rPr>
            </w:pPr>
            <w:r>
              <w:rPr>
                <w:rFonts w:ascii="Times New Roman"/>
                <w:spacing w:val="-5"/>
                <w:w w:val="105"/>
                <w:sz w:val="16"/>
              </w:rPr>
              <w:t>167,179.30</w:t>
            </w:r>
            <w:r>
              <w:rPr>
                <w:rFonts w:ascii="Times New Roman"/>
                <w:spacing w:val="-5"/>
                <w:sz w:val="16"/>
              </w:rPr>
            </w:r>
          </w:p>
        </w:tc>
        <w:tc>
          <w:tcPr>
            <w:tcW w:w="2192" w:type="dxa"/>
            <w:tcBorders>
              <w:top w:val="single" w:sz="6" w:space="0" w:color="000000"/>
              <w:left w:val="single" w:sz="6" w:space="0" w:color="000000"/>
              <w:bottom w:val="single" w:sz="10" w:space="0" w:color="000000"/>
              <w:right w:val="nil" w:sz="6" w:space="0" w:color="auto"/>
            </w:tcBorders>
          </w:tcPr>
          <w:p>
            <w:pPr>
              <w:pStyle w:val="TableParagraph"/>
              <w:spacing w:line="240" w:lineRule="auto" w:before="111"/>
              <w:ind w:right="69"/>
              <w:jc w:val="right"/>
              <w:rPr>
                <w:rFonts w:ascii="Times New Roman" w:hAnsi="Times New Roman" w:cs="Times New Roman" w:eastAsia="Times New Roman" w:hint="default"/>
                <w:sz w:val="16"/>
                <w:szCs w:val="16"/>
              </w:rPr>
            </w:pPr>
            <w:r>
              <w:rPr>
                <w:rFonts w:ascii="Times New Roman"/>
                <w:spacing w:val="-6"/>
                <w:w w:val="105"/>
                <w:sz w:val="16"/>
              </w:rPr>
              <w:t>397,809.55</w:t>
            </w:r>
            <w:r>
              <w:rPr>
                <w:rFonts w:ascii="Times New Roman"/>
                <w:spacing w:val="-6"/>
                <w:sz w:val="16"/>
              </w:rPr>
            </w:r>
          </w:p>
        </w:tc>
      </w:tr>
    </w:tbl>
    <w:p>
      <w:pPr>
        <w:tabs>
          <w:tab w:pos="3090" w:val="left" w:leader="none"/>
          <w:tab w:pos="7035" w:val="left" w:leader="none"/>
          <w:tab w:pos="9795" w:val="right" w:leader="none"/>
        </w:tabs>
        <w:spacing w:before="91"/>
        <w:ind w:left="191" w:right="0" w:firstLine="0"/>
        <w:jc w:val="left"/>
        <w:rPr>
          <w:rFonts w:ascii="Times New Roman" w:hAnsi="Times New Roman" w:cs="Times New Roman" w:eastAsia="Times New Roman" w:hint="default"/>
          <w:sz w:val="18"/>
          <w:szCs w:val="18"/>
        </w:rPr>
      </w:pPr>
      <w:r>
        <w:rPr>
          <w:rFonts w:ascii="宋体" w:hAnsi="宋体" w:cs="宋体" w:eastAsia="宋体" w:hint="default"/>
          <w:w w:val="105"/>
          <w:sz w:val="16"/>
          <w:szCs w:val="16"/>
        </w:rPr>
        <w:t>法定代表人:</w:t>
        <w:tab/>
        <w:t>主管会计工作负责人：</w:t>
        <w:tab/>
        <w:t>会计机构负责人：</w:t>
      </w:r>
      <w:r>
        <w:rPr>
          <w:rFonts w:ascii="Times New Roman" w:hAnsi="Times New Roman" w:cs="Times New Roman" w:eastAsia="Times New Roman" w:hint="default"/>
          <w:w w:val="105"/>
          <w:position w:val="1"/>
          <w:sz w:val="18"/>
          <w:szCs w:val="18"/>
        </w:rPr>
        <w:tab/>
      </w:r>
      <w:r>
        <w:rPr>
          <w:rFonts w:ascii="Times New Roman" w:hAnsi="Times New Roman" w:cs="Times New Roman" w:eastAsia="Times New Roman" w:hint="default"/>
          <w:w w:val="105"/>
          <w:position w:val="1"/>
          <w:sz w:val="18"/>
          <w:szCs w:val="18"/>
        </w:rPr>
        <w:t>46</w:t>
      </w:r>
      <w:r>
        <w:rPr>
          <w:rFonts w:ascii="Times New Roman" w:hAnsi="Times New Roman" w:cs="Times New Roman" w:eastAsia="Times New Roman" w:hint="default"/>
          <w:sz w:val="18"/>
          <w:szCs w:val="18"/>
        </w:rPr>
      </w:r>
    </w:p>
    <w:p>
      <w:pPr>
        <w:spacing w:after="0"/>
        <w:jc w:val="left"/>
        <w:rPr>
          <w:rFonts w:ascii="Times New Roman" w:hAnsi="Times New Roman" w:cs="Times New Roman" w:eastAsia="Times New Roman" w:hint="default"/>
          <w:sz w:val="18"/>
          <w:szCs w:val="18"/>
        </w:rPr>
        <w:sectPr>
          <w:headerReference w:type="default" r:id="rId18"/>
          <w:footerReference w:type="default" r:id="rId19"/>
          <w:pgSz w:w="11900" w:h="16840"/>
          <w:pgMar w:header="872" w:footer="0" w:top="1120" w:bottom="280" w:left="980" w:right="980"/>
        </w:sectPr>
      </w:pPr>
    </w:p>
    <w:p>
      <w:pPr>
        <w:pStyle w:val="Heading3"/>
        <w:spacing w:line="240" w:lineRule="auto" w:before="247"/>
        <w:ind w:left="1934" w:right="1915"/>
        <w:jc w:val="center"/>
        <w:rPr>
          <w:b w:val="0"/>
          <w:bCs w:val="0"/>
        </w:rPr>
      </w:pPr>
      <w:r>
        <w:rPr/>
        <w:pict>
          <v:shape style="position:absolute;margin-left:56.205002pt;margin-top:118.879997pt;width:483.8pt;height:668.9pt;mso-position-horizontal-relative:page;mso-position-vertical-relative:page;z-index:23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950"/>
                    <w:gridCol w:w="878"/>
                    <w:gridCol w:w="1898"/>
                    <w:gridCol w:w="1899"/>
                  </w:tblGrid>
                  <w:tr>
                    <w:trPr>
                      <w:trHeight w:val="240" w:hRule="exact"/>
                    </w:trPr>
                    <w:tc>
                      <w:tcPr>
                        <w:tcW w:w="4950" w:type="dxa"/>
                        <w:tcBorders>
                          <w:top w:val="single" w:sz="12" w:space="0" w:color="000000"/>
                          <w:left w:val="nil" w:sz="6" w:space="0" w:color="auto"/>
                          <w:bottom w:val="single" w:sz="6" w:space="0" w:color="000000"/>
                          <w:right w:val="single" w:sz="6" w:space="0" w:color="000000"/>
                        </w:tcBorders>
                      </w:tcPr>
                      <w:p>
                        <w:pPr>
                          <w:pStyle w:val="TableParagraph"/>
                          <w:tabs>
                            <w:tab w:pos="527" w:val="left" w:leader="none"/>
                          </w:tabs>
                          <w:spacing w:line="201" w:lineRule="exact"/>
                          <w:ind w:left="9" w:right="0"/>
                          <w:jc w:val="center"/>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项</w:t>
                          <w:tab/>
                          <w:t>目</w:t>
                        </w:r>
                        <w:r>
                          <w:rPr>
                            <w:rFonts w:ascii="Microsoft JhengHei" w:hAnsi="Microsoft JhengHei" w:cs="Microsoft JhengHei" w:eastAsia="Microsoft JhengHei" w:hint="default"/>
                            <w:sz w:val="15"/>
                            <w:szCs w:val="15"/>
                          </w:rPr>
                        </w:r>
                      </w:p>
                    </w:tc>
                    <w:tc>
                      <w:tcPr>
                        <w:tcW w:w="878" w:type="dxa"/>
                        <w:tcBorders>
                          <w:top w:val="single" w:sz="12" w:space="0" w:color="000000"/>
                          <w:left w:val="single" w:sz="6" w:space="0" w:color="000000"/>
                          <w:bottom w:val="single" w:sz="6" w:space="0" w:color="000000"/>
                          <w:right w:val="single" w:sz="8" w:space="0" w:color="000000"/>
                        </w:tcBorders>
                      </w:tcPr>
                      <w:p>
                        <w:pPr>
                          <w:pStyle w:val="TableParagraph"/>
                          <w:spacing w:line="211" w:lineRule="exact"/>
                          <w:ind w:left="2" w:right="0"/>
                          <w:jc w:val="center"/>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附注</w:t>
                        </w:r>
                        <w:r>
                          <w:rPr>
                            <w:rFonts w:ascii="Microsoft JhengHei" w:hAnsi="Microsoft JhengHei" w:cs="Microsoft JhengHei" w:eastAsia="Microsoft JhengHei" w:hint="default"/>
                            <w:sz w:val="15"/>
                            <w:szCs w:val="15"/>
                          </w:rPr>
                        </w:r>
                      </w:p>
                    </w:tc>
                    <w:tc>
                      <w:tcPr>
                        <w:tcW w:w="1898" w:type="dxa"/>
                        <w:tcBorders>
                          <w:top w:val="single" w:sz="12" w:space="0" w:color="000000"/>
                          <w:left w:val="single" w:sz="8" w:space="0" w:color="000000"/>
                          <w:bottom w:val="single" w:sz="6" w:space="0" w:color="000000"/>
                          <w:right w:val="single" w:sz="2" w:space="0" w:color="000000"/>
                        </w:tcBorders>
                      </w:tcPr>
                      <w:p>
                        <w:pPr>
                          <w:pStyle w:val="TableParagraph"/>
                          <w:spacing w:line="211" w:lineRule="exact"/>
                          <w:ind w:left="599"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本期金额</w:t>
                        </w:r>
                        <w:r>
                          <w:rPr>
                            <w:rFonts w:ascii="Microsoft JhengHei" w:hAnsi="Microsoft JhengHei" w:cs="Microsoft JhengHei" w:eastAsia="Microsoft JhengHei" w:hint="default"/>
                            <w:sz w:val="15"/>
                            <w:szCs w:val="15"/>
                          </w:rPr>
                        </w:r>
                      </w:p>
                    </w:tc>
                    <w:tc>
                      <w:tcPr>
                        <w:tcW w:w="1899" w:type="dxa"/>
                        <w:tcBorders>
                          <w:top w:val="single" w:sz="12" w:space="0" w:color="000000"/>
                          <w:left w:val="single" w:sz="2" w:space="0" w:color="000000"/>
                          <w:bottom w:val="single" w:sz="6" w:space="0" w:color="000000"/>
                          <w:right w:val="nil" w:sz="6" w:space="0" w:color="auto"/>
                        </w:tcBorders>
                      </w:tcPr>
                      <w:p>
                        <w:pPr>
                          <w:pStyle w:val="TableParagraph"/>
                          <w:spacing w:line="211" w:lineRule="exact"/>
                          <w:ind w:left="605"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上期金额</w:t>
                        </w:r>
                        <w:r>
                          <w:rPr>
                            <w:rFonts w:ascii="Microsoft JhengHei" w:hAnsi="Microsoft JhengHei" w:cs="Microsoft JhengHei" w:eastAsia="Microsoft JhengHei" w:hint="default"/>
                            <w:sz w:val="15"/>
                            <w:szCs w:val="15"/>
                          </w:rPr>
                        </w:r>
                      </w:p>
                    </w:tc>
                  </w:tr>
                  <w:tr>
                    <w:trPr>
                      <w:trHeight w:val="232" w:hRule="exact"/>
                    </w:trPr>
                    <w:tc>
                      <w:tcPr>
                        <w:tcW w:w="4950" w:type="dxa"/>
                        <w:tcBorders>
                          <w:top w:val="single" w:sz="6" w:space="0" w:color="000000"/>
                          <w:left w:val="nil" w:sz="6" w:space="0" w:color="auto"/>
                          <w:bottom w:val="single" w:sz="2" w:space="0" w:color="000000"/>
                          <w:right w:val="single" w:sz="6" w:space="0" w:color="000000"/>
                        </w:tcBorders>
                      </w:tcPr>
                      <w:p>
                        <w:pPr>
                          <w:pStyle w:val="TableParagraph"/>
                          <w:spacing w:line="203" w:lineRule="exact"/>
                          <w:ind w:left="30"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一、经营活动生产的现金流量：</w:t>
                        </w:r>
                        <w:r>
                          <w:rPr>
                            <w:rFonts w:ascii="Microsoft JhengHei" w:hAnsi="Microsoft JhengHei" w:cs="Microsoft JhengHei" w:eastAsia="Microsoft JhengHei" w:hint="default"/>
                            <w:sz w:val="15"/>
                            <w:szCs w:val="15"/>
                          </w:rPr>
                        </w:r>
                      </w:p>
                    </w:tc>
                    <w:tc>
                      <w:tcPr>
                        <w:tcW w:w="878" w:type="dxa"/>
                        <w:tcBorders>
                          <w:top w:val="single" w:sz="6" w:space="0" w:color="000000"/>
                          <w:left w:val="single" w:sz="6" w:space="0" w:color="000000"/>
                          <w:bottom w:val="single" w:sz="2" w:space="0" w:color="000000"/>
                          <w:right w:val="single" w:sz="8" w:space="0" w:color="000000"/>
                        </w:tcBorders>
                      </w:tcPr>
                      <w:p>
                        <w:pPr/>
                      </w:p>
                    </w:tc>
                    <w:tc>
                      <w:tcPr>
                        <w:tcW w:w="1898" w:type="dxa"/>
                        <w:tcBorders>
                          <w:top w:val="single" w:sz="6" w:space="0" w:color="000000"/>
                          <w:left w:val="single" w:sz="8" w:space="0" w:color="000000"/>
                          <w:bottom w:val="single" w:sz="2" w:space="0" w:color="000000"/>
                          <w:right w:val="single" w:sz="2" w:space="0" w:color="000000"/>
                        </w:tcBorders>
                      </w:tcPr>
                      <w:p>
                        <w:pPr/>
                      </w:p>
                    </w:tc>
                    <w:tc>
                      <w:tcPr>
                        <w:tcW w:w="1899" w:type="dxa"/>
                        <w:tcBorders>
                          <w:top w:val="single" w:sz="6" w:space="0" w:color="000000"/>
                          <w:left w:val="single" w:sz="2" w:space="0" w:color="000000"/>
                          <w:bottom w:val="single" w:sz="2" w:space="0" w:color="000000"/>
                          <w:right w:val="nil" w:sz="6" w:space="0" w:color="auto"/>
                        </w:tcBorders>
                      </w:tcPr>
                      <w:p>
                        <w:pP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销售商品、提供劳务收到的现金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8"/>
                          <w:ind w:right="67"/>
                          <w:jc w:val="right"/>
                          <w:rPr>
                            <w:rFonts w:ascii="Times New Roman" w:hAnsi="Times New Roman" w:cs="Times New Roman" w:eastAsia="Times New Roman" w:hint="default"/>
                            <w:sz w:val="15"/>
                            <w:szCs w:val="15"/>
                          </w:rPr>
                        </w:pPr>
                        <w:r>
                          <w:rPr>
                            <w:rFonts w:ascii="Times New Roman"/>
                            <w:w w:val="110"/>
                            <w:sz w:val="15"/>
                          </w:rPr>
                          <w:t>780,467,175.06</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8"/>
                          <w:ind w:right="72"/>
                          <w:jc w:val="right"/>
                          <w:rPr>
                            <w:rFonts w:ascii="Times New Roman" w:hAnsi="Times New Roman" w:cs="Times New Roman" w:eastAsia="Times New Roman" w:hint="default"/>
                            <w:sz w:val="15"/>
                            <w:szCs w:val="15"/>
                          </w:rPr>
                        </w:pPr>
                        <w:r>
                          <w:rPr>
                            <w:rFonts w:ascii="Times New Roman"/>
                            <w:w w:val="110"/>
                            <w:sz w:val="15"/>
                          </w:rPr>
                          <w:t>530,514,285.51</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客户存款和同业存放款项净增加额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8"/>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8"/>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向中央银行借款净增加额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4"/>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向其他金融机构拆入资金净增加额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4"/>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收到原保险合同保费取得的现金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4"/>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收到再保险业务现金净额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4"/>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29"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0"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保户储金及投资款净增加额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4"/>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4"/>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处置交易性金融资产净增加额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收取利息、手续费及佣金的现金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拆入资金净增加额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回购业务资金净增加额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收到的税费返还</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81"/>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87"/>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收到其他与经营活动有关的现金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Style w:val="TableParagraph"/>
                          <w:spacing w:line="240" w:lineRule="auto" w:before="4"/>
                          <w:ind w:left="4" w:right="0"/>
                          <w:jc w:val="center"/>
                          <w:rPr>
                            <w:rFonts w:ascii="宋体" w:hAnsi="宋体" w:cs="宋体" w:eastAsia="宋体" w:hint="default"/>
                            <w:sz w:val="15"/>
                            <w:szCs w:val="15"/>
                          </w:rPr>
                        </w:pPr>
                        <w:r>
                          <w:rPr>
                            <w:rFonts w:ascii="宋体" w:hAnsi="宋体" w:cs="宋体" w:eastAsia="宋体" w:hint="default"/>
                            <w:w w:val="110"/>
                            <w:sz w:val="15"/>
                            <w:szCs w:val="15"/>
                          </w:rPr>
                          <w:t>五、44</w:t>
                        </w:r>
                        <w:r>
                          <w:rPr>
                            <w:rFonts w:ascii="宋体" w:hAnsi="宋体" w:cs="宋体" w:eastAsia="宋体" w:hint="default"/>
                            <w:sz w:val="15"/>
                            <w:szCs w:val="15"/>
                          </w:rPr>
                        </w: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67"/>
                          <w:jc w:val="right"/>
                          <w:rPr>
                            <w:rFonts w:ascii="Times New Roman" w:hAnsi="Times New Roman" w:cs="Times New Roman" w:eastAsia="Times New Roman" w:hint="default"/>
                            <w:sz w:val="15"/>
                            <w:szCs w:val="15"/>
                          </w:rPr>
                        </w:pPr>
                        <w:r>
                          <w:rPr>
                            <w:rFonts w:ascii="Times New Roman"/>
                            <w:w w:val="110"/>
                            <w:sz w:val="15"/>
                          </w:rPr>
                          <w:t>27,515,009.22</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72"/>
                          <w:jc w:val="right"/>
                          <w:rPr>
                            <w:rFonts w:ascii="Times New Roman" w:hAnsi="Times New Roman" w:cs="Times New Roman" w:eastAsia="Times New Roman" w:hint="default"/>
                            <w:sz w:val="15"/>
                            <w:szCs w:val="15"/>
                          </w:rPr>
                        </w:pPr>
                        <w:r>
                          <w:rPr>
                            <w:rFonts w:ascii="Times New Roman"/>
                            <w:w w:val="110"/>
                            <w:sz w:val="15"/>
                          </w:rPr>
                          <w:t>10,451,911.80</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08" w:lineRule="exact"/>
                          <w:ind w:left="1623"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经营活动现金流入小计</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0"/>
                          <w:ind w:right="67"/>
                          <w:jc w:val="right"/>
                          <w:rPr>
                            <w:rFonts w:ascii="Times New Roman" w:hAnsi="Times New Roman" w:cs="Times New Roman" w:eastAsia="Times New Roman" w:hint="default"/>
                            <w:sz w:val="15"/>
                            <w:szCs w:val="15"/>
                          </w:rPr>
                        </w:pPr>
                        <w:r>
                          <w:rPr>
                            <w:rFonts w:ascii="Times New Roman"/>
                            <w:b/>
                            <w:w w:val="110"/>
                            <w:sz w:val="15"/>
                          </w:rPr>
                          <w:t>807,982,184.28</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0"/>
                          <w:ind w:right="72"/>
                          <w:jc w:val="right"/>
                          <w:rPr>
                            <w:rFonts w:ascii="Times New Roman" w:hAnsi="Times New Roman" w:cs="Times New Roman" w:eastAsia="Times New Roman" w:hint="default"/>
                            <w:sz w:val="15"/>
                            <w:szCs w:val="15"/>
                          </w:rPr>
                        </w:pPr>
                        <w:r>
                          <w:rPr>
                            <w:rFonts w:ascii="Times New Roman"/>
                            <w:b/>
                            <w:w w:val="110"/>
                            <w:sz w:val="15"/>
                          </w:rPr>
                          <w:t>540,966,197.31</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购买商品、接受劳务支付的现金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48"/>
                          <w:jc w:val="right"/>
                          <w:rPr>
                            <w:rFonts w:ascii="Times New Roman" w:hAnsi="Times New Roman" w:cs="Times New Roman" w:eastAsia="Times New Roman" w:hint="default"/>
                            <w:sz w:val="15"/>
                            <w:szCs w:val="15"/>
                          </w:rPr>
                        </w:pPr>
                        <w:r>
                          <w:rPr>
                            <w:rFonts w:ascii="Times New Roman"/>
                            <w:w w:val="110"/>
                            <w:sz w:val="15"/>
                          </w:rPr>
                          <w:t>683,350,935.12</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53"/>
                          <w:jc w:val="right"/>
                          <w:rPr>
                            <w:rFonts w:ascii="Times New Roman" w:hAnsi="Times New Roman" w:cs="Times New Roman" w:eastAsia="Times New Roman" w:hint="default"/>
                            <w:sz w:val="15"/>
                            <w:szCs w:val="15"/>
                          </w:rPr>
                        </w:pPr>
                        <w:r>
                          <w:rPr>
                            <w:rFonts w:ascii="Times New Roman"/>
                            <w:w w:val="110"/>
                            <w:sz w:val="15"/>
                          </w:rPr>
                          <w:t>690,202,749.81</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客户贷款及垫款净增加额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00"/>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存放中央银行和同业款项净增加额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00"/>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支付原保险合同赔付款项的现金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00"/>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1"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支付利息、手续费及佣金的现金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5"/>
                          <w:ind w:right="100"/>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5"/>
                          <w:ind w:right="105"/>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支付保单红利的现金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100"/>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105"/>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支付给职工以及为职工支付的现金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48"/>
                          <w:jc w:val="right"/>
                          <w:rPr>
                            <w:rFonts w:ascii="Times New Roman" w:hAnsi="Times New Roman" w:cs="Times New Roman" w:eastAsia="Times New Roman" w:hint="default"/>
                            <w:sz w:val="15"/>
                            <w:szCs w:val="15"/>
                          </w:rPr>
                        </w:pPr>
                        <w:r>
                          <w:rPr>
                            <w:rFonts w:ascii="Times New Roman"/>
                            <w:w w:val="110"/>
                            <w:sz w:val="15"/>
                          </w:rPr>
                          <w:t>69,707,856.19</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77"/>
                          <w:jc w:val="right"/>
                          <w:rPr>
                            <w:rFonts w:ascii="Times New Roman" w:hAnsi="Times New Roman" w:cs="Times New Roman" w:eastAsia="Times New Roman" w:hint="default"/>
                            <w:sz w:val="15"/>
                            <w:szCs w:val="15"/>
                          </w:rPr>
                        </w:pPr>
                        <w:r>
                          <w:rPr>
                            <w:rFonts w:ascii="Times New Roman"/>
                            <w:w w:val="110"/>
                            <w:sz w:val="15"/>
                          </w:rPr>
                          <w:t>71,745,836.12</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支付的各项税费</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48"/>
                          <w:jc w:val="right"/>
                          <w:rPr>
                            <w:rFonts w:ascii="Times New Roman" w:hAnsi="Times New Roman" w:cs="Times New Roman" w:eastAsia="Times New Roman" w:hint="default"/>
                            <w:sz w:val="15"/>
                            <w:szCs w:val="15"/>
                          </w:rPr>
                        </w:pPr>
                        <w:r>
                          <w:rPr>
                            <w:rFonts w:ascii="Times New Roman"/>
                            <w:w w:val="110"/>
                            <w:sz w:val="15"/>
                          </w:rPr>
                          <w:t>170,142,392.33</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77"/>
                          <w:jc w:val="right"/>
                          <w:rPr>
                            <w:rFonts w:ascii="Times New Roman" w:hAnsi="Times New Roman" w:cs="Times New Roman" w:eastAsia="Times New Roman" w:hint="default"/>
                            <w:sz w:val="15"/>
                            <w:szCs w:val="15"/>
                          </w:rPr>
                        </w:pPr>
                        <w:r>
                          <w:rPr>
                            <w:rFonts w:ascii="Times New Roman"/>
                            <w:w w:val="110"/>
                            <w:sz w:val="15"/>
                          </w:rPr>
                          <w:t>110,956,060.46</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支付其他与经营活动有关的现金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Style w:val="TableParagraph"/>
                          <w:spacing w:line="240" w:lineRule="auto" w:before="5"/>
                          <w:ind w:left="4" w:right="0"/>
                          <w:jc w:val="center"/>
                          <w:rPr>
                            <w:rFonts w:ascii="宋体" w:hAnsi="宋体" w:cs="宋体" w:eastAsia="宋体" w:hint="default"/>
                            <w:sz w:val="15"/>
                            <w:szCs w:val="15"/>
                          </w:rPr>
                        </w:pPr>
                        <w:r>
                          <w:rPr>
                            <w:rFonts w:ascii="宋体" w:hAnsi="宋体" w:cs="宋体" w:eastAsia="宋体" w:hint="default"/>
                            <w:w w:val="110"/>
                            <w:sz w:val="15"/>
                            <w:szCs w:val="15"/>
                          </w:rPr>
                          <w:t>五、44</w:t>
                        </w:r>
                        <w:r>
                          <w:rPr>
                            <w:rFonts w:ascii="宋体" w:hAnsi="宋体" w:cs="宋体" w:eastAsia="宋体" w:hint="default"/>
                            <w:sz w:val="15"/>
                            <w:szCs w:val="15"/>
                          </w:rPr>
                        </w: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67"/>
                          <w:jc w:val="right"/>
                          <w:rPr>
                            <w:rFonts w:ascii="Times New Roman" w:hAnsi="Times New Roman" w:cs="Times New Roman" w:eastAsia="Times New Roman" w:hint="default"/>
                            <w:sz w:val="15"/>
                            <w:szCs w:val="15"/>
                          </w:rPr>
                        </w:pPr>
                        <w:r>
                          <w:rPr>
                            <w:rFonts w:ascii="Times New Roman"/>
                            <w:w w:val="110"/>
                            <w:sz w:val="15"/>
                          </w:rPr>
                          <w:t>203,454,885.47</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72"/>
                          <w:jc w:val="right"/>
                          <w:rPr>
                            <w:rFonts w:ascii="Times New Roman" w:hAnsi="Times New Roman" w:cs="Times New Roman" w:eastAsia="Times New Roman" w:hint="default"/>
                            <w:sz w:val="15"/>
                            <w:szCs w:val="15"/>
                          </w:rPr>
                        </w:pPr>
                        <w:r>
                          <w:rPr>
                            <w:rFonts w:ascii="Times New Roman"/>
                            <w:w w:val="110"/>
                            <w:sz w:val="15"/>
                          </w:rPr>
                          <w:t>92,964,572.71</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09" w:lineRule="exact"/>
                          <w:ind w:left="1753"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经营活动现金流出小计</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0"/>
                          <w:ind w:right="67"/>
                          <w:jc w:val="right"/>
                          <w:rPr>
                            <w:rFonts w:ascii="Times New Roman" w:hAnsi="Times New Roman" w:cs="Times New Roman" w:eastAsia="Times New Roman" w:hint="default"/>
                            <w:sz w:val="15"/>
                            <w:szCs w:val="15"/>
                          </w:rPr>
                        </w:pPr>
                        <w:r>
                          <w:rPr>
                            <w:rFonts w:ascii="Times New Roman"/>
                            <w:b/>
                            <w:w w:val="110"/>
                            <w:sz w:val="15"/>
                          </w:rPr>
                          <w:t>1,126,656,069.11</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0"/>
                          <w:ind w:right="72"/>
                          <w:jc w:val="right"/>
                          <w:rPr>
                            <w:rFonts w:ascii="Times New Roman" w:hAnsi="Times New Roman" w:cs="Times New Roman" w:eastAsia="Times New Roman" w:hint="default"/>
                            <w:sz w:val="15"/>
                            <w:szCs w:val="15"/>
                          </w:rPr>
                        </w:pPr>
                        <w:r>
                          <w:rPr>
                            <w:rFonts w:ascii="Times New Roman"/>
                            <w:b/>
                            <w:w w:val="110"/>
                            <w:sz w:val="15"/>
                          </w:rPr>
                          <w:t>965,869,219.10</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09" w:lineRule="exact"/>
                          <w:ind w:left="1364"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经营活动产生的现金流量净额</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Style w:val="TableParagraph"/>
                          <w:spacing w:line="240" w:lineRule="auto" w:before="5"/>
                          <w:ind w:left="4" w:right="0"/>
                          <w:jc w:val="center"/>
                          <w:rPr>
                            <w:rFonts w:ascii="宋体" w:hAnsi="宋体" w:cs="宋体" w:eastAsia="宋体" w:hint="default"/>
                            <w:sz w:val="15"/>
                            <w:szCs w:val="15"/>
                          </w:rPr>
                        </w:pPr>
                        <w:r>
                          <w:rPr>
                            <w:rFonts w:ascii="宋体" w:hAnsi="宋体" w:cs="宋体" w:eastAsia="宋体" w:hint="default"/>
                            <w:w w:val="110"/>
                            <w:sz w:val="15"/>
                            <w:szCs w:val="15"/>
                          </w:rPr>
                          <w:t>五、45</w:t>
                        </w:r>
                        <w:r>
                          <w:rPr>
                            <w:rFonts w:ascii="宋体" w:hAnsi="宋体" w:cs="宋体" w:eastAsia="宋体" w:hint="default"/>
                            <w:sz w:val="15"/>
                            <w:szCs w:val="15"/>
                          </w:rPr>
                        </w: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1"/>
                          <w:ind w:right="96"/>
                          <w:jc w:val="right"/>
                          <w:rPr>
                            <w:rFonts w:ascii="Times New Roman" w:hAnsi="Times New Roman" w:cs="Times New Roman" w:eastAsia="Times New Roman" w:hint="default"/>
                            <w:sz w:val="15"/>
                            <w:szCs w:val="15"/>
                          </w:rPr>
                        </w:pPr>
                        <w:r>
                          <w:rPr>
                            <w:rFonts w:ascii="Times New Roman"/>
                            <w:b/>
                            <w:w w:val="110"/>
                            <w:sz w:val="15"/>
                          </w:rPr>
                          <w:t>-318,673,884.83</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1"/>
                          <w:ind w:right="101"/>
                          <w:jc w:val="right"/>
                          <w:rPr>
                            <w:rFonts w:ascii="Times New Roman" w:hAnsi="Times New Roman" w:cs="Times New Roman" w:eastAsia="Times New Roman" w:hint="default"/>
                            <w:sz w:val="15"/>
                            <w:szCs w:val="15"/>
                          </w:rPr>
                        </w:pPr>
                        <w:r>
                          <w:rPr>
                            <w:rFonts w:ascii="Times New Roman"/>
                            <w:b/>
                            <w:w w:val="110"/>
                            <w:sz w:val="15"/>
                          </w:rPr>
                          <w:t>-424,903,021.79</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09" w:lineRule="exact"/>
                          <w:ind w:left="30"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二、投资活动产生的现金流量：</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
                    </w:tc>
                    <w:tc>
                      <w:tcPr>
                        <w:tcW w:w="1899" w:type="dxa"/>
                        <w:tcBorders>
                          <w:top w:val="single" w:sz="2" w:space="0" w:color="000000"/>
                          <w:left w:val="single" w:sz="2" w:space="0" w:color="000000"/>
                          <w:bottom w:val="single" w:sz="2" w:space="0" w:color="000000"/>
                          <w:right w:val="nil" w:sz="6" w:space="0" w:color="auto"/>
                        </w:tcBorders>
                      </w:tcPr>
                      <w:p>
                        <w:pP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收回投资收到的现金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取得投资收益收到的现金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4"/>
                          <w:jc w:val="right"/>
                          <w:rPr>
                            <w:rFonts w:ascii="Times New Roman" w:hAnsi="Times New Roman" w:cs="Times New Roman" w:eastAsia="Times New Roman" w:hint="default"/>
                            <w:sz w:val="15"/>
                            <w:szCs w:val="15"/>
                          </w:rPr>
                        </w:pPr>
                        <w:r>
                          <w:rPr>
                            <w:rFonts w:ascii="Times New Roman"/>
                            <w:w w:val="110"/>
                            <w:sz w:val="15"/>
                          </w:rPr>
                          <w:t>258,990.29</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9"/>
                          <w:jc w:val="right"/>
                          <w:rPr>
                            <w:rFonts w:ascii="Times New Roman" w:hAnsi="Times New Roman" w:cs="Times New Roman" w:eastAsia="Times New Roman" w:hint="default"/>
                            <w:sz w:val="15"/>
                            <w:szCs w:val="15"/>
                          </w:rPr>
                        </w:pPr>
                        <w:r>
                          <w:rPr>
                            <w:rFonts w:ascii="Times New Roman"/>
                            <w:w w:val="110"/>
                            <w:sz w:val="15"/>
                          </w:rPr>
                          <w:t>10,317,154.92</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处置固定资产、无形资产和其他长期资产收回的现金净额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4"/>
                          <w:jc w:val="right"/>
                          <w:rPr>
                            <w:rFonts w:ascii="Times New Roman" w:hAnsi="Times New Roman" w:cs="Times New Roman" w:eastAsia="Times New Roman" w:hint="default"/>
                            <w:sz w:val="15"/>
                            <w:szCs w:val="15"/>
                          </w:rPr>
                        </w:pPr>
                        <w:r>
                          <w:rPr>
                            <w:rFonts w:ascii="Times New Roman"/>
                            <w:w w:val="110"/>
                            <w:sz w:val="15"/>
                          </w:rPr>
                          <w:t>111,950.00</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处置子公司及其他营业单位收到的现金净额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9"/>
                          <w:jc w:val="right"/>
                          <w:rPr>
                            <w:rFonts w:ascii="Times New Roman" w:hAnsi="Times New Roman" w:cs="Times New Roman" w:eastAsia="Times New Roman" w:hint="default"/>
                            <w:sz w:val="15"/>
                            <w:szCs w:val="15"/>
                          </w:rPr>
                        </w:pPr>
                        <w:r>
                          <w:rPr>
                            <w:rFonts w:ascii="Times New Roman"/>
                            <w:w w:val="110"/>
                            <w:sz w:val="15"/>
                          </w:rPr>
                          <w:t>239,739,713.43</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收到其他与投资活动有关的现金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Style w:val="TableParagraph"/>
                          <w:spacing w:line="240" w:lineRule="auto" w:before="5"/>
                          <w:ind w:left="4" w:right="0"/>
                          <w:jc w:val="center"/>
                          <w:rPr>
                            <w:rFonts w:ascii="宋体" w:hAnsi="宋体" w:cs="宋体" w:eastAsia="宋体" w:hint="default"/>
                            <w:sz w:val="15"/>
                            <w:szCs w:val="15"/>
                          </w:rPr>
                        </w:pPr>
                        <w:r>
                          <w:rPr>
                            <w:rFonts w:ascii="宋体" w:hAnsi="宋体" w:cs="宋体" w:eastAsia="宋体" w:hint="default"/>
                            <w:w w:val="110"/>
                            <w:sz w:val="15"/>
                            <w:szCs w:val="15"/>
                          </w:rPr>
                          <w:t>五、44</w:t>
                        </w:r>
                        <w:r>
                          <w:rPr>
                            <w:rFonts w:ascii="宋体" w:hAnsi="宋体" w:cs="宋体" w:eastAsia="宋体" w:hint="default"/>
                            <w:sz w:val="15"/>
                            <w:szCs w:val="15"/>
                          </w:rPr>
                        </w: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4"/>
                          <w:jc w:val="right"/>
                          <w:rPr>
                            <w:rFonts w:ascii="Times New Roman" w:hAnsi="Times New Roman" w:cs="Times New Roman" w:eastAsia="Times New Roman" w:hint="default"/>
                            <w:sz w:val="15"/>
                            <w:szCs w:val="15"/>
                          </w:rPr>
                        </w:pPr>
                        <w:r>
                          <w:rPr>
                            <w:rFonts w:ascii="Times New Roman"/>
                            <w:w w:val="110"/>
                            <w:sz w:val="15"/>
                          </w:rPr>
                          <w:t>60,500,000.00</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09" w:lineRule="exact"/>
                          <w:ind w:left="1623"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投资活动现金流入小计</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b/>
                            <w:w w:val="110"/>
                            <w:sz w:val="15"/>
                          </w:rPr>
                          <w:t>60,870,940.29</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1"/>
                          <w:ind w:right="29"/>
                          <w:jc w:val="right"/>
                          <w:rPr>
                            <w:rFonts w:ascii="Times New Roman" w:hAnsi="Times New Roman" w:cs="Times New Roman" w:eastAsia="Times New Roman" w:hint="default"/>
                            <w:sz w:val="15"/>
                            <w:szCs w:val="15"/>
                          </w:rPr>
                        </w:pPr>
                        <w:r>
                          <w:rPr>
                            <w:rFonts w:ascii="Times New Roman"/>
                            <w:b/>
                            <w:w w:val="110"/>
                            <w:sz w:val="15"/>
                          </w:rPr>
                          <w:t>250,056,868.35</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购建固定资产、无形资产和其他长期资产支付的现金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4"/>
                          <w:jc w:val="right"/>
                          <w:rPr>
                            <w:rFonts w:ascii="Times New Roman" w:hAnsi="Times New Roman" w:cs="Times New Roman" w:eastAsia="Times New Roman" w:hint="default"/>
                            <w:sz w:val="15"/>
                            <w:szCs w:val="15"/>
                          </w:rPr>
                        </w:pPr>
                        <w:r>
                          <w:rPr>
                            <w:rFonts w:ascii="Times New Roman"/>
                            <w:w w:val="110"/>
                            <w:sz w:val="15"/>
                          </w:rPr>
                          <w:t>10,166,933.86</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9"/>
                          <w:jc w:val="right"/>
                          <w:rPr>
                            <w:rFonts w:ascii="Times New Roman" w:hAnsi="Times New Roman" w:cs="Times New Roman" w:eastAsia="Times New Roman" w:hint="default"/>
                            <w:sz w:val="15"/>
                            <w:szCs w:val="15"/>
                          </w:rPr>
                        </w:pPr>
                        <w:r>
                          <w:rPr>
                            <w:rFonts w:ascii="Times New Roman"/>
                            <w:w w:val="110"/>
                            <w:sz w:val="15"/>
                          </w:rPr>
                          <w:t>3,853,963.69</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投资支付的现金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2"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质押贷款净增加额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取得子公司及其他营业单位支付的现金净额</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4"/>
                          <w:jc w:val="right"/>
                          <w:rPr>
                            <w:rFonts w:ascii="Times New Roman" w:hAnsi="Times New Roman" w:cs="Times New Roman" w:eastAsia="Times New Roman" w:hint="default"/>
                            <w:sz w:val="15"/>
                            <w:szCs w:val="15"/>
                          </w:rPr>
                        </w:pPr>
                        <w:r>
                          <w:rPr>
                            <w:rFonts w:ascii="Times New Roman"/>
                            <w:w w:val="110"/>
                            <w:sz w:val="15"/>
                          </w:rPr>
                          <w:t>163,628,298.78</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9"/>
                          <w:jc w:val="right"/>
                          <w:rPr>
                            <w:rFonts w:ascii="Times New Roman" w:hAnsi="Times New Roman" w:cs="Times New Roman" w:eastAsia="Times New Roman" w:hint="default"/>
                            <w:sz w:val="15"/>
                            <w:szCs w:val="15"/>
                          </w:rPr>
                        </w:pPr>
                        <w:r>
                          <w:rPr>
                            <w:rFonts w:ascii="Times New Roman"/>
                            <w:w w:val="110"/>
                            <w:sz w:val="15"/>
                          </w:rPr>
                          <w:t>23,000,000.00</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支付其他与投资活动有关的现金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6"/>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6"/>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0" w:lineRule="exact"/>
                          <w:ind w:left="1623"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投资活动现金流出小计</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b/>
                            <w:w w:val="110"/>
                            <w:sz w:val="15"/>
                          </w:rPr>
                          <w:t>173,795,232.64</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1"/>
                          <w:ind w:right="29"/>
                          <w:jc w:val="right"/>
                          <w:rPr>
                            <w:rFonts w:ascii="Times New Roman" w:hAnsi="Times New Roman" w:cs="Times New Roman" w:eastAsia="Times New Roman" w:hint="default"/>
                            <w:sz w:val="15"/>
                            <w:szCs w:val="15"/>
                          </w:rPr>
                        </w:pPr>
                        <w:r>
                          <w:rPr>
                            <w:rFonts w:ascii="Times New Roman"/>
                            <w:b/>
                            <w:w w:val="110"/>
                            <w:sz w:val="15"/>
                          </w:rPr>
                          <w:t>26,853,963.69</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0" w:lineRule="exact"/>
                          <w:ind w:left="1364"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投资活动产生的现金流量净额</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1"/>
                          <w:ind w:right="24"/>
                          <w:jc w:val="right"/>
                          <w:rPr>
                            <w:rFonts w:ascii="Times New Roman" w:hAnsi="Times New Roman" w:cs="Times New Roman" w:eastAsia="Times New Roman" w:hint="default"/>
                            <w:sz w:val="15"/>
                            <w:szCs w:val="15"/>
                          </w:rPr>
                        </w:pPr>
                        <w:r>
                          <w:rPr>
                            <w:rFonts w:ascii="Times New Roman"/>
                            <w:b/>
                            <w:w w:val="110"/>
                            <w:sz w:val="15"/>
                          </w:rPr>
                          <w:t>-112,924,292.35</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1"/>
                          <w:ind w:right="29"/>
                          <w:jc w:val="right"/>
                          <w:rPr>
                            <w:rFonts w:ascii="Times New Roman" w:hAnsi="Times New Roman" w:cs="Times New Roman" w:eastAsia="Times New Roman" w:hint="default"/>
                            <w:sz w:val="15"/>
                            <w:szCs w:val="15"/>
                          </w:rPr>
                        </w:pPr>
                        <w:r>
                          <w:rPr>
                            <w:rFonts w:ascii="Times New Roman"/>
                            <w:b/>
                            <w:w w:val="110"/>
                            <w:sz w:val="15"/>
                          </w:rPr>
                          <w:t>223,202,904.66</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0" w:lineRule="exact"/>
                          <w:ind w:left="30"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三、筹资活动产生的现金流量：</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
                    </w:tc>
                    <w:tc>
                      <w:tcPr>
                        <w:tcW w:w="1899" w:type="dxa"/>
                        <w:tcBorders>
                          <w:top w:val="single" w:sz="2" w:space="0" w:color="000000"/>
                          <w:left w:val="single" w:sz="2" w:space="0" w:color="000000"/>
                          <w:bottom w:val="single" w:sz="2" w:space="0" w:color="000000"/>
                          <w:right w:val="nil" w:sz="6" w:space="0" w:color="auto"/>
                        </w:tcBorders>
                      </w:tcPr>
                      <w:p>
                        <w:pP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吸收投资收到的现金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其中：子公司吸收少数股东投资收到的现金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借款收到的现金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4"/>
                          <w:jc w:val="right"/>
                          <w:rPr>
                            <w:rFonts w:ascii="Times New Roman" w:hAnsi="Times New Roman" w:cs="Times New Roman" w:eastAsia="Times New Roman" w:hint="default"/>
                            <w:sz w:val="15"/>
                            <w:szCs w:val="15"/>
                          </w:rPr>
                        </w:pPr>
                        <w:r>
                          <w:rPr>
                            <w:rFonts w:ascii="Times New Roman"/>
                            <w:w w:val="110"/>
                            <w:sz w:val="15"/>
                          </w:rPr>
                          <w:t>428,500,000.00</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发行债券收到的现金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收到其他与筹资活动有关的现金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0" w:lineRule="exact"/>
                          <w:ind w:left="1628"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筹资活动现金流入小计</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b/>
                            <w:w w:val="110"/>
                            <w:sz w:val="15"/>
                          </w:rPr>
                          <w:t>428,500,000.00</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2"/>
                          <w:ind w:right="30"/>
                          <w:jc w:val="right"/>
                          <w:rPr>
                            <w:rFonts w:ascii="Times New Roman" w:hAnsi="Times New Roman" w:cs="Times New Roman" w:eastAsia="Times New Roman" w:hint="default"/>
                            <w:sz w:val="15"/>
                            <w:szCs w:val="15"/>
                          </w:rPr>
                        </w:pPr>
                        <w:r>
                          <w:rPr>
                            <w:rFonts w:ascii="Times New Roman"/>
                            <w:b/>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偿还债务支付的现金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4"/>
                          <w:jc w:val="right"/>
                          <w:rPr>
                            <w:rFonts w:ascii="Times New Roman" w:hAnsi="Times New Roman" w:cs="Times New Roman" w:eastAsia="Times New Roman" w:hint="default"/>
                            <w:sz w:val="15"/>
                            <w:szCs w:val="15"/>
                          </w:rPr>
                        </w:pPr>
                        <w:r>
                          <w:rPr>
                            <w:rFonts w:ascii="Times New Roman"/>
                            <w:w w:val="110"/>
                            <w:sz w:val="15"/>
                          </w:rPr>
                          <w:t>157,740,000.00</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9"/>
                          <w:jc w:val="right"/>
                          <w:rPr>
                            <w:rFonts w:ascii="Times New Roman" w:hAnsi="Times New Roman" w:cs="Times New Roman" w:eastAsia="Times New Roman" w:hint="default"/>
                            <w:sz w:val="15"/>
                            <w:szCs w:val="15"/>
                          </w:rPr>
                        </w:pPr>
                        <w:r>
                          <w:rPr>
                            <w:rFonts w:ascii="Times New Roman"/>
                            <w:w w:val="110"/>
                            <w:sz w:val="15"/>
                          </w:rPr>
                          <w:t>128,160,000.00</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分配股利、利润或偿付利息支付的现金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4"/>
                          <w:jc w:val="right"/>
                          <w:rPr>
                            <w:rFonts w:ascii="Times New Roman" w:hAnsi="Times New Roman" w:cs="Times New Roman" w:eastAsia="Times New Roman" w:hint="default"/>
                            <w:sz w:val="15"/>
                            <w:szCs w:val="15"/>
                          </w:rPr>
                        </w:pPr>
                        <w:r>
                          <w:rPr>
                            <w:rFonts w:ascii="Times New Roman"/>
                            <w:w w:val="110"/>
                            <w:sz w:val="15"/>
                          </w:rPr>
                          <w:t>28,722,660.36</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9"/>
                          <w:jc w:val="right"/>
                          <w:rPr>
                            <w:rFonts w:ascii="Times New Roman" w:hAnsi="Times New Roman" w:cs="Times New Roman" w:eastAsia="Times New Roman" w:hint="default"/>
                            <w:sz w:val="15"/>
                            <w:szCs w:val="15"/>
                          </w:rPr>
                        </w:pPr>
                        <w:r>
                          <w:rPr>
                            <w:rFonts w:ascii="Times New Roman"/>
                            <w:w w:val="110"/>
                            <w:sz w:val="15"/>
                          </w:rPr>
                          <w:t>7,873,756.81</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其中：子公司支付给少数股东的股利、利润</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193"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支付其他与筹资活动有关的现金</w:t>
                        </w:r>
                        <w:r>
                          <w:rPr>
                            <w:rFonts w:ascii="宋体" w:hAnsi="宋体" w:cs="宋体" w:eastAsia="宋体"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27"/>
                          <w:ind w:right="23"/>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27"/>
                          <w:ind w:right="28"/>
                          <w:jc w:val="right"/>
                          <w:rPr>
                            <w:rFonts w:ascii="Times New Roman" w:hAnsi="Times New Roman" w:cs="Times New Roman" w:eastAsia="Times New Roman" w:hint="default"/>
                            <w:sz w:val="15"/>
                            <w:szCs w:val="15"/>
                          </w:rPr>
                        </w:pPr>
                        <w:r>
                          <w:rPr>
                            <w:rFonts w:ascii="Times New Roman"/>
                            <w:w w:val="112"/>
                            <w:sz w:val="15"/>
                          </w:rPr>
                          <w:t>-</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0" w:lineRule="exact"/>
                          <w:ind w:left="1623"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筹资活动现金流出小计</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b/>
                            <w:w w:val="110"/>
                            <w:sz w:val="15"/>
                          </w:rPr>
                          <w:t>186,462,660.36</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2"/>
                          <w:ind w:right="29"/>
                          <w:jc w:val="right"/>
                          <w:rPr>
                            <w:rFonts w:ascii="Times New Roman" w:hAnsi="Times New Roman" w:cs="Times New Roman" w:eastAsia="Times New Roman" w:hint="default"/>
                            <w:sz w:val="15"/>
                            <w:szCs w:val="15"/>
                          </w:rPr>
                        </w:pPr>
                        <w:r>
                          <w:rPr>
                            <w:rFonts w:ascii="Times New Roman"/>
                            <w:b/>
                            <w:w w:val="110"/>
                            <w:sz w:val="15"/>
                          </w:rPr>
                          <w:t>136,033,756.81</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1" w:lineRule="exact"/>
                          <w:ind w:left="1364"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筹资活动产生的现金流量净额</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2"/>
                          <w:ind w:right="24"/>
                          <w:jc w:val="right"/>
                          <w:rPr>
                            <w:rFonts w:ascii="Times New Roman" w:hAnsi="Times New Roman" w:cs="Times New Roman" w:eastAsia="Times New Roman" w:hint="default"/>
                            <w:sz w:val="15"/>
                            <w:szCs w:val="15"/>
                          </w:rPr>
                        </w:pPr>
                        <w:r>
                          <w:rPr>
                            <w:rFonts w:ascii="Times New Roman"/>
                            <w:b/>
                            <w:w w:val="110"/>
                            <w:sz w:val="15"/>
                          </w:rPr>
                          <w:t>242,037,339.64</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2"/>
                          <w:ind w:right="29"/>
                          <w:jc w:val="right"/>
                          <w:rPr>
                            <w:rFonts w:ascii="Times New Roman" w:hAnsi="Times New Roman" w:cs="Times New Roman" w:eastAsia="Times New Roman" w:hint="default"/>
                            <w:sz w:val="15"/>
                            <w:szCs w:val="15"/>
                          </w:rPr>
                        </w:pPr>
                        <w:r>
                          <w:rPr>
                            <w:rFonts w:ascii="Times New Roman"/>
                            <w:b/>
                            <w:w w:val="110"/>
                            <w:sz w:val="15"/>
                          </w:rPr>
                          <w:t>-136,033,756.81</w:t>
                        </w:r>
                        <w:r>
                          <w:rPr>
                            <w:rFonts w:ascii="Times New Roman"/>
                            <w:sz w:val="15"/>
                          </w:rPr>
                        </w:r>
                      </w:p>
                    </w:tc>
                  </w:tr>
                  <w:tr>
                    <w:trPr>
                      <w:trHeight w:val="206"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01" w:lineRule="exact"/>
                          <w:ind w:left="30"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四、汇率变动对现金及现金等价物的影响</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13"/>
                          <w:ind w:right="24"/>
                          <w:jc w:val="right"/>
                          <w:rPr>
                            <w:rFonts w:ascii="Times New Roman" w:hAnsi="Times New Roman" w:cs="Times New Roman" w:eastAsia="Times New Roman" w:hint="default"/>
                            <w:sz w:val="15"/>
                            <w:szCs w:val="15"/>
                          </w:rPr>
                        </w:pPr>
                        <w:r>
                          <w:rPr>
                            <w:rFonts w:ascii="Times New Roman"/>
                            <w:w w:val="110"/>
                            <w:sz w:val="15"/>
                          </w:rPr>
                          <w:t>754.84</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15"/>
                            <w:szCs w:val="15"/>
                          </w:rPr>
                        </w:pPr>
                        <w:r>
                          <w:rPr>
                            <w:rFonts w:ascii="Times New Roman"/>
                            <w:w w:val="110"/>
                            <w:sz w:val="15"/>
                          </w:rPr>
                          <w:t>-11,338.43</w:t>
                        </w:r>
                        <w:r>
                          <w:rPr>
                            <w:rFonts w:ascii="Times New Roman"/>
                            <w:sz w:val="15"/>
                          </w:rPr>
                        </w:r>
                      </w:p>
                    </w:tc>
                  </w:tr>
                  <w:tr>
                    <w:trPr>
                      <w:trHeight w:val="230" w:hRule="exact"/>
                    </w:trPr>
                    <w:tc>
                      <w:tcPr>
                        <w:tcW w:w="4950" w:type="dxa"/>
                        <w:tcBorders>
                          <w:top w:val="single" w:sz="2" w:space="0" w:color="000000"/>
                          <w:left w:val="nil" w:sz="6" w:space="0" w:color="auto"/>
                          <w:bottom w:val="single" w:sz="2" w:space="0" w:color="000000"/>
                          <w:right w:val="single" w:sz="6" w:space="0" w:color="000000"/>
                        </w:tcBorders>
                      </w:tcPr>
                      <w:p>
                        <w:pPr>
                          <w:pStyle w:val="TableParagraph"/>
                          <w:spacing w:line="211" w:lineRule="exact"/>
                          <w:ind w:left="30"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五、现金及现金等价物净增加额</w:t>
                        </w:r>
                        <w:r>
                          <w:rPr>
                            <w:rFonts w:ascii="Microsoft JhengHei" w:hAnsi="Microsoft JhengHei" w:cs="Microsoft JhengHei" w:eastAsia="Microsoft JhengHei" w:hint="default"/>
                            <w:sz w:val="15"/>
                            <w:szCs w:val="15"/>
                          </w:rPr>
                        </w:r>
                      </w:p>
                    </w:tc>
                    <w:tc>
                      <w:tcPr>
                        <w:tcW w:w="878" w:type="dxa"/>
                        <w:tcBorders>
                          <w:top w:val="single" w:sz="2" w:space="0" w:color="000000"/>
                          <w:left w:val="single" w:sz="6" w:space="0" w:color="000000"/>
                          <w:bottom w:val="single" w:sz="2" w:space="0" w:color="000000"/>
                          <w:right w:val="single" w:sz="8" w:space="0" w:color="000000"/>
                        </w:tcBorders>
                      </w:tcPr>
                      <w:p>
                        <w:pPr/>
                      </w:p>
                    </w:tc>
                    <w:tc>
                      <w:tcPr>
                        <w:tcW w:w="1898" w:type="dxa"/>
                        <w:tcBorders>
                          <w:top w:val="single" w:sz="2" w:space="0" w:color="000000"/>
                          <w:left w:val="single" w:sz="8" w:space="0" w:color="000000"/>
                          <w:bottom w:val="single" w:sz="2" w:space="0" w:color="000000"/>
                          <w:right w:val="single" w:sz="2" w:space="0" w:color="000000"/>
                        </w:tcBorders>
                      </w:tcPr>
                      <w:p>
                        <w:pPr>
                          <w:pStyle w:val="TableParagraph"/>
                          <w:spacing w:line="240" w:lineRule="auto" w:before="33"/>
                          <w:ind w:right="24"/>
                          <w:jc w:val="right"/>
                          <w:rPr>
                            <w:rFonts w:ascii="Times New Roman" w:hAnsi="Times New Roman" w:cs="Times New Roman" w:eastAsia="Times New Roman" w:hint="default"/>
                            <w:sz w:val="15"/>
                            <w:szCs w:val="15"/>
                          </w:rPr>
                        </w:pPr>
                        <w:r>
                          <w:rPr>
                            <w:rFonts w:ascii="Times New Roman"/>
                            <w:b/>
                            <w:w w:val="110"/>
                            <w:sz w:val="15"/>
                          </w:rPr>
                          <w:t>-189,560,082.70</w:t>
                        </w:r>
                        <w:r>
                          <w:rPr>
                            <w:rFonts w:ascii="Times New Roman"/>
                            <w:sz w:val="15"/>
                          </w:rPr>
                        </w:r>
                      </w:p>
                    </w:tc>
                    <w:tc>
                      <w:tcPr>
                        <w:tcW w:w="1899" w:type="dxa"/>
                        <w:tcBorders>
                          <w:top w:val="single" w:sz="2" w:space="0" w:color="000000"/>
                          <w:left w:val="single" w:sz="2" w:space="0" w:color="000000"/>
                          <w:bottom w:val="single" w:sz="2" w:space="0" w:color="000000"/>
                          <w:right w:val="nil" w:sz="6" w:space="0" w:color="auto"/>
                        </w:tcBorders>
                      </w:tcPr>
                      <w:p>
                        <w:pPr>
                          <w:pStyle w:val="TableParagraph"/>
                          <w:spacing w:line="240" w:lineRule="auto" w:before="33"/>
                          <w:ind w:right="29"/>
                          <w:jc w:val="right"/>
                          <w:rPr>
                            <w:rFonts w:ascii="Times New Roman" w:hAnsi="Times New Roman" w:cs="Times New Roman" w:eastAsia="Times New Roman" w:hint="default"/>
                            <w:sz w:val="15"/>
                            <w:szCs w:val="15"/>
                          </w:rPr>
                        </w:pPr>
                        <w:r>
                          <w:rPr>
                            <w:rFonts w:ascii="Times New Roman"/>
                            <w:b/>
                            <w:w w:val="110"/>
                            <w:sz w:val="15"/>
                          </w:rPr>
                          <w:t>-337,745,212.37</w:t>
                        </w:r>
                        <w:r>
                          <w:rPr>
                            <w:rFonts w:ascii="Times New Roman"/>
                            <w:sz w:val="15"/>
                          </w:rPr>
                        </w:r>
                      </w:p>
                    </w:tc>
                  </w:tr>
                  <w:tr>
                    <w:trPr>
                      <w:trHeight w:val="229" w:hRule="exact"/>
                    </w:trPr>
                    <w:tc>
                      <w:tcPr>
                        <w:tcW w:w="4950" w:type="dxa"/>
                        <w:tcBorders>
                          <w:top w:val="single" w:sz="2" w:space="0" w:color="000000"/>
                          <w:left w:val="nil" w:sz="6" w:space="0" w:color="auto"/>
                          <w:bottom w:val="single" w:sz="6" w:space="0" w:color="000000"/>
                          <w:right w:val="single" w:sz="6" w:space="0" w:color="000000"/>
                        </w:tcBorders>
                      </w:tcPr>
                      <w:p>
                        <w:pPr>
                          <w:pStyle w:val="TableParagraph"/>
                          <w:spacing w:line="194" w:lineRule="exact"/>
                          <w:ind w:left="370" w:right="0"/>
                          <w:jc w:val="left"/>
                          <w:rPr>
                            <w:rFonts w:ascii="宋体" w:hAnsi="宋体" w:cs="宋体" w:eastAsia="宋体" w:hint="default"/>
                            <w:sz w:val="15"/>
                            <w:szCs w:val="15"/>
                          </w:rPr>
                        </w:pPr>
                        <w:r>
                          <w:rPr>
                            <w:rFonts w:ascii="宋体" w:hAnsi="宋体" w:cs="宋体" w:eastAsia="宋体" w:hint="default"/>
                            <w:w w:val="110"/>
                            <w:sz w:val="15"/>
                            <w:szCs w:val="15"/>
                          </w:rPr>
                          <w:t>加：期初现金及现金等价物余额</w:t>
                        </w:r>
                        <w:r>
                          <w:rPr>
                            <w:rFonts w:ascii="宋体" w:hAnsi="宋体" w:cs="宋体" w:eastAsia="宋体" w:hint="default"/>
                            <w:sz w:val="15"/>
                            <w:szCs w:val="15"/>
                          </w:rPr>
                        </w:r>
                      </w:p>
                    </w:tc>
                    <w:tc>
                      <w:tcPr>
                        <w:tcW w:w="878" w:type="dxa"/>
                        <w:tcBorders>
                          <w:top w:val="single" w:sz="2" w:space="0" w:color="000000"/>
                          <w:left w:val="single" w:sz="6" w:space="0" w:color="000000"/>
                          <w:bottom w:val="single" w:sz="6" w:space="0" w:color="000000"/>
                          <w:right w:val="single" w:sz="8" w:space="0" w:color="000000"/>
                        </w:tcBorders>
                      </w:tcPr>
                      <w:p>
                        <w:pPr/>
                      </w:p>
                    </w:tc>
                    <w:tc>
                      <w:tcPr>
                        <w:tcW w:w="1898" w:type="dxa"/>
                        <w:tcBorders>
                          <w:top w:val="single" w:sz="2" w:space="0" w:color="000000"/>
                          <w:left w:val="single" w:sz="8" w:space="0" w:color="000000"/>
                          <w:bottom w:val="single" w:sz="6" w:space="0" w:color="000000"/>
                          <w:right w:val="single" w:sz="2" w:space="0" w:color="000000"/>
                        </w:tcBorders>
                      </w:tcPr>
                      <w:p>
                        <w:pPr>
                          <w:pStyle w:val="TableParagraph"/>
                          <w:spacing w:line="240" w:lineRule="auto" w:before="33"/>
                          <w:ind w:right="24"/>
                          <w:jc w:val="right"/>
                          <w:rPr>
                            <w:rFonts w:ascii="Times New Roman" w:hAnsi="Times New Roman" w:cs="Times New Roman" w:eastAsia="Times New Roman" w:hint="default"/>
                            <w:sz w:val="15"/>
                            <w:szCs w:val="15"/>
                          </w:rPr>
                        </w:pPr>
                        <w:r>
                          <w:rPr>
                            <w:rFonts w:ascii="Times New Roman"/>
                            <w:b/>
                            <w:w w:val="110"/>
                            <w:sz w:val="15"/>
                          </w:rPr>
                          <w:t>360,697,122.94</w:t>
                        </w:r>
                        <w:r>
                          <w:rPr>
                            <w:rFonts w:ascii="Times New Roman"/>
                            <w:sz w:val="15"/>
                          </w:rPr>
                        </w:r>
                      </w:p>
                    </w:tc>
                    <w:tc>
                      <w:tcPr>
                        <w:tcW w:w="1899" w:type="dxa"/>
                        <w:tcBorders>
                          <w:top w:val="single" w:sz="2" w:space="0" w:color="000000"/>
                          <w:left w:val="single" w:sz="2" w:space="0" w:color="000000"/>
                          <w:bottom w:val="single" w:sz="6" w:space="0" w:color="000000"/>
                          <w:right w:val="nil" w:sz="6" w:space="0" w:color="auto"/>
                        </w:tcBorders>
                      </w:tcPr>
                      <w:p>
                        <w:pPr>
                          <w:pStyle w:val="TableParagraph"/>
                          <w:spacing w:line="240" w:lineRule="auto" w:before="28"/>
                          <w:ind w:right="77"/>
                          <w:jc w:val="right"/>
                          <w:rPr>
                            <w:rFonts w:ascii="Times New Roman" w:hAnsi="Times New Roman" w:cs="Times New Roman" w:eastAsia="Times New Roman" w:hint="default"/>
                            <w:sz w:val="15"/>
                            <w:szCs w:val="15"/>
                          </w:rPr>
                        </w:pPr>
                        <w:r>
                          <w:rPr>
                            <w:rFonts w:ascii="Times New Roman"/>
                            <w:w w:val="110"/>
                            <w:sz w:val="15"/>
                          </w:rPr>
                          <w:t>698,442,335.31</w:t>
                        </w:r>
                        <w:r>
                          <w:rPr>
                            <w:rFonts w:ascii="Times New Roman"/>
                            <w:sz w:val="15"/>
                          </w:rPr>
                        </w:r>
                      </w:p>
                    </w:tc>
                  </w:tr>
                  <w:tr>
                    <w:trPr>
                      <w:trHeight w:val="232" w:hRule="exact"/>
                    </w:trPr>
                    <w:tc>
                      <w:tcPr>
                        <w:tcW w:w="4950" w:type="dxa"/>
                        <w:tcBorders>
                          <w:top w:val="single" w:sz="6" w:space="0" w:color="000000"/>
                          <w:left w:val="nil" w:sz="6" w:space="0" w:color="auto"/>
                          <w:bottom w:val="single" w:sz="13" w:space="0" w:color="000000"/>
                          <w:right w:val="single" w:sz="6" w:space="0" w:color="000000"/>
                        </w:tcBorders>
                      </w:tcPr>
                      <w:p>
                        <w:pPr>
                          <w:pStyle w:val="TableParagraph"/>
                          <w:spacing w:line="208" w:lineRule="exact"/>
                          <w:ind w:left="30"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w w:val="110"/>
                            <w:sz w:val="15"/>
                            <w:szCs w:val="15"/>
                          </w:rPr>
                          <w:t>六、期末现金及现金等价物余额</w:t>
                        </w:r>
                        <w:r>
                          <w:rPr>
                            <w:rFonts w:ascii="Microsoft JhengHei" w:hAnsi="Microsoft JhengHei" w:cs="Microsoft JhengHei" w:eastAsia="Microsoft JhengHei" w:hint="default"/>
                            <w:sz w:val="15"/>
                            <w:szCs w:val="15"/>
                          </w:rPr>
                        </w:r>
                      </w:p>
                    </w:tc>
                    <w:tc>
                      <w:tcPr>
                        <w:tcW w:w="878" w:type="dxa"/>
                        <w:tcBorders>
                          <w:top w:val="single" w:sz="6" w:space="0" w:color="000000"/>
                          <w:left w:val="single" w:sz="6" w:space="0" w:color="000000"/>
                          <w:bottom w:val="single" w:sz="13" w:space="0" w:color="000000"/>
                          <w:right w:val="single" w:sz="8" w:space="0" w:color="000000"/>
                        </w:tcBorders>
                      </w:tcPr>
                      <w:p>
                        <w:pPr/>
                      </w:p>
                    </w:tc>
                    <w:tc>
                      <w:tcPr>
                        <w:tcW w:w="1898" w:type="dxa"/>
                        <w:tcBorders>
                          <w:top w:val="single" w:sz="6" w:space="0" w:color="000000"/>
                          <w:left w:val="single" w:sz="8" w:space="0" w:color="000000"/>
                          <w:bottom w:val="single" w:sz="13" w:space="0" w:color="000000"/>
                          <w:right w:val="single" w:sz="2" w:space="0" w:color="000000"/>
                        </w:tcBorders>
                      </w:tcPr>
                      <w:p>
                        <w:pPr>
                          <w:pStyle w:val="TableParagraph"/>
                          <w:spacing w:line="240" w:lineRule="auto" w:before="29"/>
                          <w:ind w:right="24"/>
                          <w:jc w:val="right"/>
                          <w:rPr>
                            <w:rFonts w:ascii="Times New Roman" w:hAnsi="Times New Roman" w:cs="Times New Roman" w:eastAsia="Times New Roman" w:hint="default"/>
                            <w:sz w:val="15"/>
                            <w:szCs w:val="15"/>
                          </w:rPr>
                        </w:pPr>
                        <w:r>
                          <w:rPr>
                            <w:rFonts w:ascii="Times New Roman"/>
                            <w:b/>
                            <w:w w:val="110"/>
                            <w:sz w:val="15"/>
                          </w:rPr>
                          <w:t>171,137,040.24</w:t>
                        </w:r>
                        <w:r>
                          <w:rPr>
                            <w:rFonts w:ascii="Times New Roman"/>
                            <w:sz w:val="15"/>
                          </w:rPr>
                        </w:r>
                      </w:p>
                    </w:tc>
                    <w:tc>
                      <w:tcPr>
                        <w:tcW w:w="1899" w:type="dxa"/>
                        <w:tcBorders>
                          <w:top w:val="single" w:sz="6" w:space="0" w:color="000000"/>
                          <w:left w:val="single" w:sz="2" w:space="0" w:color="000000"/>
                          <w:bottom w:val="single" w:sz="13" w:space="0" w:color="000000"/>
                          <w:right w:val="nil" w:sz="6" w:space="0" w:color="auto"/>
                        </w:tcBorders>
                      </w:tcPr>
                      <w:p>
                        <w:pPr>
                          <w:pStyle w:val="TableParagraph"/>
                          <w:spacing w:line="240" w:lineRule="auto" w:before="29"/>
                          <w:ind w:right="29"/>
                          <w:jc w:val="right"/>
                          <w:rPr>
                            <w:rFonts w:ascii="Times New Roman" w:hAnsi="Times New Roman" w:cs="Times New Roman" w:eastAsia="Times New Roman" w:hint="default"/>
                            <w:sz w:val="15"/>
                            <w:szCs w:val="15"/>
                          </w:rPr>
                        </w:pPr>
                        <w:r>
                          <w:rPr>
                            <w:rFonts w:ascii="Times New Roman"/>
                            <w:b/>
                            <w:w w:val="110"/>
                            <w:sz w:val="15"/>
                          </w:rPr>
                          <w:t>360,697,122.94</w:t>
                        </w:r>
                        <w:r>
                          <w:rPr>
                            <w:rFonts w:ascii="Times New Roman"/>
                            <w:sz w:val="15"/>
                          </w:rPr>
                        </w:r>
                      </w:p>
                    </w:tc>
                  </w:tr>
                </w:tbl>
                <w:p>
                  <w:pPr/>
                </w:p>
              </w:txbxContent>
            </v:textbox>
            <w10:wrap type="none"/>
          </v:shape>
        </w:pict>
      </w:r>
      <w:r>
        <w:rPr>
          <w:w w:val="110"/>
        </w:rPr>
        <w:t>合并现金流量表</w:t>
      </w:r>
      <w:r>
        <w:rPr>
          <w:b w:val="0"/>
          <w:bCs w:val="0"/>
        </w:rPr>
      </w:r>
    </w:p>
    <w:p>
      <w:pPr>
        <w:tabs>
          <w:tab w:pos="5144" w:val="left" w:leader="none"/>
          <w:tab w:pos="8567" w:val="left" w:leader="none"/>
        </w:tabs>
        <w:spacing w:before="289"/>
        <w:ind w:left="191" w:right="0" w:firstLine="0"/>
        <w:jc w:val="left"/>
        <w:rPr>
          <w:rFonts w:ascii="宋体" w:hAnsi="宋体" w:cs="宋体" w:eastAsia="宋体" w:hint="default"/>
          <w:sz w:val="15"/>
          <w:szCs w:val="15"/>
        </w:rPr>
      </w:pPr>
      <w:r>
        <w:rPr>
          <w:rFonts w:ascii="宋体" w:hAnsi="宋体" w:cs="宋体" w:eastAsia="宋体" w:hint="default"/>
          <w:w w:val="110"/>
          <w:sz w:val="15"/>
          <w:szCs w:val="15"/>
        </w:rPr>
        <w:t>编制单位:</w:t>
      </w:r>
      <w:r>
        <w:rPr>
          <w:rFonts w:ascii="宋体" w:hAnsi="宋体" w:cs="宋体" w:eastAsia="宋体" w:hint="default"/>
          <w:spacing w:val="41"/>
          <w:w w:val="110"/>
          <w:sz w:val="15"/>
          <w:szCs w:val="15"/>
        </w:rPr>
        <w:t> </w:t>
      </w:r>
      <w:r>
        <w:rPr>
          <w:rFonts w:ascii="宋体" w:hAnsi="宋体" w:cs="宋体" w:eastAsia="宋体" w:hint="default"/>
          <w:w w:val="110"/>
          <w:sz w:val="15"/>
          <w:szCs w:val="15"/>
        </w:rPr>
        <w:t>宝安鸿基地产集团股份有限公司</w:t>
        <w:tab/>
        <w:t>2012年度</w:t>
        <w:tab/>
        <w:t>单位：人民币元</w:t>
      </w:r>
      <w:r>
        <w:rPr>
          <w:rFonts w:ascii="宋体" w:hAnsi="宋体" w:cs="宋体" w:eastAsia="宋体" w:hint="default"/>
          <w:sz w:val="15"/>
          <w:szCs w:val="15"/>
        </w:rPr>
      </w:r>
    </w:p>
    <w:p>
      <w:pPr>
        <w:spacing w:line="20" w:lineRule="exact"/>
        <w:ind w:left="966" w:right="0" w:firstLine="0"/>
        <w:rPr>
          <w:rFonts w:ascii="宋体" w:hAnsi="宋体" w:cs="宋体" w:eastAsia="宋体" w:hint="default"/>
          <w:sz w:val="2"/>
          <w:szCs w:val="2"/>
        </w:rPr>
      </w:pPr>
      <w:r>
        <w:rPr>
          <w:rFonts w:ascii="宋体" w:hAnsi="宋体" w:cs="宋体" w:eastAsia="宋体" w:hint="default"/>
          <w:sz w:val="2"/>
          <w:szCs w:val="2"/>
        </w:rPr>
        <w:pict>
          <v:group style="width:207.85pt;height:.8pt;mso-position-horizontal-relative:char;mso-position-vertical-relative:line" coordorigin="0,0" coordsize="4157,16">
            <v:group style="position:absolute;left:9;top:2;width:4139;height:2" coordorigin="9,2" coordsize="4139,2">
              <v:shape style="position:absolute;left:9;top:2;width:4139;height:2" coordorigin="9,2" coordsize="4139,0" path="m9,2l4148,2e" filled="false" stroked="true" strokeweight=".24pt" strokecolor="#000000">
                <v:path arrowok="t"/>
              </v:shape>
            </v:group>
            <v:group style="position:absolute;left:7;top:8;width:4143;height:2" coordorigin="7,8" coordsize="4143,2">
              <v:shape style="position:absolute;left:7;top:8;width:4143;height:2" coordorigin="7,8" coordsize="4143,0" path="m7,8l4150,8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155" w:lineRule="exact" w:before="136"/>
        <w:ind w:left="0" w:right="142" w:firstLine="0"/>
        <w:jc w:val="right"/>
        <w:rPr>
          <w:rFonts w:ascii="Times New Roman" w:hAnsi="Times New Roman" w:cs="Times New Roman" w:eastAsia="Times New Roman" w:hint="default"/>
          <w:sz w:val="18"/>
          <w:szCs w:val="18"/>
        </w:rPr>
      </w:pPr>
      <w:r>
        <w:rPr>
          <w:rFonts w:ascii="Times New Roman"/>
          <w:sz w:val="18"/>
        </w:rPr>
        <w:t>47</w:t>
      </w:r>
    </w:p>
    <w:p>
      <w:pPr>
        <w:tabs>
          <w:tab w:pos="3263" w:val="left" w:leader="none"/>
          <w:tab w:pos="7093" w:val="left" w:leader="none"/>
        </w:tabs>
        <w:spacing w:line="144" w:lineRule="exact" w:before="0"/>
        <w:ind w:left="191" w:right="0" w:firstLine="0"/>
        <w:jc w:val="left"/>
        <w:rPr>
          <w:rFonts w:ascii="宋体" w:hAnsi="宋体" w:cs="宋体" w:eastAsia="宋体" w:hint="default"/>
          <w:sz w:val="15"/>
          <w:szCs w:val="15"/>
        </w:rPr>
      </w:pPr>
      <w:r>
        <w:rPr>
          <w:rFonts w:ascii="宋体" w:hAnsi="宋体" w:cs="宋体" w:eastAsia="宋体" w:hint="default"/>
          <w:w w:val="110"/>
          <w:sz w:val="15"/>
          <w:szCs w:val="15"/>
        </w:rPr>
        <w:t>法定代表人:</w:t>
        <w:tab/>
      </w:r>
      <w:r>
        <w:rPr>
          <w:rFonts w:ascii="宋体" w:hAnsi="宋体" w:cs="宋体" w:eastAsia="宋体" w:hint="default"/>
          <w:spacing w:val="-1"/>
          <w:w w:val="110"/>
          <w:sz w:val="15"/>
          <w:szCs w:val="15"/>
        </w:rPr>
        <w:t>主管会计工作负责人:</w:t>
        <w:tab/>
        <w:t>会计机构负责人：</w:t>
      </w:r>
      <w:r>
        <w:rPr>
          <w:rFonts w:ascii="宋体" w:hAnsi="宋体" w:cs="宋体" w:eastAsia="宋体" w:hint="default"/>
          <w:spacing w:val="-1"/>
          <w:sz w:val="15"/>
          <w:szCs w:val="15"/>
        </w:rPr>
      </w:r>
    </w:p>
    <w:p>
      <w:pPr>
        <w:spacing w:after="0" w:line="144" w:lineRule="exact"/>
        <w:jc w:val="left"/>
        <w:rPr>
          <w:rFonts w:ascii="宋体" w:hAnsi="宋体" w:cs="宋体" w:eastAsia="宋体" w:hint="default"/>
          <w:sz w:val="15"/>
          <w:szCs w:val="15"/>
        </w:rPr>
        <w:sectPr>
          <w:headerReference w:type="default" r:id="rId20"/>
          <w:footerReference w:type="default" r:id="rId21"/>
          <w:pgSz w:w="11900" w:h="16840"/>
          <w:pgMar w:header="872" w:footer="0" w:top="1120" w:bottom="280" w:left="980" w:right="980"/>
        </w:sectPr>
      </w:pPr>
    </w:p>
    <w:p>
      <w:pPr>
        <w:spacing w:line="240" w:lineRule="auto" w:before="11"/>
        <w:rPr>
          <w:rFonts w:ascii="宋体" w:hAnsi="宋体" w:cs="宋体" w:eastAsia="宋体" w:hint="default"/>
          <w:sz w:val="10"/>
          <w:szCs w:val="10"/>
        </w:rPr>
      </w:pPr>
    </w:p>
    <w:p>
      <w:pPr>
        <w:spacing w:line="327" w:lineRule="exact" w:before="0"/>
        <w:ind w:left="6452" w:right="6450" w:firstLine="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8"/>
          <w:sz w:val="20"/>
          <w:szCs w:val="20"/>
        </w:rPr>
        <w:t>合并股东权益变动表</w:t>
      </w:r>
      <w:r>
        <w:rPr>
          <w:rFonts w:ascii="Microsoft JhengHei" w:hAnsi="Microsoft JhengHei" w:cs="Microsoft JhengHei" w:eastAsia="Microsoft JhengHei" w:hint="default"/>
          <w:spacing w:val="8"/>
          <w:sz w:val="20"/>
          <w:szCs w:val="20"/>
        </w:rPr>
      </w:r>
    </w:p>
    <w:p>
      <w:pPr>
        <w:spacing w:line="240" w:lineRule="auto" w:before="3"/>
        <w:rPr>
          <w:rFonts w:ascii="Microsoft JhengHei" w:hAnsi="Microsoft JhengHei" w:cs="Microsoft JhengHei" w:eastAsia="Microsoft JhengHei" w:hint="default"/>
          <w:b/>
          <w:bCs/>
          <w:sz w:val="9"/>
          <w:szCs w:val="9"/>
        </w:rPr>
      </w:pPr>
    </w:p>
    <w:p>
      <w:pPr>
        <w:spacing w:before="0"/>
        <w:ind w:left="6452" w:right="6450" w:firstLine="0"/>
        <w:jc w:val="center"/>
        <w:rPr>
          <w:rFonts w:ascii="宋体" w:hAnsi="宋体" w:cs="宋体" w:eastAsia="宋体" w:hint="default"/>
          <w:sz w:val="12"/>
          <w:szCs w:val="12"/>
        </w:rPr>
      </w:pPr>
      <w:r>
        <w:rPr>
          <w:rFonts w:ascii="宋体" w:hAnsi="宋体" w:cs="宋体" w:eastAsia="宋体" w:hint="default"/>
          <w:spacing w:val="-3"/>
          <w:w w:val="105"/>
          <w:sz w:val="12"/>
          <w:szCs w:val="12"/>
        </w:rPr>
        <w:t>编制年度：</w:t>
      </w:r>
      <w:r>
        <w:rPr>
          <w:rFonts w:ascii="Times New Roman" w:hAnsi="Times New Roman" w:cs="Times New Roman" w:eastAsia="Times New Roman" w:hint="default"/>
          <w:spacing w:val="-3"/>
          <w:w w:val="105"/>
          <w:position w:val="1"/>
          <w:sz w:val="12"/>
          <w:szCs w:val="12"/>
        </w:rPr>
        <w:t>2012</w:t>
      </w:r>
      <w:r>
        <w:rPr>
          <w:rFonts w:ascii="宋体" w:hAnsi="宋体" w:cs="宋体" w:eastAsia="宋体" w:hint="default"/>
          <w:spacing w:val="-3"/>
          <w:w w:val="105"/>
          <w:sz w:val="12"/>
          <w:szCs w:val="12"/>
        </w:rPr>
        <w:t>年度</w:t>
      </w:r>
      <w:r>
        <w:rPr>
          <w:rFonts w:ascii="宋体" w:hAnsi="宋体" w:cs="宋体" w:eastAsia="宋体" w:hint="default"/>
          <w:spacing w:val="-3"/>
          <w:sz w:val="12"/>
          <w:szCs w:val="12"/>
        </w:rPr>
      </w:r>
    </w:p>
    <w:p>
      <w:pPr>
        <w:spacing w:after="0"/>
        <w:jc w:val="center"/>
        <w:rPr>
          <w:rFonts w:ascii="宋体" w:hAnsi="宋体" w:cs="宋体" w:eastAsia="宋体" w:hint="default"/>
          <w:sz w:val="12"/>
          <w:szCs w:val="12"/>
        </w:rPr>
        <w:sectPr>
          <w:headerReference w:type="default" r:id="rId22"/>
          <w:footerReference w:type="default" r:id="rId23"/>
          <w:pgSz w:w="16840" w:h="11900" w:orient="landscape"/>
          <w:pgMar w:header="866" w:footer="979" w:top="1100" w:bottom="1160" w:left="840" w:right="560"/>
          <w:pgNumType w:start="48"/>
        </w:sectPr>
      </w:pPr>
    </w:p>
    <w:p>
      <w:pPr>
        <w:spacing w:before="97"/>
        <w:ind w:left="182" w:right="-15" w:firstLine="0"/>
        <w:jc w:val="left"/>
        <w:rPr>
          <w:rFonts w:ascii="宋体" w:hAnsi="宋体" w:cs="宋体" w:eastAsia="宋体" w:hint="default"/>
          <w:sz w:val="12"/>
          <w:szCs w:val="12"/>
        </w:rPr>
      </w:pPr>
      <w:r>
        <w:rPr>
          <w:rFonts w:ascii="宋体" w:hAnsi="宋体" w:cs="宋体" w:eastAsia="宋体" w:hint="default"/>
          <w:w w:val="105"/>
          <w:sz w:val="12"/>
          <w:szCs w:val="12"/>
        </w:rPr>
        <w:t>编制单位:</w:t>
      </w:r>
      <w:r>
        <w:rPr>
          <w:rFonts w:ascii="宋体" w:hAnsi="宋体" w:cs="宋体" w:eastAsia="宋体" w:hint="default"/>
          <w:sz w:val="12"/>
          <w:szCs w:val="12"/>
        </w:rPr>
      </w:r>
    </w:p>
    <w:p>
      <w:pPr>
        <w:spacing w:before="97"/>
        <w:ind w:left="182" w:right="-12" w:firstLine="0"/>
        <w:jc w:val="left"/>
        <w:rPr>
          <w:rFonts w:ascii="宋体" w:hAnsi="宋体" w:cs="宋体" w:eastAsia="宋体" w:hint="default"/>
          <w:sz w:val="12"/>
          <w:szCs w:val="12"/>
        </w:rPr>
      </w:pPr>
      <w:r>
        <w:rPr>
          <w:w w:val="105"/>
        </w:rPr>
        <w:br w:type="column"/>
      </w:r>
      <w:r>
        <w:rPr>
          <w:rFonts w:ascii="宋体" w:hAnsi="宋体" w:cs="宋体" w:eastAsia="宋体" w:hint="default"/>
          <w:w w:val="105"/>
          <w:sz w:val="12"/>
          <w:szCs w:val="12"/>
        </w:rPr>
        <w:t>宝安鸿基地产集团股份有限公司</w:t>
      </w:r>
      <w:r>
        <w:rPr>
          <w:rFonts w:ascii="宋体" w:hAnsi="宋体" w:cs="宋体" w:eastAsia="宋体" w:hint="default"/>
          <w:sz w:val="12"/>
          <w:szCs w:val="12"/>
        </w:rPr>
      </w:r>
    </w:p>
    <w:p>
      <w:pPr>
        <w:spacing w:before="97"/>
        <w:ind w:left="182" w:right="0" w:firstLine="0"/>
        <w:jc w:val="left"/>
        <w:rPr>
          <w:rFonts w:ascii="宋体" w:hAnsi="宋体" w:cs="宋体" w:eastAsia="宋体" w:hint="default"/>
          <w:sz w:val="12"/>
          <w:szCs w:val="12"/>
        </w:rPr>
      </w:pPr>
      <w:r>
        <w:rPr>
          <w:w w:val="105"/>
        </w:rPr>
        <w:br w:type="column"/>
      </w:r>
      <w:r>
        <w:rPr>
          <w:rFonts w:ascii="宋体" w:hAnsi="宋体" w:cs="宋体" w:eastAsia="宋体" w:hint="default"/>
          <w:w w:val="105"/>
          <w:sz w:val="12"/>
          <w:szCs w:val="12"/>
        </w:rPr>
        <w:t>单位：人民币元</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840" w:right="560"/>
          <w:cols w:num="3" w:equalWidth="0">
            <w:col w:w="755" w:space="76"/>
            <w:col w:w="1955" w:space="11408"/>
            <w:col w:w="1246"/>
          </w:cols>
        </w:sectPr>
      </w:pPr>
    </w:p>
    <w:p>
      <w:pPr>
        <w:spacing w:line="240" w:lineRule="auto" w:before="5"/>
        <w:rPr>
          <w:rFonts w:ascii="宋体" w:hAnsi="宋体" w:cs="宋体" w:eastAsia="宋体" w:hint="default"/>
          <w:sz w:val="3"/>
          <w:szCs w:val="3"/>
        </w:rPr>
      </w:pPr>
    </w:p>
    <w:p>
      <w:pPr>
        <w:spacing w:line="20" w:lineRule="exact"/>
        <w:ind w:left="979" w:right="0" w:firstLine="0"/>
        <w:rPr>
          <w:rFonts w:ascii="宋体" w:hAnsi="宋体" w:cs="宋体" w:eastAsia="宋体" w:hint="default"/>
          <w:sz w:val="2"/>
          <w:szCs w:val="2"/>
        </w:rPr>
      </w:pPr>
      <w:r>
        <w:rPr>
          <w:rFonts w:ascii="宋体" w:hAnsi="宋体" w:cs="宋体" w:eastAsia="宋体" w:hint="default"/>
          <w:sz w:val="2"/>
          <w:szCs w:val="2"/>
        </w:rPr>
        <w:pict>
          <v:group style="width:167.55pt;height:.550pt;mso-position-horizontal-relative:char;mso-position-vertical-relative:line" coordorigin="0,0" coordsize="3351,11">
            <v:group style="position:absolute;left:3;top:2;width:3344;height:2" coordorigin="3,2" coordsize="3344,2">
              <v:shape style="position:absolute;left:3;top:2;width:3344;height:2" coordorigin="3,2" coordsize="3344,0" path="m3,2l3347,2e" filled="false" stroked="true" strokeweight=".24pt" strokecolor="#000000">
                <v:path arrowok="t"/>
              </v:shape>
            </v:group>
            <v:group style="position:absolute;left:5;top:6;width:3341;height:2" coordorigin="5,6" coordsize="3341,2">
              <v:shape style="position:absolute;left:5;top:6;width:3341;height:2" coordorigin="5,6" coordsize="3341,0" path="m5,6l3346,6e" filled="false" stroked="true" strokeweight=".48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7"/>
          <w:szCs w:val="7"/>
        </w:rPr>
      </w:pPr>
    </w:p>
    <w:tbl>
      <w:tblPr>
        <w:tblW w:w="0" w:type="auto"/>
        <w:jc w:val="left"/>
        <w:tblInd w:w="143" w:type="dxa"/>
        <w:tblLayout w:type="fixed"/>
        <w:tblCellMar>
          <w:top w:w="0" w:type="dxa"/>
          <w:left w:w="0" w:type="dxa"/>
          <w:bottom w:w="0" w:type="dxa"/>
          <w:right w:w="0" w:type="dxa"/>
        </w:tblCellMar>
        <w:tblLook w:val="01E0"/>
      </w:tblPr>
      <w:tblGrid>
        <w:gridCol w:w="2947"/>
        <w:gridCol w:w="1219"/>
        <w:gridCol w:w="1219"/>
        <w:gridCol w:w="1219"/>
        <w:gridCol w:w="1219"/>
        <w:gridCol w:w="1219"/>
        <w:gridCol w:w="1219"/>
        <w:gridCol w:w="1216"/>
        <w:gridCol w:w="1219"/>
        <w:gridCol w:w="1219"/>
        <w:gridCol w:w="1225"/>
      </w:tblGrid>
      <w:tr>
        <w:trPr>
          <w:trHeight w:val="244" w:hRule="exact"/>
        </w:trPr>
        <w:tc>
          <w:tcPr>
            <w:tcW w:w="2947" w:type="dxa"/>
            <w:vMerge w:val="restart"/>
            <w:tcBorders>
              <w:top w:val="single" w:sz="8"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tabs>
                <w:tab w:pos="457" w:val="left" w:leader="none"/>
              </w:tabs>
              <w:spacing w:line="240" w:lineRule="auto"/>
              <w:ind w:left="11"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w w:val="105"/>
                <w:sz w:val="12"/>
                <w:szCs w:val="12"/>
              </w:rPr>
              <w:t>项</w:t>
              <w:tab/>
              <w:t>目</w:t>
            </w:r>
            <w:r>
              <w:rPr>
                <w:rFonts w:ascii="Microsoft JhengHei" w:hAnsi="Microsoft JhengHei" w:cs="Microsoft JhengHei" w:eastAsia="Microsoft JhengHei" w:hint="default"/>
                <w:sz w:val="12"/>
                <w:szCs w:val="12"/>
              </w:rPr>
            </w:r>
          </w:p>
        </w:tc>
        <w:tc>
          <w:tcPr>
            <w:tcW w:w="12192" w:type="dxa"/>
            <w:gridSpan w:val="10"/>
            <w:tcBorders>
              <w:top w:val="single" w:sz="8" w:space="0" w:color="000000"/>
              <w:left w:val="single" w:sz="4" w:space="0" w:color="000000"/>
              <w:bottom w:val="single" w:sz="4" w:space="0" w:color="000000"/>
              <w:right w:val="nil" w:sz="6" w:space="0" w:color="auto"/>
            </w:tcBorders>
          </w:tcPr>
          <w:p>
            <w:pPr>
              <w:pStyle w:val="TableParagraph"/>
              <w:spacing w:line="199" w:lineRule="exact"/>
              <w:ind w:right="6"/>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本期金额</w:t>
            </w:r>
            <w:r>
              <w:rPr>
                <w:rFonts w:ascii="Microsoft JhengHei" w:hAnsi="Microsoft JhengHei" w:cs="Microsoft JhengHei" w:eastAsia="Microsoft JhengHei" w:hint="default"/>
                <w:spacing w:val="6"/>
                <w:sz w:val="12"/>
                <w:szCs w:val="12"/>
              </w:rPr>
            </w:r>
          </w:p>
        </w:tc>
      </w:tr>
      <w:tr>
        <w:trPr>
          <w:trHeight w:val="244" w:hRule="exact"/>
        </w:trPr>
        <w:tc>
          <w:tcPr>
            <w:tcW w:w="2947" w:type="dxa"/>
            <w:vMerge/>
            <w:tcBorders>
              <w:left w:val="nil" w:sz="6" w:space="0" w:color="auto"/>
              <w:right w:val="single" w:sz="4" w:space="0" w:color="000000"/>
            </w:tcBorders>
          </w:tcPr>
          <w:p>
            <w:pPr/>
          </w:p>
        </w:tc>
        <w:tc>
          <w:tcPr>
            <w:tcW w:w="9749" w:type="dxa"/>
            <w:gridSpan w:val="8"/>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6"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归属于母公司股东权益</w:t>
            </w:r>
            <w:r>
              <w:rPr>
                <w:rFonts w:ascii="Microsoft JhengHei" w:hAnsi="Microsoft JhengHei" w:cs="Microsoft JhengHei" w:eastAsia="Microsoft JhengHei" w:hint="default"/>
                <w:spacing w:val="8"/>
                <w:sz w:val="12"/>
                <w:szCs w:val="12"/>
              </w:rPr>
            </w:r>
          </w:p>
        </w:tc>
        <w:tc>
          <w:tcPr>
            <w:tcW w:w="1219"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left="19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少数股东权益</w:t>
            </w:r>
            <w:r>
              <w:rPr>
                <w:rFonts w:ascii="Microsoft JhengHei" w:hAnsi="Microsoft JhengHei" w:cs="Microsoft JhengHei" w:eastAsia="Microsoft JhengHei" w:hint="default"/>
                <w:spacing w:val="7"/>
                <w:sz w:val="12"/>
                <w:szCs w:val="12"/>
              </w:rPr>
            </w:r>
          </w:p>
        </w:tc>
        <w:tc>
          <w:tcPr>
            <w:tcW w:w="1225" w:type="dxa"/>
            <w:vMerge w:val="restart"/>
            <w:tcBorders>
              <w:top w:val="single" w:sz="4"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left="19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股东权益合计</w:t>
            </w:r>
            <w:r>
              <w:rPr>
                <w:rFonts w:ascii="Microsoft JhengHei" w:hAnsi="Microsoft JhengHei" w:cs="Microsoft JhengHei" w:eastAsia="Microsoft JhengHei" w:hint="default"/>
                <w:spacing w:val="7"/>
                <w:sz w:val="12"/>
                <w:szCs w:val="12"/>
              </w:rPr>
            </w:r>
          </w:p>
        </w:tc>
      </w:tr>
      <w:tr>
        <w:trPr>
          <w:trHeight w:val="244" w:hRule="exact"/>
        </w:trPr>
        <w:tc>
          <w:tcPr>
            <w:tcW w:w="2947" w:type="dxa"/>
            <w:vMerge/>
            <w:tcBorders>
              <w:left w:val="nil" w:sz="6" w:space="0" w:color="auto"/>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5"/>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05"/>
                <w:sz w:val="12"/>
                <w:szCs w:val="12"/>
              </w:rPr>
              <w:t>股本</w:t>
            </w:r>
            <w:r>
              <w:rPr>
                <w:rFonts w:ascii="Microsoft JhengHei" w:hAnsi="Microsoft JhengHei" w:cs="Microsoft JhengHei" w:eastAsia="Microsoft JhengHei" w:hint="default"/>
                <w:spacing w:val="3"/>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331"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资本公积</w:t>
            </w:r>
            <w:r>
              <w:rPr>
                <w:rFonts w:ascii="Microsoft JhengHei" w:hAnsi="Microsoft JhengHei" w:cs="Microsoft JhengHei" w:eastAsia="Microsoft JhengHei" w:hint="default"/>
                <w:spacing w:val="7"/>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29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10"/>
                <w:sz w:val="12"/>
                <w:szCs w:val="12"/>
              </w:rPr>
              <w:t>减:</w:t>
            </w:r>
            <w:r>
              <w:rPr>
                <w:rFonts w:ascii="Microsoft JhengHei" w:hAnsi="Microsoft JhengHei" w:cs="Microsoft JhengHei" w:eastAsia="Microsoft JhengHei" w:hint="default"/>
                <w:b/>
                <w:bCs/>
                <w:spacing w:val="-5"/>
                <w:w w:val="110"/>
                <w:sz w:val="12"/>
                <w:szCs w:val="12"/>
              </w:rPr>
              <w:t> </w:t>
            </w:r>
            <w:r>
              <w:rPr>
                <w:rFonts w:ascii="Microsoft JhengHei" w:hAnsi="Microsoft JhengHei" w:cs="Microsoft JhengHei" w:eastAsia="Microsoft JhengHei" w:hint="default"/>
                <w:b/>
                <w:bCs/>
                <w:spacing w:val="6"/>
                <w:w w:val="110"/>
                <w:sz w:val="12"/>
                <w:szCs w:val="12"/>
              </w:rPr>
              <w:t>库存股</w:t>
            </w:r>
            <w:r>
              <w:rPr>
                <w:rFonts w:ascii="Microsoft JhengHei" w:hAnsi="Microsoft JhengHei" w:cs="Microsoft JhengHei" w:eastAsia="Microsoft JhengHei" w:hint="default"/>
                <w:spacing w:val="6"/>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33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专项储备</w:t>
            </w:r>
            <w:r>
              <w:rPr>
                <w:rFonts w:ascii="Microsoft JhengHei" w:hAnsi="Microsoft JhengHei" w:cs="Microsoft JhengHei" w:eastAsia="Microsoft JhengHei" w:hint="default"/>
                <w:spacing w:val="6"/>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33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盈余公积</w:t>
            </w:r>
            <w:r>
              <w:rPr>
                <w:rFonts w:ascii="Microsoft JhengHei" w:hAnsi="Microsoft JhengHei" w:cs="Microsoft JhengHei" w:eastAsia="Microsoft JhengHei" w:hint="default"/>
                <w:spacing w:val="6"/>
                <w:sz w:val="12"/>
                <w:szCs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199" w:lineRule="exact"/>
              <w:ind w:right="198"/>
              <w:jc w:val="righ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一般风险准备</w:t>
            </w:r>
            <w:r>
              <w:rPr>
                <w:rFonts w:ascii="Microsoft JhengHei" w:hAnsi="Microsoft JhengHei" w:cs="Microsoft JhengHei" w:eastAsia="Microsoft JhengHei" w:hint="default"/>
                <w:spacing w:val="8"/>
                <w:sz w:val="12"/>
                <w:szCs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199" w:lineRule="exact"/>
              <w:ind w:left="259"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未分配利润</w:t>
            </w:r>
            <w:r>
              <w:rPr>
                <w:rFonts w:ascii="Microsoft JhengHei" w:hAnsi="Microsoft JhengHei" w:cs="Microsoft JhengHei" w:eastAsia="Microsoft JhengHei" w:hint="default"/>
                <w:spacing w:val="7"/>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5"/>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05"/>
                <w:sz w:val="12"/>
                <w:szCs w:val="12"/>
              </w:rPr>
              <w:t>其他</w:t>
            </w:r>
            <w:r>
              <w:rPr>
                <w:rFonts w:ascii="Microsoft JhengHei" w:hAnsi="Microsoft JhengHei" w:cs="Microsoft JhengHei" w:eastAsia="Microsoft JhengHei" w:hint="default"/>
                <w:spacing w:val="3"/>
                <w:sz w:val="12"/>
                <w:szCs w:val="12"/>
              </w:rPr>
            </w:r>
          </w:p>
        </w:tc>
        <w:tc>
          <w:tcPr>
            <w:tcW w:w="1219"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nil" w:sz="6" w:space="0" w:color="auto"/>
            </w:tcBorders>
          </w:tcPr>
          <w:p>
            <w:pP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一、上年年末余额</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314,704,209.29</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3"/>
              <w:jc w:val="right"/>
              <w:rPr>
                <w:rFonts w:ascii="Times New Roman" w:hAnsi="Times New Roman" w:cs="Times New Roman" w:eastAsia="Times New Roman" w:hint="default"/>
                <w:sz w:val="12"/>
                <w:szCs w:val="12"/>
              </w:rPr>
            </w:pPr>
            <w:r>
              <w:rPr>
                <w:rFonts w:ascii="Times New Roman"/>
                <w:b/>
                <w:w w:val="105"/>
                <w:sz w:val="12"/>
              </w:rPr>
              <w:t>86,217,520.36</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125,302,709.63</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w w:val="105"/>
                <w:sz w:val="12"/>
              </w:rPr>
              <w:t>-10,174,151.98</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spacing w:val="2"/>
                <w:w w:val="105"/>
                <w:sz w:val="12"/>
              </w:rPr>
              <w:t>985,643,651.30</w:t>
            </w:r>
            <w:r>
              <w:rPr>
                <w:rFonts w:ascii="Times New Roman"/>
                <w:spacing w:val="2"/>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302" w:right="0"/>
              <w:jc w:val="left"/>
              <w:rPr>
                <w:rFonts w:ascii="宋体" w:hAnsi="宋体" w:cs="宋体" w:eastAsia="宋体" w:hint="default"/>
                <w:sz w:val="12"/>
                <w:szCs w:val="12"/>
              </w:rPr>
            </w:pPr>
            <w:r>
              <w:rPr>
                <w:rFonts w:ascii="宋体" w:hAnsi="宋体" w:cs="宋体" w:eastAsia="宋体" w:hint="default"/>
                <w:w w:val="105"/>
                <w:sz w:val="12"/>
                <w:szCs w:val="12"/>
              </w:rPr>
              <w:t>加:会计政策变更</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508" w:right="0"/>
              <w:jc w:val="left"/>
              <w:rPr>
                <w:rFonts w:ascii="宋体" w:hAnsi="宋体" w:cs="宋体" w:eastAsia="宋体" w:hint="default"/>
                <w:sz w:val="12"/>
                <w:szCs w:val="12"/>
              </w:rPr>
            </w:pPr>
            <w:r>
              <w:rPr>
                <w:rFonts w:ascii="宋体" w:hAnsi="宋体" w:cs="宋体" w:eastAsia="宋体" w:hint="default"/>
                <w:w w:val="105"/>
                <w:sz w:val="12"/>
                <w:szCs w:val="12"/>
              </w:rPr>
              <w:t>前期差错更正</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508" w:right="0"/>
              <w:jc w:val="left"/>
              <w:rPr>
                <w:rFonts w:ascii="宋体" w:hAnsi="宋体" w:cs="宋体" w:eastAsia="宋体" w:hint="default"/>
                <w:sz w:val="12"/>
                <w:szCs w:val="12"/>
              </w:rPr>
            </w:pPr>
            <w:r>
              <w:rPr>
                <w:rFonts w:ascii="宋体" w:hAnsi="宋体" w:cs="宋体" w:eastAsia="宋体" w:hint="default"/>
                <w:w w:val="105"/>
                <w:sz w:val="12"/>
                <w:szCs w:val="12"/>
              </w:rPr>
              <w:t>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二、本年年初余额</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314,704,209.29</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3"/>
              <w:jc w:val="right"/>
              <w:rPr>
                <w:rFonts w:ascii="Times New Roman" w:hAnsi="Times New Roman" w:cs="Times New Roman" w:eastAsia="Times New Roman" w:hint="default"/>
                <w:sz w:val="12"/>
                <w:szCs w:val="12"/>
              </w:rPr>
            </w:pPr>
            <w:r>
              <w:rPr>
                <w:rFonts w:ascii="Times New Roman"/>
                <w:b/>
                <w:w w:val="105"/>
                <w:sz w:val="12"/>
              </w:rPr>
              <w:t>86,217,520.36</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125,302,709.63</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w w:val="105"/>
                <w:sz w:val="12"/>
              </w:rPr>
              <w:t>-10,174,151.98</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spacing w:val="2"/>
                <w:w w:val="105"/>
                <w:sz w:val="12"/>
              </w:rPr>
              <w:t>985,643,651.30</w:t>
            </w:r>
            <w:r>
              <w:rPr>
                <w:rFonts w:ascii="Times New Roman"/>
                <w:spacing w:val="2"/>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三、本年增减变动金额（</w:t>
            </w:r>
            <w:r>
              <w:rPr>
                <w:rFonts w:ascii="Microsoft JhengHei" w:hAnsi="Microsoft JhengHei" w:cs="Microsoft JhengHei" w:eastAsia="Microsoft JhengHei" w:hint="default"/>
                <w:b/>
                <w:bCs/>
                <w:spacing w:val="38"/>
                <w:w w:val="105"/>
                <w:sz w:val="12"/>
                <w:szCs w:val="12"/>
              </w:rPr>
              <w:t> </w:t>
            </w:r>
            <w:r>
              <w:rPr>
                <w:rFonts w:ascii="Microsoft JhengHei" w:hAnsi="Microsoft JhengHei" w:cs="Microsoft JhengHei" w:eastAsia="Microsoft JhengHei" w:hint="default"/>
                <w:b/>
                <w:bCs/>
                <w:spacing w:val="8"/>
                <w:w w:val="105"/>
                <w:sz w:val="12"/>
                <w:szCs w:val="12"/>
              </w:rPr>
              <w:t>减少以“-”号填列)</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9"/>
              <w:jc w:val="right"/>
              <w:rPr>
                <w:rFonts w:ascii="Times New Roman" w:hAnsi="Times New Roman" w:cs="Times New Roman" w:eastAsia="Times New Roman" w:hint="default"/>
                <w:sz w:val="12"/>
                <w:szCs w:val="12"/>
              </w:rPr>
            </w:pPr>
            <w:r>
              <w:rPr>
                <w:rFonts w:ascii="Times New Roman"/>
                <w:b/>
                <w:w w:val="105"/>
                <w:sz w:val="12"/>
              </w:rPr>
              <w:t>-871,022.93</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3"/>
              <w:jc w:val="right"/>
              <w:rPr>
                <w:rFonts w:ascii="Times New Roman" w:hAnsi="Times New Roman" w:cs="Times New Roman" w:eastAsia="Times New Roman" w:hint="default"/>
                <w:sz w:val="12"/>
                <w:szCs w:val="12"/>
              </w:rPr>
            </w:pPr>
            <w:r>
              <w:rPr>
                <w:rFonts w:ascii="Times New Roman"/>
                <w:b/>
                <w:w w:val="105"/>
                <w:sz w:val="12"/>
              </w:rPr>
              <w:t>22,695,488.32</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3"/>
              <w:ind w:right="50"/>
              <w:jc w:val="right"/>
              <w:rPr>
                <w:rFonts w:ascii="Times New Roman" w:hAnsi="Times New Roman" w:cs="Times New Roman" w:eastAsia="Times New Roman" w:hint="default"/>
                <w:sz w:val="12"/>
                <w:szCs w:val="12"/>
              </w:rPr>
            </w:pPr>
            <w:r>
              <w:rPr>
                <w:rFonts w:ascii="Times New Roman"/>
                <w:b/>
                <w:spacing w:val="2"/>
                <w:w w:val="105"/>
                <w:sz w:val="12"/>
              </w:rPr>
              <w:t>157,148,914.31</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9"/>
              <w:jc w:val="right"/>
              <w:rPr>
                <w:rFonts w:ascii="Times New Roman" w:hAnsi="Times New Roman" w:cs="Times New Roman" w:eastAsia="Times New Roman" w:hint="default"/>
                <w:sz w:val="12"/>
                <w:szCs w:val="12"/>
              </w:rPr>
            </w:pPr>
            <w:r>
              <w:rPr>
                <w:rFonts w:ascii="Times New Roman"/>
                <w:b/>
                <w:spacing w:val="2"/>
                <w:w w:val="105"/>
                <w:sz w:val="12"/>
              </w:rPr>
              <w:t>167,179.30</w:t>
            </w:r>
            <w:r>
              <w:rPr>
                <w:rFonts w:ascii="Times New Roman"/>
                <w:spacing w:val="2"/>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60"/>
              <w:jc w:val="right"/>
              <w:rPr>
                <w:rFonts w:ascii="Times New Roman" w:hAnsi="Times New Roman" w:cs="Times New Roman" w:eastAsia="Times New Roman" w:hint="default"/>
                <w:sz w:val="12"/>
                <w:szCs w:val="12"/>
              </w:rPr>
            </w:pPr>
            <w:r>
              <w:rPr>
                <w:rFonts w:ascii="Times New Roman"/>
                <w:b/>
                <w:spacing w:val="2"/>
                <w:w w:val="105"/>
                <w:sz w:val="12"/>
              </w:rPr>
              <w:t>179,140,559.00</w:t>
            </w:r>
            <w:r>
              <w:rPr>
                <w:rFonts w:ascii="Times New Roman"/>
                <w:spacing w:val="2"/>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28" w:right="0"/>
              <w:jc w:val="left"/>
              <w:rPr>
                <w:rFonts w:ascii="宋体" w:hAnsi="宋体" w:cs="宋体" w:eastAsia="宋体" w:hint="default"/>
                <w:sz w:val="12"/>
                <w:szCs w:val="12"/>
              </w:rPr>
            </w:pPr>
            <w:r>
              <w:rPr>
                <w:rFonts w:ascii="宋体" w:hAnsi="宋体" w:cs="宋体" w:eastAsia="宋体" w:hint="default"/>
                <w:w w:val="105"/>
                <w:sz w:val="12"/>
                <w:szCs w:val="12"/>
              </w:rPr>
              <w:t>（一）净利润</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40"/>
              <w:jc w:val="right"/>
              <w:rPr>
                <w:rFonts w:ascii="Times New Roman" w:hAnsi="Times New Roman" w:cs="Times New Roman" w:eastAsia="Times New Roman" w:hint="default"/>
                <w:sz w:val="12"/>
                <w:szCs w:val="12"/>
              </w:rPr>
            </w:pPr>
            <w:r>
              <w:rPr>
                <w:rFonts w:ascii="Times New Roman"/>
                <w:spacing w:val="-5"/>
                <w:w w:val="105"/>
                <w:sz w:val="12"/>
              </w:rPr>
              <w:t>193,932,203.55</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9"/>
              <w:jc w:val="right"/>
              <w:rPr>
                <w:rFonts w:ascii="Times New Roman" w:hAnsi="Times New Roman" w:cs="Times New Roman" w:eastAsia="Times New Roman" w:hint="default"/>
                <w:sz w:val="12"/>
                <w:szCs w:val="12"/>
              </w:rPr>
            </w:pPr>
            <w:r>
              <w:rPr>
                <w:rFonts w:ascii="Times New Roman"/>
                <w:spacing w:val="-4"/>
                <w:w w:val="105"/>
                <w:sz w:val="12"/>
              </w:rPr>
              <w:t>167,179.30</w:t>
            </w:r>
            <w:r>
              <w:rPr>
                <w:rFonts w:ascii="Times New Roman"/>
                <w:spacing w:val="-4"/>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60"/>
              <w:jc w:val="right"/>
              <w:rPr>
                <w:rFonts w:ascii="Times New Roman" w:hAnsi="Times New Roman" w:cs="Times New Roman" w:eastAsia="Times New Roman" w:hint="default"/>
                <w:sz w:val="12"/>
                <w:szCs w:val="12"/>
              </w:rPr>
            </w:pPr>
            <w:r>
              <w:rPr>
                <w:rFonts w:ascii="Times New Roman"/>
                <w:b/>
                <w:spacing w:val="2"/>
                <w:w w:val="105"/>
                <w:sz w:val="12"/>
              </w:rPr>
              <w:t>194,099,382.85</w:t>
            </w:r>
            <w:r>
              <w:rPr>
                <w:rFonts w:ascii="Times New Roman"/>
                <w:spacing w:val="2"/>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8" w:right="0"/>
              <w:jc w:val="left"/>
              <w:rPr>
                <w:rFonts w:ascii="宋体" w:hAnsi="宋体" w:cs="宋体" w:eastAsia="宋体" w:hint="default"/>
                <w:sz w:val="12"/>
                <w:szCs w:val="12"/>
              </w:rPr>
            </w:pPr>
            <w:r>
              <w:rPr>
                <w:rFonts w:ascii="宋体" w:hAnsi="宋体" w:cs="宋体" w:eastAsia="宋体" w:hint="default"/>
                <w:w w:val="105"/>
                <w:sz w:val="12"/>
                <w:szCs w:val="12"/>
              </w:rPr>
              <w:t>（二）其他综合收益</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9"/>
              <w:jc w:val="right"/>
              <w:rPr>
                <w:rFonts w:ascii="Times New Roman" w:hAnsi="Times New Roman" w:cs="Times New Roman" w:eastAsia="Times New Roman" w:hint="default"/>
                <w:sz w:val="12"/>
                <w:szCs w:val="12"/>
              </w:rPr>
            </w:pPr>
            <w:r>
              <w:rPr>
                <w:rFonts w:ascii="Times New Roman"/>
                <w:spacing w:val="-4"/>
                <w:w w:val="105"/>
                <w:sz w:val="12"/>
              </w:rPr>
              <w:t>-871,022.93</w:t>
            </w:r>
            <w:r>
              <w:rPr>
                <w:rFonts w:ascii="Times New Roman"/>
                <w:spacing w:val="-4"/>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60"/>
              <w:jc w:val="right"/>
              <w:rPr>
                <w:rFonts w:ascii="Times New Roman" w:hAnsi="Times New Roman" w:cs="Times New Roman" w:eastAsia="Times New Roman" w:hint="default"/>
                <w:sz w:val="12"/>
                <w:szCs w:val="12"/>
              </w:rPr>
            </w:pPr>
            <w:r>
              <w:rPr>
                <w:rFonts w:ascii="Times New Roman"/>
                <w:b/>
                <w:w w:val="105"/>
                <w:sz w:val="12"/>
              </w:rPr>
              <w:t>-871,022.93</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上述（一）和（二)</w:t>
            </w:r>
            <w:r>
              <w:rPr>
                <w:rFonts w:ascii="Microsoft JhengHei" w:hAnsi="Microsoft JhengHei" w:cs="Microsoft JhengHei" w:eastAsia="Microsoft JhengHei" w:hint="default"/>
                <w:b/>
                <w:bCs/>
                <w:spacing w:val="14"/>
                <w:w w:val="105"/>
                <w:sz w:val="12"/>
                <w:szCs w:val="12"/>
              </w:rPr>
              <w:t> </w:t>
            </w:r>
            <w:r>
              <w:rPr>
                <w:rFonts w:ascii="Microsoft JhengHei" w:hAnsi="Microsoft JhengHei" w:cs="Microsoft JhengHei" w:eastAsia="Microsoft JhengHei" w:hint="default"/>
                <w:b/>
                <w:bCs/>
                <w:spacing w:val="3"/>
                <w:w w:val="105"/>
                <w:sz w:val="12"/>
                <w:szCs w:val="12"/>
              </w:rPr>
              <w:t>小计</w:t>
            </w:r>
            <w:r>
              <w:rPr>
                <w:rFonts w:ascii="Microsoft JhengHei" w:hAnsi="Microsoft JhengHei" w:cs="Microsoft JhengHei" w:eastAsia="Microsoft JhengHei" w:hint="default"/>
                <w:spacing w:val="3"/>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9"/>
              <w:jc w:val="right"/>
              <w:rPr>
                <w:rFonts w:ascii="Times New Roman" w:hAnsi="Times New Roman" w:cs="Times New Roman" w:eastAsia="Times New Roman" w:hint="default"/>
                <w:sz w:val="12"/>
                <w:szCs w:val="12"/>
              </w:rPr>
            </w:pPr>
            <w:r>
              <w:rPr>
                <w:rFonts w:ascii="Times New Roman"/>
                <w:spacing w:val="-4"/>
                <w:w w:val="105"/>
                <w:sz w:val="12"/>
              </w:rPr>
              <w:t>-871,022.93</w:t>
            </w:r>
            <w:r>
              <w:rPr>
                <w:rFonts w:ascii="Times New Roman"/>
                <w:spacing w:val="-4"/>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40"/>
              <w:jc w:val="right"/>
              <w:rPr>
                <w:rFonts w:ascii="Times New Roman" w:hAnsi="Times New Roman" w:cs="Times New Roman" w:eastAsia="Times New Roman" w:hint="default"/>
                <w:sz w:val="12"/>
                <w:szCs w:val="12"/>
              </w:rPr>
            </w:pPr>
            <w:r>
              <w:rPr>
                <w:rFonts w:ascii="Times New Roman"/>
                <w:spacing w:val="-5"/>
                <w:w w:val="105"/>
                <w:sz w:val="12"/>
              </w:rPr>
              <w:t>193,932,203.55</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9"/>
              <w:jc w:val="right"/>
              <w:rPr>
                <w:rFonts w:ascii="Times New Roman" w:hAnsi="Times New Roman" w:cs="Times New Roman" w:eastAsia="Times New Roman" w:hint="default"/>
                <w:sz w:val="12"/>
                <w:szCs w:val="12"/>
              </w:rPr>
            </w:pPr>
            <w:r>
              <w:rPr>
                <w:rFonts w:ascii="Times New Roman"/>
                <w:spacing w:val="-4"/>
                <w:w w:val="105"/>
                <w:sz w:val="12"/>
              </w:rPr>
              <w:t>167,179.30</w:t>
            </w:r>
            <w:r>
              <w:rPr>
                <w:rFonts w:ascii="Times New Roman"/>
                <w:spacing w:val="-4"/>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spacing w:val="2"/>
                <w:w w:val="105"/>
                <w:sz w:val="12"/>
              </w:rPr>
              <w:t>193,228,359.92</w:t>
            </w:r>
            <w:r>
              <w:rPr>
                <w:rFonts w:ascii="Times New Roman"/>
                <w:spacing w:val="2"/>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（三）股东投入和减少资本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1.股东投入资本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2.股份支付计入股东权益的金额</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3.其他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（四）利润分配</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3"/>
              <w:jc w:val="right"/>
              <w:rPr>
                <w:rFonts w:ascii="Times New Roman" w:hAnsi="Times New Roman" w:cs="Times New Roman" w:eastAsia="Times New Roman" w:hint="default"/>
                <w:sz w:val="12"/>
                <w:szCs w:val="12"/>
              </w:rPr>
            </w:pPr>
            <w:r>
              <w:rPr>
                <w:rFonts w:ascii="Times New Roman"/>
                <w:spacing w:val="-5"/>
                <w:w w:val="105"/>
                <w:sz w:val="12"/>
              </w:rPr>
              <w:t>22,695,488.32</w:t>
            </w:r>
            <w:r>
              <w:rPr>
                <w:rFonts w:ascii="Times New Roman"/>
                <w:spacing w:val="-5"/>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1"/>
              <w:jc w:val="right"/>
              <w:rPr>
                <w:rFonts w:ascii="Times New Roman" w:hAnsi="Times New Roman" w:cs="Times New Roman" w:eastAsia="Times New Roman" w:hint="default"/>
                <w:sz w:val="12"/>
                <w:szCs w:val="12"/>
              </w:rPr>
            </w:pPr>
            <w:r>
              <w:rPr>
                <w:rFonts w:ascii="Times New Roman"/>
                <w:spacing w:val="-5"/>
                <w:w w:val="105"/>
                <w:sz w:val="12"/>
              </w:rPr>
              <w:t>-36,783,289.24</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60"/>
              <w:jc w:val="right"/>
              <w:rPr>
                <w:rFonts w:ascii="Times New Roman" w:hAnsi="Times New Roman" w:cs="Times New Roman" w:eastAsia="Times New Roman" w:hint="default"/>
                <w:sz w:val="12"/>
                <w:szCs w:val="12"/>
              </w:rPr>
            </w:pPr>
            <w:r>
              <w:rPr>
                <w:rFonts w:ascii="Times New Roman"/>
                <w:b/>
                <w:w w:val="105"/>
                <w:sz w:val="12"/>
              </w:rPr>
              <w:t>-14,087,800.92</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1.提取盈余公积</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3"/>
              <w:jc w:val="right"/>
              <w:rPr>
                <w:rFonts w:ascii="Times New Roman" w:hAnsi="Times New Roman" w:cs="Times New Roman" w:eastAsia="Times New Roman" w:hint="default"/>
                <w:sz w:val="12"/>
                <w:szCs w:val="12"/>
              </w:rPr>
            </w:pPr>
            <w:r>
              <w:rPr>
                <w:rFonts w:ascii="Times New Roman"/>
                <w:spacing w:val="-5"/>
                <w:w w:val="105"/>
                <w:sz w:val="12"/>
              </w:rPr>
              <w:t>22,695,488.32</w:t>
            </w:r>
            <w:r>
              <w:rPr>
                <w:rFonts w:ascii="Times New Roman"/>
                <w:spacing w:val="-5"/>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1"/>
              <w:jc w:val="right"/>
              <w:rPr>
                <w:rFonts w:ascii="Times New Roman" w:hAnsi="Times New Roman" w:cs="Times New Roman" w:eastAsia="Times New Roman" w:hint="default"/>
                <w:sz w:val="12"/>
                <w:szCs w:val="12"/>
              </w:rPr>
            </w:pPr>
            <w:r>
              <w:rPr>
                <w:rFonts w:ascii="Times New Roman"/>
                <w:spacing w:val="-5"/>
                <w:w w:val="105"/>
                <w:sz w:val="12"/>
              </w:rPr>
              <w:t>-22,695,488.32</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2.提取一般风险准备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3.对股东的分配</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41"/>
              <w:jc w:val="right"/>
              <w:rPr>
                <w:rFonts w:ascii="Times New Roman" w:hAnsi="Times New Roman" w:cs="Times New Roman" w:eastAsia="Times New Roman" w:hint="default"/>
                <w:sz w:val="12"/>
                <w:szCs w:val="12"/>
              </w:rPr>
            </w:pPr>
            <w:r>
              <w:rPr>
                <w:rFonts w:ascii="Times New Roman"/>
                <w:spacing w:val="-5"/>
                <w:w w:val="105"/>
                <w:sz w:val="12"/>
              </w:rPr>
              <w:t>-14,087,800.92</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w w:val="105"/>
                <w:sz w:val="12"/>
              </w:rPr>
              <w:t>-14,087,800.92</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4.其他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（五）股东权益内部结转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1.资本公积转增股本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8" w:right="0"/>
              <w:jc w:val="left"/>
              <w:rPr>
                <w:rFonts w:ascii="宋体" w:hAnsi="宋体" w:cs="宋体" w:eastAsia="宋体" w:hint="default"/>
                <w:sz w:val="12"/>
                <w:szCs w:val="12"/>
              </w:rPr>
            </w:pPr>
            <w:r>
              <w:rPr>
                <w:rFonts w:ascii="宋体" w:hAnsi="宋体" w:cs="宋体" w:eastAsia="宋体" w:hint="default"/>
                <w:w w:val="105"/>
                <w:sz w:val="12"/>
                <w:szCs w:val="12"/>
              </w:rPr>
              <w:t>2.盈余公积转增股本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3.盈余公积弥补亏损</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4.其他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（六）专项储备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8" w:right="0"/>
              <w:jc w:val="left"/>
              <w:rPr>
                <w:rFonts w:ascii="宋体" w:hAnsi="宋体" w:cs="宋体" w:eastAsia="宋体" w:hint="default"/>
                <w:sz w:val="12"/>
                <w:szCs w:val="12"/>
              </w:rPr>
            </w:pPr>
            <w:r>
              <w:rPr>
                <w:rFonts w:ascii="宋体" w:hAnsi="宋体" w:cs="宋体" w:eastAsia="宋体" w:hint="default"/>
                <w:w w:val="105"/>
                <w:sz w:val="12"/>
                <w:szCs w:val="12"/>
              </w:rPr>
              <w:t>1.提取专项储备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2.使用专项储备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（七）其他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0" w:hRule="exact"/>
        </w:trPr>
        <w:tc>
          <w:tcPr>
            <w:tcW w:w="2947" w:type="dxa"/>
            <w:tcBorders>
              <w:top w:val="single" w:sz="4" w:space="0" w:color="000000"/>
              <w:left w:val="nil" w:sz="6" w:space="0" w:color="auto"/>
              <w:bottom w:val="single" w:sz="8" w:space="0" w:color="000000"/>
              <w:right w:val="single" w:sz="4" w:space="0" w:color="000000"/>
            </w:tcBorders>
          </w:tcPr>
          <w:p>
            <w:pPr>
              <w:pStyle w:val="TableParagraph"/>
              <w:spacing w:line="203"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四、本年年末余额</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21"/>
              <w:jc w:val="righ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20"/>
              <w:jc w:val="right"/>
              <w:rPr>
                <w:rFonts w:ascii="Times New Roman" w:hAnsi="Times New Roman" w:cs="Times New Roman" w:eastAsia="Times New Roman" w:hint="default"/>
                <w:sz w:val="12"/>
                <w:szCs w:val="12"/>
              </w:rPr>
            </w:pPr>
            <w:r>
              <w:rPr>
                <w:rFonts w:ascii="Times New Roman"/>
                <w:b/>
                <w:spacing w:val="2"/>
                <w:w w:val="105"/>
                <w:sz w:val="12"/>
              </w:rPr>
              <w:t>313,833,186.36</w:t>
            </w:r>
            <w:r>
              <w:rPr>
                <w:rFonts w:ascii="Times New Roman"/>
                <w:spacing w:val="2"/>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1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53"/>
              <w:jc w:val="right"/>
              <w:rPr>
                <w:rFonts w:ascii="Times New Roman" w:hAnsi="Times New Roman" w:cs="Times New Roman" w:eastAsia="Times New Roman" w:hint="default"/>
                <w:sz w:val="12"/>
                <w:szCs w:val="12"/>
              </w:rPr>
            </w:pPr>
            <w:r>
              <w:rPr>
                <w:rFonts w:ascii="Times New Roman"/>
                <w:b/>
                <w:spacing w:val="2"/>
                <w:w w:val="105"/>
                <w:sz w:val="12"/>
              </w:rPr>
              <w:t>108,913,008.68</w:t>
            </w:r>
            <w:r>
              <w:rPr>
                <w:rFonts w:ascii="Times New Roman"/>
                <w:spacing w:val="2"/>
                <w:sz w:val="12"/>
              </w:rPr>
            </w:r>
          </w:p>
        </w:tc>
        <w:tc>
          <w:tcPr>
            <w:tcW w:w="1219" w:type="dxa"/>
            <w:tcBorders>
              <w:top w:val="single" w:sz="4" w:space="0" w:color="000000"/>
              <w:left w:val="single" w:sz="4" w:space="0" w:color="000000"/>
              <w:bottom w:val="single" w:sz="8" w:space="0" w:color="000000"/>
              <w:right w:val="single" w:sz="6" w:space="0" w:color="000000"/>
            </w:tcBorders>
          </w:tcPr>
          <w:p>
            <w:pPr>
              <w:pStyle w:val="TableParagraph"/>
              <w:spacing w:line="240" w:lineRule="auto" w:before="56"/>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8" w:space="0" w:color="000000"/>
              <w:right w:val="single" w:sz="4" w:space="0" w:color="000000"/>
            </w:tcBorders>
          </w:tcPr>
          <w:p>
            <w:pPr>
              <w:pStyle w:val="TableParagraph"/>
              <w:spacing w:line="240" w:lineRule="auto" w:before="56"/>
              <w:ind w:right="50"/>
              <w:jc w:val="right"/>
              <w:rPr>
                <w:rFonts w:ascii="Times New Roman" w:hAnsi="Times New Roman" w:cs="Times New Roman" w:eastAsia="Times New Roman" w:hint="default"/>
                <w:sz w:val="12"/>
                <w:szCs w:val="12"/>
              </w:rPr>
            </w:pPr>
            <w:r>
              <w:rPr>
                <w:rFonts w:ascii="Times New Roman"/>
                <w:b/>
                <w:spacing w:val="2"/>
                <w:w w:val="105"/>
                <w:sz w:val="12"/>
              </w:rPr>
              <w:t>282,451,623.94</w:t>
            </w:r>
            <w:r>
              <w:rPr>
                <w:rFonts w:ascii="Times New Roman"/>
                <w:spacing w:val="2"/>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50"/>
              <w:jc w:val="right"/>
              <w:rPr>
                <w:rFonts w:ascii="Times New Roman" w:hAnsi="Times New Roman" w:cs="Times New Roman" w:eastAsia="Times New Roman" w:hint="default"/>
                <w:sz w:val="12"/>
                <w:szCs w:val="12"/>
              </w:rPr>
            </w:pPr>
            <w:r>
              <w:rPr>
                <w:rFonts w:ascii="Times New Roman"/>
                <w:b/>
                <w:w w:val="105"/>
                <w:sz w:val="12"/>
              </w:rPr>
              <w:t>-10,006,972.68</w:t>
            </w:r>
            <w:r>
              <w:rPr>
                <w:rFonts w:ascii="Times New Roman"/>
                <w:sz w:val="12"/>
              </w:rPr>
            </w:r>
          </w:p>
        </w:tc>
        <w:tc>
          <w:tcPr>
            <w:tcW w:w="1225"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56"/>
              <w:ind w:right="60"/>
              <w:jc w:val="right"/>
              <w:rPr>
                <w:rFonts w:ascii="Times New Roman" w:hAnsi="Times New Roman" w:cs="Times New Roman" w:eastAsia="Times New Roman" w:hint="default"/>
                <w:sz w:val="12"/>
                <w:szCs w:val="12"/>
              </w:rPr>
            </w:pPr>
            <w:r>
              <w:rPr>
                <w:rFonts w:ascii="Times New Roman"/>
                <w:b/>
                <w:spacing w:val="2"/>
                <w:w w:val="105"/>
                <w:sz w:val="12"/>
              </w:rPr>
              <w:t>1,164,784,210.30</w:t>
            </w:r>
            <w:r>
              <w:rPr>
                <w:rFonts w:ascii="Times New Roman"/>
                <w:spacing w:val="2"/>
                <w:sz w:val="12"/>
              </w:rPr>
            </w:r>
          </w:p>
        </w:tc>
      </w:tr>
    </w:tbl>
    <w:p>
      <w:pPr>
        <w:tabs>
          <w:tab w:pos="6004" w:val="left" w:leader="none"/>
          <w:tab w:pos="12465" w:val="left" w:leader="none"/>
        </w:tabs>
        <w:spacing w:before="28"/>
        <w:ind w:left="182" w:right="0" w:firstLine="0"/>
        <w:jc w:val="left"/>
        <w:rPr>
          <w:rFonts w:ascii="宋体" w:hAnsi="宋体" w:cs="宋体" w:eastAsia="宋体" w:hint="default"/>
          <w:sz w:val="12"/>
          <w:szCs w:val="12"/>
        </w:rPr>
      </w:pPr>
      <w:r>
        <w:rPr>
          <w:rFonts w:ascii="宋体" w:hAnsi="宋体" w:cs="宋体" w:eastAsia="宋体" w:hint="default"/>
          <w:w w:val="105"/>
          <w:sz w:val="12"/>
          <w:szCs w:val="12"/>
        </w:rPr>
        <w:t>法定代表人:</w:t>
        <w:tab/>
      </w:r>
      <w:r>
        <w:rPr>
          <w:rFonts w:ascii="宋体" w:hAnsi="宋体" w:cs="宋体" w:eastAsia="宋体" w:hint="default"/>
          <w:spacing w:val="-1"/>
          <w:w w:val="105"/>
          <w:sz w:val="12"/>
          <w:szCs w:val="12"/>
        </w:rPr>
        <w:t>主管会计工作负责人:</w:t>
        <w:tab/>
      </w:r>
      <w:r>
        <w:rPr>
          <w:rFonts w:ascii="宋体" w:hAnsi="宋体" w:cs="宋体" w:eastAsia="宋体" w:hint="default"/>
          <w:w w:val="105"/>
          <w:sz w:val="12"/>
          <w:szCs w:val="12"/>
        </w:rPr>
        <w:t>会计机构负责人：</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840" w:right="560"/>
        </w:sectPr>
      </w:pPr>
    </w:p>
    <w:p>
      <w:pPr>
        <w:spacing w:line="240" w:lineRule="auto" w:before="11"/>
        <w:rPr>
          <w:rFonts w:ascii="宋体" w:hAnsi="宋体" w:cs="宋体" w:eastAsia="宋体" w:hint="default"/>
          <w:sz w:val="10"/>
          <w:szCs w:val="10"/>
        </w:rPr>
      </w:pPr>
    </w:p>
    <w:p>
      <w:pPr>
        <w:spacing w:line="327" w:lineRule="exact" w:before="0"/>
        <w:ind w:left="6453" w:right="6450" w:firstLine="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8"/>
          <w:sz w:val="20"/>
          <w:szCs w:val="20"/>
        </w:rPr>
        <w:t>合并股东权益变动表（续）</w:t>
      </w:r>
      <w:r>
        <w:rPr>
          <w:rFonts w:ascii="Microsoft JhengHei" w:hAnsi="Microsoft JhengHei" w:cs="Microsoft JhengHei" w:eastAsia="Microsoft JhengHei" w:hint="default"/>
          <w:spacing w:val="8"/>
          <w:sz w:val="20"/>
          <w:szCs w:val="20"/>
        </w:rPr>
      </w:r>
    </w:p>
    <w:p>
      <w:pPr>
        <w:spacing w:line="240" w:lineRule="auto" w:before="3"/>
        <w:rPr>
          <w:rFonts w:ascii="Microsoft JhengHei" w:hAnsi="Microsoft JhengHei" w:cs="Microsoft JhengHei" w:eastAsia="Microsoft JhengHei" w:hint="default"/>
          <w:b/>
          <w:bCs/>
          <w:sz w:val="9"/>
          <w:szCs w:val="9"/>
        </w:rPr>
      </w:pPr>
    </w:p>
    <w:p>
      <w:pPr>
        <w:spacing w:before="0"/>
        <w:ind w:left="6452" w:right="6450" w:firstLine="0"/>
        <w:jc w:val="center"/>
        <w:rPr>
          <w:rFonts w:ascii="宋体" w:hAnsi="宋体" w:cs="宋体" w:eastAsia="宋体" w:hint="default"/>
          <w:sz w:val="12"/>
          <w:szCs w:val="12"/>
        </w:rPr>
      </w:pPr>
      <w:r>
        <w:rPr>
          <w:rFonts w:ascii="宋体" w:hAnsi="宋体" w:cs="宋体" w:eastAsia="宋体" w:hint="default"/>
          <w:spacing w:val="-3"/>
          <w:w w:val="105"/>
          <w:sz w:val="12"/>
          <w:szCs w:val="12"/>
        </w:rPr>
        <w:t>编制年度：</w:t>
      </w:r>
      <w:r>
        <w:rPr>
          <w:rFonts w:ascii="Times New Roman" w:hAnsi="Times New Roman" w:cs="Times New Roman" w:eastAsia="Times New Roman" w:hint="default"/>
          <w:spacing w:val="-3"/>
          <w:w w:val="105"/>
          <w:position w:val="1"/>
          <w:sz w:val="12"/>
          <w:szCs w:val="12"/>
        </w:rPr>
        <w:t>2012</w:t>
      </w:r>
      <w:r>
        <w:rPr>
          <w:rFonts w:ascii="宋体" w:hAnsi="宋体" w:cs="宋体" w:eastAsia="宋体" w:hint="default"/>
          <w:spacing w:val="-3"/>
          <w:w w:val="105"/>
          <w:sz w:val="12"/>
          <w:szCs w:val="12"/>
        </w:rPr>
        <w:t>年度</w:t>
      </w:r>
      <w:r>
        <w:rPr>
          <w:rFonts w:ascii="宋体" w:hAnsi="宋体" w:cs="宋体" w:eastAsia="宋体" w:hint="default"/>
          <w:spacing w:val="-3"/>
          <w:sz w:val="12"/>
          <w:szCs w:val="12"/>
        </w:rPr>
      </w:r>
    </w:p>
    <w:p>
      <w:pPr>
        <w:spacing w:after="0"/>
        <w:jc w:val="center"/>
        <w:rPr>
          <w:rFonts w:ascii="宋体" w:hAnsi="宋体" w:cs="宋体" w:eastAsia="宋体" w:hint="default"/>
          <w:sz w:val="12"/>
          <w:szCs w:val="12"/>
        </w:rPr>
        <w:sectPr>
          <w:pgSz w:w="16840" w:h="11900" w:orient="landscape"/>
          <w:pgMar w:header="866" w:footer="979" w:top="1100" w:bottom="1160" w:left="840" w:right="560"/>
        </w:sectPr>
      </w:pPr>
    </w:p>
    <w:p>
      <w:pPr>
        <w:spacing w:before="97"/>
        <w:ind w:left="182" w:right="-15" w:firstLine="0"/>
        <w:jc w:val="left"/>
        <w:rPr>
          <w:rFonts w:ascii="宋体" w:hAnsi="宋体" w:cs="宋体" w:eastAsia="宋体" w:hint="default"/>
          <w:sz w:val="12"/>
          <w:szCs w:val="12"/>
        </w:rPr>
      </w:pPr>
      <w:r>
        <w:rPr>
          <w:rFonts w:ascii="宋体" w:hAnsi="宋体" w:cs="宋体" w:eastAsia="宋体" w:hint="default"/>
          <w:w w:val="105"/>
          <w:sz w:val="12"/>
          <w:szCs w:val="12"/>
        </w:rPr>
        <w:t>编制单位:</w:t>
      </w:r>
      <w:r>
        <w:rPr>
          <w:rFonts w:ascii="宋体" w:hAnsi="宋体" w:cs="宋体" w:eastAsia="宋体" w:hint="default"/>
          <w:sz w:val="12"/>
          <w:szCs w:val="12"/>
        </w:rPr>
      </w:r>
    </w:p>
    <w:p>
      <w:pPr>
        <w:spacing w:before="97"/>
        <w:ind w:left="182" w:right="-12" w:firstLine="0"/>
        <w:jc w:val="left"/>
        <w:rPr>
          <w:rFonts w:ascii="宋体" w:hAnsi="宋体" w:cs="宋体" w:eastAsia="宋体" w:hint="default"/>
          <w:sz w:val="12"/>
          <w:szCs w:val="12"/>
        </w:rPr>
      </w:pPr>
      <w:r>
        <w:rPr>
          <w:w w:val="105"/>
        </w:rPr>
        <w:br w:type="column"/>
      </w:r>
      <w:r>
        <w:rPr>
          <w:rFonts w:ascii="宋体" w:hAnsi="宋体" w:cs="宋体" w:eastAsia="宋体" w:hint="default"/>
          <w:w w:val="105"/>
          <w:sz w:val="12"/>
          <w:szCs w:val="12"/>
        </w:rPr>
        <w:t>宝安鸿基地产集团股份有限公司</w:t>
      </w:r>
      <w:r>
        <w:rPr>
          <w:rFonts w:ascii="宋体" w:hAnsi="宋体" w:cs="宋体" w:eastAsia="宋体" w:hint="default"/>
          <w:sz w:val="12"/>
          <w:szCs w:val="12"/>
        </w:rPr>
      </w:r>
    </w:p>
    <w:p>
      <w:pPr>
        <w:spacing w:before="97"/>
        <w:ind w:left="182" w:right="0" w:firstLine="0"/>
        <w:jc w:val="left"/>
        <w:rPr>
          <w:rFonts w:ascii="宋体" w:hAnsi="宋体" w:cs="宋体" w:eastAsia="宋体" w:hint="default"/>
          <w:sz w:val="12"/>
          <w:szCs w:val="12"/>
        </w:rPr>
      </w:pPr>
      <w:r>
        <w:rPr>
          <w:w w:val="105"/>
        </w:rPr>
        <w:br w:type="column"/>
      </w:r>
      <w:r>
        <w:rPr>
          <w:rFonts w:ascii="宋体" w:hAnsi="宋体" w:cs="宋体" w:eastAsia="宋体" w:hint="default"/>
          <w:w w:val="105"/>
          <w:sz w:val="12"/>
          <w:szCs w:val="12"/>
        </w:rPr>
        <w:t>单位：人民币元</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840" w:right="560"/>
          <w:cols w:num="3" w:equalWidth="0">
            <w:col w:w="755" w:space="76"/>
            <w:col w:w="1955" w:space="11408"/>
            <w:col w:w="1246"/>
          </w:cols>
        </w:sectPr>
      </w:pPr>
    </w:p>
    <w:p>
      <w:pPr>
        <w:spacing w:line="240" w:lineRule="auto" w:before="5"/>
        <w:rPr>
          <w:rFonts w:ascii="宋体" w:hAnsi="宋体" w:cs="宋体" w:eastAsia="宋体" w:hint="default"/>
          <w:sz w:val="3"/>
          <w:szCs w:val="3"/>
        </w:rPr>
      </w:pPr>
    </w:p>
    <w:p>
      <w:pPr>
        <w:spacing w:line="20" w:lineRule="exact"/>
        <w:ind w:left="979" w:right="0" w:firstLine="0"/>
        <w:rPr>
          <w:rFonts w:ascii="宋体" w:hAnsi="宋体" w:cs="宋体" w:eastAsia="宋体" w:hint="default"/>
          <w:sz w:val="2"/>
          <w:szCs w:val="2"/>
        </w:rPr>
      </w:pPr>
      <w:r>
        <w:rPr>
          <w:rFonts w:ascii="宋体" w:hAnsi="宋体" w:cs="宋体" w:eastAsia="宋体" w:hint="default"/>
          <w:sz w:val="2"/>
          <w:szCs w:val="2"/>
        </w:rPr>
        <w:pict>
          <v:group style="width:167.55pt;height:.550pt;mso-position-horizontal-relative:char;mso-position-vertical-relative:line" coordorigin="0,0" coordsize="3351,11">
            <v:group style="position:absolute;left:3;top:2;width:3344;height:2" coordorigin="3,2" coordsize="3344,2">
              <v:shape style="position:absolute;left:3;top:2;width:3344;height:2" coordorigin="3,2" coordsize="3344,0" path="m3,2l3347,2e" filled="false" stroked="true" strokeweight=".24pt" strokecolor="#000000">
                <v:path arrowok="t"/>
              </v:shape>
            </v:group>
            <v:group style="position:absolute;left:5;top:6;width:3341;height:2" coordorigin="5,6" coordsize="3341,2">
              <v:shape style="position:absolute;left:5;top:6;width:3341;height:2" coordorigin="5,6" coordsize="3341,0" path="m5,6l3346,6e" filled="false" stroked="true" strokeweight=".48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7"/>
          <w:szCs w:val="7"/>
        </w:rPr>
      </w:pPr>
    </w:p>
    <w:tbl>
      <w:tblPr>
        <w:tblW w:w="0" w:type="auto"/>
        <w:jc w:val="left"/>
        <w:tblInd w:w="143" w:type="dxa"/>
        <w:tblLayout w:type="fixed"/>
        <w:tblCellMar>
          <w:top w:w="0" w:type="dxa"/>
          <w:left w:w="0" w:type="dxa"/>
          <w:bottom w:w="0" w:type="dxa"/>
          <w:right w:w="0" w:type="dxa"/>
        </w:tblCellMar>
        <w:tblLook w:val="01E0"/>
      </w:tblPr>
      <w:tblGrid>
        <w:gridCol w:w="2947"/>
        <w:gridCol w:w="1219"/>
        <w:gridCol w:w="1219"/>
        <w:gridCol w:w="1219"/>
        <w:gridCol w:w="1219"/>
        <w:gridCol w:w="1219"/>
        <w:gridCol w:w="1219"/>
        <w:gridCol w:w="1216"/>
        <w:gridCol w:w="1219"/>
        <w:gridCol w:w="1219"/>
        <w:gridCol w:w="1225"/>
      </w:tblGrid>
      <w:tr>
        <w:trPr>
          <w:trHeight w:val="244" w:hRule="exact"/>
        </w:trPr>
        <w:tc>
          <w:tcPr>
            <w:tcW w:w="2947" w:type="dxa"/>
            <w:vMerge w:val="restart"/>
            <w:tcBorders>
              <w:top w:val="single" w:sz="8" w:space="0" w:color="000000"/>
              <w:left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tabs>
                <w:tab w:pos="457" w:val="left" w:leader="none"/>
              </w:tabs>
              <w:spacing w:line="240" w:lineRule="auto"/>
              <w:ind w:left="11"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w w:val="105"/>
                <w:sz w:val="12"/>
                <w:szCs w:val="12"/>
              </w:rPr>
              <w:t>项</w:t>
              <w:tab/>
              <w:t>目</w:t>
            </w:r>
            <w:r>
              <w:rPr>
                <w:rFonts w:ascii="Microsoft JhengHei" w:hAnsi="Microsoft JhengHei" w:cs="Microsoft JhengHei" w:eastAsia="Microsoft JhengHei" w:hint="default"/>
                <w:sz w:val="12"/>
                <w:szCs w:val="12"/>
              </w:rPr>
            </w:r>
          </w:p>
        </w:tc>
        <w:tc>
          <w:tcPr>
            <w:tcW w:w="12192" w:type="dxa"/>
            <w:gridSpan w:val="10"/>
            <w:tcBorders>
              <w:top w:val="single" w:sz="8" w:space="0" w:color="000000"/>
              <w:left w:val="single" w:sz="4" w:space="0" w:color="000000"/>
              <w:bottom w:val="single" w:sz="4" w:space="0" w:color="000000"/>
              <w:right w:val="nil" w:sz="6" w:space="0" w:color="auto"/>
            </w:tcBorders>
          </w:tcPr>
          <w:p>
            <w:pPr>
              <w:pStyle w:val="TableParagraph"/>
              <w:spacing w:line="199" w:lineRule="exact"/>
              <w:ind w:right="6"/>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上期金额</w:t>
            </w:r>
            <w:r>
              <w:rPr>
                <w:rFonts w:ascii="Microsoft JhengHei" w:hAnsi="Microsoft JhengHei" w:cs="Microsoft JhengHei" w:eastAsia="Microsoft JhengHei" w:hint="default"/>
                <w:spacing w:val="6"/>
                <w:sz w:val="12"/>
                <w:szCs w:val="12"/>
              </w:rPr>
            </w:r>
          </w:p>
        </w:tc>
      </w:tr>
      <w:tr>
        <w:trPr>
          <w:trHeight w:val="244" w:hRule="exact"/>
        </w:trPr>
        <w:tc>
          <w:tcPr>
            <w:tcW w:w="2947" w:type="dxa"/>
            <w:vMerge/>
            <w:tcBorders>
              <w:left w:val="nil" w:sz="6" w:space="0" w:color="auto"/>
              <w:right w:val="single" w:sz="4" w:space="0" w:color="000000"/>
            </w:tcBorders>
          </w:tcPr>
          <w:p>
            <w:pPr/>
          </w:p>
        </w:tc>
        <w:tc>
          <w:tcPr>
            <w:tcW w:w="9749" w:type="dxa"/>
            <w:gridSpan w:val="8"/>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6"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归属于母公司股东权益</w:t>
            </w:r>
            <w:r>
              <w:rPr>
                <w:rFonts w:ascii="Microsoft JhengHei" w:hAnsi="Microsoft JhengHei" w:cs="Microsoft JhengHei" w:eastAsia="Microsoft JhengHei" w:hint="default"/>
                <w:spacing w:val="8"/>
                <w:sz w:val="12"/>
                <w:szCs w:val="12"/>
              </w:rPr>
            </w:r>
          </w:p>
        </w:tc>
        <w:tc>
          <w:tcPr>
            <w:tcW w:w="1219"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left="19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少数股东权益</w:t>
            </w:r>
            <w:r>
              <w:rPr>
                <w:rFonts w:ascii="Microsoft JhengHei" w:hAnsi="Microsoft JhengHei" w:cs="Microsoft JhengHei" w:eastAsia="Microsoft JhengHei" w:hint="default"/>
                <w:spacing w:val="7"/>
                <w:sz w:val="12"/>
                <w:szCs w:val="12"/>
              </w:rPr>
            </w:r>
          </w:p>
        </w:tc>
        <w:tc>
          <w:tcPr>
            <w:tcW w:w="1225" w:type="dxa"/>
            <w:vMerge w:val="restart"/>
            <w:tcBorders>
              <w:top w:val="single" w:sz="4" w:space="0" w:color="000000"/>
              <w:left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8"/>
                <w:szCs w:val="8"/>
              </w:rPr>
            </w:pPr>
          </w:p>
          <w:p>
            <w:pPr>
              <w:pStyle w:val="TableParagraph"/>
              <w:spacing w:line="240" w:lineRule="auto"/>
              <w:ind w:left="19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股东权益合计</w:t>
            </w:r>
            <w:r>
              <w:rPr>
                <w:rFonts w:ascii="Microsoft JhengHei" w:hAnsi="Microsoft JhengHei" w:cs="Microsoft JhengHei" w:eastAsia="Microsoft JhengHei" w:hint="default"/>
                <w:spacing w:val="7"/>
                <w:sz w:val="12"/>
                <w:szCs w:val="12"/>
              </w:rPr>
            </w:r>
          </w:p>
        </w:tc>
      </w:tr>
      <w:tr>
        <w:trPr>
          <w:trHeight w:val="244" w:hRule="exact"/>
        </w:trPr>
        <w:tc>
          <w:tcPr>
            <w:tcW w:w="2947" w:type="dxa"/>
            <w:vMerge/>
            <w:tcBorders>
              <w:left w:val="nil" w:sz="6" w:space="0" w:color="auto"/>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5"/>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05"/>
                <w:sz w:val="12"/>
                <w:szCs w:val="12"/>
              </w:rPr>
              <w:t>股本</w:t>
            </w:r>
            <w:r>
              <w:rPr>
                <w:rFonts w:ascii="Microsoft JhengHei" w:hAnsi="Microsoft JhengHei" w:cs="Microsoft JhengHei" w:eastAsia="Microsoft JhengHei" w:hint="default"/>
                <w:spacing w:val="3"/>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331"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资本公积</w:t>
            </w:r>
            <w:r>
              <w:rPr>
                <w:rFonts w:ascii="Microsoft JhengHei" w:hAnsi="Microsoft JhengHei" w:cs="Microsoft JhengHei" w:eastAsia="Microsoft JhengHei" w:hint="default"/>
                <w:spacing w:val="7"/>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29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10"/>
                <w:sz w:val="12"/>
                <w:szCs w:val="12"/>
              </w:rPr>
              <w:t>减:</w:t>
            </w:r>
            <w:r>
              <w:rPr>
                <w:rFonts w:ascii="Microsoft JhengHei" w:hAnsi="Microsoft JhengHei" w:cs="Microsoft JhengHei" w:eastAsia="Microsoft JhengHei" w:hint="default"/>
                <w:b/>
                <w:bCs/>
                <w:spacing w:val="-5"/>
                <w:w w:val="110"/>
                <w:sz w:val="12"/>
                <w:szCs w:val="12"/>
              </w:rPr>
              <w:t> </w:t>
            </w:r>
            <w:r>
              <w:rPr>
                <w:rFonts w:ascii="Microsoft JhengHei" w:hAnsi="Microsoft JhengHei" w:cs="Microsoft JhengHei" w:eastAsia="Microsoft JhengHei" w:hint="default"/>
                <w:b/>
                <w:bCs/>
                <w:spacing w:val="6"/>
                <w:w w:val="110"/>
                <w:sz w:val="12"/>
                <w:szCs w:val="12"/>
              </w:rPr>
              <w:t>库存股</w:t>
            </w:r>
            <w:r>
              <w:rPr>
                <w:rFonts w:ascii="Microsoft JhengHei" w:hAnsi="Microsoft JhengHei" w:cs="Microsoft JhengHei" w:eastAsia="Microsoft JhengHei" w:hint="default"/>
                <w:spacing w:val="6"/>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33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专项储备</w:t>
            </w:r>
            <w:r>
              <w:rPr>
                <w:rFonts w:ascii="Microsoft JhengHei" w:hAnsi="Microsoft JhengHei" w:cs="Microsoft JhengHei" w:eastAsia="Microsoft JhengHei" w:hint="default"/>
                <w:spacing w:val="6"/>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left="33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盈余公积</w:t>
            </w:r>
            <w:r>
              <w:rPr>
                <w:rFonts w:ascii="Microsoft JhengHei" w:hAnsi="Microsoft JhengHei" w:cs="Microsoft JhengHei" w:eastAsia="Microsoft JhengHei" w:hint="default"/>
                <w:spacing w:val="6"/>
                <w:sz w:val="12"/>
                <w:szCs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199" w:lineRule="exact"/>
              <w:ind w:right="198"/>
              <w:jc w:val="righ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一般风险准备</w:t>
            </w:r>
            <w:r>
              <w:rPr>
                <w:rFonts w:ascii="Microsoft JhengHei" w:hAnsi="Microsoft JhengHei" w:cs="Microsoft JhengHei" w:eastAsia="Microsoft JhengHei" w:hint="default"/>
                <w:spacing w:val="8"/>
                <w:sz w:val="12"/>
                <w:szCs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199" w:lineRule="exact"/>
              <w:ind w:left="259"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未分配利润</w:t>
            </w:r>
            <w:r>
              <w:rPr>
                <w:rFonts w:ascii="Microsoft JhengHei" w:hAnsi="Microsoft JhengHei" w:cs="Microsoft JhengHei" w:eastAsia="Microsoft JhengHei" w:hint="default"/>
                <w:spacing w:val="7"/>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99" w:lineRule="exact"/>
              <w:ind w:right="5"/>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05"/>
                <w:sz w:val="12"/>
                <w:szCs w:val="12"/>
              </w:rPr>
              <w:t>其他</w:t>
            </w:r>
            <w:r>
              <w:rPr>
                <w:rFonts w:ascii="Microsoft JhengHei" w:hAnsi="Microsoft JhengHei" w:cs="Microsoft JhengHei" w:eastAsia="Microsoft JhengHei" w:hint="default"/>
                <w:spacing w:val="3"/>
                <w:sz w:val="12"/>
                <w:szCs w:val="12"/>
              </w:rPr>
            </w:r>
          </w:p>
        </w:tc>
        <w:tc>
          <w:tcPr>
            <w:tcW w:w="1219" w:type="dxa"/>
            <w:vMerge/>
            <w:tcBorders>
              <w:left w:val="single" w:sz="4" w:space="0" w:color="000000"/>
              <w:bottom w:val="single" w:sz="4" w:space="0" w:color="000000"/>
              <w:right w:val="single" w:sz="4" w:space="0" w:color="000000"/>
            </w:tcBorders>
          </w:tcPr>
          <w:p>
            <w:pPr/>
          </w:p>
        </w:tc>
        <w:tc>
          <w:tcPr>
            <w:tcW w:w="1225" w:type="dxa"/>
            <w:vMerge/>
            <w:tcBorders>
              <w:left w:val="single" w:sz="4" w:space="0" w:color="000000"/>
              <w:bottom w:val="single" w:sz="4" w:space="0" w:color="000000"/>
              <w:right w:val="nil" w:sz="6" w:space="0" w:color="auto"/>
            </w:tcBorders>
          </w:tcPr>
          <w:p>
            <w:pP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一、上年年末余额</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330,003,134.76</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3"/>
              <w:jc w:val="right"/>
              <w:rPr>
                <w:rFonts w:ascii="Times New Roman" w:hAnsi="Times New Roman" w:cs="Times New Roman" w:eastAsia="Times New Roman" w:hint="default"/>
                <w:sz w:val="12"/>
                <w:szCs w:val="12"/>
              </w:rPr>
            </w:pPr>
            <w:r>
              <w:rPr>
                <w:rFonts w:ascii="Times New Roman"/>
                <w:b/>
                <w:spacing w:val="2"/>
                <w:w w:val="105"/>
                <w:sz w:val="12"/>
              </w:rPr>
              <w:t>212,430,339.50</w:t>
            </w:r>
            <w:r>
              <w:rPr>
                <w:rFonts w:ascii="Times New Roman"/>
                <w:spacing w:val="2"/>
                <w:sz w:val="12"/>
              </w:rPr>
            </w:r>
          </w:p>
        </w:tc>
        <w:tc>
          <w:tcPr>
            <w:tcW w:w="1219" w:type="dxa"/>
            <w:tcBorders>
              <w:top w:val="single" w:sz="4" w:space="0" w:color="000000"/>
              <w:left w:val="single" w:sz="4" w:space="0" w:color="000000"/>
              <w:bottom w:val="single" w:sz="4" w:space="0" w:color="000000"/>
              <w:right w:val="single" w:sz="6" w:space="0" w:color="000000"/>
            </w:tcBorders>
          </w:tcPr>
          <w:p>
            <w:pP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w w:val="105"/>
                <w:sz w:val="12"/>
              </w:rPr>
              <w:t>-153,665,128.53</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w w:val="105"/>
                <w:sz w:val="12"/>
              </w:rPr>
              <w:t>25,111,672.72</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spacing w:val="2"/>
                <w:w w:val="105"/>
                <w:sz w:val="12"/>
              </w:rPr>
              <w:t>883,473,382.45</w:t>
            </w:r>
            <w:r>
              <w:rPr>
                <w:rFonts w:ascii="Times New Roman"/>
                <w:spacing w:val="2"/>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302" w:right="0"/>
              <w:jc w:val="left"/>
              <w:rPr>
                <w:rFonts w:ascii="宋体" w:hAnsi="宋体" w:cs="宋体" w:eastAsia="宋体" w:hint="default"/>
                <w:sz w:val="12"/>
                <w:szCs w:val="12"/>
              </w:rPr>
            </w:pPr>
            <w:r>
              <w:rPr>
                <w:rFonts w:ascii="宋体" w:hAnsi="宋体" w:cs="宋体" w:eastAsia="宋体" w:hint="default"/>
                <w:w w:val="105"/>
                <w:sz w:val="12"/>
                <w:szCs w:val="12"/>
              </w:rPr>
              <w:t>加:会计政策变更</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0"/>
              <w:jc w:val="right"/>
              <w:rPr>
                <w:rFonts w:ascii="Times New Roman" w:hAnsi="Times New Roman" w:cs="Times New Roman" w:eastAsia="Times New Roman" w:hint="default"/>
                <w:sz w:val="12"/>
                <w:szCs w:val="12"/>
              </w:rPr>
            </w:pPr>
            <w:r>
              <w:rPr>
                <w:rFonts w:ascii="Times New Roman"/>
                <w:spacing w:val="-5"/>
                <w:w w:val="105"/>
                <w:sz w:val="12"/>
              </w:rPr>
              <w:t>12,674,364.39</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9"/>
              <w:jc w:val="right"/>
              <w:rPr>
                <w:rFonts w:ascii="Times New Roman" w:hAnsi="Times New Roman" w:cs="Times New Roman" w:eastAsia="Times New Roman" w:hint="default"/>
                <w:sz w:val="12"/>
                <w:szCs w:val="12"/>
              </w:rPr>
            </w:pPr>
            <w:r>
              <w:rPr>
                <w:rFonts w:ascii="Times New Roman"/>
                <w:spacing w:val="-5"/>
                <w:w w:val="105"/>
                <w:sz w:val="12"/>
              </w:rPr>
              <w:t>-12,674,364.39</w:t>
            </w:r>
            <w:r>
              <w:rPr>
                <w:rFonts w:ascii="Times New Roman"/>
                <w:spacing w:val="-5"/>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508" w:right="0"/>
              <w:jc w:val="left"/>
              <w:rPr>
                <w:rFonts w:ascii="宋体" w:hAnsi="宋体" w:cs="宋体" w:eastAsia="宋体" w:hint="default"/>
                <w:sz w:val="12"/>
                <w:szCs w:val="12"/>
              </w:rPr>
            </w:pPr>
            <w:r>
              <w:rPr>
                <w:rFonts w:ascii="宋体" w:hAnsi="宋体" w:cs="宋体" w:eastAsia="宋体" w:hint="default"/>
                <w:w w:val="105"/>
                <w:sz w:val="12"/>
                <w:szCs w:val="12"/>
              </w:rPr>
              <w:t>前期差错更正</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508" w:right="0"/>
              <w:jc w:val="left"/>
              <w:rPr>
                <w:rFonts w:ascii="宋体" w:hAnsi="宋体" w:cs="宋体" w:eastAsia="宋体" w:hint="default"/>
                <w:sz w:val="12"/>
                <w:szCs w:val="12"/>
              </w:rPr>
            </w:pPr>
            <w:r>
              <w:rPr>
                <w:rFonts w:ascii="宋体" w:hAnsi="宋体" w:cs="宋体" w:eastAsia="宋体" w:hint="default"/>
                <w:w w:val="105"/>
                <w:sz w:val="12"/>
                <w:szCs w:val="12"/>
              </w:rPr>
              <w:t>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二、本年年初余额</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spacing w:val="2"/>
                <w:w w:val="105"/>
                <w:sz w:val="12"/>
              </w:rPr>
              <w:t>330,003,134.76</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3"/>
              <w:jc w:val="right"/>
              <w:rPr>
                <w:rFonts w:ascii="Times New Roman" w:hAnsi="Times New Roman" w:cs="Times New Roman" w:eastAsia="Times New Roman" w:hint="default"/>
                <w:sz w:val="12"/>
                <w:szCs w:val="12"/>
              </w:rPr>
            </w:pPr>
            <w:r>
              <w:rPr>
                <w:rFonts w:ascii="Times New Roman"/>
                <w:b/>
                <w:spacing w:val="2"/>
                <w:w w:val="105"/>
                <w:sz w:val="12"/>
              </w:rPr>
              <w:t>212,430,339.50</w:t>
            </w:r>
            <w:r>
              <w:rPr>
                <w:rFonts w:ascii="Times New Roman"/>
                <w:spacing w:val="2"/>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w w:val="105"/>
                <w:sz w:val="12"/>
              </w:rPr>
              <w:t>-140,990,764.14</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50"/>
              <w:jc w:val="right"/>
              <w:rPr>
                <w:rFonts w:ascii="Times New Roman" w:hAnsi="Times New Roman" w:cs="Times New Roman" w:eastAsia="Times New Roman" w:hint="default"/>
                <w:sz w:val="12"/>
                <w:szCs w:val="12"/>
              </w:rPr>
            </w:pPr>
            <w:r>
              <w:rPr>
                <w:rFonts w:ascii="Times New Roman"/>
                <w:b/>
                <w:w w:val="105"/>
                <w:sz w:val="12"/>
              </w:rPr>
              <w:t>12,437,308.33</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spacing w:val="2"/>
                <w:w w:val="105"/>
                <w:sz w:val="12"/>
              </w:rPr>
              <w:t>883,473,382.45</w:t>
            </w:r>
            <w:r>
              <w:rPr>
                <w:rFonts w:ascii="Times New Roman"/>
                <w:spacing w:val="2"/>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三、本年增减变动金额（</w:t>
            </w:r>
            <w:r>
              <w:rPr>
                <w:rFonts w:ascii="Microsoft JhengHei" w:hAnsi="Microsoft JhengHei" w:cs="Microsoft JhengHei" w:eastAsia="Microsoft JhengHei" w:hint="default"/>
                <w:b/>
                <w:bCs/>
                <w:spacing w:val="38"/>
                <w:w w:val="105"/>
                <w:sz w:val="12"/>
                <w:szCs w:val="12"/>
              </w:rPr>
              <w:t> </w:t>
            </w:r>
            <w:r>
              <w:rPr>
                <w:rFonts w:ascii="Microsoft JhengHei" w:hAnsi="Microsoft JhengHei" w:cs="Microsoft JhengHei" w:eastAsia="Microsoft JhengHei" w:hint="default"/>
                <w:b/>
                <w:bCs/>
                <w:spacing w:val="8"/>
                <w:w w:val="105"/>
                <w:sz w:val="12"/>
                <w:szCs w:val="12"/>
              </w:rPr>
              <w:t>减少以“-”号填列)</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9"/>
              <w:jc w:val="right"/>
              <w:rPr>
                <w:rFonts w:ascii="Times New Roman" w:hAnsi="Times New Roman" w:cs="Times New Roman" w:eastAsia="Times New Roman" w:hint="default"/>
                <w:sz w:val="12"/>
                <w:szCs w:val="12"/>
              </w:rPr>
            </w:pPr>
            <w:r>
              <w:rPr>
                <w:rFonts w:ascii="Times New Roman"/>
                <w:b/>
                <w:w w:val="105"/>
                <w:sz w:val="12"/>
              </w:rPr>
              <w:t>-15,298,925.47</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3"/>
              <w:jc w:val="right"/>
              <w:rPr>
                <w:rFonts w:ascii="Times New Roman" w:hAnsi="Times New Roman" w:cs="Times New Roman" w:eastAsia="Times New Roman" w:hint="default"/>
                <w:sz w:val="12"/>
                <w:szCs w:val="12"/>
              </w:rPr>
            </w:pPr>
            <w:r>
              <w:rPr>
                <w:rFonts w:ascii="Times New Roman"/>
                <w:b/>
                <w:w w:val="105"/>
                <w:sz w:val="12"/>
              </w:rPr>
              <w:t>-126,212,819.14</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3"/>
              <w:ind w:right="50"/>
              <w:jc w:val="right"/>
              <w:rPr>
                <w:rFonts w:ascii="Times New Roman" w:hAnsi="Times New Roman" w:cs="Times New Roman" w:eastAsia="Times New Roman" w:hint="default"/>
                <w:sz w:val="12"/>
                <w:szCs w:val="12"/>
              </w:rPr>
            </w:pPr>
            <w:r>
              <w:rPr>
                <w:rFonts w:ascii="Times New Roman"/>
                <w:b/>
                <w:spacing w:val="2"/>
                <w:w w:val="105"/>
                <w:sz w:val="12"/>
              </w:rPr>
              <w:t>266,293,473.77</w:t>
            </w:r>
            <w:r>
              <w:rPr>
                <w:rFonts w:ascii="Times New Roman"/>
                <w:spacing w:val="2"/>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0"/>
              <w:jc w:val="right"/>
              <w:rPr>
                <w:rFonts w:ascii="Times New Roman" w:hAnsi="Times New Roman" w:cs="Times New Roman" w:eastAsia="Times New Roman" w:hint="default"/>
                <w:sz w:val="12"/>
                <w:szCs w:val="12"/>
              </w:rPr>
            </w:pPr>
            <w:r>
              <w:rPr>
                <w:rFonts w:ascii="Times New Roman"/>
                <w:b/>
                <w:w w:val="105"/>
                <w:sz w:val="12"/>
              </w:rPr>
              <w:t>-22,611,460.31</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60"/>
              <w:jc w:val="right"/>
              <w:rPr>
                <w:rFonts w:ascii="Times New Roman" w:hAnsi="Times New Roman" w:cs="Times New Roman" w:eastAsia="Times New Roman" w:hint="default"/>
                <w:sz w:val="12"/>
                <w:szCs w:val="12"/>
              </w:rPr>
            </w:pPr>
            <w:r>
              <w:rPr>
                <w:rFonts w:ascii="Times New Roman"/>
                <w:b/>
                <w:spacing w:val="2"/>
                <w:w w:val="105"/>
                <w:sz w:val="12"/>
              </w:rPr>
              <w:t>102,170,268.85</w:t>
            </w:r>
            <w:r>
              <w:rPr>
                <w:rFonts w:ascii="Times New Roman"/>
                <w:spacing w:val="2"/>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2"/>
              <w:ind w:left="28" w:right="0"/>
              <w:jc w:val="left"/>
              <w:rPr>
                <w:rFonts w:ascii="宋体" w:hAnsi="宋体" w:cs="宋体" w:eastAsia="宋体" w:hint="default"/>
                <w:sz w:val="12"/>
                <w:szCs w:val="12"/>
              </w:rPr>
            </w:pPr>
            <w:r>
              <w:rPr>
                <w:rFonts w:ascii="宋体" w:hAnsi="宋体" w:cs="宋体" w:eastAsia="宋体" w:hint="default"/>
                <w:w w:val="105"/>
                <w:sz w:val="12"/>
                <w:szCs w:val="12"/>
              </w:rPr>
              <w:t>（一）净利润</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40"/>
              <w:jc w:val="right"/>
              <w:rPr>
                <w:rFonts w:ascii="Times New Roman" w:hAnsi="Times New Roman" w:cs="Times New Roman" w:eastAsia="Times New Roman" w:hint="default"/>
                <w:sz w:val="12"/>
                <w:szCs w:val="12"/>
              </w:rPr>
            </w:pPr>
            <w:r>
              <w:rPr>
                <w:rFonts w:ascii="Times New Roman"/>
                <w:spacing w:val="-5"/>
                <w:w w:val="105"/>
                <w:sz w:val="12"/>
              </w:rPr>
              <w:t>140,080,654.63</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9"/>
              <w:jc w:val="right"/>
              <w:rPr>
                <w:rFonts w:ascii="Times New Roman" w:hAnsi="Times New Roman" w:cs="Times New Roman" w:eastAsia="Times New Roman" w:hint="default"/>
                <w:sz w:val="12"/>
                <w:szCs w:val="12"/>
              </w:rPr>
            </w:pPr>
            <w:r>
              <w:rPr>
                <w:rFonts w:ascii="Times New Roman"/>
                <w:spacing w:val="-4"/>
                <w:w w:val="105"/>
                <w:sz w:val="12"/>
              </w:rPr>
              <w:t>397,809.55</w:t>
            </w:r>
            <w:r>
              <w:rPr>
                <w:rFonts w:ascii="Times New Roman"/>
                <w:spacing w:val="-4"/>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60"/>
              <w:jc w:val="right"/>
              <w:rPr>
                <w:rFonts w:ascii="Times New Roman" w:hAnsi="Times New Roman" w:cs="Times New Roman" w:eastAsia="Times New Roman" w:hint="default"/>
                <w:sz w:val="12"/>
                <w:szCs w:val="12"/>
              </w:rPr>
            </w:pPr>
            <w:r>
              <w:rPr>
                <w:rFonts w:ascii="Times New Roman"/>
                <w:b/>
                <w:spacing w:val="2"/>
                <w:w w:val="105"/>
                <w:sz w:val="12"/>
              </w:rPr>
              <w:t>140,478,464.18</w:t>
            </w:r>
            <w:r>
              <w:rPr>
                <w:rFonts w:ascii="Times New Roman"/>
                <w:spacing w:val="2"/>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8" w:right="0"/>
              <w:jc w:val="left"/>
              <w:rPr>
                <w:rFonts w:ascii="宋体" w:hAnsi="宋体" w:cs="宋体" w:eastAsia="宋体" w:hint="default"/>
                <w:sz w:val="12"/>
                <w:szCs w:val="12"/>
              </w:rPr>
            </w:pPr>
            <w:r>
              <w:rPr>
                <w:rFonts w:ascii="宋体" w:hAnsi="宋体" w:cs="宋体" w:eastAsia="宋体" w:hint="default"/>
                <w:w w:val="105"/>
                <w:sz w:val="12"/>
                <w:szCs w:val="12"/>
              </w:rPr>
              <w:t>（二）其他综合收益</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9"/>
              <w:jc w:val="right"/>
              <w:rPr>
                <w:rFonts w:ascii="Times New Roman" w:hAnsi="Times New Roman" w:cs="Times New Roman" w:eastAsia="Times New Roman" w:hint="default"/>
                <w:sz w:val="12"/>
                <w:szCs w:val="12"/>
              </w:rPr>
            </w:pPr>
            <w:r>
              <w:rPr>
                <w:rFonts w:ascii="Times New Roman"/>
                <w:spacing w:val="-5"/>
                <w:w w:val="105"/>
                <w:sz w:val="12"/>
              </w:rPr>
              <w:t>-15,298,925.47</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60"/>
              <w:jc w:val="right"/>
              <w:rPr>
                <w:rFonts w:ascii="Times New Roman" w:hAnsi="Times New Roman" w:cs="Times New Roman" w:eastAsia="Times New Roman" w:hint="default"/>
                <w:sz w:val="12"/>
                <w:szCs w:val="12"/>
              </w:rPr>
            </w:pPr>
            <w:r>
              <w:rPr>
                <w:rFonts w:ascii="Times New Roman"/>
                <w:b/>
                <w:w w:val="105"/>
                <w:sz w:val="12"/>
              </w:rPr>
              <w:t>-15,298,925.47</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00"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上述（一）和（二)</w:t>
            </w:r>
            <w:r>
              <w:rPr>
                <w:rFonts w:ascii="Microsoft JhengHei" w:hAnsi="Microsoft JhengHei" w:cs="Microsoft JhengHei" w:eastAsia="Microsoft JhengHei" w:hint="default"/>
                <w:b/>
                <w:bCs/>
                <w:spacing w:val="14"/>
                <w:w w:val="105"/>
                <w:sz w:val="12"/>
                <w:szCs w:val="12"/>
              </w:rPr>
              <w:t> </w:t>
            </w:r>
            <w:r>
              <w:rPr>
                <w:rFonts w:ascii="Microsoft JhengHei" w:hAnsi="Microsoft JhengHei" w:cs="Microsoft JhengHei" w:eastAsia="Microsoft JhengHei" w:hint="default"/>
                <w:b/>
                <w:bCs/>
                <w:spacing w:val="3"/>
                <w:w w:val="105"/>
                <w:sz w:val="12"/>
                <w:szCs w:val="12"/>
              </w:rPr>
              <w:t>小计</w:t>
            </w:r>
            <w:r>
              <w:rPr>
                <w:rFonts w:ascii="Microsoft JhengHei" w:hAnsi="Microsoft JhengHei" w:cs="Microsoft JhengHei" w:eastAsia="Microsoft JhengHei" w:hint="default"/>
                <w:spacing w:val="3"/>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9"/>
              <w:jc w:val="right"/>
              <w:rPr>
                <w:rFonts w:ascii="Times New Roman" w:hAnsi="Times New Roman" w:cs="Times New Roman" w:eastAsia="Times New Roman" w:hint="default"/>
                <w:sz w:val="12"/>
                <w:szCs w:val="12"/>
              </w:rPr>
            </w:pPr>
            <w:r>
              <w:rPr>
                <w:rFonts w:ascii="Times New Roman"/>
                <w:spacing w:val="-5"/>
                <w:w w:val="105"/>
                <w:sz w:val="12"/>
              </w:rPr>
              <w:t>-15,298,925.47</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40"/>
              <w:jc w:val="right"/>
              <w:rPr>
                <w:rFonts w:ascii="Times New Roman" w:hAnsi="Times New Roman" w:cs="Times New Roman" w:eastAsia="Times New Roman" w:hint="default"/>
                <w:sz w:val="12"/>
                <w:szCs w:val="12"/>
              </w:rPr>
            </w:pPr>
            <w:r>
              <w:rPr>
                <w:rFonts w:ascii="Times New Roman"/>
                <w:spacing w:val="-5"/>
                <w:w w:val="105"/>
                <w:sz w:val="12"/>
              </w:rPr>
              <w:t>140,080,654.63</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39"/>
              <w:jc w:val="right"/>
              <w:rPr>
                <w:rFonts w:ascii="Times New Roman" w:hAnsi="Times New Roman" w:cs="Times New Roman" w:eastAsia="Times New Roman" w:hint="default"/>
                <w:sz w:val="12"/>
                <w:szCs w:val="12"/>
              </w:rPr>
            </w:pPr>
            <w:r>
              <w:rPr>
                <w:rFonts w:ascii="Times New Roman"/>
                <w:spacing w:val="-4"/>
                <w:w w:val="105"/>
                <w:sz w:val="12"/>
              </w:rPr>
              <w:t>397,809.55</w:t>
            </w:r>
            <w:r>
              <w:rPr>
                <w:rFonts w:ascii="Times New Roman"/>
                <w:spacing w:val="-4"/>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60"/>
              <w:jc w:val="right"/>
              <w:rPr>
                <w:rFonts w:ascii="Times New Roman" w:hAnsi="Times New Roman" w:cs="Times New Roman" w:eastAsia="Times New Roman" w:hint="default"/>
                <w:sz w:val="12"/>
                <w:szCs w:val="12"/>
              </w:rPr>
            </w:pPr>
            <w:r>
              <w:rPr>
                <w:rFonts w:ascii="Times New Roman"/>
                <w:b/>
                <w:spacing w:val="2"/>
                <w:w w:val="105"/>
                <w:sz w:val="12"/>
              </w:rPr>
              <w:t>125,179,538.71</w:t>
            </w:r>
            <w:r>
              <w:rPr>
                <w:rFonts w:ascii="Times New Roman"/>
                <w:spacing w:val="2"/>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（三）股东投入和减少资本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9"/>
              <w:jc w:val="right"/>
              <w:rPr>
                <w:rFonts w:ascii="Times New Roman" w:hAnsi="Times New Roman" w:cs="Times New Roman" w:eastAsia="Times New Roman" w:hint="default"/>
                <w:sz w:val="12"/>
                <w:szCs w:val="12"/>
              </w:rPr>
            </w:pPr>
            <w:r>
              <w:rPr>
                <w:rFonts w:ascii="Times New Roman"/>
                <w:spacing w:val="-5"/>
                <w:w w:val="105"/>
                <w:sz w:val="12"/>
              </w:rPr>
              <w:t>-23,009,269.86</w:t>
            </w:r>
            <w:r>
              <w:rPr>
                <w:rFonts w:ascii="Times New Roman"/>
                <w:spacing w:val="-5"/>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60"/>
              <w:jc w:val="right"/>
              <w:rPr>
                <w:rFonts w:ascii="Times New Roman" w:hAnsi="Times New Roman" w:cs="Times New Roman" w:eastAsia="Times New Roman" w:hint="default"/>
                <w:sz w:val="12"/>
                <w:szCs w:val="12"/>
              </w:rPr>
            </w:pPr>
            <w:r>
              <w:rPr>
                <w:rFonts w:ascii="Times New Roman"/>
                <w:b/>
                <w:w w:val="105"/>
                <w:sz w:val="12"/>
              </w:rPr>
              <w:t>-23,009,269.86</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1.股东投入资本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9"/>
              <w:jc w:val="right"/>
              <w:rPr>
                <w:rFonts w:ascii="Times New Roman" w:hAnsi="Times New Roman" w:cs="Times New Roman" w:eastAsia="Times New Roman" w:hint="default"/>
                <w:sz w:val="12"/>
                <w:szCs w:val="12"/>
              </w:rPr>
            </w:pPr>
            <w:r>
              <w:rPr>
                <w:rFonts w:ascii="Times New Roman"/>
                <w:spacing w:val="-5"/>
                <w:w w:val="105"/>
                <w:sz w:val="12"/>
              </w:rPr>
              <w:t>-23,009,269.86</w:t>
            </w:r>
            <w:r>
              <w:rPr>
                <w:rFonts w:ascii="Times New Roman"/>
                <w:spacing w:val="-5"/>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60"/>
              <w:jc w:val="right"/>
              <w:rPr>
                <w:rFonts w:ascii="Times New Roman" w:hAnsi="Times New Roman" w:cs="Times New Roman" w:eastAsia="Times New Roman" w:hint="default"/>
                <w:sz w:val="12"/>
                <w:szCs w:val="12"/>
              </w:rPr>
            </w:pPr>
            <w:r>
              <w:rPr>
                <w:rFonts w:ascii="Times New Roman"/>
                <w:b/>
                <w:w w:val="105"/>
                <w:sz w:val="12"/>
              </w:rPr>
              <w:t>-23,009,269.86</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2.股份支付计入股东权益的金额</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1"/>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3.其他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（四）利润分配</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3"/>
              <w:jc w:val="right"/>
              <w:rPr>
                <w:rFonts w:ascii="Times New Roman" w:hAnsi="Times New Roman" w:cs="Times New Roman" w:eastAsia="Times New Roman" w:hint="default"/>
                <w:sz w:val="12"/>
                <w:szCs w:val="12"/>
              </w:rPr>
            </w:pPr>
            <w:r>
              <w:rPr>
                <w:rFonts w:ascii="Times New Roman"/>
                <w:spacing w:val="-5"/>
                <w:w w:val="105"/>
                <w:sz w:val="12"/>
              </w:rPr>
              <w:t>27,452,309.39</w:t>
            </w:r>
            <w:r>
              <w:rPr>
                <w:rFonts w:ascii="Times New Roman"/>
                <w:spacing w:val="-5"/>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1"/>
              <w:jc w:val="right"/>
              <w:rPr>
                <w:rFonts w:ascii="Times New Roman" w:hAnsi="Times New Roman" w:cs="Times New Roman" w:eastAsia="Times New Roman" w:hint="default"/>
                <w:sz w:val="12"/>
                <w:szCs w:val="12"/>
              </w:rPr>
            </w:pPr>
            <w:r>
              <w:rPr>
                <w:rFonts w:ascii="Times New Roman"/>
                <w:spacing w:val="-5"/>
                <w:w w:val="105"/>
                <w:sz w:val="12"/>
              </w:rPr>
              <w:t>-27,452,309.39</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1.提取盈余公积</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3"/>
              <w:jc w:val="right"/>
              <w:rPr>
                <w:rFonts w:ascii="Times New Roman" w:hAnsi="Times New Roman" w:cs="Times New Roman" w:eastAsia="Times New Roman" w:hint="default"/>
                <w:sz w:val="12"/>
                <w:szCs w:val="12"/>
              </w:rPr>
            </w:pPr>
            <w:r>
              <w:rPr>
                <w:rFonts w:ascii="Times New Roman"/>
                <w:spacing w:val="-5"/>
                <w:w w:val="105"/>
                <w:sz w:val="12"/>
              </w:rPr>
              <w:t>27,452,309.39</w:t>
            </w:r>
            <w:r>
              <w:rPr>
                <w:rFonts w:ascii="Times New Roman"/>
                <w:spacing w:val="-5"/>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1"/>
              <w:jc w:val="right"/>
              <w:rPr>
                <w:rFonts w:ascii="Times New Roman" w:hAnsi="Times New Roman" w:cs="Times New Roman" w:eastAsia="Times New Roman" w:hint="default"/>
                <w:sz w:val="12"/>
                <w:szCs w:val="12"/>
              </w:rPr>
            </w:pPr>
            <w:r>
              <w:rPr>
                <w:rFonts w:ascii="Times New Roman"/>
                <w:spacing w:val="-5"/>
                <w:w w:val="105"/>
                <w:sz w:val="12"/>
              </w:rPr>
              <w:t>-27,452,309.39</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2.提取一般风险准备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3.对股东的分配</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4.其他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（五）股东权益内部结转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2"/>
              <w:jc w:val="right"/>
              <w:rPr>
                <w:rFonts w:ascii="Times New Roman" w:hAnsi="Times New Roman" w:cs="Times New Roman" w:eastAsia="Times New Roman" w:hint="default"/>
                <w:sz w:val="12"/>
                <w:szCs w:val="12"/>
              </w:rPr>
            </w:pPr>
            <w:r>
              <w:rPr>
                <w:rFonts w:ascii="Times New Roman"/>
                <w:spacing w:val="-5"/>
                <w:w w:val="105"/>
                <w:sz w:val="12"/>
              </w:rPr>
              <w:t>-153,665,128.53</w:t>
            </w:r>
            <w:r>
              <w:rPr>
                <w:rFonts w:ascii="Times New Roman"/>
                <w:spacing w:val="-5"/>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0"/>
              <w:jc w:val="right"/>
              <w:rPr>
                <w:rFonts w:ascii="Times New Roman" w:hAnsi="Times New Roman" w:cs="Times New Roman" w:eastAsia="Times New Roman" w:hint="default"/>
                <w:sz w:val="12"/>
                <w:szCs w:val="12"/>
              </w:rPr>
            </w:pPr>
            <w:r>
              <w:rPr>
                <w:rFonts w:ascii="Times New Roman"/>
                <w:spacing w:val="-5"/>
                <w:w w:val="105"/>
                <w:sz w:val="12"/>
              </w:rPr>
              <w:t>153,665,128.53</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1.资本公积转增股本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8" w:right="0"/>
              <w:jc w:val="left"/>
              <w:rPr>
                <w:rFonts w:ascii="宋体" w:hAnsi="宋体" w:cs="宋体" w:eastAsia="宋体" w:hint="default"/>
                <w:sz w:val="12"/>
                <w:szCs w:val="12"/>
              </w:rPr>
            </w:pPr>
            <w:r>
              <w:rPr>
                <w:rFonts w:ascii="宋体" w:hAnsi="宋体" w:cs="宋体" w:eastAsia="宋体" w:hint="default"/>
                <w:w w:val="105"/>
                <w:sz w:val="12"/>
                <w:szCs w:val="12"/>
              </w:rPr>
              <w:t>2.盈余公积转增股本</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3.盈余公积弥补亏损</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2"/>
              <w:jc w:val="right"/>
              <w:rPr>
                <w:rFonts w:ascii="Times New Roman" w:hAnsi="Times New Roman" w:cs="Times New Roman" w:eastAsia="Times New Roman" w:hint="default"/>
                <w:sz w:val="12"/>
                <w:szCs w:val="12"/>
              </w:rPr>
            </w:pPr>
            <w:r>
              <w:rPr>
                <w:rFonts w:ascii="Times New Roman"/>
                <w:spacing w:val="-5"/>
                <w:w w:val="105"/>
                <w:sz w:val="12"/>
              </w:rPr>
              <w:t>-153,665,128.53</w:t>
            </w:r>
            <w:r>
              <w:rPr>
                <w:rFonts w:ascii="Times New Roman"/>
                <w:spacing w:val="-5"/>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40"/>
              <w:jc w:val="right"/>
              <w:rPr>
                <w:rFonts w:ascii="Times New Roman" w:hAnsi="Times New Roman" w:cs="Times New Roman" w:eastAsia="Times New Roman" w:hint="default"/>
                <w:sz w:val="12"/>
                <w:szCs w:val="12"/>
              </w:rPr>
            </w:pPr>
            <w:r>
              <w:rPr>
                <w:rFonts w:ascii="Times New Roman"/>
                <w:spacing w:val="-5"/>
                <w:w w:val="105"/>
                <w:sz w:val="12"/>
              </w:rPr>
              <w:t>153,665,128.53</w:t>
            </w:r>
            <w:r>
              <w:rPr>
                <w:rFonts w:ascii="Times New Roman"/>
                <w:spacing w:val="-5"/>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0"/>
              <w:ind w:left="28" w:right="0"/>
              <w:jc w:val="left"/>
              <w:rPr>
                <w:rFonts w:ascii="宋体" w:hAnsi="宋体" w:cs="宋体" w:eastAsia="宋体" w:hint="default"/>
                <w:sz w:val="12"/>
                <w:szCs w:val="12"/>
              </w:rPr>
            </w:pPr>
            <w:r>
              <w:rPr>
                <w:rFonts w:ascii="宋体" w:hAnsi="宋体" w:cs="宋体" w:eastAsia="宋体" w:hint="default"/>
                <w:w w:val="105"/>
                <w:sz w:val="12"/>
                <w:szCs w:val="12"/>
              </w:rPr>
              <w:t>4.其他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3"/>
              <w:ind w:left="28" w:right="0"/>
              <w:jc w:val="left"/>
              <w:rPr>
                <w:rFonts w:ascii="宋体" w:hAnsi="宋体" w:cs="宋体" w:eastAsia="宋体" w:hint="default"/>
                <w:sz w:val="12"/>
                <w:szCs w:val="12"/>
              </w:rPr>
            </w:pPr>
            <w:r>
              <w:rPr>
                <w:rFonts w:ascii="宋体" w:hAnsi="宋体" w:cs="宋体" w:eastAsia="宋体" w:hint="default"/>
                <w:w w:val="105"/>
                <w:sz w:val="12"/>
                <w:szCs w:val="12"/>
              </w:rPr>
              <w:t>（六）专项储备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5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8"/>
              <w:ind w:left="28" w:right="0"/>
              <w:jc w:val="left"/>
              <w:rPr>
                <w:rFonts w:ascii="宋体" w:hAnsi="宋体" w:cs="宋体" w:eastAsia="宋体" w:hint="default"/>
                <w:sz w:val="12"/>
                <w:szCs w:val="12"/>
              </w:rPr>
            </w:pPr>
            <w:r>
              <w:rPr>
                <w:rFonts w:ascii="宋体" w:hAnsi="宋体" w:cs="宋体" w:eastAsia="宋体" w:hint="default"/>
                <w:w w:val="105"/>
                <w:sz w:val="12"/>
                <w:szCs w:val="12"/>
              </w:rPr>
              <w:t>1.提取专项储备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4"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2.使用专项储备</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2" w:hRule="exact"/>
        </w:trPr>
        <w:tc>
          <w:tcPr>
            <w:tcW w:w="294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9"/>
              <w:ind w:left="28" w:right="0"/>
              <w:jc w:val="left"/>
              <w:rPr>
                <w:rFonts w:ascii="宋体" w:hAnsi="宋体" w:cs="宋体" w:eastAsia="宋体" w:hint="default"/>
                <w:sz w:val="12"/>
                <w:szCs w:val="12"/>
              </w:rPr>
            </w:pPr>
            <w:r>
              <w:rPr>
                <w:rFonts w:ascii="宋体" w:hAnsi="宋体" w:cs="宋体" w:eastAsia="宋体" w:hint="default"/>
                <w:w w:val="105"/>
                <w:sz w:val="12"/>
                <w:szCs w:val="12"/>
              </w:rPr>
              <w:t>（七）其他</w:t>
            </w:r>
            <w:r>
              <w:rPr>
                <w:rFonts w:ascii="宋体" w:hAnsi="宋体" w:cs="宋体" w:eastAsia="宋体" w:hint="default"/>
                <w:sz w:val="12"/>
                <w:szCs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6"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22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40" w:hRule="exact"/>
        </w:trPr>
        <w:tc>
          <w:tcPr>
            <w:tcW w:w="2947" w:type="dxa"/>
            <w:tcBorders>
              <w:top w:val="single" w:sz="4" w:space="0" w:color="000000"/>
              <w:left w:val="nil" w:sz="6" w:space="0" w:color="auto"/>
              <w:bottom w:val="single" w:sz="8" w:space="0" w:color="000000"/>
              <w:right w:val="single" w:sz="4" w:space="0" w:color="000000"/>
            </w:tcBorders>
          </w:tcPr>
          <w:p>
            <w:pPr>
              <w:pStyle w:val="TableParagraph"/>
              <w:spacing w:line="203"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四、本年年末余额</w:t>
            </w:r>
            <w:r>
              <w:rPr>
                <w:rFonts w:ascii="Microsoft JhengHei" w:hAnsi="Microsoft JhengHei" w:cs="Microsoft JhengHei" w:eastAsia="Microsoft JhengHei" w:hint="default"/>
                <w:spacing w:val="8"/>
                <w:sz w:val="12"/>
                <w:szCs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21"/>
              <w:jc w:val="righ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20"/>
              <w:jc w:val="right"/>
              <w:rPr>
                <w:rFonts w:ascii="Times New Roman" w:hAnsi="Times New Roman" w:cs="Times New Roman" w:eastAsia="Times New Roman" w:hint="default"/>
                <w:sz w:val="12"/>
                <w:szCs w:val="12"/>
              </w:rPr>
            </w:pPr>
            <w:r>
              <w:rPr>
                <w:rFonts w:ascii="Times New Roman"/>
                <w:b/>
                <w:spacing w:val="2"/>
                <w:w w:val="105"/>
                <w:sz w:val="12"/>
              </w:rPr>
              <w:t>314,704,209.29</w:t>
            </w:r>
            <w:r>
              <w:rPr>
                <w:rFonts w:ascii="Times New Roman"/>
                <w:spacing w:val="2"/>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12"/>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1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53"/>
              <w:jc w:val="right"/>
              <w:rPr>
                <w:rFonts w:ascii="Times New Roman" w:hAnsi="Times New Roman" w:cs="Times New Roman" w:eastAsia="Times New Roman" w:hint="default"/>
                <w:sz w:val="12"/>
                <w:szCs w:val="12"/>
              </w:rPr>
            </w:pPr>
            <w:r>
              <w:rPr>
                <w:rFonts w:ascii="Times New Roman"/>
                <w:b/>
                <w:w w:val="105"/>
                <w:sz w:val="12"/>
              </w:rPr>
              <w:t>86,217,520.36</w:t>
            </w:r>
            <w:r>
              <w:rPr>
                <w:rFonts w:ascii="Times New Roman"/>
                <w:sz w:val="12"/>
              </w:rPr>
            </w:r>
          </w:p>
        </w:tc>
        <w:tc>
          <w:tcPr>
            <w:tcW w:w="1219" w:type="dxa"/>
            <w:tcBorders>
              <w:top w:val="single" w:sz="4" w:space="0" w:color="000000"/>
              <w:left w:val="single" w:sz="4" w:space="0" w:color="000000"/>
              <w:bottom w:val="single" w:sz="8" w:space="0" w:color="000000"/>
              <w:right w:val="single" w:sz="6" w:space="0" w:color="000000"/>
            </w:tcBorders>
          </w:tcPr>
          <w:p>
            <w:pPr>
              <w:pStyle w:val="TableParagraph"/>
              <w:spacing w:line="240" w:lineRule="auto" w:before="56"/>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6" w:type="dxa"/>
            <w:tcBorders>
              <w:top w:val="single" w:sz="4" w:space="0" w:color="000000"/>
              <w:left w:val="single" w:sz="6" w:space="0" w:color="000000"/>
              <w:bottom w:val="single" w:sz="8" w:space="0" w:color="000000"/>
              <w:right w:val="single" w:sz="4" w:space="0" w:color="000000"/>
            </w:tcBorders>
          </w:tcPr>
          <w:p>
            <w:pPr>
              <w:pStyle w:val="TableParagraph"/>
              <w:spacing w:line="240" w:lineRule="auto" w:before="56"/>
              <w:ind w:right="50"/>
              <w:jc w:val="right"/>
              <w:rPr>
                <w:rFonts w:ascii="Times New Roman" w:hAnsi="Times New Roman" w:cs="Times New Roman" w:eastAsia="Times New Roman" w:hint="default"/>
                <w:sz w:val="12"/>
                <w:szCs w:val="12"/>
              </w:rPr>
            </w:pPr>
            <w:r>
              <w:rPr>
                <w:rFonts w:ascii="Times New Roman"/>
                <w:b/>
                <w:spacing w:val="2"/>
                <w:w w:val="105"/>
                <w:sz w:val="12"/>
              </w:rPr>
              <w:t>125,302,709.63</w:t>
            </w:r>
            <w:r>
              <w:rPr>
                <w:rFonts w:ascii="Times New Roman"/>
                <w:spacing w:val="2"/>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219"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56"/>
              <w:ind w:right="50"/>
              <w:jc w:val="right"/>
              <w:rPr>
                <w:rFonts w:ascii="Times New Roman" w:hAnsi="Times New Roman" w:cs="Times New Roman" w:eastAsia="Times New Roman" w:hint="default"/>
                <w:sz w:val="12"/>
                <w:szCs w:val="12"/>
              </w:rPr>
            </w:pPr>
            <w:r>
              <w:rPr>
                <w:rFonts w:ascii="Times New Roman"/>
                <w:b/>
                <w:w w:val="105"/>
                <w:sz w:val="12"/>
              </w:rPr>
              <w:t>-10,174,151.98</w:t>
            </w:r>
            <w:r>
              <w:rPr>
                <w:rFonts w:ascii="Times New Roman"/>
                <w:sz w:val="12"/>
              </w:rPr>
            </w:r>
          </w:p>
        </w:tc>
        <w:tc>
          <w:tcPr>
            <w:tcW w:w="1225"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56"/>
              <w:ind w:right="60"/>
              <w:jc w:val="right"/>
              <w:rPr>
                <w:rFonts w:ascii="Times New Roman" w:hAnsi="Times New Roman" w:cs="Times New Roman" w:eastAsia="Times New Roman" w:hint="default"/>
                <w:sz w:val="12"/>
                <w:szCs w:val="12"/>
              </w:rPr>
            </w:pPr>
            <w:r>
              <w:rPr>
                <w:rFonts w:ascii="Times New Roman"/>
                <w:b/>
                <w:spacing w:val="2"/>
                <w:w w:val="105"/>
                <w:sz w:val="12"/>
              </w:rPr>
              <w:t>985,643,651.30</w:t>
            </w:r>
            <w:r>
              <w:rPr>
                <w:rFonts w:ascii="Times New Roman"/>
                <w:spacing w:val="2"/>
                <w:sz w:val="12"/>
              </w:rPr>
            </w:r>
          </w:p>
        </w:tc>
      </w:tr>
    </w:tbl>
    <w:p>
      <w:pPr>
        <w:tabs>
          <w:tab w:pos="6004" w:val="left" w:leader="none"/>
          <w:tab w:pos="12465" w:val="left" w:leader="none"/>
        </w:tabs>
        <w:spacing w:before="28"/>
        <w:ind w:left="182" w:right="0" w:firstLine="0"/>
        <w:jc w:val="left"/>
        <w:rPr>
          <w:rFonts w:ascii="宋体" w:hAnsi="宋体" w:cs="宋体" w:eastAsia="宋体" w:hint="default"/>
          <w:sz w:val="12"/>
          <w:szCs w:val="12"/>
        </w:rPr>
      </w:pPr>
      <w:r>
        <w:rPr>
          <w:rFonts w:ascii="宋体" w:hAnsi="宋体" w:cs="宋体" w:eastAsia="宋体" w:hint="default"/>
          <w:w w:val="105"/>
          <w:sz w:val="12"/>
          <w:szCs w:val="12"/>
        </w:rPr>
        <w:t>法定代表人:</w:t>
        <w:tab/>
      </w:r>
      <w:r>
        <w:rPr>
          <w:rFonts w:ascii="宋体" w:hAnsi="宋体" w:cs="宋体" w:eastAsia="宋体" w:hint="default"/>
          <w:spacing w:val="-1"/>
          <w:w w:val="105"/>
          <w:sz w:val="12"/>
          <w:szCs w:val="12"/>
        </w:rPr>
        <w:t>主管会计工作负责人:</w:t>
        <w:tab/>
      </w:r>
      <w:r>
        <w:rPr>
          <w:rFonts w:ascii="宋体" w:hAnsi="宋体" w:cs="宋体" w:eastAsia="宋体" w:hint="default"/>
          <w:w w:val="105"/>
          <w:sz w:val="12"/>
          <w:szCs w:val="12"/>
        </w:rPr>
        <w:t>会计机构负责人：</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840" w:right="560"/>
        </w:sectPr>
      </w:pPr>
    </w:p>
    <w:p>
      <w:pPr>
        <w:spacing w:line="240" w:lineRule="auto" w:before="10"/>
        <w:rPr>
          <w:rFonts w:ascii="宋体" w:hAnsi="宋体" w:cs="宋体" w:eastAsia="宋体" w:hint="default"/>
          <w:sz w:val="17"/>
          <w:szCs w:val="17"/>
        </w:rPr>
      </w:pPr>
    </w:p>
    <w:p>
      <w:pPr>
        <w:pStyle w:val="Heading6"/>
        <w:spacing w:line="335" w:lineRule="exact"/>
        <w:ind w:left="1915" w:right="1915"/>
        <w:jc w:val="center"/>
        <w:rPr>
          <w:b w:val="0"/>
          <w:bCs w:val="0"/>
        </w:rPr>
      </w:pPr>
      <w:r>
        <w:rPr>
          <w:spacing w:val="9"/>
        </w:rPr>
        <w:t>母公司资产负债表</w:t>
      </w:r>
      <w:r>
        <w:rPr>
          <w:b w:val="0"/>
          <w:bCs w:val="0"/>
          <w:spacing w:val="9"/>
        </w:rPr>
      </w:r>
    </w:p>
    <w:p>
      <w:pPr>
        <w:spacing w:line="240" w:lineRule="auto" w:before="15"/>
        <w:rPr>
          <w:rFonts w:ascii="Microsoft JhengHei" w:hAnsi="Microsoft JhengHei" w:cs="Microsoft JhengHei" w:eastAsia="Microsoft JhengHei" w:hint="default"/>
          <w:b/>
          <w:bCs/>
          <w:sz w:val="8"/>
          <w:szCs w:val="8"/>
        </w:rPr>
      </w:pPr>
    </w:p>
    <w:p>
      <w:pPr>
        <w:spacing w:before="0"/>
        <w:ind w:left="1924" w:right="1915" w:firstLine="0"/>
        <w:jc w:val="center"/>
        <w:rPr>
          <w:rFonts w:ascii="宋体" w:hAnsi="宋体" w:cs="宋体" w:eastAsia="宋体" w:hint="default"/>
          <w:sz w:val="13"/>
          <w:szCs w:val="13"/>
        </w:rPr>
      </w:pPr>
      <w:r>
        <w:rPr>
          <w:rFonts w:ascii="宋体" w:hAnsi="宋体" w:cs="宋体" w:eastAsia="宋体" w:hint="default"/>
          <w:spacing w:val="-3"/>
          <w:sz w:val="13"/>
          <w:szCs w:val="13"/>
        </w:rPr>
        <w:t>编制日期：</w:t>
      </w:r>
      <w:r>
        <w:rPr>
          <w:rFonts w:ascii="Times New Roman" w:hAnsi="Times New Roman" w:cs="Times New Roman" w:eastAsia="Times New Roman" w:hint="default"/>
          <w:spacing w:val="-3"/>
          <w:sz w:val="13"/>
          <w:szCs w:val="13"/>
        </w:rPr>
        <w:t>2012</w:t>
      </w:r>
      <w:r>
        <w:rPr>
          <w:rFonts w:ascii="宋体" w:hAnsi="宋体" w:cs="宋体" w:eastAsia="宋体" w:hint="default"/>
          <w:spacing w:val="-3"/>
          <w:sz w:val="13"/>
          <w:szCs w:val="13"/>
        </w:rPr>
        <w:t>年</w:t>
      </w:r>
      <w:r>
        <w:rPr>
          <w:rFonts w:ascii="Times New Roman" w:hAnsi="Times New Roman" w:cs="Times New Roman" w:eastAsia="Times New Roman" w:hint="default"/>
          <w:spacing w:val="-3"/>
          <w:sz w:val="13"/>
          <w:szCs w:val="13"/>
        </w:rPr>
        <w:t>12</w:t>
      </w:r>
      <w:r>
        <w:rPr>
          <w:rFonts w:ascii="宋体" w:hAnsi="宋体" w:cs="宋体" w:eastAsia="宋体" w:hint="default"/>
          <w:spacing w:val="-3"/>
          <w:sz w:val="13"/>
          <w:szCs w:val="13"/>
        </w:rPr>
        <w:t>月</w:t>
      </w:r>
      <w:r>
        <w:rPr>
          <w:rFonts w:ascii="Times New Roman" w:hAnsi="Times New Roman" w:cs="Times New Roman" w:eastAsia="Times New Roman" w:hint="default"/>
          <w:spacing w:val="-3"/>
          <w:sz w:val="13"/>
          <w:szCs w:val="13"/>
        </w:rPr>
        <w:t>31</w:t>
      </w:r>
      <w:r>
        <w:rPr>
          <w:rFonts w:ascii="宋体" w:hAnsi="宋体" w:cs="宋体" w:eastAsia="宋体" w:hint="default"/>
          <w:spacing w:val="-3"/>
          <w:sz w:val="13"/>
          <w:szCs w:val="13"/>
        </w:rPr>
        <w:t>日</w:t>
      </w:r>
    </w:p>
    <w:p>
      <w:pPr>
        <w:tabs>
          <w:tab w:pos="8659" w:val="left" w:leader="none"/>
        </w:tabs>
        <w:spacing w:before="79"/>
        <w:ind w:left="0" w:right="0" w:firstLine="0"/>
        <w:jc w:val="center"/>
        <w:rPr>
          <w:rFonts w:ascii="宋体" w:hAnsi="宋体" w:cs="宋体" w:eastAsia="宋体" w:hint="default"/>
          <w:sz w:val="13"/>
          <w:szCs w:val="13"/>
        </w:rPr>
      </w:pPr>
      <w:r>
        <w:rPr>
          <w:rFonts w:ascii="宋体" w:hAnsi="宋体" w:cs="宋体" w:eastAsia="宋体" w:hint="default"/>
          <w:sz w:val="13"/>
          <w:szCs w:val="13"/>
        </w:rPr>
        <w:t>编制单位:</w:t>
      </w:r>
      <w:r>
        <w:rPr>
          <w:rFonts w:ascii="宋体" w:hAnsi="宋体" w:cs="宋体" w:eastAsia="宋体" w:hint="default"/>
          <w:spacing w:val="38"/>
          <w:sz w:val="13"/>
          <w:szCs w:val="13"/>
        </w:rPr>
        <w:t> </w:t>
      </w:r>
      <w:r>
        <w:rPr>
          <w:rFonts w:ascii="宋体" w:hAnsi="宋体" w:cs="宋体" w:eastAsia="宋体" w:hint="default"/>
          <w:sz w:val="13"/>
          <w:szCs w:val="13"/>
        </w:rPr>
        <w:t>宝安鸿基地产集团股份有限公司</w:t>
        <w:tab/>
        <w:t>单位：人民币元</w:t>
      </w:r>
    </w:p>
    <w:p>
      <w:pPr>
        <w:spacing w:line="240" w:lineRule="auto" w:before="11"/>
        <w:rPr>
          <w:rFonts w:ascii="宋体" w:hAnsi="宋体" w:cs="宋体" w:eastAsia="宋体" w:hint="default"/>
          <w:sz w:val="3"/>
          <w:szCs w:val="3"/>
        </w:rPr>
      </w:pPr>
    </w:p>
    <w:p>
      <w:pPr>
        <w:spacing w:line="20" w:lineRule="exact"/>
        <w:ind w:left="839" w:right="0" w:firstLine="0"/>
        <w:rPr>
          <w:rFonts w:ascii="宋体" w:hAnsi="宋体" w:cs="宋体" w:eastAsia="宋体" w:hint="default"/>
          <w:sz w:val="2"/>
          <w:szCs w:val="2"/>
        </w:rPr>
      </w:pPr>
      <w:r>
        <w:rPr>
          <w:rFonts w:ascii="宋体" w:hAnsi="宋体" w:cs="宋体" w:eastAsia="宋体" w:hint="default"/>
          <w:sz w:val="2"/>
          <w:szCs w:val="2"/>
        </w:rPr>
        <w:pict>
          <v:group style="width:85.45pt;height:.65pt;mso-position-horizontal-relative:char;mso-position-vertical-relative:line" coordorigin="0,0" coordsize="1709,13">
            <v:group style="position:absolute;left:7;top:2;width:1698;height:2" coordorigin="7,2" coordsize="1698,2">
              <v:shape style="position:absolute;left:7;top:2;width:1698;height:2" coordorigin="7,2" coordsize="1698,0" path="m7,2l1704,2e" filled="false" stroked="true" strokeweight=".24pt" strokecolor="#000000">
                <v:path arrowok="t"/>
              </v:shape>
            </v:group>
            <v:group style="position:absolute;left:5;top:8;width:1700;height:2" coordorigin="5,8" coordsize="1700,2">
              <v:shape style="position:absolute;left:5;top:8;width:1700;height:2" coordorigin="5,8" coordsize="1700,0" path="m5,8l1704,8e" filled="false" stroked="true" strokeweight=".48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7"/>
          <w:szCs w:val="7"/>
        </w:rPr>
      </w:pPr>
    </w:p>
    <w:tbl>
      <w:tblPr>
        <w:tblW w:w="0" w:type="auto"/>
        <w:jc w:val="left"/>
        <w:tblInd w:w="143" w:type="dxa"/>
        <w:tblLayout w:type="fixed"/>
        <w:tblCellMar>
          <w:top w:w="0" w:type="dxa"/>
          <w:left w:w="0" w:type="dxa"/>
          <w:bottom w:w="0" w:type="dxa"/>
          <w:right w:w="0" w:type="dxa"/>
        </w:tblCellMar>
        <w:tblLook w:val="01E0"/>
      </w:tblPr>
      <w:tblGrid>
        <w:gridCol w:w="1852"/>
        <w:gridCol w:w="533"/>
        <w:gridCol w:w="1124"/>
        <w:gridCol w:w="1318"/>
        <w:gridCol w:w="1868"/>
        <w:gridCol w:w="533"/>
        <w:gridCol w:w="1124"/>
        <w:gridCol w:w="1283"/>
      </w:tblGrid>
      <w:tr>
        <w:trPr>
          <w:trHeight w:val="325" w:hRule="exact"/>
        </w:trPr>
        <w:tc>
          <w:tcPr>
            <w:tcW w:w="1852" w:type="dxa"/>
            <w:tcBorders>
              <w:top w:val="single" w:sz="8" w:space="0" w:color="000000"/>
              <w:left w:val="nil" w:sz="6" w:space="0" w:color="auto"/>
              <w:bottom w:val="single" w:sz="4" w:space="0" w:color="000000"/>
              <w:right w:val="single" w:sz="4" w:space="0" w:color="000000"/>
            </w:tcBorders>
          </w:tcPr>
          <w:p>
            <w:pPr>
              <w:pStyle w:val="TableParagraph"/>
              <w:tabs>
                <w:tab w:pos="460" w:val="left" w:leader="none"/>
              </w:tabs>
              <w:spacing w:line="240" w:lineRule="auto" w:before="8"/>
              <w:ind w:right="6"/>
              <w:jc w:val="center"/>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w w:val="95"/>
                <w:sz w:val="13"/>
                <w:szCs w:val="13"/>
              </w:rPr>
              <w:t>资</w:t>
              <w:tab/>
            </w:r>
            <w:r>
              <w:rPr>
                <w:rFonts w:ascii="Microsoft JhengHei" w:hAnsi="Microsoft JhengHei" w:cs="Microsoft JhengHei" w:eastAsia="Microsoft JhengHei" w:hint="default"/>
                <w:b/>
                <w:bCs/>
                <w:sz w:val="13"/>
                <w:szCs w:val="13"/>
              </w:rPr>
              <w:t>产</w:t>
            </w:r>
            <w:r>
              <w:rPr>
                <w:rFonts w:ascii="Microsoft JhengHei" w:hAnsi="Microsoft JhengHei" w:cs="Microsoft JhengHei" w:eastAsia="Microsoft JhengHei" w:hint="default"/>
                <w:sz w:val="13"/>
                <w:szCs w:val="13"/>
              </w:rPr>
            </w:r>
          </w:p>
        </w:tc>
        <w:tc>
          <w:tcPr>
            <w:tcW w:w="53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8"/>
              <w:ind w:right="5"/>
              <w:jc w:val="center"/>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7"/>
                <w:sz w:val="13"/>
                <w:szCs w:val="13"/>
              </w:rPr>
              <w:t>附注</w:t>
            </w:r>
            <w:r>
              <w:rPr>
                <w:rFonts w:ascii="Microsoft JhengHei" w:hAnsi="Microsoft JhengHei" w:cs="Microsoft JhengHei" w:eastAsia="Microsoft JhengHei" w:hint="default"/>
                <w:spacing w:val="7"/>
                <w:sz w:val="13"/>
                <w:szCs w:val="13"/>
              </w:rPr>
            </w:r>
          </w:p>
        </w:tc>
        <w:tc>
          <w:tcPr>
            <w:tcW w:w="112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8"/>
              <w:ind w:left="274"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6"/>
                <w:sz w:val="13"/>
                <w:szCs w:val="13"/>
              </w:rPr>
              <w:t>期末余额</w:t>
            </w:r>
            <w:r>
              <w:rPr>
                <w:rFonts w:ascii="Microsoft JhengHei" w:hAnsi="Microsoft JhengHei" w:cs="Microsoft JhengHei" w:eastAsia="Microsoft JhengHei" w:hint="default"/>
                <w:spacing w:val="6"/>
                <w:sz w:val="13"/>
                <w:szCs w:val="13"/>
              </w:rPr>
            </w:r>
          </w:p>
        </w:tc>
        <w:tc>
          <w:tcPr>
            <w:tcW w:w="1318" w:type="dxa"/>
            <w:tcBorders>
              <w:top w:val="single" w:sz="8" w:space="0" w:color="000000"/>
              <w:left w:val="single" w:sz="4" w:space="0" w:color="000000"/>
              <w:bottom w:val="single" w:sz="4" w:space="0" w:color="000000"/>
              <w:right w:val="single" w:sz="14" w:space="0" w:color="000000"/>
            </w:tcBorders>
          </w:tcPr>
          <w:p>
            <w:pPr>
              <w:pStyle w:val="TableParagraph"/>
              <w:spacing w:line="240" w:lineRule="auto" w:before="18"/>
              <w:ind w:left="374"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年初余额</w:t>
            </w:r>
            <w:r>
              <w:rPr>
                <w:rFonts w:ascii="Microsoft JhengHei" w:hAnsi="Microsoft JhengHei" w:cs="Microsoft JhengHei" w:eastAsia="Microsoft JhengHei" w:hint="default"/>
                <w:spacing w:val="8"/>
                <w:sz w:val="13"/>
                <w:szCs w:val="13"/>
              </w:rPr>
            </w:r>
          </w:p>
        </w:tc>
        <w:tc>
          <w:tcPr>
            <w:tcW w:w="1868" w:type="dxa"/>
            <w:tcBorders>
              <w:top w:val="single" w:sz="8" w:space="0" w:color="000000"/>
              <w:left w:val="single" w:sz="14" w:space="0" w:color="000000"/>
              <w:bottom w:val="single" w:sz="4" w:space="0" w:color="000000"/>
              <w:right w:val="single" w:sz="4" w:space="0" w:color="000000"/>
            </w:tcBorders>
          </w:tcPr>
          <w:p>
            <w:pPr>
              <w:pStyle w:val="TableParagraph"/>
              <w:spacing w:line="240" w:lineRule="auto" w:before="8"/>
              <w:ind w:left="422"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负债和股东权益</w:t>
            </w:r>
            <w:r>
              <w:rPr>
                <w:rFonts w:ascii="Microsoft JhengHei" w:hAnsi="Microsoft JhengHei" w:cs="Microsoft JhengHei" w:eastAsia="Microsoft JhengHei" w:hint="default"/>
                <w:spacing w:val="8"/>
                <w:sz w:val="13"/>
                <w:szCs w:val="13"/>
              </w:rPr>
            </w:r>
          </w:p>
        </w:tc>
        <w:tc>
          <w:tcPr>
            <w:tcW w:w="533"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8"/>
              <w:ind w:left="121"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4"/>
                <w:sz w:val="13"/>
                <w:szCs w:val="13"/>
              </w:rPr>
              <w:t>附注</w:t>
            </w:r>
            <w:r>
              <w:rPr>
                <w:rFonts w:ascii="Microsoft JhengHei" w:hAnsi="Microsoft JhengHei" w:cs="Microsoft JhengHei" w:eastAsia="Microsoft JhengHei" w:hint="default"/>
                <w:spacing w:val="4"/>
                <w:sz w:val="13"/>
                <w:szCs w:val="13"/>
              </w:rPr>
            </w:r>
          </w:p>
        </w:tc>
        <w:tc>
          <w:tcPr>
            <w:tcW w:w="112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8"/>
              <w:ind w:left="270"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期末余额</w:t>
            </w:r>
            <w:r>
              <w:rPr>
                <w:rFonts w:ascii="Microsoft JhengHei" w:hAnsi="Microsoft JhengHei" w:cs="Microsoft JhengHei" w:eastAsia="Microsoft JhengHei" w:hint="default"/>
                <w:spacing w:val="8"/>
                <w:sz w:val="13"/>
                <w:szCs w:val="13"/>
              </w:rPr>
            </w:r>
          </w:p>
        </w:tc>
        <w:tc>
          <w:tcPr>
            <w:tcW w:w="1283"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8"/>
              <w:ind w:left="351"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年初余额</w:t>
            </w:r>
            <w:r>
              <w:rPr>
                <w:rFonts w:ascii="Microsoft JhengHei" w:hAnsi="Microsoft JhengHei" w:cs="Microsoft JhengHei" w:eastAsia="Microsoft JhengHei" w:hint="default"/>
                <w:spacing w:val="8"/>
                <w:sz w:val="13"/>
                <w:szCs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left="28"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6"/>
                <w:w w:val="120"/>
                <w:sz w:val="13"/>
                <w:szCs w:val="13"/>
              </w:rPr>
              <w:t>流动资产:</w:t>
            </w:r>
            <w:r>
              <w:rPr>
                <w:rFonts w:ascii="Microsoft JhengHei" w:hAnsi="Microsoft JhengHei" w:cs="Microsoft JhengHei" w:eastAsia="Microsoft JhengHei" w:hint="default"/>
                <w:spacing w:val="6"/>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9"/>
              <w:ind w:left="9"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6"/>
                <w:w w:val="120"/>
                <w:sz w:val="13"/>
                <w:szCs w:val="13"/>
              </w:rPr>
              <w:t>流动负债:</w:t>
            </w:r>
            <w:r>
              <w:rPr>
                <w:rFonts w:ascii="Microsoft JhengHei" w:hAnsi="Microsoft JhengHei" w:cs="Microsoft JhengHei" w:eastAsia="Microsoft JhengHei" w:hint="default"/>
                <w:spacing w:val="6"/>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货币资金</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1"/>
              <w:jc w:val="right"/>
              <w:rPr>
                <w:rFonts w:ascii="Times New Roman" w:hAnsi="Times New Roman" w:cs="Times New Roman" w:eastAsia="Times New Roman" w:hint="default"/>
                <w:sz w:val="13"/>
                <w:szCs w:val="13"/>
              </w:rPr>
            </w:pPr>
            <w:r>
              <w:rPr>
                <w:rFonts w:ascii="Times New Roman"/>
                <w:spacing w:val="-5"/>
                <w:sz w:val="13"/>
              </w:rPr>
              <w:t>635,611.06</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27"/>
              <w:jc w:val="right"/>
              <w:rPr>
                <w:rFonts w:ascii="Times New Roman" w:hAnsi="Times New Roman" w:cs="Times New Roman" w:eastAsia="Times New Roman" w:hint="default"/>
                <w:sz w:val="13"/>
                <w:szCs w:val="13"/>
              </w:rPr>
            </w:pPr>
            <w:r>
              <w:rPr>
                <w:rFonts w:ascii="Times New Roman"/>
                <w:spacing w:val="-4"/>
                <w:sz w:val="13"/>
              </w:rPr>
              <w:t>4,299,690.12</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短期借款</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交易性金融资产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交易性金融负债</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应收票据</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应付票据</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应收账款</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center"/>
              <w:rPr>
                <w:rFonts w:ascii="宋体" w:hAnsi="宋体" w:cs="宋体" w:eastAsia="宋体" w:hint="default"/>
                <w:sz w:val="13"/>
                <w:szCs w:val="13"/>
              </w:rPr>
            </w:pPr>
            <w:r>
              <w:rPr>
                <w:rFonts w:ascii="宋体" w:hAnsi="宋体" w:cs="宋体" w:eastAsia="宋体" w:hint="default"/>
                <w:sz w:val="13"/>
                <w:szCs w:val="13"/>
              </w:rPr>
              <w:t>十二、1</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1"/>
              <w:jc w:val="right"/>
              <w:rPr>
                <w:rFonts w:ascii="Times New Roman" w:hAnsi="Times New Roman" w:cs="Times New Roman" w:eastAsia="Times New Roman" w:hint="default"/>
                <w:sz w:val="13"/>
                <w:szCs w:val="13"/>
              </w:rPr>
            </w:pPr>
            <w:r>
              <w:rPr>
                <w:rFonts w:ascii="Times New Roman"/>
                <w:spacing w:val="-5"/>
                <w:sz w:val="13"/>
              </w:rPr>
              <w:t>124,153.03</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27"/>
              <w:jc w:val="right"/>
              <w:rPr>
                <w:rFonts w:ascii="Times New Roman" w:hAnsi="Times New Roman" w:cs="Times New Roman" w:eastAsia="Times New Roman" w:hint="default"/>
                <w:sz w:val="13"/>
                <w:szCs w:val="13"/>
              </w:rPr>
            </w:pPr>
            <w:r>
              <w:rPr>
                <w:rFonts w:ascii="Times New Roman"/>
                <w:spacing w:val="-4"/>
                <w:sz w:val="13"/>
              </w:rPr>
              <w:t>106,877.85</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应付账款</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0"/>
              <w:jc w:val="right"/>
              <w:rPr>
                <w:rFonts w:ascii="Times New Roman" w:hAnsi="Times New Roman" w:cs="Times New Roman" w:eastAsia="Times New Roman" w:hint="default"/>
                <w:sz w:val="13"/>
                <w:szCs w:val="13"/>
              </w:rPr>
            </w:pPr>
            <w:r>
              <w:rPr>
                <w:rFonts w:ascii="Times New Roman"/>
                <w:spacing w:val="-4"/>
                <w:sz w:val="13"/>
              </w:rPr>
              <w:t>247,864.00</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4"/>
                <w:sz w:val="13"/>
              </w:rPr>
              <w:t>3,497,128.69</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预付款项</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预收款项</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0"/>
              <w:jc w:val="right"/>
              <w:rPr>
                <w:rFonts w:ascii="Times New Roman" w:hAnsi="Times New Roman" w:cs="Times New Roman" w:eastAsia="Times New Roman" w:hint="default"/>
                <w:sz w:val="13"/>
                <w:szCs w:val="13"/>
              </w:rPr>
            </w:pPr>
            <w:r>
              <w:rPr>
                <w:rFonts w:ascii="Times New Roman"/>
                <w:spacing w:val="-5"/>
                <w:sz w:val="13"/>
              </w:rPr>
              <w:t>1,259,800.00</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5"/>
                <w:sz w:val="13"/>
              </w:rPr>
              <w:t>76,532,992.53</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应收利息</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应付职工薪酬</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0"/>
              <w:jc w:val="right"/>
              <w:rPr>
                <w:rFonts w:ascii="Times New Roman" w:hAnsi="Times New Roman" w:cs="Times New Roman" w:eastAsia="Times New Roman" w:hint="default"/>
                <w:sz w:val="13"/>
                <w:szCs w:val="13"/>
              </w:rPr>
            </w:pPr>
            <w:r>
              <w:rPr>
                <w:rFonts w:ascii="Times New Roman"/>
                <w:spacing w:val="-5"/>
                <w:sz w:val="13"/>
              </w:rPr>
              <w:t>12,069,627.27</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4"/>
                <w:sz w:val="13"/>
              </w:rPr>
              <w:t>3,070,324.24</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应收股利</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应交税费</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0"/>
              <w:jc w:val="right"/>
              <w:rPr>
                <w:rFonts w:ascii="Times New Roman" w:hAnsi="Times New Roman" w:cs="Times New Roman" w:eastAsia="Times New Roman" w:hint="default"/>
                <w:sz w:val="13"/>
                <w:szCs w:val="13"/>
              </w:rPr>
            </w:pPr>
            <w:r>
              <w:rPr>
                <w:rFonts w:ascii="Times New Roman"/>
                <w:spacing w:val="-5"/>
                <w:sz w:val="13"/>
              </w:rPr>
              <w:t>61,775,281.37</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5"/>
                <w:sz w:val="13"/>
              </w:rPr>
              <w:t>50,289,637.37</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其他应收款</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center"/>
              <w:rPr>
                <w:rFonts w:ascii="宋体" w:hAnsi="宋体" w:cs="宋体" w:eastAsia="宋体" w:hint="default"/>
                <w:sz w:val="13"/>
                <w:szCs w:val="13"/>
              </w:rPr>
            </w:pPr>
            <w:r>
              <w:rPr>
                <w:rFonts w:ascii="宋体" w:hAnsi="宋体" w:cs="宋体" w:eastAsia="宋体" w:hint="default"/>
                <w:sz w:val="13"/>
                <w:szCs w:val="13"/>
              </w:rPr>
              <w:t>十二、2</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1"/>
              <w:jc w:val="right"/>
              <w:rPr>
                <w:rFonts w:ascii="Times New Roman" w:hAnsi="Times New Roman" w:cs="Times New Roman" w:eastAsia="Times New Roman" w:hint="default"/>
                <w:sz w:val="13"/>
                <w:szCs w:val="13"/>
              </w:rPr>
            </w:pPr>
            <w:r>
              <w:rPr>
                <w:rFonts w:ascii="Times New Roman"/>
                <w:spacing w:val="-5"/>
                <w:sz w:val="13"/>
              </w:rPr>
              <w:t>902,082,061.15</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27"/>
              <w:jc w:val="right"/>
              <w:rPr>
                <w:rFonts w:ascii="Times New Roman" w:hAnsi="Times New Roman" w:cs="Times New Roman" w:eastAsia="Times New Roman" w:hint="default"/>
                <w:sz w:val="13"/>
                <w:szCs w:val="13"/>
              </w:rPr>
            </w:pPr>
            <w:r>
              <w:rPr>
                <w:rFonts w:ascii="Times New Roman"/>
                <w:spacing w:val="-5"/>
                <w:sz w:val="13"/>
              </w:rPr>
              <w:t>750,130,357.23</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应付利息</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4"/>
                <w:sz w:val="13"/>
              </w:rPr>
              <w:t>178,256.94</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存货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1"/>
              <w:jc w:val="right"/>
              <w:rPr>
                <w:rFonts w:ascii="Times New Roman" w:hAnsi="Times New Roman" w:cs="Times New Roman" w:eastAsia="Times New Roman" w:hint="default"/>
                <w:sz w:val="13"/>
                <w:szCs w:val="13"/>
              </w:rPr>
            </w:pPr>
            <w:r>
              <w:rPr>
                <w:rFonts w:ascii="Times New Roman"/>
                <w:spacing w:val="-5"/>
                <w:sz w:val="13"/>
              </w:rPr>
              <w:t>94,665,127.76</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27"/>
              <w:jc w:val="right"/>
              <w:rPr>
                <w:rFonts w:ascii="Times New Roman" w:hAnsi="Times New Roman" w:cs="Times New Roman" w:eastAsia="Times New Roman" w:hint="default"/>
                <w:sz w:val="13"/>
                <w:szCs w:val="13"/>
              </w:rPr>
            </w:pPr>
            <w:r>
              <w:rPr>
                <w:rFonts w:ascii="Times New Roman"/>
                <w:spacing w:val="-5"/>
                <w:sz w:val="13"/>
              </w:rPr>
              <w:t>31,887,485.28</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应付股利</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0"/>
              <w:jc w:val="right"/>
              <w:rPr>
                <w:rFonts w:ascii="Times New Roman" w:hAnsi="Times New Roman" w:cs="Times New Roman" w:eastAsia="Times New Roman" w:hint="default"/>
                <w:sz w:val="13"/>
                <w:szCs w:val="13"/>
              </w:rPr>
            </w:pPr>
            <w:r>
              <w:rPr>
                <w:rFonts w:ascii="Times New Roman"/>
                <w:spacing w:val="-5"/>
                <w:sz w:val="13"/>
              </w:rPr>
              <w:t>1,786,039.81</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4"/>
                <w:sz w:val="13"/>
              </w:rPr>
              <w:t>1,786,039.81</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一年内到期的非流动资产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其他应付款</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60"/>
              <w:jc w:val="right"/>
              <w:rPr>
                <w:rFonts w:ascii="Times New Roman" w:hAnsi="Times New Roman" w:cs="Times New Roman" w:eastAsia="Times New Roman" w:hint="default"/>
                <w:sz w:val="13"/>
                <w:szCs w:val="13"/>
              </w:rPr>
            </w:pPr>
            <w:r>
              <w:rPr>
                <w:rFonts w:ascii="Times New Roman"/>
                <w:spacing w:val="-5"/>
                <w:sz w:val="13"/>
              </w:rPr>
              <w:t>885,729,726.32</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5"/>
                <w:sz w:val="13"/>
              </w:rPr>
              <w:t>585,688,036.81</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2"/>
              <w:ind w:left="172" w:right="0"/>
              <w:jc w:val="left"/>
              <w:rPr>
                <w:rFonts w:ascii="宋体" w:hAnsi="宋体" w:cs="宋体" w:eastAsia="宋体" w:hint="default"/>
                <w:sz w:val="13"/>
                <w:szCs w:val="13"/>
              </w:rPr>
            </w:pPr>
            <w:r>
              <w:rPr>
                <w:rFonts w:ascii="宋体" w:hAnsi="宋体" w:cs="宋体" w:eastAsia="宋体" w:hint="default"/>
                <w:sz w:val="13"/>
                <w:szCs w:val="13"/>
              </w:rPr>
              <w:t>其他流动资产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2"/>
              <w:ind w:left="148" w:right="0"/>
              <w:jc w:val="left"/>
              <w:rPr>
                <w:rFonts w:ascii="宋体" w:hAnsi="宋体" w:cs="宋体" w:eastAsia="宋体" w:hint="default"/>
                <w:sz w:val="13"/>
                <w:szCs w:val="13"/>
              </w:rPr>
            </w:pPr>
            <w:r>
              <w:rPr>
                <w:rFonts w:ascii="宋体" w:hAnsi="宋体" w:cs="宋体" w:eastAsia="宋体" w:hint="default"/>
                <w:sz w:val="13"/>
                <w:szCs w:val="13"/>
              </w:rPr>
              <w:t>一年内到期的非流动负债</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7"/>
              <w:ind w:right="71"/>
              <w:jc w:val="right"/>
              <w:rPr>
                <w:rFonts w:ascii="Times New Roman" w:hAnsi="Times New Roman" w:cs="Times New Roman" w:eastAsia="Times New Roman" w:hint="default"/>
                <w:sz w:val="13"/>
                <w:szCs w:val="13"/>
              </w:rPr>
            </w:pPr>
            <w:r>
              <w:rPr>
                <w:rFonts w:ascii="Times New Roman"/>
                <w:spacing w:val="-5"/>
                <w:sz w:val="13"/>
              </w:rPr>
              <w:t>93,340,000.00</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2"/>
              <w:ind w:left="148" w:right="0"/>
              <w:jc w:val="left"/>
              <w:rPr>
                <w:rFonts w:ascii="宋体" w:hAnsi="宋体" w:cs="宋体" w:eastAsia="宋体" w:hint="default"/>
                <w:sz w:val="13"/>
                <w:szCs w:val="13"/>
              </w:rPr>
            </w:pPr>
            <w:r>
              <w:rPr>
                <w:rFonts w:ascii="宋体" w:hAnsi="宋体" w:cs="宋体" w:eastAsia="宋体" w:hint="default"/>
                <w:sz w:val="13"/>
                <w:szCs w:val="13"/>
              </w:rPr>
              <w:t>其他流动负债</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2"/>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10"/>
              <w:ind w:left="489"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9"/>
                <w:sz w:val="13"/>
                <w:szCs w:val="13"/>
              </w:rPr>
              <w:t>流动负债合计</w:t>
            </w:r>
            <w:r>
              <w:rPr>
                <w:rFonts w:ascii="Microsoft JhengHei" w:hAnsi="Microsoft JhengHei" w:cs="Microsoft JhengHei" w:eastAsia="Microsoft JhengHei" w:hint="default"/>
                <w:spacing w:val="9"/>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60"/>
              <w:jc w:val="right"/>
              <w:rPr>
                <w:rFonts w:ascii="Times New Roman" w:hAnsi="Times New Roman" w:cs="Times New Roman" w:eastAsia="Times New Roman" w:hint="default"/>
                <w:sz w:val="13"/>
                <w:szCs w:val="13"/>
              </w:rPr>
            </w:pPr>
            <w:r>
              <w:rPr>
                <w:rFonts w:ascii="Times New Roman"/>
                <w:spacing w:val="-5"/>
                <w:sz w:val="13"/>
              </w:rPr>
              <w:t>962,868,338.77</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3"/>
              <w:ind w:right="71"/>
              <w:jc w:val="right"/>
              <w:rPr>
                <w:rFonts w:ascii="Times New Roman" w:hAnsi="Times New Roman" w:cs="Times New Roman" w:eastAsia="Times New Roman" w:hint="default"/>
                <w:sz w:val="13"/>
                <w:szCs w:val="13"/>
              </w:rPr>
            </w:pPr>
            <w:r>
              <w:rPr>
                <w:rFonts w:ascii="Times New Roman"/>
                <w:spacing w:val="-5"/>
                <w:sz w:val="13"/>
              </w:rPr>
              <w:t>814,382,416.39</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left="504"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流动资产合计</w:t>
            </w:r>
            <w:r>
              <w:rPr>
                <w:rFonts w:ascii="Microsoft JhengHei" w:hAnsi="Microsoft JhengHei" w:cs="Microsoft JhengHei" w:eastAsia="Microsoft JhengHei" w:hint="default"/>
                <w:spacing w:val="8"/>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53"/>
              <w:jc w:val="right"/>
              <w:rPr>
                <w:rFonts w:ascii="Times New Roman" w:hAnsi="Times New Roman" w:cs="Times New Roman" w:eastAsia="Times New Roman" w:hint="default"/>
                <w:sz w:val="13"/>
                <w:szCs w:val="13"/>
              </w:rPr>
            </w:pPr>
            <w:r>
              <w:rPr>
                <w:rFonts w:ascii="Times New Roman"/>
                <w:b/>
                <w:spacing w:val="3"/>
                <w:sz w:val="13"/>
              </w:rPr>
              <w:t>997,506,953.00</w:t>
            </w:r>
            <w:r>
              <w:rPr>
                <w:rFonts w:ascii="Times New Roman"/>
                <w:spacing w:val="3"/>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7"/>
              <w:ind w:right="52"/>
              <w:jc w:val="right"/>
              <w:rPr>
                <w:rFonts w:ascii="Times New Roman" w:hAnsi="Times New Roman" w:cs="Times New Roman" w:eastAsia="Times New Roman" w:hint="default"/>
                <w:sz w:val="13"/>
                <w:szCs w:val="13"/>
              </w:rPr>
            </w:pPr>
            <w:r>
              <w:rPr>
                <w:rFonts w:ascii="Times New Roman"/>
                <w:b/>
                <w:spacing w:val="3"/>
                <w:sz w:val="13"/>
              </w:rPr>
              <w:t>786,424,410.48</w:t>
            </w:r>
            <w:r>
              <w:rPr>
                <w:rFonts w:ascii="Times New Roman"/>
                <w:spacing w:val="3"/>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10"/>
              <w:ind w:left="9"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6"/>
                <w:sz w:val="13"/>
                <w:szCs w:val="13"/>
              </w:rPr>
              <w:t>非流动负债：</w:t>
            </w:r>
            <w:r>
              <w:rPr>
                <w:rFonts w:ascii="Microsoft JhengHei" w:hAnsi="Microsoft JhengHei" w:cs="Microsoft JhengHei" w:eastAsia="Microsoft JhengHei" w:hint="default"/>
                <w:spacing w:val="6"/>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2" w:hRule="exact"/>
        </w:trPr>
        <w:tc>
          <w:tcPr>
            <w:tcW w:w="1852"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6"/>
              <w:ind w:left="28"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非流动资产</w:t>
            </w:r>
            <w:r>
              <w:rPr>
                <w:rFonts w:ascii="Microsoft JhengHei" w:hAnsi="Microsoft JhengHei" w:cs="Microsoft JhengHei" w:eastAsia="Microsoft JhengHei" w:hint="default"/>
                <w:spacing w:val="8"/>
                <w:sz w:val="13"/>
                <w:szCs w:val="13"/>
              </w:rPr>
            </w:r>
          </w:p>
        </w:tc>
        <w:tc>
          <w:tcPr>
            <w:tcW w:w="533" w:type="dxa"/>
            <w:tcBorders>
              <w:top w:val="single" w:sz="4" w:space="0" w:color="000000"/>
              <w:left w:val="single" w:sz="4" w:space="0" w:color="000000"/>
              <w:bottom w:val="single" w:sz="6" w:space="0" w:color="000000"/>
              <w:right w:val="single" w:sz="4" w:space="0" w:color="000000"/>
            </w:tcBorders>
          </w:tcPr>
          <w:p>
            <w:pPr/>
          </w:p>
        </w:tc>
        <w:tc>
          <w:tcPr>
            <w:tcW w:w="1124" w:type="dxa"/>
            <w:tcBorders>
              <w:top w:val="single" w:sz="4" w:space="0" w:color="000000"/>
              <w:left w:val="single" w:sz="4" w:space="0" w:color="000000"/>
              <w:bottom w:val="single" w:sz="6" w:space="0" w:color="000000"/>
              <w:right w:val="single" w:sz="4" w:space="0" w:color="000000"/>
            </w:tcBorders>
          </w:tcPr>
          <w:p>
            <w:pPr/>
          </w:p>
        </w:tc>
        <w:tc>
          <w:tcPr>
            <w:tcW w:w="1318" w:type="dxa"/>
            <w:tcBorders>
              <w:top w:val="single" w:sz="4" w:space="0" w:color="000000"/>
              <w:left w:val="single" w:sz="4" w:space="0" w:color="000000"/>
              <w:bottom w:val="single" w:sz="6" w:space="0" w:color="000000"/>
              <w:right w:val="single" w:sz="14" w:space="0" w:color="000000"/>
            </w:tcBorders>
          </w:tcPr>
          <w:p>
            <w:pPr/>
          </w:p>
        </w:tc>
        <w:tc>
          <w:tcPr>
            <w:tcW w:w="1868" w:type="dxa"/>
            <w:tcBorders>
              <w:top w:val="single" w:sz="4" w:space="0" w:color="000000"/>
              <w:left w:val="single" w:sz="14" w:space="0" w:color="000000"/>
              <w:bottom w:val="single" w:sz="6" w:space="0" w:color="000000"/>
              <w:right w:val="single" w:sz="4" w:space="0" w:color="000000"/>
            </w:tcBorders>
          </w:tcPr>
          <w:p>
            <w:pPr>
              <w:pStyle w:val="TableParagraph"/>
              <w:spacing w:line="240" w:lineRule="auto" w:before="47"/>
              <w:ind w:left="148" w:right="0"/>
              <w:jc w:val="left"/>
              <w:rPr>
                <w:rFonts w:ascii="宋体" w:hAnsi="宋体" w:cs="宋体" w:eastAsia="宋体" w:hint="default"/>
                <w:sz w:val="13"/>
                <w:szCs w:val="13"/>
              </w:rPr>
            </w:pPr>
            <w:r>
              <w:rPr>
                <w:rFonts w:ascii="宋体" w:hAnsi="宋体" w:cs="宋体" w:eastAsia="宋体" w:hint="default"/>
                <w:sz w:val="13"/>
                <w:szCs w:val="13"/>
              </w:rPr>
              <w:t>长期借款</w:t>
            </w:r>
          </w:p>
        </w:tc>
        <w:tc>
          <w:tcPr>
            <w:tcW w:w="533" w:type="dxa"/>
            <w:tcBorders>
              <w:top w:val="single" w:sz="4" w:space="0" w:color="000000"/>
              <w:left w:val="single" w:sz="4" w:space="0" w:color="000000"/>
              <w:bottom w:val="single" w:sz="6" w:space="0" w:color="000000"/>
              <w:right w:val="single" w:sz="4" w:space="0" w:color="000000"/>
            </w:tcBorders>
          </w:tcPr>
          <w:p>
            <w:pPr/>
          </w:p>
        </w:tc>
        <w:tc>
          <w:tcPr>
            <w:tcW w:w="112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78"/>
              <w:ind w:right="111"/>
              <w:jc w:val="right"/>
              <w:rPr>
                <w:rFonts w:ascii="Times New Roman" w:hAnsi="Times New Roman" w:cs="Times New Roman" w:eastAsia="Times New Roman" w:hint="default"/>
                <w:sz w:val="13"/>
                <w:szCs w:val="13"/>
              </w:rPr>
            </w:pPr>
            <w:r>
              <w:rPr>
                <w:rFonts w:ascii="Times New Roman"/>
                <w:b/>
                <w:w w:val="99"/>
                <w:sz w:val="13"/>
              </w:rPr>
              <w:t>-</w:t>
            </w:r>
            <w:r>
              <w:rPr>
                <w:rFonts w:ascii="Times New Roman"/>
                <w:sz w:val="13"/>
              </w:rPr>
            </w:r>
          </w:p>
        </w:tc>
        <w:tc>
          <w:tcPr>
            <w:tcW w:w="1283"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78"/>
              <w:ind w:right="127"/>
              <w:jc w:val="right"/>
              <w:rPr>
                <w:rFonts w:ascii="Times New Roman" w:hAnsi="Times New Roman" w:cs="Times New Roman" w:eastAsia="Times New Roman" w:hint="default"/>
                <w:sz w:val="13"/>
                <w:szCs w:val="13"/>
              </w:rPr>
            </w:pPr>
            <w:r>
              <w:rPr>
                <w:rFonts w:ascii="Times New Roman"/>
                <w:b/>
                <w:w w:val="99"/>
                <w:sz w:val="13"/>
              </w:rPr>
              <w:t>-</w:t>
            </w:r>
            <w:r>
              <w:rPr>
                <w:rFonts w:ascii="Times New Roman"/>
                <w:sz w:val="13"/>
              </w:rPr>
            </w:r>
          </w:p>
        </w:tc>
      </w:tr>
      <w:tr>
        <w:trPr>
          <w:trHeight w:val="321" w:hRule="exact"/>
        </w:trPr>
        <w:tc>
          <w:tcPr>
            <w:tcW w:w="1852"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13"/>
                <w:szCs w:val="13"/>
              </w:rPr>
            </w:pPr>
            <w:r>
              <w:rPr>
                <w:rFonts w:ascii="宋体" w:hAnsi="宋体" w:cs="宋体" w:eastAsia="宋体" w:hint="default"/>
                <w:sz w:val="13"/>
                <w:szCs w:val="13"/>
              </w:rPr>
              <w:t>可供出售金融资产</w:t>
            </w:r>
          </w:p>
        </w:tc>
        <w:tc>
          <w:tcPr>
            <w:tcW w:w="533" w:type="dxa"/>
            <w:tcBorders>
              <w:top w:val="single" w:sz="6" w:space="0" w:color="000000"/>
              <w:left w:val="single" w:sz="4" w:space="0" w:color="000000"/>
              <w:bottom w:val="single" w:sz="6" w:space="0" w:color="000000"/>
              <w:right w:val="single" w:sz="4" w:space="0" w:color="000000"/>
            </w:tcBorders>
          </w:tcPr>
          <w:p>
            <w:pPr/>
          </w:p>
        </w:tc>
        <w:tc>
          <w:tcPr>
            <w:tcW w:w="1124"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70"/>
              <w:ind w:right="61"/>
              <w:jc w:val="right"/>
              <w:rPr>
                <w:rFonts w:ascii="Times New Roman" w:hAnsi="Times New Roman" w:cs="Times New Roman" w:eastAsia="Times New Roman" w:hint="default"/>
                <w:sz w:val="13"/>
                <w:szCs w:val="13"/>
              </w:rPr>
            </w:pPr>
            <w:r>
              <w:rPr>
                <w:rFonts w:ascii="Times New Roman"/>
                <w:spacing w:val="-5"/>
                <w:sz w:val="13"/>
              </w:rPr>
              <w:t>32,276,398.62</w:t>
            </w:r>
          </w:p>
        </w:tc>
        <w:tc>
          <w:tcPr>
            <w:tcW w:w="1318" w:type="dxa"/>
            <w:tcBorders>
              <w:top w:val="single" w:sz="6" w:space="0" w:color="000000"/>
              <w:left w:val="single" w:sz="4" w:space="0" w:color="000000"/>
              <w:bottom w:val="single" w:sz="6" w:space="0" w:color="000000"/>
              <w:right w:val="single" w:sz="14" w:space="0" w:color="000000"/>
            </w:tcBorders>
          </w:tcPr>
          <w:p>
            <w:pPr>
              <w:pStyle w:val="TableParagraph"/>
              <w:spacing w:line="240" w:lineRule="auto" w:before="70"/>
              <w:ind w:right="27"/>
              <w:jc w:val="right"/>
              <w:rPr>
                <w:rFonts w:ascii="Times New Roman" w:hAnsi="Times New Roman" w:cs="Times New Roman" w:eastAsia="Times New Roman" w:hint="default"/>
                <w:sz w:val="13"/>
                <w:szCs w:val="13"/>
              </w:rPr>
            </w:pPr>
            <w:r>
              <w:rPr>
                <w:rFonts w:ascii="Times New Roman"/>
                <w:spacing w:val="-5"/>
                <w:sz w:val="13"/>
              </w:rPr>
              <w:t>33,437,762.52</w:t>
            </w:r>
          </w:p>
        </w:tc>
        <w:tc>
          <w:tcPr>
            <w:tcW w:w="1868" w:type="dxa"/>
            <w:tcBorders>
              <w:top w:val="single" w:sz="6" w:space="0" w:color="000000"/>
              <w:left w:val="single" w:sz="14" w:space="0" w:color="000000"/>
              <w:bottom w:val="single" w:sz="6" w:space="0" w:color="000000"/>
              <w:right w:val="single" w:sz="4" w:space="0" w:color="000000"/>
            </w:tcBorders>
          </w:tcPr>
          <w:p>
            <w:pPr>
              <w:pStyle w:val="TableParagraph"/>
              <w:spacing w:line="240" w:lineRule="auto" w:before="45"/>
              <w:ind w:left="148" w:right="0"/>
              <w:jc w:val="left"/>
              <w:rPr>
                <w:rFonts w:ascii="宋体" w:hAnsi="宋体" w:cs="宋体" w:eastAsia="宋体" w:hint="default"/>
                <w:sz w:val="13"/>
                <w:szCs w:val="13"/>
              </w:rPr>
            </w:pPr>
            <w:r>
              <w:rPr>
                <w:rFonts w:ascii="宋体" w:hAnsi="宋体" w:cs="宋体" w:eastAsia="宋体" w:hint="default"/>
                <w:sz w:val="13"/>
                <w:szCs w:val="13"/>
              </w:rPr>
              <w:t>应付债券</w:t>
            </w:r>
          </w:p>
        </w:tc>
        <w:tc>
          <w:tcPr>
            <w:tcW w:w="533" w:type="dxa"/>
            <w:tcBorders>
              <w:top w:val="single" w:sz="6" w:space="0" w:color="000000"/>
              <w:left w:val="single" w:sz="4" w:space="0" w:color="000000"/>
              <w:bottom w:val="single" w:sz="6" w:space="0" w:color="000000"/>
              <w:right w:val="single" w:sz="4" w:space="0" w:color="000000"/>
            </w:tcBorders>
          </w:tcPr>
          <w:p>
            <w:pPr/>
          </w:p>
        </w:tc>
        <w:tc>
          <w:tcPr>
            <w:tcW w:w="1124"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70"/>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6" w:space="0" w:color="000000"/>
              <w:left w:val="single" w:sz="4" w:space="0" w:color="000000"/>
              <w:bottom w:val="single" w:sz="6" w:space="0" w:color="000000"/>
              <w:right w:val="nil" w:sz="6" w:space="0" w:color="auto"/>
            </w:tcBorders>
          </w:tcPr>
          <w:p>
            <w:pPr>
              <w:pStyle w:val="TableParagraph"/>
              <w:spacing w:line="240" w:lineRule="auto" w:before="70"/>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13"/>
                <w:szCs w:val="13"/>
              </w:rPr>
            </w:pPr>
            <w:r>
              <w:rPr>
                <w:rFonts w:ascii="宋体" w:hAnsi="宋体" w:cs="宋体" w:eastAsia="宋体" w:hint="default"/>
                <w:sz w:val="13"/>
                <w:szCs w:val="13"/>
              </w:rPr>
              <w:t>持有至到期投资</w:t>
            </w:r>
          </w:p>
        </w:tc>
        <w:tc>
          <w:tcPr>
            <w:tcW w:w="533" w:type="dxa"/>
            <w:tcBorders>
              <w:top w:val="single" w:sz="6" w:space="0" w:color="000000"/>
              <w:left w:val="single" w:sz="4" w:space="0" w:color="000000"/>
              <w:bottom w:val="single" w:sz="6" w:space="0" w:color="000000"/>
              <w:right w:val="single" w:sz="4" w:space="0" w:color="000000"/>
            </w:tcBorders>
          </w:tcPr>
          <w:p>
            <w:pPr/>
          </w:p>
        </w:tc>
        <w:tc>
          <w:tcPr>
            <w:tcW w:w="1124"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70"/>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6" w:space="0" w:color="000000"/>
              <w:left w:val="single" w:sz="4" w:space="0" w:color="000000"/>
              <w:bottom w:val="single" w:sz="6" w:space="0" w:color="000000"/>
              <w:right w:val="single" w:sz="14" w:space="0" w:color="000000"/>
            </w:tcBorders>
          </w:tcPr>
          <w:p>
            <w:pPr>
              <w:pStyle w:val="TableParagraph"/>
              <w:spacing w:line="240" w:lineRule="auto" w:before="70"/>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6" w:space="0" w:color="000000"/>
              <w:left w:val="single" w:sz="14" w:space="0" w:color="000000"/>
              <w:bottom w:val="single" w:sz="6" w:space="0" w:color="000000"/>
              <w:right w:val="single" w:sz="4" w:space="0" w:color="000000"/>
            </w:tcBorders>
          </w:tcPr>
          <w:p>
            <w:pPr>
              <w:pStyle w:val="TableParagraph"/>
              <w:spacing w:line="240" w:lineRule="auto" w:before="45"/>
              <w:ind w:left="148" w:right="0"/>
              <w:jc w:val="left"/>
              <w:rPr>
                <w:rFonts w:ascii="宋体" w:hAnsi="宋体" w:cs="宋体" w:eastAsia="宋体" w:hint="default"/>
                <w:sz w:val="13"/>
                <w:szCs w:val="13"/>
              </w:rPr>
            </w:pPr>
            <w:r>
              <w:rPr>
                <w:rFonts w:ascii="宋体" w:hAnsi="宋体" w:cs="宋体" w:eastAsia="宋体" w:hint="default"/>
                <w:sz w:val="13"/>
                <w:szCs w:val="13"/>
              </w:rPr>
              <w:t>长期应付款</w:t>
            </w:r>
          </w:p>
        </w:tc>
        <w:tc>
          <w:tcPr>
            <w:tcW w:w="533" w:type="dxa"/>
            <w:tcBorders>
              <w:top w:val="single" w:sz="6" w:space="0" w:color="000000"/>
              <w:left w:val="single" w:sz="4" w:space="0" w:color="000000"/>
              <w:bottom w:val="single" w:sz="6" w:space="0" w:color="000000"/>
              <w:right w:val="single" w:sz="4" w:space="0" w:color="000000"/>
            </w:tcBorders>
          </w:tcPr>
          <w:p>
            <w:pPr/>
          </w:p>
        </w:tc>
        <w:tc>
          <w:tcPr>
            <w:tcW w:w="1124"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70"/>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6" w:space="0" w:color="000000"/>
              <w:left w:val="single" w:sz="4" w:space="0" w:color="000000"/>
              <w:bottom w:val="single" w:sz="6" w:space="0" w:color="000000"/>
              <w:right w:val="nil" w:sz="6" w:space="0" w:color="auto"/>
            </w:tcBorders>
          </w:tcPr>
          <w:p>
            <w:pPr>
              <w:pStyle w:val="TableParagraph"/>
              <w:spacing w:line="240" w:lineRule="auto" w:before="70"/>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6" w:space="0" w:color="000000"/>
              <w:left w:val="nil" w:sz="6" w:space="0" w:color="auto"/>
              <w:bottom w:val="single" w:sz="6"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13"/>
                <w:szCs w:val="13"/>
              </w:rPr>
            </w:pPr>
            <w:r>
              <w:rPr>
                <w:rFonts w:ascii="宋体" w:hAnsi="宋体" w:cs="宋体" w:eastAsia="宋体" w:hint="default"/>
                <w:sz w:val="13"/>
                <w:szCs w:val="13"/>
              </w:rPr>
              <w:t>长期应收款</w:t>
            </w:r>
          </w:p>
        </w:tc>
        <w:tc>
          <w:tcPr>
            <w:tcW w:w="533" w:type="dxa"/>
            <w:tcBorders>
              <w:top w:val="single" w:sz="6" w:space="0" w:color="000000"/>
              <w:left w:val="single" w:sz="4" w:space="0" w:color="000000"/>
              <w:bottom w:val="single" w:sz="6" w:space="0" w:color="000000"/>
              <w:right w:val="single" w:sz="4" w:space="0" w:color="000000"/>
            </w:tcBorders>
          </w:tcPr>
          <w:p>
            <w:pPr/>
          </w:p>
        </w:tc>
        <w:tc>
          <w:tcPr>
            <w:tcW w:w="1124"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70"/>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6" w:space="0" w:color="000000"/>
              <w:left w:val="single" w:sz="4" w:space="0" w:color="000000"/>
              <w:bottom w:val="single" w:sz="6" w:space="0" w:color="000000"/>
              <w:right w:val="single" w:sz="14" w:space="0" w:color="000000"/>
            </w:tcBorders>
          </w:tcPr>
          <w:p>
            <w:pPr>
              <w:pStyle w:val="TableParagraph"/>
              <w:spacing w:line="240" w:lineRule="auto" w:before="70"/>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6" w:space="0" w:color="000000"/>
              <w:left w:val="single" w:sz="14" w:space="0" w:color="000000"/>
              <w:bottom w:val="single" w:sz="6" w:space="0" w:color="000000"/>
              <w:right w:val="single" w:sz="4" w:space="0" w:color="000000"/>
            </w:tcBorders>
          </w:tcPr>
          <w:p>
            <w:pPr>
              <w:pStyle w:val="TableParagraph"/>
              <w:spacing w:line="240" w:lineRule="auto" w:before="45"/>
              <w:ind w:left="148" w:right="0"/>
              <w:jc w:val="left"/>
              <w:rPr>
                <w:rFonts w:ascii="宋体" w:hAnsi="宋体" w:cs="宋体" w:eastAsia="宋体" w:hint="default"/>
                <w:sz w:val="13"/>
                <w:szCs w:val="13"/>
              </w:rPr>
            </w:pPr>
            <w:r>
              <w:rPr>
                <w:rFonts w:ascii="宋体" w:hAnsi="宋体" w:cs="宋体" w:eastAsia="宋体" w:hint="default"/>
                <w:sz w:val="13"/>
                <w:szCs w:val="13"/>
              </w:rPr>
              <w:t>专项应付款</w:t>
            </w:r>
          </w:p>
        </w:tc>
        <w:tc>
          <w:tcPr>
            <w:tcW w:w="533" w:type="dxa"/>
            <w:tcBorders>
              <w:top w:val="single" w:sz="6" w:space="0" w:color="000000"/>
              <w:left w:val="single" w:sz="4" w:space="0" w:color="000000"/>
              <w:bottom w:val="single" w:sz="6" w:space="0" w:color="000000"/>
              <w:right w:val="single" w:sz="4" w:space="0" w:color="000000"/>
            </w:tcBorders>
          </w:tcPr>
          <w:p>
            <w:pPr/>
          </w:p>
        </w:tc>
        <w:tc>
          <w:tcPr>
            <w:tcW w:w="1124" w:type="dxa"/>
            <w:tcBorders>
              <w:top w:val="single" w:sz="6" w:space="0" w:color="000000"/>
              <w:left w:val="single" w:sz="4" w:space="0" w:color="000000"/>
              <w:bottom w:val="single" w:sz="6" w:space="0" w:color="000000"/>
              <w:right w:val="single" w:sz="4" w:space="0" w:color="000000"/>
            </w:tcBorders>
          </w:tcPr>
          <w:p>
            <w:pPr>
              <w:pStyle w:val="TableParagraph"/>
              <w:spacing w:line="240" w:lineRule="auto" w:before="70"/>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6" w:space="0" w:color="000000"/>
              <w:left w:val="single" w:sz="4" w:space="0" w:color="000000"/>
              <w:bottom w:val="single" w:sz="6" w:space="0" w:color="000000"/>
              <w:right w:val="nil" w:sz="6" w:space="0" w:color="auto"/>
            </w:tcBorders>
          </w:tcPr>
          <w:p>
            <w:pPr>
              <w:pStyle w:val="TableParagraph"/>
              <w:spacing w:line="240" w:lineRule="auto" w:before="70"/>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19" w:hRule="exact"/>
        </w:trPr>
        <w:tc>
          <w:tcPr>
            <w:tcW w:w="1852"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45"/>
              <w:ind w:left="172" w:right="0"/>
              <w:jc w:val="left"/>
              <w:rPr>
                <w:rFonts w:ascii="宋体" w:hAnsi="宋体" w:cs="宋体" w:eastAsia="宋体" w:hint="default"/>
                <w:sz w:val="13"/>
                <w:szCs w:val="13"/>
              </w:rPr>
            </w:pPr>
            <w:r>
              <w:rPr>
                <w:rFonts w:ascii="宋体" w:hAnsi="宋体" w:cs="宋体" w:eastAsia="宋体" w:hint="default"/>
                <w:sz w:val="13"/>
                <w:szCs w:val="13"/>
              </w:rPr>
              <w:t>长期股权投资</w:t>
            </w:r>
          </w:p>
        </w:tc>
        <w:tc>
          <w:tcPr>
            <w:tcW w:w="53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4"/>
              <w:ind w:right="2"/>
              <w:jc w:val="center"/>
              <w:rPr>
                <w:rFonts w:ascii="宋体" w:hAnsi="宋体" w:cs="宋体" w:eastAsia="宋体" w:hint="default"/>
                <w:sz w:val="13"/>
                <w:szCs w:val="13"/>
              </w:rPr>
            </w:pPr>
            <w:r>
              <w:rPr>
                <w:rFonts w:ascii="宋体" w:hAnsi="宋体" w:cs="宋体" w:eastAsia="宋体" w:hint="default"/>
                <w:sz w:val="13"/>
                <w:szCs w:val="13"/>
              </w:rPr>
              <w:t>十二、3</w:t>
            </w:r>
          </w:p>
        </w:tc>
        <w:tc>
          <w:tcPr>
            <w:tcW w:w="11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0"/>
              <w:ind w:right="61"/>
              <w:jc w:val="right"/>
              <w:rPr>
                <w:rFonts w:ascii="Times New Roman" w:hAnsi="Times New Roman" w:cs="Times New Roman" w:eastAsia="Times New Roman" w:hint="default"/>
                <w:sz w:val="13"/>
                <w:szCs w:val="13"/>
              </w:rPr>
            </w:pPr>
            <w:r>
              <w:rPr>
                <w:rFonts w:ascii="Times New Roman"/>
                <w:spacing w:val="-5"/>
                <w:sz w:val="13"/>
              </w:rPr>
              <w:t>927,429,963.19</w:t>
            </w:r>
          </w:p>
        </w:tc>
        <w:tc>
          <w:tcPr>
            <w:tcW w:w="1318" w:type="dxa"/>
            <w:tcBorders>
              <w:top w:val="single" w:sz="6" w:space="0" w:color="000000"/>
              <w:left w:val="single" w:sz="4" w:space="0" w:color="000000"/>
              <w:bottom w:val="single" w:sz="4" w:space="0" w:color="000000"/>
              <w:right w:val="single" w:sz="14" w:space="0" w:color="000000"/>
            </w:tcBorders>
          </w:tcPr>
          <w:p>
            <w:pPr>
              <w:pStyle w:val="TableParagraph"/>
              <w:spacing w:line="240" w:lineRule="auto" w:before="70"/>
              <w:ind w:right="27"/>
              <w:jc w:val="right"/>
              <w:rPr>
                <w:rFonts w:ascii="Times New Roman" w:hAnsi="Times New Roman" w:cs="Times New Roman" w:eastAsia="Times New Roman" w:hint="default"/>
                <w:sz w:val="13"/>
                <w:szCs w:val="13"/>
              </w:rPr>
            </w:pPr>
            <w:r>
              <w:rPr>
                <w:rFonts w:ascii="Times New Roman"/>
                <w:spacing w:val="-5"/>
                <w:sz w:val="13"/>
              </w:rPr>
              <w:t>761,634,198.83</w:t>
            </w:r>
          </w:p>
        </w:tc>
        <w:tc>
          <w:tcPr>
            <w:tcW w:w="1868" w:type="dxa"/>
            <w:tcBorders>
              <w:top w:val="single" w:sz="6" w:space="0" w:color="000000"/>
              <w:left w:val="single" w:sz="14" w:space="0" w:color="000000"/>
              <w:bottom w:val="single" w:sz="4" w:space="0" w:color="000000"/>
              <w:right w:val="single" w:sz="4" w:space="0" w:color="000000"/>
            </w:tcBorders>
          </w:tcPr>
          <w:p>
            <w:pPr>
              <w:pStyle w:val="TableParagraph"/>
              <w:spacing w:line="240" w:lineRule="auto" w:before="45"/>
              <w:ind w:left="148" w:right="0"/>
              <w:jc w:val="left"/>
              <w:rPr>
                <w:rFonts w:ascii="宋体" w:hAnsi="宋体" w:cs="宋体" w:eastAsia="宋体" w:hint="default"/>
                <w:sz w:val="13"/>
                <w:szCs w:val="13"/>
              </w:rPr>
            </w:pPr>
            <w:r>
              <w:rPr>
                <w:rFonts w:ascii="宋体" w:hAnsi="宋体" w:cs="宋体" w:eastAsia="宋体" w:hint="default"/>
                <w:sz w:val="13"/>
                <w:szCs w:val="13"/>
              </w:rPr>
              <w:t>预计负债</w:t>
            </w:r>
          </w:p>
        </w:tc>
        <w:tc>
          <w:tcPr>
            <w:tcW w:w="533" w:type="dxa"/>
            <w:tcBorders>
              <w:top w:val="single" w:sz="6" w:space="0" w:color="000000"/>
              <w:left w:val="single" w:sz="4" w:space="0" w:color="000000"/>
              <w:bottom w:val="single" w:sz="4" w:space="0" w:color="000000"/>
              <w:right w:val="single" w:sz="4" w:space="0" w:color="000000"/>
            </w:tcBorders>
          </w:tcPr>
          <w:p>
            <w:pPr/>
          </w:p>
        </w:tc>
        <w:tc>
          <w:tcPr>
            <w:tcW w:w="11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0"/>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70"/>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投资性房地产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1"/>
              <w:jc w:val="right"/>
              <w:rPr>
                <w:rFonts w:ascii="Times New Roman" w:hAnsi="Times New Roman" w:cs="Times New Roman" w:eastAsia="Times New Roman" w:hint="default"/>
                <w:sz w:val="13"/>
                <w:szCs w:val="13"/>
              </w:rPr>
            </w:pPr>
            <w:r>
              <w:rPr>
                <w:rFonts w:ascii="Times New Roman"/>
                <w:spacing w:val="-5"/>
                <w:sz w:val="13"/>
              </w:rPr>
              <w:t>98,016,492.51</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5"/>
              <w:ind w:right="27"/>
              <w:jc w:val="right"/>
              <w:rPr>
                <w:rFonts w:ascii="Times New Roman" w:hAnsi="Times New Roman" w:cs="Times New Roman" w:eastAsia="Times New Roman" w:hint="default"/>
                <w:sz w:val="13"/>
                <w:szCs w:val="13"/>
              </w:rPr>
            </w:pPr>
            <w:r>
              <w:rPr>
                <w:rFonts w:ascii="Times New Roman"/>
                <w:spacing w:val="-5"/>
                <w:sz w:val="13"/>
              </w:rPr>
              <w:t>176,845,182.27</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递延所得税负债</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0"/>
              <w:jc w:val="right"/>
              <w:rPr>
                <w:rFonts w:ascii="Times New Roman" w:hAnsi="Times New Roman" w:cs="Times New Roman" w:eastAsia="Times New Roman" w:hint="default"/>
                <w:sz w:val="13"/>
                <w:szCs w:val="13"/>
              </w:rPr>
            </w:pPr>
            <w:r>
              <w:rPr>
                <w:rFonts w:ascii="Times New Roman"/>
                <w:spacing w:val="-5"/>
                <w:sz w:val="13"/>
              </w:rPr>
              <w:t>7,209,536.79</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5"/>
              <w:ind w:right="71"/>
              <w:jc w:val="right"/>
              <w:rPr>
                <w:rFonts w:ascii="Times New Roman" w:hAnsi="Times New Roman" w:cs="Times New Roman" w:eastAsia="Times New Roman" w:hint="default"/>
                <w:sz w:val="13"/>
                <w:szCs w:val="13"/>
              </w:rPr>
            </w:pPr>
            <w:r>
              <w:rPr>
                <w:rFonts w:ascii="Times New Roman"/>
                <w:spacing w:val="-4"/>
                <w:sz w:val="13"/>
              </w:rPr>
              <w:t>7,499,877.76</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固定资产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61"/>
              <w:jc w:val="right"/>
              <w:rPr>
                <w:rFonts w:ascii="Times New Roman" w:hAnsi="Times New Roman" w:cs="Times New Roman" w:eastAsia="Times New Roman" w:hint="default"/>
                <w:sz w:val="13"/>
                <w:szCs w:val="13"/>
              </w:rPr>
            </w:pPr>
            <w:r>
              <w:rPr>
                <w:rFonts w:ascii="Times New Roman"/>
                <w:spacing w:val="-5"/>
                <w:sz w:val="13"/>
              </w:rPr>
              <w:t>26,101,175.71</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5"/>
              <w:ind w:right="27"/>
              <w:jc w:val="right"/>
              <w:rPr>
                <w:rFonts w:ascii="Times New Roman" w:hAnsi="Times New Roman" w:cs="Times New Roman" w:eastAsia="Times New Roman" w:hint="default"/>
                <w:sz w:val="13"/>
                <w:szCs w:val="13"/>
              </w:rPr>
            </w:pPr>
            <w:r>
              <w:rPr>
                <w:rFonts w:ascii="Times New Roman"/>
                <w:spacing w:val="-5"/>
                <w:sz w:val="13"/>
              </w:rPr>
              <w:t>14,336,920.72</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其他非流动负债</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5"/>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在建工程</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工程物资</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9"/>
              <w:ind w:left="431"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9"/>
                <w:sz w:val="13"/>
                <w:szCs w:val="13"/>
              </w:rPr>
              <w:t>非流动负债合计</w:t>
            </w:r>
            <w:r>
              <w:rPr>
                <w:rFonts w:ascii="Microsoft JhengHei" w:hAnsi="Microsoft JhengHei" w:cs="Microsoft JhengHei" w:eastAsia="Microsoft JhengHei" w:hint="default"/>
                <w:spacing w:val="9"/>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0"/>
              <w:jc w:val="right"/>
              <w:rPr>
                <w:rFonts w:ascii="Times New Roman" w:hAnsi="Times New Roman" w:cs="Times New Roman" w:eastAsia="Times New Roman" w:hint="default"/>
                <w:sz w:val="13"/>
                <w:szCs w:val="13"/>
              </w:rPr>
            </w:pPr>
            <w:r>
              <w:rPr>
                <w:rFonts w:ascii="Times New Roman"/>
                <w:spacing w:val="-5"/>
                <w:sz w:val="13"/>
              </w:rPr>
              <w:t>7,209,536.79</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spacing w:val="-4"/>
                <w:sz w:val="13"/>
              </w:rPr>
              <w:t>7,499,877.76</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固定资产清理</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9"/>
              <w:ind w:right="5"/>
              <w:jc w:val="center"/>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负债合计</w:t>
            </w:r>
            <w:r>
              <w:rPr>
                <w:rFonts w:ascii="Microsoft JhengHei" w:hAnsi="Microsoft JhengHei" w:cs="Microsoft JhengHei" w:eastAsia="Microsoft JhengHei" w:hint="default"/>
                <w:spacing w:val="8"/>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0"/>
              <w:jc w:val="right"/>
              <w:rPr>
                <w:rFonts w:ascii="Times New Roman" w:hAnsi="Times New Roman" w:cs="Times New Roman" w:eastAsia="Times New Roman" w:hint="default"/>
                <w:sz w:val="13"/>
                <w:szCs w:val="13"/>
              </w:rPr>
            </w:pPr>
            <w:r>
              <w:rPr>
                <w:rFonts w:ascii="Times New Roman"/>
                <w:spacing w:val="-5"/>
                <w:sz w:val="13"/>
              </w:rPr>
              <w:t>970,077,875.56</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spacing w:val="-5"/>
                <w:sz w:val="13"/>
              </w:rPr>
              <w:t>821,882,294.15</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生产性生物资产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9"/>
              <w:ind w:left="9"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股东权益：</w:t>
            </w:r>
            <w:r>
              <w:rPr>
                <w:rFonts w:ascii="Microsoft JhengHei" w:hAnsi="Microsoft JhengHei" w:cs="Microsoft JhengHei" w:eastAsia="Microsoft JhengHei" w:hint="default"/>
                <w:spacing w:val="8"/>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油气资产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tabs>
                <w:tab w:pos="561" w:val="left" w:leader="none"/>
              </w:tabs>
              <w:spacing w:line="240" w:lineRule="auto" w:before="50"/>
              <w:ind w:left="148" w:right="0"/>
              <w:jc w:val="left"/>
              <w:rPr>
                <w:rFonts w:ascii="宋体" w:hAnsi="宋体" w:cs="宋体" w:eastAsia="宋体" w:hint="default"/>
                <w:sz w:val="13"/>
                <w:szCs w:val="13"/>
              </w:rPr>
            </w:pPr>
            <w:r>
              <w:rPr>
                <w:rFonts w:ascii="宋体" w:hAnsi="宋体" w:cs="宋体" w:eastAsia="宋体" w:hint="default"/>
                <w:w w:val="95"/>
                <w:sz w:val="13"/>
                <w:szCs w:val="13"/>
              </w:rPr>
              <w:t>股</w:t>
              <w:tab/>
            </w:r>
            <w:r>
              <w:rPr>
                <w:rFonts w:ascii="宋体" w:hAnsi="宋体" w:cs="宋体" w:eastAsia="宋体" w:hint="default"/>
                <w:sz w:val="13"/>
                <w:szCs w:val="13"/>
              </w:rPr>
              <w:t>本</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0"/>
              <w:jc w:val="right"/>
              <w:rPr>
                <w:rFonts w:ascii="Times New Roman" w:hAnsi="Times New Roman" w:cs="Times New Roman" w:eastAsia="Times New Roman" w:hint="default"/>
                <w:sz w:val="13"/>
                <w:szCs w:val="13"/>
              </w:rPr>
            </w:pPr>
            <w:r>
              <w:rPr>
                <w:rFonts w:ascii="Times New Roman"/>
                <w:spacing w:val="-5"/>
                <w:sz w:val="13"/>
              </w:rPr>
              <w:t>469,593,364.00</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spacing w:val="-5"/>
                <w:sz w:val="13"/>
              </w:rPr>
              <w:t>469,593,364.00</w:t>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无形资产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1"/>
              <w:jc w:val="right"/>
              <w:rPr>
                <w:rFonts w:ascii="Times New Roman" w:hAnsi="Times New Roman" w:cs="Times New Roman" w:eastAsia="Times New Roman" w:hint="default"/>
                <w:sz w:val="13"/>
                <w:szCs w:val="13"/>
              </w:rPr>
            </w:pPr>
            <w:r>
              <w:rPr>
                <w:rFonts w:ascii="Times New Roman"/>
                <w:spacing w:val="-5"/>
                <w:sz w:val="13"/>
              </w:rPr>
              <w:t>14,171,709.28</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27"/>
              <w:jc w:val="right"/>
              <w:rPr>
                <w:rFonts w:ascii="Times New Roman" w:hAnsi="Times New Roman" w:cs="Times New Roman" w:eastAsia="Times New Roman" w:hint="default"/>
                <w:sz w:val="13"/>
                <w:szCs w:val="13"/>
              </w:rPr>
            </w:pPr>
            <w:r>
              <w:rPr>
                <w:rFonts w:ascii="Times New Roman"/>
                <w:spacing w:val="-5"/>
                <w:sz w:val="13"/>
              </w:rPr>
              <w:t>28,632,389.70</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资本公积</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0"/>
              <w:jc w:val="right"/>
              <w:rPr>
                <w:rFonts w:ascii="Times New Roman" w:hAnsi="Times New Roman" w:cs="Times New Roman" w:eastAsia="Times New Roman" w:hint="default"/>
                <w:sz w:val="13"/>
                <w:szCs w:val="13"/>
              </w:rPr>
            </w:pPr>
            <w:r>
              <w:rPr>
                <w:rFonts w:ascii="Times New Roman"/>
                <w:spacing w:val="-5"/>
                <w:sz w:val="13"/>
              </w:rPr>
              <w:t>422,698,134.17</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spacing w:val="-5"/>
                <w:sz w:val="13"/>
              </w:rPr>
              <w:t>423,569,157.10</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开发支出</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减：库存股</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商誉</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专项储备</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长期待摊费用</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盈余公积</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0"/>
              <w:jc w:val="right"/>
              <w:rPr>
                <w:rFonts w:ascii="Times New Roman" w:hAnsi="Times New Roman" w:cs="Times New Roman" w:eastAsia="Times New Roman" w:hint="default"/>
                <w:sz w:val="13"/>
                <w:szCs w:val="13"/>
              </w:rPr>
            </w:pPr>
            <w:r>
              <w:rPr>
                <w:rFonts w:ascii="Times New Roman"/>
                <w:spacing w:val="-5"/>
                <w:sz w:val="13"/>
              </w:rPr>
              <w:t>75,233,611.94</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spacing w:val="-5"/>
                <w:sz w:val="13"/>
              </w:rPr>
              <w:t>59,609,991.26</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0"/>
              <w:ind w:left="172" w:right="0"/>
              <w:jc w:val="left"/>
              <w:rPr>
                <w:rFonts w:ascii="宋体" w:hAnsi="宋体" w:cs="宋体" w:eastAsia="宋体" w:hint="default"/>
                <w:sz w:val="13"/>
                <w:szCs w:val="13"/>
              </w:rPr>
            </w:pPr>
            <w:r>
              <w:rPr>
                <w:rFonts w:ascii="宋体" w:hAnsi="宋体" w:cs="宋体" w:eastAsia="宋体" w:hint="default"/>
                <w:sz w:val="13"/>
                <w:szCs w:val="13"/>
              </w:rPr>
              <w:t>递延所得税资产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1"/>
              <w:jc w:val="right"/>
              <w:rPr>
                <w:rFonts w:ascii="Times New Roman" w:hAnsi="Times New Roman" w:cs="Times New Roman" w:eastAsia="Times New Roman" w:hint="default"/>
                <w:sz w:val="13"/>
                <w:szCs w:val="13"/>
              </w:rPr>
            </w:pPr>
            <w:r>
              <w:rPr>
                <w:rFonts w:ascii="Times New Roman"/>
                <w:spacing w:val="-5"/>
                <w:sz w:val="13"/>
              </w:rPr>
              <w:t>21,716,030.31</w:t>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27"/>
              <w:jc w:val="right"/>
              <w:rPr>
                <w:rFonts w:ascii="Times New Roman" w:hAnsi="Times New Roman" w:cs="Times New Roman" w:eastAsia="Times New Roman" w:hint="default"/>
                <w:sz w:val="13"/>
                <w:szCs w:val="13"/>
              </w:rPr>
            </w:pPr>
            <w:r>
              <w:rPr>
                <w:rFonts w:ascii="Times New Roman"/>
                <w:spacing w:val="-5"/>
                <w:sz w:val="13"/>
              </w:rPr>
              <w:t>25,737,205.35</w:t>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0"/>
              <w:ind w:left="148" w:right="0"/>
              <w:jc w:val="left"/>
              <w:rPr>
                <w:rFonts w:ascii="宋体" w:hAnsi="宋体" w:cs="宋体" w:eastAsia="宋体" w:hint="default"/>
                <w:sz w:val="13"/>
                <w:szCs w:val="13"/>
              </w:rPr>
            </w:pPr>
            <w:r>
              <w:rPr>
                <w:rFonts w:ascii="宋体" w:hAnsi="宋体" w:cs="宋体" w:eastAsia="宋体" w:hint="default"/>
                <w:sz w:val="13"/>
                <w:szCs w:val="13"/>
              </w:rPr>
              <w:t>一般风险准备</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1"/>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127"/>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3"/>
                <w:szCs w:val="13"/>
              </w:rPr>
            </w:pPr>
            <w:r>
              <w:rPr>
                <w:rFonts w:ascii="宋体" w:hAnsi="宋体" w:cs="宋体" w:eastAsia="宋体" w:hint="default"/>
                <w:sz w:val="13"/>
                <w:szCs w:val="13"/>
              </w:rPr>
              <w:t>其他非流动资产</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76"/>
              <w:ind w:right="112"/>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51"/>
              <w:ind w:left="148" w:right="0"/>
              <w:jc w:val="left"/>
              <w:rPr>
                <w:rFonts w:ascii="宋体" w:hAnsi="宋体" w:cs="宋体" w:eastAsia="宋体" w:hint="default"/>
                <w:sz w:val="13"/>
                <w:szCs w:val="13"/>
              </w:rPr>
            </w:pPr>
            <w:r>
              <w:rPr>
                <w:rFonts w:ascii="宋体" w:hAnsi="宋体" w:cs="宋体" w:eastAsia="宋体" w:hint="default"/>
                <w:sz w:val="13"/>
                <w:szCs w:val="13"/>
              </w:rPr>
              <w:t>未分配利润</w:t>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60"/>
              <w:jc w:val="right"/>
              <w:rPr>
                <w:rFonts w:ascii="Times New Roman" w:hAnsi="Times New Roman" w:cs="Times New Roman" w:eastAsia="Times New Roman" w:hint="default"/>
                <w:sz w:val="13"/>
                <w:szCs w:val="13"/>
              </w:rPr>
            </w:pPr>
            <w:r>
              <w:rPr>
                <w:rFonts w:ascii="Times New Roman"/>
                <w:spacing w:val="-5"/>
                <w:sz w:val="13"/>
              </w:rPr>
              <w:t>179,615,736.95</w:t>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6"/>
              <w:ind w:right="71"/>
              <w:jc w:val="right"/>
              <w:rPr>
                <w:rFonts w:ascii="Times New Roman" w:hAnsi="Times New Roman" w:cs="Times New Roman" w:eastAsia="Times New Roman" w:hint="default"/>
                <w:sz w:val="13"/>
                <w:szCs w:val="13"/>
              </w:rPr>
            </w:pPr>
            <w:r>
              <w:rPr>
                <w:rFonts w:ascii="Times New Roman"/>
                <w:spacing w:val="-5"/>
                <w:sz w:val="13"/>
              </w:rPr>
              <w:t>52,393,263.36</w:t>
            </w: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1" w:hRule="exact"/>
        </w:trPr>
        <w:tc>
          <w:tcPr>
            <w:tcW w:w="1852" w:type="dxa"/>
            <w:tcBorders>
              <w:top w:val="single" w:sz="4" w:space="0" w:color="000000"/>
              <w:left w:val="nil" w:sz="6" w:space="0" w:color="auto"/>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318" w:type="dxa"/>
            <w:tcBorders>
              <w:top w:val="single" w:sz="4" w:space="0" w:color="000000"/>
              <w:left w:val="single" w:sz="4" w:space="0" w:color="000000"/>
              <w:bottom w:val="single" w:sz="4" w:space="0" w:color="000000"/>
              <w:right w:val="single" w:sz="14" w:space="0" w:color="000000"/>
            </w:tcBorders>
          </w:tcPr>
          <w:p>
            <w:pPr/>
          </w:p>
        </w:tc>
        <w:tc>
          <w:tcPr>
            <w:tcW w:w="1868" w:type="dxa"/>
            <w:tcBorders>
              <w:top w:val="single" w:sz="4" w:space="0" w:color="000000"/>
              <w:left w:val="single" w:sz="1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
        </w:tc>
        <w:tc>
          <w:tcPr>
            <w:tcW w:w="1283" w:type="dxa"/>
            <w:tcBorders>
              <w:top w:val="single" w:sz="4" w:space="0" w:color="000000"/>
              <w:left w:val="single" w:sz="4" w:space="0" w:color="000000"/>
              <w:bottom w:val="single" w:sz="4" w:space="0" w:color="000000"/>
              <w:right w:val="nil" w:sz="6" w:space="0" w:color="auto"/>
            </w:tcBorders>
          </w:tcPr>
          <w:p>
            <w:pPr/>
          </w:p>
        </w:tc>
      </w:tr>
      <w:tr>
        <w:trPr>
          <w:trHeight w:val="322" w:hRule="exact"/>
        </w:trPr>
        <w:tc>
          <w:tcPr>
            <w:tcW w:w="185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left="523"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9"/>
                <w:sz w:val="13"/>
                <w:szCs w:val="13"/>
              </w:rPr>
              <w:t>非流动资产合计</w:t>
            </w:r>
            <w:r>
              <w:rPr>
                <w:rFonts w:ascii="Microsoft JhengHei" w:hAnsi="Microsoft JhengHei" w:cs="Microsoft JhengHei" w:eastAsia="Microsoft JhengHei" w:hint="default"/>
                <w:spacing w:val="9"/>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72"/>
              <w:jc w:val="right"/>
              <w:rPr>
                <w:rFonts w:ascii="Times New Roman" w:hAnsi="Times New Roman" w:cs="Times New Roman" w:eastAsia="Times New Roman" w:hint="default"/>
                <w:sz w:val="13"/>
                <w:szCs w:val="13"/>
              </w:rPr>
            </w:pPr>
            <w:r>
              <w:rPr>
                <w:rFonts w:ascii="Times New Roman"/>
                <w:b/>
                <w:spacing w:val="2"/>
                <w:sz w:val="13"/>
              </w:rPr>
              <w:t>1,119,711,769.62</w:t>
            </w:r>
            <w:r>
              <w:rPr>
                <w:rFonts w:ascii="Times New Roman"/>
                <w:spacing w:val="2"/>
                <w:sz w:val="13"/>
              </w:rPr>
            </w:r>
          </w:p>
        </w:tc>
        <w:tc>
          <w:tcPr>
            <w:tcW w:w="1318" w:type="dxa"/>
            <w:tcBorders>
              <w:top w:val="single" w:sz="4" w:space="0" w:color="000000"/>
              <w:left w:val="single" w:sz="4" w:space="0" w:color="000000"/>
              <w:bottom w:val="single" w:sz="4" w:space="0" w:color="000000"/>
              <w:right w:val="single" w:sz="14" w:space="0" w:color="000000"/>
            </w:tcBorders>
          </w:tcPr>
          <w:p>
            <w:pPr>
              <w:pStyle w:val="TableParagraph"/>
              <w:spacing w:line="240" w:lineRule="auto" w:before="81"/>
              <w:ind w:right="43"/>
              <w:jc w:val="right"/>
              <w:rPr>
                <w:rFonts w:ascii="Times New Roman" w:hAnsi="Times New Roman" w:cs="Times New Roman" w:eastAsia="Times New Roman" w:hint="default"/>
                <w:sz w:val="13"/>
                <w:szCs w:val="13"/>
              </w:rPr>
            </w:pPr>
            <w:r>
              <w:rPr>
                <w:rFonts w:ascii="Times New Roman"/>
                <w:b/>
                <w:spacing w:val="2"/>
                <w:sz w:val="13"/>
              </w:rPr>
              <w:t>1,040,623,659.39</w:t>
            </w:r>
            <w:r>
              <w:rPr>
                <w:rFonts w:ascii="Times New Roman"/>
                <w:spacing w:val="2"/>
                <w:sz w:val="13"/>
              </w:rPr>
            </w:r>
          </w:p>
        </w:tc>
        <w:tc>
          <w:tcPr>
            <w:tcW w:w="1868" w:type="dxa"/>
            <w:tcBorders>
              <w:top w:val="single" w:sz="4" w:space="0" w:color="000000"/>
              <w:left w:val="single" w:sz="14" w:space="0" w:color="000000"/>
              <w:bottom w:val="single" w:sz="4" w:space="0" w:color="000000"/>
              <w:right w:val="single" w:sz="4" w:space="0" w:color="000000"/>
            </w:tcBorders>
          </w:tcPr>
          <w:p>
            <w:pPr>
              <w:pStyle w:val="TableParagraph"/>
              <w:spacing w:line="240" w:lineRule="auto" w:before="9"/>
              <w:ind w:left="499"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9"/>
                <w:sz w:val="13"/>
                <w:szCs w:val="13"/>
              </w:rPr>
              <w:t>股东权益合计</w:t>
            </w:r>
            <w:r>
              <w:rPr>
                <w:rFonts w:ascii="Microsoft JhengHei" w:hAnsi="Microsoft JhengHei" w:cs="Microsoft JhengHei" w:eastAsia="Microsoft JhengHei" w:hint="default"/>
                <w:spacing w:val="9"/>
                <w:sz w:val="13"/>
                <w:szCs w:val="13"/>
              </w:rPr>
            </w:r>
          </w:p>
        </w:tc>
        <w:tc>
          <w:tcPr>
            <w:tcW w:w="533" w:type="dxa"/>
            <w:tcBorders>
              <w:top w:val="single" w:sz="4" w:space="0" w:color="000000"/>
              <w:left w:val="single" w:sz="4" w:space="0" w:color="000000"/>
              <w:bottom w:val="single" w:sz="4" w:space="0" w:color="000000"/>
              <w:right w:val="single" w:sz="4" w:space="0" w:color="000000"/>
            </w:tcBorders>
          </w:tcPr>
          <w:p>
            <w:pP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71"/>
              <w:jc w:val="right"/>
              <w:rPr>
                <w:rFonts w:ascii="Times New Roman" w:hAnsi="Times New Roman" w:cs="Times New Roman" w:eastAsia="Times New Roman" w:hint="default"/>
                <w:sz w:val="13"/>
                <w:szCs w:val="13"/>
              </w:rPr>
            </w:pPr>
            <w:r>
              <w:rPr>
                <w:rFonts w:ascii="Times New Roman"/>
                <w:b/>
                <w:spacing w:val="2"/>
                <w:sz w:val="13"/>
              </w:rPr>
              <w:t>1,147,140,847.06</w:t>
            </w:r>
            <w:r>
              <w:rPr>
                <w:rFonts w:ascii="Times New Roman"/>
                <w:spacing w:val="2"/>
                <w:sz w:val="13"/>
              </w:rPr>
            </w:r>
          </w:p>
        </w:tc>
        <w:tc>
          <w:tcPr>
            <w:tcW w:w="128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1"/>
              <w:ind w:right="82"/>
              <w:jc w:val="right"/>
              <w:rPr>
                <w:rFonts w:ascii="Times New Roman" w:hAnsi="Times New Roman" w:cs="Times New Roman" w:eastAsia="Times New Roman" w:hint="default"/>
                <w:sz w:val="13"/>
                <w:szCs w:val="13"/>
              </w:rPr>
            </w:pPr>
            <w:r>
              <w:rPr>
                <w:rFonts w:ascii="Times New Roman"/>
                <w:b/>
                <w:spacing w:val="3"/>
                <w:sz w:val="13"/>
              </w:rPr>
              <w:t>1,005,165,775.72</w:t>
            </w:r>
            <w:r>
              <w:rPr>
                <w:rFonts w:ascii="Times New Roman"/>
                <w:spacing w:val="3"/>
                <w:sz w:val="13"/>
              </w:rPr>
            </w:r>
          </w:p>
        </w:tc>
      </w:tr>
      <w:tr>
        <w:trPr>
          <w:trHeight w:val="318" w:hRule="exact"/>
        </w:trPr>
        <w:tc>
          <w:tcPr>
            <w:tcW w:w="1852"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9"/>
              <w:ind w:right="6"/>
              <w:jc w:val="center"/>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8"/>
                <w:sz w:val="13"/>
                <w:szCs w:val="13"/>
              </w:rPr>
              <w:t>资产总计</w:t>
            </w:r>
            <w:r>
              <w:rPr>
                <w:rFonts w:ascii="Microsoft JhengHei" w:hAnsi="Microsoft JhengHei" w:cs="Microsoft JhengHei" w:eastAsia="Microsoft JhengHei" w:hint="default"/>
                <w:spacing w:val="8"/>
                <w:sz w:val="13"/>
                <w:szCs w:val="13"/>
              </w:rPr>
            </w:r>
          </w:p>
        </w:tc>
        <w:tc>
          <w:tcPr>
            <w:tcW w:w="533" w:type="dxa"/>
            <w:tcBorders>
              <w:top w:val="single" w:sz="4" w:space="0" w:color="000000"/>
              <w:left w:val="single" w:sz="4" w:space="0" w:color="000000"/>
              <w:bottom w:val="single" w:sz="8" w:space="0" w:color="000000"/>
              <w:right w:val="single" w:sz="4" w:space="0" w:color="000000"/>
            </w:tcBorders>
          </w:tcPr>
          <w:p>
            <w:pPr/>
          </w:p>
        </w:tc>
        <w:tc>
          <w:tcPr>
            <w:tcW w:w="112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1"/>
              <w:ind w:right="72"/>
              <w:jc w:val="right"/>
              <w:rPr>
                <w:rFonts w:ascii="Times New Roman" w:hAnsi="Times New Roman" w:cs="Times New Roman" w:eastAsia="Times New Roman" w:hint="default"/>
                <w:sz w:val="13"/>
                <w:szCs w:val="13"/>
              </w:rPr>
            </w:pPr>
            <w:r>
              <w:rPr>
                <w:rFonts w:ascii="Times New Roman"/>
                <w:b/>
                <w:spacing w:val="2"/>
                <w:sz w:val="13"/>
              </w:rPr>
              <w:t>2,117,218,722.62</w:t>
            </w:r>
            <w:r>
              <w:rPr>
                <w:rFonts w:ascii="Times New Roman"/>
                <w:spacing w:val="2"/>
                <w:sz w:val="13"/>
              </w:rPr>
            </w:r>
          </w:p>
        </w:tc>
        <w:tc>
          <w:tcPr>
            <w:tcW w:w="1318" w:type="dxa"/>
            <w:tcBorders>
              <w:top w:val="single" w:sz="4" w:space="0" w:color="000000"/>
              <w:left w:val="single" w:sz="4" w:space="0" w:color="000000"/>
              <w:bottom w:val="single" w:sz="8" w:space="0" w:color="000000"/>
              <w:right w:val="single" w:sz="14" w:space="0" w:color="000000"/>
            </w:tcBorders>
          </w:tcPr>
          <w:p>
            <w:pPr>
              <w:pStyle w:val="TableParagraph"/>
              <w:spacing w:line="240" w:lineRule="auto" w:before="81"/>
              <w:ind w:right="43"/>
              <w:jc w:val="right"/>
              <w:rPr>
                <w:rFonts w:ascii="Times New Roman" w:hAnsi="Times New Roman" w:cs="Times New Roman" w:eastAsia="Times New Roman" w:hint="default"/>
                <w:sz w:val="13"/>
                <w:szCs w:val="13"/>
              </w:rPr>
            </w:pPr>
            <w:r>
              <w:rPr>
                <w:rFonts w:ascii="Times New Roman"/>
                <w:b/>
                <w:spacing w:val="2"/>
                <w:sz w:val="13"/>
              </w:rPr>
              <w:t>1,827,048,069.87</w:t>
            </w:r>
            <w:r>
              <w:rPr>
                <w:rFonts w:ascii="Times New Roman"/>
                <w:spacing w:val="2"/>
                <w:sz w:val="13"/>
              </w:rPr>
            </w:r>
          </w:p>
        </w:tc>
        <w:tc>
          <w:tcPr>
            <w:tcW w:w="1868" w:type="dxa"/>
            <w:tcBorders>
              <w:top w:val="single" w:sz="4" w:space="0" w:color="000000"/>
              <w:left w:val="single" w:sz="14" w:space="0" w:color="000000"/>
              <w:bottom w:val="single" w:sz="8" w:space="0" w:color="000000"/>
              <w:right w:val="single" w:sz="4" w:space="0" w:color="000000"/>
            </w:tcBorders>
          </w:tcPr>
          <w:p>
            <w:pPr>
              <w:pStyle w:val="TableParagraph"/>
              <w:spacing w:line="240" w:lineRule="auto" w:before="9"/>
              <w:ind w:left="278" w:right="0"/>
              <w:jc w:val="left"/>
              <w:rPr>
                <w:rFonts w:ascii="Microsoft JhengHei" w:hAnsi="Microsoft JhengHei" w:cs="Microsoft JhengHei" w:eastAsia="Microsoft JhengHei" w:hint="default"/>
                <w:sz w:val="13"/>
                <w:szCs w:val="13"/>
              </w:rPr>
            </w:pPr>
            <w:r>
              <w:rPr>
                <w:rFonts w:ascii="Microsoft JhengHei" w:hAnsi="Microsoft JhengHei" w:cs="Microsoft JhengHei" w:eastAsia="Microsoft JhengHei" w:hint="default"/>
                <w:b/>
                <w:bCs/>
                <w:spacing w:val="9"/>
                <w:sz w:val="13"/>
                <w:szCs w:val="13"/>
              </w:rPr>
              <w:t>负债和股东权益总计</w:t>
            </w:r>
            <w:r>
              <w:rPr>
                <w:rFonts w:ascii="Microsoft JhengHei" w:hAnsi="Microsoft JhengHei" w:cs="Microsoft JhengHei" w:eastAsia="Microsoft JhengHei" w:hint="default"/>
                <w:spacing w:val="9"/>
                <w:sz w:val="13"/>
                <w:szCs w:val="13"/>
              </w:rPr>
            </w:r>
          </w:p>
        </w:tc>
        <w:tc>
          <w:tcPr>
            <w:tcW w:w="533" w:type="dxa"/>
            <w:tcBorders>
              <w:top w:val="single" w:sz="4" w:space="0" w:color="000000"/>
              <w:left w:val="single" w:sz="4" w:space="0" w:color="000000"/>
              <w:bottom w:val="single" w:sz="8" w:space="0" w:color="000000"/>
              <w:right w:val="single" w:sz="4" w:space="0" w:color="000000"/>
            </w:tcBorders>
          </w:tcPr>
          <w:p>
            <w:pPr/>
          </w:p>
        </w:tc>
        <w:tc>
          <w:tcPr>
            <w:tcW w:w="112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81"/>
              <w:ind w:right="71"/>
              <w:jc w:val="right"/>
              <w:rPr>
                <w:rFonts w:ascii="Times New Roman" w:hAnsi="Times New Roman" w:cs="Times New Roman" w:eastAsia="Times New Roman" w:hint="default"/>
                <w:sz w:val="13"/>
                <w:szCs w:val="13"/>
              </w:rPr>
            </w:pPr>
            <w:r>
              <w:rPr>
                <w:rFonts w:ascii="Times New Roman"/>
                <w:b/>
                <w:spacing w:val="2"/>
                <w:sz w:val="13"/>
              </w:rPr>
              <w:t>2,117,218,722.62</w:t>
            </w:r>
            <w:r>
              <w:rPr>
                <w:rFonts w:ascii="Times New Roman"/>
                <w:spacing w:val="2"/>
                <w:sz w:val="13"/>
              </w:rPr>
            </w:r>
          </w:p>
        </w:tc>
        <w:tc>
          <w:tcPr>
            <w:tcW w:w="1283"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81"/>
              <w:ind w:right="82"/>
              <w:jc w:val="right"/>
              <w:rPr>
                <w:rFonts w:ascii="Times New Roman" w:hAnsi="Times New Roman" w:cs="Times New Roman" w:eastAsia="Times New Roman" w:hint="default"/>
                <w:sz w:val="13"/>
                <w:szCs w:val="13"/>
              </w:rPr>
            </w:pPr>
            <w:r>
              <w:rPr>
                <w:rFonts w:ascii="Times New Roman"/>
                <w:b/>
                <w:spacing w:val="3"/>
                <w:sz w:val="13"/>
              </w:rPr>
              <w:t>1,827,048,069.87</w:t>
            </w:r>
            <w:r>
              <w:rPr>
                <w:rFonts w:ascii="Times New Roman"/>
                <w:spacing w:val="3"/>
                <w:sz w:val="13"/>
              </w:rPr>
            </w:r>
          </w:p>
        </w:tc>
      </w:tr>
    </w:tbl>
    <w:p>
      <w:pPr>
        <w:tabs>
          <w:tab w:pos="3690" w:val="left" w:leader="none"/>
          <w:tab w:pos="6872" w:val="left" w:leader="none"/>
        </w:tabs>
        <w:spacing w:before="59"/>
        <w:ind w:left="181" w:right="0" w:firstLine="0"/>
        <w:jc w:val="left"/>
        <w:rPr>
          <w:rFonts w:ascii="宋体" w:hAnsi="宋体" w:cs="宋体" w:eastAsia="宋体" w:hint="default"/>
          <w:sz w:val="13"/>
          <w:szCs w:val="13"/>
        </w:rPr>
      </w:pPr>
      <w:r>
        <w:rPr>
          <w:rFonts w:ascii="宋体" w:hAnsi="宋体" w:cs="宋体" w:eastAsia="宋体" w:hint="default"/>
          <w:w w:val="95"/>
          <w:sz w:val="13"/>
          <w:szCs w:val="13"/>
        </w:rPr>
        <w:t>法定代表人:</w:t>
        <w:tab/>
      </w:r>
      <w:r>
        <w:rPr>
          <w:rFonts w:ascii="宋体" w:hAnsi="宋体" w:cs="宋体" w:eastAsia="宋体" w:hint="default"/>
          <w:sz w:val="13"/>
          <w:szCs w:val="13"/>
        </w:rPr>
        <w:t>主管会计工作负责人：</w:t>
        <w:tab/>
        <w:t>会计机构负责人：</w:t>
      </w:r>
    </w:p>
    <w:p>
      <w:pPr>
        <w:spacing w:after="0"/>
        <w:jc w:val="left"/>
        <w:rPr>
          <w:rFonts w:ascii="宋体" w:hAnsi="宋体" w:cs="宋体" w:eastAsia="宋体" w:hint="default"/>
          <w:sz w:val="13"/>
          <w:szCs w:val="13"/>
        </w:rPr>
        <w:sectPr>
          <w:headerReference w:type="default" r:id="rId24"/>
          <w:footerReference w:type="default" r:id="rId25"/>
          <w:pgSz w:w="11900" w:h="16840"/>
          <w:pgMar w:header="872" w:footer="984" w:top="1120" w:bottom="1180" w:left="980" w:right="980"/>
          <w:pgNumType w:start="50"/>
        </w:sectPr>
      </w:pPr>
    </w:p>
    <w:p>
      <w:pPr>
        <w:pStyle w:val="Heading2"/>
        <w:spacing w:line="240" w:lineRule="auto" w:before="12"/>
        <w:ind w:left="1911" w:right="1915"/>
        <w:jc w:val="center"/>
        <w:rPr>
          <w:b w:val="0"/>
          <w:bCs w:val="0"/>
        </w:rPr>
      </w:pPr>
      <w:r>
        <w:rPr>
          <w:spacing w:val="10"/>
        </w:rPr>
        <w:t>母公司利润表</w:t>
      </w:r>
      <w:r>
        <w:rPr>
          <w:b w:val="0"/>
          <w:bCs w:val="0"/>
          <w:spacing w:val="10"/>
        </w:rPr>
      </w:r>
    </w:p>
    <w:p>
      <w:pPr>
        <w:spacing w:line="240" w:lineRule="auto" w:before="6"/>
        <w:rPr>
          <w:rFonts w:ascii="Microsoft JhengHei" w:hAnsi="Microsoft JhengHei" w:cs="Microsoft JhengHei" w:eastAsia="Microsoft JhengHei" w:hint="default"/>
          <w:b/>
          <w:bCs/>
          <w:sz w:val="6"/>
          <w:szCs w:val="6"/>
        </w:rPr>
      </w:pPr>
    </w:p>
    <w:p>
      <w:pPr>
        <w:spacing w:before="54"/>
        <w:ind w:left="1938" w:right="1915" w:firstLine="0"/>
        <w:jc w:val="center"/>
        <w:rPr>
          <w:rFonts w:ascii="宋体" w:hAnsi="宋体" w:cs="宋体" w:eastAsia="宋体" w:hint="default"/>
          <w:sz w:val="16"/>
          <w:szCs w:val="16"/>
        </w:rPr>
      </w:pPr>
      <w:r>
        <w:rPr>
          <w:rFonts w:ascii="宋体" w:hAnsi="宋体" w:cs="宋体" w:eastAsia="宋体" w:hint="default"/>
          <w:sz w:val="16"/>
          <w:szCs w:val="16"/>
        </w:rPr>
        <w:t>编制年度：</w:t>
      </w:r>
      <w:r>
        <w:rPr>
          <w:rFonts w:ascii="宋体" w:hAnsi="宋体" w:cs="宋体" w:eastAsia="宋体" w:hint="default"/>
          <w:spacing w:val="-43"/>
          <w:sz w:val="16"/>
          <w:szCs w:val="16"/>
        </w:rPr>
        <w:t> </w:t>
      </w:r>
      <w:r>
        <w:rPr>
          <w:rFonts w:ascii="Times New Roman" w:hAnsi="Times New Roman" w:cs="Times New Roman" w:eastAsia="Times New Roman" w:hint="default"/>
          <w:spacing w:val="-5"/>
          <w:sz w:val="16"/>
          <w:szCs w:val="16"/>
        </w:rPr>
        <w:t>2012</w:t>
      </w:r>
      <w:r>
        <w:rPr>
          <w:rFonts w:ascii="宋体" w:hAnsi="宋体" w:cs="宋体" w:eastAsia="宋体" w:hint="default"/>
          <w:spacing w:val="-5"/>
          <w:sz w:val="16"/>
          <w:szCs w:val="16"/>
        </w:rPr>
        <w:t>年度</w:t>
      </w:r>
    </w:p>
    <w:p>
      <w:pPr>
        <w:spacing w:line="240" w:lineRule="auto" w:before="9"/>
        <w:rPr>
          <w:rFonts w:ascii="宋体" w:hAnsi="宋体" w:cs="宋体" w:eastAsia="宋体" w:hint="default"/>
          <w:sz w:val="12"/>
          <w:szCs w:val="12"/>
        </w:rPr>
      </w:pPr>
    </w:p>
    <w:p>
      <w:pPr>
        <w:tabs>
          <w:tab w:pos="8610" w:val="left" w:leader="none"/>
        </w:tabs>
        <w:spacing w:before="54"/>
        <w:ind w:left="191" w:right="0" w:firstLine="0"/>
        <w:jc w:val="left"/>
        <w:rPr>
          <w:rFonts w:ascii="宋体" w:hAnsi="宋体" w:cs="宋体" w:eastAsia="宋体" w:hint="default"/>
          <w:sz w:val="16"/>
          <w:szCs w:val="16"/>
        </w:rPr>
      </w:pPr>
      <w:r>
        <w:rPr>
          <w:rFonts w:ascii="宋体" w:hAnsi="宋体" w:cs="宋体" w:eastAsia="宋体" w:hint="default"/>
          <w:sz w:val="16"/>
          <w:szCs w:val="16"/>
        </w:rPr>
        <w:t>编制单位: </w:t>
      </w:r>
      <w:r>
        <w:rPr>
          <w:rFonts w:ascii="宋体" w:hAnsi="宋体" w:cs="宋体" w:eastAsia="宋体" w:hint="default"/>
          <w:spacing w:val="16"/>
          <w:sz w:val="16"/>
          <w:szCs w:val="16"/>
        </w:rPr>
        <w:t> </w:t>
      </w:r>
      <w:r>
        <w:rPr>
          <w:rFonts w:ascii="宋体" w:hAnsi="宋体" w:cs="宋体" w:eastAsia="宋体" w:hint="default"/>
          <w:sz w:val="16"/>
          <w:szCs w:val="16"/>
        </w:rPr>
        <w:t>宝安鸿基地产集团股份有限公司</w:t>
        <w:tab/>
        <w:t>单位：人民币元</w:t>
      </w:r>
    </w:p>
    <w:p>
      <w:pPr>
        <w:spacing w:line="240" w:lineRule="auto" w:before="7"/>
        <w:rPr>
          <w:rFonts w:ascii="宋体" w:hAnsi="宋体" w:cs="宋体" w:eastAsia="宋体" w:hint="default"/>
          <w:sz w:val="10"/>
          <w:szCs w:val="10"/>
        </w:rPr>
      </w:pPr>
    </w:p>
    <w:p>
      <w:pPr>
        <w:spacing w:line="20" w:lineRule="exact"/>
        <w:ind w:left="990" w:right="0" w:firstLine="0"/>
        <w:rPr>
          <w:rFonts w:ascii="宋体" w:hAnsi="宋体" w:cs="宋体" w:eastAsia="宋体" w:hint="default"/>
          <w:sz w:val="2"/>
          <w:szCs w:val="2"/>
        </w:rPr>
      </w:pPr>
      <w:r>
        <w:rPr>
          <w:rFonts w:ascii="宋体" w:hAnsi="宋体" w:cs="宋体" w:eastAsia="宋体" w:hint="default"/>
          <w:sz w:val="2"/>
          <w:szCs w:val="2"/>
        </w:rPr>
        <w:pict>
          <v:group style="width:166.1pt;height:.85pt;mso-position-horizontal-relative:char;mso-position-vertical-relative:line" coordorigin="0,0" coordsize="3322,17">
            <v:group style="position:absolute;left:8;top:2;width:3307;height:2" coordorigin="8,2" coordsize="3307,2">
              <v:shape style="position:absolute;left:8;top:2;width:3307;height:2" coordorigin="8,2" coordsize="3307,0" path="m8,2l3315,2e" filled="false" stroked="true" strokeweight=".24pt" strokecolor="#000000">
                <v:path arrowok="t"/>
              </v:shape>
            </v:group>
            <v:group style="position:absolute;left:7;top:10;width:3308;height:2" coordorigin="7,10" coordsize="3308,2">
              <v:shape style="position:absolute;left:7;top:10;width:3308;height:2" coordorigin="7,10" coordsize="3308,0" path="m7,10l3314,10e" filled="false" stroked="true" strokeweight=".72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9"/>
          <w:szCs w:val="9"/>
        </w:rPr>
      </w:pPr>
    </w:p>
    <w:tbl>
      <w:tblPr>
        <w:tblW w:w="0" w:type="auto"/>
        <w:jc w:val="left"/>
        <w:tblInd w:w="140" w:type="dxa"/>
        <w:tblLayout w:type="fixed"/>
        <w:tblCellMar>
          <w:top w:w="0" w:type="dxa"/>
          <w:left w:w="0" w:type="dxa"/>
          <w:bottom w:w="0" w:type="dxa"/>
          <w:right w:w="0" w:type="dxa"/>
        </w:tblCellMar>
        <w:tblLook w:val="01E0"/>
      </w:tblPr>
      <w:tblGrid>
        <w:gridCol w:w="4145"/>
        <w:gridCol w:w="921"/>
        <w:gridCol w:w="2285"/>
        <w:gridCol w:w="2292"/>
      </w:tblGrid>
      <w:tr>
        <w:trPr>
          <w:trHeight w:val="523" w:hRule="exact"/>
        </w:trPr>
        <w:tc>
          <w:tcPr>
            <w:tcW w:w="4145" w:type="dxa"/>
            <w:tcBorders>
              <w:top w:val="single" w:sz="10" w:space="0" w:color="000000"/>
              <w:left w:val="nil" w:sz="6" w:space="0" w:color="auto"/>
              <w:bottom w:val="single" w:sz="4" w:space="0" w:color="000000"/>
              <w:right w:val="single" w:sz="6" w:space="0" w:color="000000"/>
            </w:tcBorders>
          </w:tcPr>
          <w:p>
            <w:pPr>
              <w:pStyle w:val="TableParagraph"/>
              <w:tabs>
                <w:tab w:pos="580" w:val="left" w:leader="none"/>
              </w:tabs>
              <w:spacing w:line="240" w:lineRule="auto" w:before="79"/>
              <w:ind w:right="12"/>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项</w:t>
              <w:tab/>
              <w:t>目</w:t>
            </w:r>
            <w:r>
              <w:rPr>
                <w:rFonts w:ascii="Microsoft JhengHei" w:hAnsi="Microsoft JhengHei" w:cs="Microsoft JhengHei" w:eastAsia="Microsoft JhengHei" w:hint="default"/>
                <w:sz w:val="16"/>
                <w:szCs w:val="16"/>
              </w:rPr>
            </w:r>
          </w:p>
        </w:tc>
        <w:tc>
          <w:tcPr>
            <w:tcW w:w="921" w:type="dxa"/>
            <w:tcBorders>
              <w:top w:val="single" w:sz="10" w:space="0" w:color="000000"/>
              <w:left w:val="single" w:sz="6" w:space="0" w:color="000000"/>
              <w:bottom w:val="single" w:sz="4" w:space="0" w:color="000000"/>
              <w:right w:val="single" w:sz="6" w:space="0" w:color="000000"/>
            </w:tcBorders>
          </w:tcPr>
          <w:p>
            <w:pPr>
              <w:pStyle w:val="TableParagraph"/>
              <w:spacing w:line="240" w:lineRule="auto" w:before="79"/>
              <w:ind w:right="7"/>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附注</w:t>
            </w:r>
            <w:r>
              <w:rPr>
                <w:rFonts w:ascii="Microsoft JhengHei" w:hAnsi="Microsoft JhengHei" w:cs="Microsoft JhengHei" w:eastAsia="Microsoft JhengHei" w:hint="default"/>
                <w:spacing w:val="6"/>
                <w:sz w:val="16"/>
                <w:szCs w:val="16"/>
              </w:rPr>
            </w:r>
          </w:p>
        </w:tc>
        <w:tc>
          <w:tcPr>
            <w:tcW w:w="2285" w:type="dxa"/>
            <w:tcBorders>
              <w:top w:val="single" w:sz="10" w:space="0" w:color="000000"/>
              <w:left w:val="single" w:sz="6" w:space="0" w:color="000000"/>
              <w:bottom w:val="single" w:sz="4" w:space="0" w:color="000000"/>
              <w:right w:val="single" w:sz="6" w:space="0" w:color="000000"/>
            </w:tcBorders>
          </w:tcPr>
          <w:p>
            <w:pPr>
              <w:pStyle w:val="TableParagraph"/>
              <w:spacing w:line="240" w:lineRule="auto" w:before="79"/>
              <w:ind w:right="7"/>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9"/>
                <w:sz w:val="16"/>
                <w:szCs w:val="16"/>
              </w:rPr>
              <w:t>本期金额</w:t>
            </w:r>
            <w:r>
              <w:rPr>
                <w:rFonts w:ascii="Microsoft JhengHei" w:hAnsi="Microsoft JhengHei" w:cs="Microsoft JhengHei" w:eastAsia="Microsoft JhengHei" w:hint="default"/>
                <w:spacing w:val="9"/>
                <w:sz w:val="16"/>
                <w:szCs w:val="16"/>
              </w:rPr>
            </w:r>
          </w:p>
        </w:tc>
        <w:tc>
          <w:tcPr>
            <w:tcW w:w="2292" w:type="dxa"/>
            <w:tcBorders>
              <w:top w:val="single" w:sz="10" w:space="0" w:color="000000"/>
              <w:left w:val="single" w:sz="6" w:space="0" w:color="000000"/>
              <w:bottom w:val="single" w:sz="4" w:space="0" w:color="000000"/>
              <w:right w:val="nil" w:sz="6" w:space="0" w:color="auto"/>
            </w:tcBorders>
          </w:tcPr>
          <w:p>
            <w:pPr>
              <w:pStyle w:val="TableParagraph"/>
              <w:spacing w:line="240" w:lineRule="auto" w:before="79"/>
              <w:ind w:right="22"/>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9"/>
                <w:sz w:val="16"/>
                <w:szCs w:val="16"/>
              </w:rPr>
              <w:t>上期金额</w:t>
            </w:r>
            <w:r>
              <w:rPr>
                <w:rFonts w:ascii="Microsoft JhengHei" w:hAnsi="Microsoft JhengHei" w:cs="Microsoft JhengHei" w:eastAsia="Microsoft JhengHei" w:hint="default"/>
                <w:spacing w:val="9"/>
                <w:sz w:val="16"/>
                <w:szCs w:val="16"/>
              </w:rPr>
            </w:r>
          </w:p>
        </w:tc>
      </w:tr>
      <w:tr>
        <w:trPr>
          <w:trHeight w:val="518" w:hRule="exact"/>
        </w:trPr>
        <w:tc>
          <w:tcPr>
            <w:tcW w:w="4145"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81"/>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一、</w:t>
            </w:r>
            <w:r>
              <w:rPr>
                <w:rFonts w:ascii="Microsoft JhengHei" w:hAnsi="Microsoft JhengHei" w:cs="Microsoft JhengHei" w:eastAsia="Microsoft JhengHei" w:hint="default"/>
                <w:b/>
                <w:bCs/>
                <w:sz w:val="16"/>
                <w:szCs w:val="16"/>
              </w:rPr>
              <w:t> </w:t>
            </w:r>
            <w:r>
              <w:rPr>
                <w:rFonts w:ascii="Microsoft JhengHei" w:hAnsi="Microsoft JhengHei" w:cs="Microsoft JhengHei" w:eastAsia="Microsoft JhengHei" w:hint="default"/>
                <w:b/>
                <w:bCs/>
                <w:spacing w:val="8"/>
                <w:sz w:val="16"/>
                <w:szCs w:val="16"/>
              </w:rPr>
              <w:t>营业收入</w:t>
            </w:r>
            <w:r>
              <w:rPr>
                <w:rFonts w:ascii="Microsoft JhengHei" w:hAnsi="Microsoft JhengHei" w:cs="Microsoft JhengHei" w:eastAsia="Microsoft JhengHei" w:hint="default"/>
                <w:spacing w:val="8"/>
                <w:sz w:val="16"/>
                <w:szCs w:val="16"/>
              </w:rPr>
            </w:r>
          </w:p>
        </w:tc>
        <w:tc>
          <w:tcPr>
            <w:tcW w:w="921"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32"/>
              <w:ind w:right="17"/>
              <w:jc w:val="center"/>
              <w:rPr>
                <w:rFonts w:ascii="宋体" w:hAnsi="宋体" w:cs="宋体" w:eastAsia="宋体" w:hint="default"/>
                <w:sz w:val="16"/>
                <w:szCs w:val="16"/>
              </w:rPr>
            </w:pPr>
            <w:r>
              <w:rPr>
                <w:rFonts w:ascii="宋体" w:hAnsi="宋体" w:cs="宋体" w:eastAsia="宋体" w:hint="default"/>
                <w:spacing w:val="-4"/>
                <w:sz w:val="16"/>
                <w:szCs w:val="16"/>
              </w:rPr>
              <w:t>十二、4</w:t>
            </w:r>
          </w:p>
        </w:tc>
        <w:tc>
          <w:tcPr>
            <w:tcW w:w="228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314,033,640.17</w:t>
            </w:r>
          </w:p>
        </w:tc>
        <w:tc>
          <w:tcPr>
            <w:tcW w:w="22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31,520,930.43</w:t>
            </w:r>
          </w:p>
        </w:tc>
      </w:tr>
      <w:tr>
        <w:trPr>
          <w:trHeight w:val="518" w:hRule="exact"/>
        </w:trPr>
        <w:tc>
          <w:tcPr>
            <w:tcW w:w="4145"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132"/>
              <w:ind w:left="393" w:right="0"/>
              <w:jc w:val="left"/>
              <w:rPr>
                <w:rFonts w:ascii="宋体" w:hAnsi="宋体" w:cs="宋体" w:eastAsia="宋体" w:hint="default"/>
                <w:sz w:val="16"/>
                <w:szCs w:val="16"/>
              </w:rPr>
            </w:pPr>
            <w:r>
              <w:rPr>
                <w:rFonts w:ascii="宋体" w:hAnsi="宋体" w:cs="宋体" w:eastAsia="宋体" w:hint="default"/>
                <w:sz w:val="16"/>
                <w:szCs w:val="16"/>
              </w:rPr>
              <w:t>减：营业成本</w:t>
            </w:r>
          </w:p>
        </w:tc>
        <w:tc>
          <w:tcPr>
            <w:tcW w:w="921"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132"/>
              <w:ind w:right="17"/>
              <w:jc w:val="center"/>
              <w:rPr>
                <w:rFonts w:ascii="宋体" w:hAnsi="宋体" w:cs="宋体" w:eastAsia="宋体" w:hint="default"/>
                <w:sz w:val="16"/>
                <w:szCs w:val="16"/>
              </w:rPr>
            </w:pPr>
            <w:r>
              <w:rPr>
                <w:rFonts w:ascii="宋体" w:hAnsi="宋体" w:cs="宋体" w:eastAsia="宋体" w:hint="default"/>
                <w:spacing w:val="-4"/>
                <w:sz w:val="16"/>
                <w:szCs w:val="16"/>
              </w:rPr>
              <w:t>十二、4</w:t>
            </w:r>
          </w:p>
        </w:tc>
        <w:tc>
          <w:tcPr>
            <w:tcW w:w="228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5"/>
                <w:sz w:val="16"/>
              </w:rPr>
              <w:t>71,867,135.76</w:t>
            </w:r>
          </w:p>
        </w:tc>
        <w:tc>
          <w:tcPr>
            <w:tcW w:w="22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13,984,137.22</w:t>
            </w:r>
          </w:p>
        </w:tc>
      </w:tr>
      <w:tr>
        <w:trPr>
          <w:trHeight w:val="518" w:hRule="exact"/>
        </w:trPr>
        <w:tc>
          <w:tcPr>
            <w:tcW w:w="4145"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132"/>
              <w:ind w:left="743" w:right="0"/>
              <w:jc w:val="left"/>
              <w:rPr>
                <w:rFonts w:ascii="宋体" w:hAnsi="宋体" w:cs="宋体" w:eastAsia="宋体" w:hint="default"/>
                <w:sz w:val="16"/>
                <w:szCs w:val="16"/>
              </w:rPr>
            </w:pPr>
            <w:r>
              <w:rPr>
                <w:rFonts w:ascii="宋体" w:hAnsi="宋体" w:cs="宋体" w:eastAsia="宋体" w:hint="default"/>
                <w:sz w:val="16"/>
                <w:szCs w:val="16"/>
              </w:rPr>
              <w:t>营业税金及附加</w:t>
            </w:r>
          </w:p>
        </w:tc>
        <w:tc>
          <w:tcPr>
            <w:tcW w:w="921" w:type="dxa"/>
            <w:tcBorders>
              <w:top w:val="single" w:sz="4" w:space="0" w:color="000000"/>
              <w:left w:val="single" w:sz="6" w:space="0" w:color="000000"/>
              <w:bottom w:val="single" w:sz="4" w:space="0" w:color="000000"/>
              <w:right w:val="single" w:sz="6" w:space="0" w:color="000000"/>
            </w:tcBorders>
          </w:tcPr>
          <w:p>
            <w:pPr/>
          </w:p>
        </w:tc>
        <w:tc>
          <w:tcPr>
            <w:tcW w:w="228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5"/>
                <w:sz w:val="16"/>
              </w:rPr>
              <w:t>48,442,328.65</w:t>
            </w:r>
          </w:p>
        </w:tc>
        <w:tc>
          <w:tcPr>
            <w:tcW w:w="22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1,044,495.62</w:t>
            </w:r>
          </w:p>
        </w:tc>
      </w:tr>
      <w:tr>
        <w:trPr>
          <w:trHeight w:val="518" w:hRule="exact"/>
        </w:trPr>
        <w:tc>
          <w:tcPr>
            <w:tcW w:w="4145"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132"/>
              <w:ind w:left="743"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921" w:type="dxa"/>
            <w:tcBorders>
              <w:top w:val="single" w:sz="4" w:space="0" w:color="000000"/>
              <w:left w:val="single" w:sz="6" w:space="0" w:color="000000"/>
              <w:bottom w:val="single" w:sz="4" w:space="0" w:color="000000"/>
              <w:right w:val="single" w:sz="6" w:space="0" w:color="000000"/>
            </w:tcBorders>
          </w:tcPr>
          <w:p>
            <w:pPr/>
          </w:p>
        </w:tc>
        <w:tc>
          <w:tcPr>
            <w:tcW w:w="228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5"/>
                <w:sz w:val="16"/>
              </w:rPr>
              <w:t>8,409.34</w:t>
            </w:r>
          </w:p>
        </w:tc>
        <w:tc>
          <w:tcPr>
            <w:tcW w:w="22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9"/>
              <w:jc w:val="right"/>
              <w:rPr>
                <w:rFonts w:ascii="Times New Roman" w:hAnsi="Times New Roman" w:cs="Times New Roman" w:eastAsia="Times New Roman" w:hint="default"/>
                <w:sz w:val="16"/>
                <w:szCs w:val="16"/>
              </w:rPr>
            </w:pPr>
            <w:r>
              <w:rPr>
                <w:rFonts w:ascii="Times New Roman"/>
                <w:spacing w:val="-6"/>
                <w:sz w:val="16"/>
              </w:rPr>
              <w:t>38,123.52</w:t>
            </w:r>
          </w:p>
        </w:tc>
      </w:tr>
      <w:tr>
        <w:trPr>
          <w:trHeight w:val="518" w:hRule="exact"/>
        </w:trPr>
        <w:tc>
          <w:tcPr>
            <w:tcW w:w="4145"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132"/>
              <w:ind w:left="743" w:right="0"/>
              <w:jc w:val="left"/>
              <w:rPr>
                <w:rFonts w:ascii="宋体" w:hAnsi="宋体" w:cs="宋体" w:eastAsia="宋体" w:hint="default"/>
                <w:sz w:val="16"/>
                <w:szCs w:val="16"/>
              </w:rPr>
            </w:pPr>
            <w:r>
              <w:rPr>
                <w:rFonts w:ascii="宋体" w:hAnsi="宋体" w:cs="宋体" w:eastAsia="宋体" w:hint="default"/>
                <w:sz w:val="16"/>
                <w:szCs w:val="16"/>
              </w:rPr>
              <w:t>管理费用</w:t>
            </w:r>
          </w:p>
        </w:tc>
        <w:tc>
          <w:tcPr>
            <w:tcW w:w="921" w:type="dxa"/>
            <w:tcBorders>
              <w:top w:val="single" w:sz="4" w:space="0" w:color="000000"/>
              <w:left w:val="single" w:sz="6" w:space="0" w:color="000000"/>
              <w:bottom w:val="single" w:sz="4" w:space="0" w:color="000000"/>
              <w:right w:val="single" w:sz="6" w:space="0" w:color="000000"/>
            </w:tcBorders>
          </w:tcPr>
          <w:p>
            <w:pPr/>
          </w:p>
        </w:tc>
        <w:tc>
          <w:tcPr>
            <w:tcW w:w="2285"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5"/>
                <w:sz w:val="16"/>
              </w:rPr>
              <w:t>44,138,197.92</w:t>
            </w:r>
          </w:p>
        </w:tc>
        <w:tc>
          <w:tcPr>
            <w:tcW w:w="2292"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37,388,008.66</w:t>
            </w:r>
          </w:p>
        </w:tc>
      </w:tr>
      <w:tr>
        <w:trPr>
          <w:trHeight w:val="518" w:hRule="exact"/>
        </w:trPr>
        <w:tc>
          <w:tcPr>
            <w:tcW w:w="4145"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132"/>
              <w:ind w:left="743"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921" w:type="dxa"/>
            <w:tcBorders>
              <w:top w:val="single" w:sz="4" w:space="0" w:color="000000"/>
              <w:left w:val="single" w:sz="6" w:space="0" w:color="000000"/>
              <w:bottom w:val="single" w:sz="6" w:space="0" w:color="000000"/>
              <w:right w:val="single" w:sz="6" w:space="0" w:color="000000"/>
            </w:tcBorders>
          </w:tcPr>
          <w:p>
            <w:pPr/>
          </w:p>
        </w:tc>
        <w:tc>
          <w:tcPr>
            <w:tcW w:w="2285"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8,986,034.08</w:t>
            </w:r>
          </w:p>
        </w:tc>
        <w:tc>
          <w:tcPr>
            <w:tcW w:w="2292"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6,271,566.34</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743" w:right="0"/>
              <w:jc w:val="left"/>
              <w:rPr>
                <w:rFonts w:ascii="宋体" w:hAnsi="宋体" w:cs="宋体" w:eastAsia="宋体" w:hint="default"/>
                <w:sz w:val="16"/>
                <w:szCs w:val="16"/>
              </w:rPr>
            </w:pPr>
            <w:r>
              <w:rPr>
                <w:rFonts w:ascii="宋体" w:hAnsi="宋体" w:cs="宋体" w:eastAsia="宋体" w:hint="default"/>
                <w:sz w:val="16"/>
                <w:szCs w:val="16"/>
              </w:rPr>
              <w:t>资产减值损失</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-12,603,410.22</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5,519,021.62</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393" w:right="0"/>
              <w:jc w:val="left"/>
              <w:rPr>
                <w:rFonts w:ascii="宋体" w:hAnsi="宋体" w:cs="宋体" w:eastAsia="宋体" w:hint="default"/>
                <w:sz w:val="16"/>
                <w:szCs w:val="16"/>
              </w:rPr>
            </w:pPr>
            <w:r>
              <w:rPr>
                <w:rFonts w:ascii="宋体" w:hAnsi="宋体" w:cs="宋体" w:eastAsia="宋体" w:hint="default"/>
                <w:sz w:val="16"/>
                <w:szCs w:val="16"/>
              </w:rPr>
              <w:t>加：公允价值变动收益（损失以“-”号填列）</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7"/>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2"/>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743" w:right="0"/>
              <w:jc w:val="left"/>
              <w:rPr>
                <w:rFonts w:ascii="宋体" w:hAnsi="宋体" w:cs="宋体" w:eastAsia="宋体" w:hint="default"/>
                <w:sz w:val="16"/>
                <w:szCs w:val="16"/>
              </w:rPr>
            </w:pPr>
            <w:r>
              <w:rPr>
                <w:rFonts w:ascii="宋体" w:hAnsi="宋体" w:cs="宋体" w:eastAsia="宋体" w:hint="default"/>
                <w:sz w:val="16"/>
                <w:szCs w:val="16"/>
              </w:rPr>
              <w:t>投资收益（损失以“-”号填列)</w:t>
            </w:r>
          </w:p>
        </w:tc>
        <w:tc>
          <w:tcPr>
            <w:tcW w:w="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0"/>
              <w:ind w:right="17"/>
              <w:jc w:val="center"/>
              <w:rPr>
                <w:rFonts w:ascii="宋体" w:hAnsi="宋体" w:cs="宋体" w:eastAsia="宋体" w:hint="default"/>
                <w:sz w:val="16"/>
                <w:szCs w:val="16"/>
              </w:rPr>
            </w:pPr>
            <w:r>
              <w:rPr>
                <w:rFonts w:ascii="宋体" w:hAnsi="宋体" w:cs="宋体" w:eastAsia="宋体" w:hint="default"/>
                <w:spacing w:val="-4"/>
                <w:sz w:val="16"/>
                <w:szCs w:val="16"/>
              </w:rPr>
              <w:t>十二、5</w:t>
            </w: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5"/>
                <w:sz w:val="16"/>
              </w:rPr>
              <w:t>52,830,123.62</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247,179,286.01</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743" w:right="0"/>
              <w:jc w:val="left"/>
              <w:rPr>
                <w:rFonts w:ascii="宋体" w:hAnsi="宋体" w:cs="宋体" w:eastAsia="宋体" w:hint="default"/>
                <w:sz w:val="16"/>
                <w:szCs w:val="16"/>
              </w:rPr>
            </w:pPr>
            <w:r>
              <w:rPr>
                <w:rFonts w:ascii="宋体" w:hAnsi="宋体" w:cs="宋体" w:eastAsia="宋体" w:hint="default"/>
                <w:sz w:val="16"/>
                <w:szCs w:val="16"/>
              </w:rPr>
              <w:t>其中：对联营企业和合营企业的投资收益</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-4,204,235.64</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-7,988,875.40</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9"/>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二、 </w:t>
            </w:r>
            <w:r>
              <w:rPr>
                <w:rFonts w:ascii="Microsoft JhengHei" w:hAnsi="Microsoft JhengHei" w:cs="Microsoft JhengHei" w:eastAsia="Microsoft JhengHei" w:hint="default"/>
                <w:b/>
                <w:bCs/>
                <w:spacing w:val="9"/>
                <w:sz w:val="16"/>
                <w:szCs w:val="16"/>
              </w:rPr>
              <w:t>营业利润（ </w:t>
            </w:r>
            <w:r>
              <w:rPr>
                <w:rFonts w:ascii="Microsoft JhengHei" w:hAnsi="Microsoft JhengHei" w:cs="Microsoft JhengHei" w:eastAsia="Microsoft JhengHei" w:hint="default"/>
                <w:b/>
                <w:bCs/>
                <w:spacing w:val="10"/>
                <w:sz w:val="16"/>
                <w:szCs w:val="16"/>
              </w:rPr>
              <w:t>亏损以“-”</w:t>
            </w:r>
            <w:r>
              <w:rPr>
                <w:rFonts w:ascii="Microsoft JhengHei" w:hAnsi="Microsoft JhengHei" w:cs="Microsoft JhengHei" w:eastAsia="Microsoft JhengHei" w:hint="default"/>
                <w:b/>
                <w:bCs/>
                <w:spacing w:val="-7"/>
                <w:sz w:val="16"/>
                <w:szCs w:val="16"/>
              </w:rPr>
              <w:t> </w:t>
            </w:r>
            <w:r>
              <w:rPr>
                <w:rFonts w:ascii="Microsoft JhengHei" w:hAnsi="Microsoft JhengHei" w:cs="Microsoft JhengHei" w:eastAsia="Microsoft JhengHei" w:hint="default"/>
                <w:b/>
                <w:bCs/>
                <w:spacing w:val="8"/>
                <w:sz w:val="16"/>
                <w:szCs w:val="16"/>
              </w:rPr>
              <w:t>号填列）</w:t>
            </w:r>
            <w:r>
              <w:rPr>
                <w:rFonts w:ascii="Microsoft JhengHei" w:hAnsi="Microsoft JhengHei" w:cs="Microsoft JhengHei" w:eastAsia="Microsoft JhengHei" w:hint="default"/>
                <w:spacing w:val="8"/>
                <w:sz w:val="16"/>
                <w:szCs w:val="16"/>
              </w:rPr>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5"/>
              <w:jc w:val="right"/>
              <w:rPr>
                <w:rFonts w:ascii="Times New Roman" w:hAnsi="Times New Roman" w:cs="Times New Roman" w:eastAsia="Times New Roman" w:hint="default"/>
                <w:sz w:val="16"/>
                <w:szCs w:val="16"/>
              </w:rPr>
            </w:pPr>
            <w:r>
              <w:rPr>
                <w:rFonts w:ascii="Times New Roman"/>
                <w:b/>
                <w:spacing w:val="2"/>
                <w:sz w:val="16"/>
              </w:rPr>
              <w:t>206,025,068.26</w:t>
            </w:r>
            <w:r>
              <w:rPr>
                <w:rFonts w:ascii="Times New Roman"/>
                <w:spacing w:val="2"/>
                <w:sz w:val="16"/>
              </w:rPr>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79"/>
              <w:jc w:val="right"/>
              <w:rPr>
                <w:rFonts w:ascii="Times New Roman" w:hAnsi="Times New Roman" w:cs="Times New Roman" w:eastAsia="Times New Roman" w:hint="default"/>
                <w:sz w:val="16"/>
                <w:szCs w:val="16"/>
              </w:rPr>
            </w:pPr>
            <w:r>
              <w:rPr>
                <w:rFonts w:ascii="Times New Roman"/>
                <w:b/>
                <w:spacing w:val="2"/>
                <w:sz w:val="16"/>
              </w:rPr>
              <w:t>214,454,863.46</w:t>
            </w:r>
            <w:r>
              <w:rPr>
                <w:rFonts w:ascii="Times New Roman"/>
                <w:spacing w:val="2"/>
                <w:sz w:val="16"/>
              </w:rPr>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393" w:right="0"/>
              <w:jc w:val="left"/>
              <w:rPr>
                <w:rFonts w:ascii="宋体" w:hAnsi="宋体" w:cs="宋体" w:eastAsia="宋体" w:hint="default"/>
                <w:sz w:val="16"/>
                <w:szCs w:val="16"/>
              </w:rPr>
            </w:pPr>
            <w:r>
              <w:rPr>
                <w:rFonts w:ascii="宋体" w:hAnsi="宋体" w:cs="宋体" w:eastAsia="宋体" w:hint="default"/>
                <w:sz w:val="16"/>
                <w:szCs w:val="16"/>
              </w:rPr>
              <w:t>加：营业外收入</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4,710,616.71</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9"/>
              <w:jc w:val="right"/>
              <w:rPr>
                <w:rFonts w:ascii="Times New Roman" w:hAnsi="Times New Roman" w:cs="Times New Roman" w:eastAsia="Times New Roman" w:hint="default"/>
                <w:sz w:val="16"/>
                <w:szCs w:val="16"/>
              </w:rPr>
            </w:pPr>
            <w:r>
              <w:rPr>
                <w:rFonts w:ascii="Times New Roman"/>
                <w:spacing w:val="-6"/>
                <w:sz w:val="16"/>
              </w:rPr>
              <w:t>752,919.72</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393" w:right="0"/>
              <w:jc w:val="left"/>
              <w:rPr>
                <w:rFonts w:ascii="宋体" w:hAnsi="宋体" w:cs="宋体" w:eastAsia="宋体" w:hint="default"/>
                <w:sz w:val="16"/>
                <w:szCs w:val="16"/>
              </w:rPr>
            </w:pPr>
            <w:r>
              <w:rPr>
                <w:rFonts w:ascii="宋体" w:hAnsi="宋体" w:cs="宋体" w:eastAsia="宋体" w:hint="default"/>
                <w:sz w:val="16"/>
                <w:szCs w:val="16"/>
              </w:rPr>
              <w:t>减：营业外支出</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108,974.97</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9"/>
              <w:jc w:val="right"/>
              <w:rPr>
                <w:rFonts w:ascii="Times New Roman" w:hAnsi="Times New Roman" w:cs="Times New Roman" w:eastAsia="Times New Roman" w:hint="default"/>
                <w:sz w:val="16"/>
                <w:szCs w:val="16"/>
              </w:rPr>
            </w:pPr>
            <w:r>
              <w:rPr>
                <w:rFonts w:ascii="Times New Roman"/>
                <w:spacing w:val="-6"/>
                <w:sz w:val="16"/>
              </w:rPr>
              <w:t>78,640.33</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657" w:right="0"/>
              <w:jc w:val="left"/>
              <w:rPr>
                <w:rFonts w:ascii="宋体" w:hAnsi="宋体" w:cs="宋体" w:eastAsia="宋体" w:hint="default"/>
                <w:sz w:val="16"/>
                <w:szCs w:val="16"/>
              </w:rPr>
            </w:pPr>
            <w:r>
              <w:rPr>
                <w:rFonts w:ascii="宋体" w:hAnsi="宋体" w:cs="宋体" w:eastAsia="宋体" w:hint="default"/>
                <w:sz w:val="16"/>
                <w:szCs w:val="16"/>
              </w:rPr>
              <w:t>其中：非流动资产处置损失</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6"/>
                <w:sz w:val="16"/>
              </w:rPr>
              <w:t>96,150.41</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2"/>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9"/>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三、 </w:t>
            </w:r>
            <w:r>
              <w:rPr>
                <w:rFonts w:ascii="Microsoft JhengHei" w:hAnsi="Microsoft JhengHei" w:cs="Microsoft JhengHei" w:eastAsia="Microsoft JhengHei" w:hint="default"/>
                <w:b/>
                <w:bCs/>
                <w:spacing w:val="9"/>
                <w:sz w:val="16"/>
                <w:szCs w:val="16"/>
              </w:rPr>
              <w:t>利润总额（ 亏损总额以“-”</w:t>
            </w:r>
            <w:r>
              <w:rPr>
                <w:rFonts w:ascii="Microsoft JhengHei" w:hAnsi="Microsoft JhengHei" w:cs="Microsoft JhengHei" w:eastAsia="Microsoft JhengHei" w:hint="default"/>
                <w:b/>
                <w:bCs/>
                <w:spacing w:val="2"/>
                <w:sz w:val="16"/>
                <w:szCs w:val="16"/>
              </w:rPr>
              <w:t> </w:t>
            </w:r>
            <w:r>
              <w:rPr>
                <w:rFonts w:ascii="Microsoft JhengHei" w:hAnsi="Microsoft JhengHei" w:cs="Microsoft JhengHei" w:eastAsia="Microsoft JhengHei" w:hint="default"/>
                <w:b/>
                <w:bCs/>
                <w:spacing w:val="8"/>
                <w:sz w:val="16"/>
                <w:szCs w:val="16"/>
              </w:rPr>
              <w:t>号填列）</w:t>
            </w:r>
            <w:r>
              <w:rPr>
                <w:rFonts w:ascii="Microsoft JhengHei" w:hAnsi="Microsoft JhengHei" w:cs="Microsoft JhengHei" w:eastAsia="Microsoft JhengHei" w:hint="default"/>
                <w:spacing w:val="8"/>
                <w:sz w:val="16"/>
                <w:szCs w:val="16"/>
              </w:rPr>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5"/>
              <w:jc w:val="right"/>
              <w:rPr>
                <w:rFonts w:ascii="Times New Roman" w:hAnsi="Times New Roman" w:cs="Times New Roman" w:eastAsia="Times New Roman" w:hint="default"/>
                <w:sz w:val="16"/>
                <w:szCs w:val="16"/>
              </w:rPr>
            </w:pPr>
            <w:r>
              <w:rPr>
                <w:rFonts w:ascii="Times New Roman"/>
                <w:b/>
                <w:spacing w:val="2"/>
                <w:sz w:val="16"/>
              </w:rPr>
              <w:t>210,626,710.00</w:t>
            </w:r>
            <w:r>
              <w:rPr>
                <w:rFonts w:ascii="Times New Roman"/>
                <w:spacing w:val="2"/>
                <w:sz w:val="16"/>
              </w:rPr>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79"/>
              <w:jc w:val="right"/>
              <w:rPr>
                <w:rFonts w:ascii="Times New Roman" w:hAnsi="Times New Roman" w:cs="Times New Roman" w:eastAsia="Times New Roman" w:hint="default"/>
                <w:sz w:val="16"/>
                <w:szCs w:val="16"/>
              </w:rPr>
            </w:pPr>
            <w:r>
              <w:rPr>
                <w:rFonts w:ascii="Times New Roman"/>
                <w:b/>
                <w:spacing w:val="2"/>
                <w:sz w:val="16"/>
              </w:rPr>
              <w:t>215,129,142.85</w:t>
            </w:r>
            <w:r>
              <w:rPr>
                <w:rFonts w:ascii="Times New Roman"/>
                <w:spacing w:val="2"/>
                <w:sz w:val="16"/>
              </w:rPr>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393" w:right="0"/>
              <w:jc w:val="left"/>
              <w:rPr>
                <w:rFonts w:ascii="宋体" w:hAnsi="宋体" w:cs="宋体" w:eastAsia="宋体" w:hint="default"/>
                <w:sz w:val="16"/>
                <w:szCs w:val="16"/>
              </w:rPr>
            </w:pPr>
            <w:r>
              <w:rPr>
                <w:rFonts w:ascii="宋体" w:hAnsi="宋体" w:cs="宋体" w:eastAsia="宋体" w:hint="default"/>
                <w:sz w:val="16"/>
                <w:szCs w:val="16"/>
              </w:rPr>
              <w:t>减：所得税费用</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49"/>
              <w:jc w:val="right"/>
              <w:rPr>
                <w:rFonts w:ascii="Times New Roman" w:hAnsi="Times New Roman" w:cs="Times New Roman" w:eastAsia="Times New Roman" w:hint="default"/>
                <w:sz w:val="16"/>
                <w:szCs w:val="16"/>
              </w:rPr>
            </w:pPr>
            <w:r>
              <w:rPr>
                <w:rFonts w:ascii="Times New Roman"/>
                <w:spacing w:val="-5"/>
                <w:sz w:val="16"/>
              </w:rPr>
              <w:t>53,692,814.81</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8"/>
              <w:jc w:val="right"/>
              <w:rPr>
                <w:rFonts w:ascii="Times New Roman" w:hAnsi="Times New Roman" w:cs="Times New Roman" w:eastAsia="Times New Roman" w:hint="default"/>
                <w:sz w:val="16"/>
                <w:szCs w:val="16"/>
              </w:rPr>
            </w:pPr>
            <w:r>
              <w:rPr>
                <w:rFonts w:ascii="Times New Roman"/>
                <w:spacing w:val="-6"/>
                <w:sz w:val="16"/>
              </w:rPr>
              <w:t>52,286,729.97</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9"/>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w w:val="105"/>
                <w:sz w:val="16"/>
                <w:szCs w:val="16"/>
              </w:rPr>
              <w:t>四、</w:t>
            </w:r>
            <w:r>
              <w:rPr>
                <w:rFonts w:ascii="Microsoft JhengHei" w:hAnsi="Microsoft JhengHei" w:cs="Microsoft JhengHei" w:eastAsia="Microsoft JhengHei" w:hint="default"/>
                <w:b/>
                <w:bCs/>
                <w:spacing w:val="-33"/>
                <w:w w:val="105"/>
                <w:sz w:val="16"/>
                <w:szCs w:val="16"/>
              </w:rPr>
              <w:t> </w:t>
            </w:r>
            <w:r>
              <w:rPr>
                <w:rFonts w:ascii="Microsoft JhengHei" w:hAnsi="Microsoft JhengHei" w:cs="Microsoft JhengHei" w:eastAsia="Microsoft JhengHei" w:hint="default"/>
                <w:b/>
                <w:bCs/>
                <w:spacing w:val="8"/>
                <w:w w:val="105"/>
                <w:sz w:val="16"/>
                <w:szCs w:val="16"/>
              </w:rPr>
              <w:t>净利润（</w:t>
            </w:r>
            <w:r>
              <w:rPr>
                <w:rFonts w:ascii="Microsoft JhengHei" w:hAnsi="Microsoft JhengHei" w:cs="Microsoft JhengHei" w:eastAsia="Microsoft JhengHei" w:hint="default"/>
                <w:b/>
                <w:bCs/>
                <w:spacing w:val="-33"/>
                <w:w w:val="105"/>
                <w:sz w:val="16"/>
                <w:szCs w:val="16"/>
              </w:rPr>
              <w:t> </w:t>
            </w:r>
            <w:r>
              <w:rPr>
                <w:rFonts w:ascii="Microsoft JhengHei" w:hAnsi="Microsoft JhengHei" w:cs="Microsoft JhengHei" w:eastAsia="Microsoft JhengHei" w:hint="default"/>
                <w:b/>
                <w:bCs/>
                <w:spacing w:val="10"/>
                <w:w w:val="105"/>
                <w:sz w:val="16"/>
                <w:szCs w:val="16"/>
              </w:rPr>
              <w:t>净亏损以“-”</w:t>
            </w:r>
            <w:r>
              <w:rPr>
                <w:rFonts w:ascii="Microsoft JhengHei" w:hAnsi="Microsoft JhengHei" w:cs="Microsoft JhengHei" w:eastAsia="Microsoft JhengHei" w:hint="default"/>
                <w:b/>
                <w:bCs/>
                <w:spacing w:val="-33"/>
                <w:w w:val="105"/>
                <w:sz w:val="16"/>
                <w:szCs w:val="16"/>
              </w:rPr>
              <w:t> </w:t>
            </w:r>
            <w:r>
              <w:rPr>
                <w:rFonts w:ascii="Microsoft JhengHei" w:hAnsi="Microsoft JhengHei" w:cs="Microsoft JhengHei" w:eastAsia="Microsoft JhengHei" w:hint="default"/>
                <w:b/>
                <w:bCs/>
                <w:spacing w:val="8"/>
                <w:w w:val="105"/>
                <w:sz w:val="16"/>
                <w:szCs w:val="16"/>
              </w:rPr>
              <w:t>号填列)</w:t>
            </w:r>
            <w:r>
              <w:rPr>
                <w:rFonts w:ascii="Microsoft JhengHei" w:hAnsi="Microsoft JhengHei" w:cs="Microsoft JhengHei" w:eastAsia="Microsoft JhengHei" w:hint="default"/>
                <w:spacing w:val="8"/>
                <w:sz w:val="16"/>
                <w:szCs w:val="16"/>
              </w:rPr>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5"/>
              <w:jc w:val="right"/>
              <w:rPr>
                <w:rFonts w:ascii="Times New Roman" w:hAnsi="Times New Roman" w:cs="Times New Roman" w:eastAsia="Times New Roman" w:hint="default"/>
                <w:sz w:val="16"/>
                <w:szCs w:val="16"/>
              </w:rPr>
            </w:pPr>
            <w:r>
              <w:rPr>
                <w:rFonts w:ascii="Times New Roman"/>
                <w:b/>
                <w:spacing w:val="2"/>
                <w:sz w:val="16"/>
              </w:rPr>
              <w:t>156,933,895.19</w:t>
            </w:r>
            <w:r>
              <w:rPr>
                <w:rFonts w:ascii="Times New Roman"/>
                <w:spacing w:val="2"/>
                <w:sz w:val="16"/>
              </w:rPr>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79"/>
              <w:jc w:val="right"/>
              <w:rPr>
                <w:rFonts w:ascii="Times New Roman" w:hAnsi="Times New Roman" w:cs="Times New Roman" w:eastAsia="Times New Roman" w:hint="default"/>
                <w:sz w:val="16"/>
                <w:szCs w:val="16"/>
              </w:rPr>
            </w:pPr>
            <w:r>
              <w:rPr>
                <w:rFonts w:ascii="Times New Roman"/>
                <w:b/>
                <w:spacing w:val="2"/>
                <w:sz w:val="16"/>
              </w:rPr>
              <w:t>162,842,412.88</w:t>
            </w:r>
            <w:r>
              <w:rPr>
                <w:rFonts w:ascii="Times New Roman"/>
                <w:spacing w:val="2"/>
                <w:sz w:val="16"/>
              </w:rPr>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9"/>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五、</w:t>
            </w:r>
            <w:r>
              <w:rPr>
                <w:rFonts w:ascii="Microsoft JhengHei" w:hAnsi="Microsoft JhengHei" w:cs="Microsoft JhengHei" w:eastAsia="Microsoft JhengHei" w:hint="default"/>
                <w:b/>
                <w:bCs/>
                <w:spacing w:val="5"/>
                <w:sz w:val="16"/>
                <w:szCs w:val="16"/>
              </w:rPr>
              <w:t> </w:t>
            </w:r>
            <w:r>
              <w:rPr>
                <w:rFonts w:ascii="Microsoft JhengHei" w:hAnsi="Microsoft JhengHei" w:cs="Microsoft JhengHei" w:eastAsia="Microsoft JhengHei" w:hint="default"/>
                <w:b/>
                <w:bCs/>
                <w:spacing w:val="6"/>
                <w:sz w:val="16"/>
                <w:szCs w:val="16"/>
              </w:rPr>
              <w:t>每股收益：</w:t>
            </w:r>
            <w:r>
              <w:rPr>
                <w:rFonts w:ascii="Microsoft JhengHei" w:hAnsi="Microsoft JhengHei" w:cs="Microsoft JhengHei" w:eastAsia="Microsoft JhengHei" w:hint="default"/>
                <w:spacing w:val="6"/>
                <w:sz w:val="16"/>
                <w:szCs w:val="16"/>
              </w:rPr>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
        </w:tc>
        <w:tc>
          <w:tcPr>
            <w:tcW w:w="2292" w:type="dxa"/>
            <w:tcBorders>
              <w:top w:val="single" w:sz="6" w:space="0" w:color="000000"/>
              <w:left w:val="single" w:sz="6" w:space="0" w:color="000000"/>
              <w:bottom w:val="single" w:sz="6" w:space="0" w:color="000000"/>
              <w:right w:val="nil" w:sz="6" w:space="0" w:color="auto"/>
            </w:tcBorders>
          </w:tcPr>
          <w:p>
            <w:pP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393" w:right="0"/>
              <w:jc w:val="left"/>
              <w:rPr>
                <w:rFonts w:ascii="宋体" w:hAnsi="宋体" w:cs="宋体" w:eastAsia="宋体" w:hint="default"/>
                <w:sz w:val="16"/>
                <w:szCs w:val="16"/>
              </w:rPr>
            </w:pPr>
            <w:r>
              <w:rPr>
                <w:rFonts w:ascii="宋体" w:hAnsi="宋体" w:cs="宋体" w:eastAsia="宋体" w:hint="default"/>
                <w:sz w:val="16"/>
                <w:szCs w:val="16"/>
              </w:rPr>
              <w:t>（一）基本每股收益</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5"/>
                <w:sz w:val="16"/>
              </w:rPr>
              <w:t>0.33</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9"/>
              <w:jc w:val="right"/>
              <w:rPr>
                <w:rFonts w:ascii="Times New Roman" w:hAnsi="Times New Roman" w:cs="Times New Roman" w:eastAsia="Times New Roman" w:hint="default"/>
                <w:sz w:val="16"/>
                <w:szCs w:val="16"/>
              </w:rPr>
            </w:pPr>
            <w:r>
              <w:rPr>
                <w:rFonts w:ascii="Times New Roman"/>
                <w:spacing w:val="-5"/>
                <w:sz w:val="16"/>
              </w:rPr>
              <w:t>0.35</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30"/>
              <w:ind w:left="393" w:right="0"/>
              <w:jc w:val="left"/>
              <w:rPr>
                <w:rFonts w:ascii="宋体" w:hAnsi="宋体" w:cs="宋体" w:eastAsia="宋体" w:hint="default"/>
                <w:sz w:val="16"/>
                <w:szCs w:val="16"/>
              </w:rPr>
            </w:pPr>
            <w:r>
              <w:rPr>
                <w:rFonts w:ascii="宋体" w:hAnsi="宋体" w:cs="宋体" w:eastAsia="宋体" w:hint="default"/>
                <w:sz w:val="16"/>
                <w:szCs w:val="16"/>
              </w:rPr>
              <w:t>（二）稀释每股收益</w:t>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4"/>
              <w:jc w:val="right"/>
              <w:rPr>
                <w:rFonts w:ascii="Times New Roman" w:hAnsi="Times New Roman" w:cs="Times New Roman" w:eastAsia="Times New Roman" w:hint="default"/>
                <w:sz w:val="16"/>
                <w:szCs w:val="16"/>
              </w:rPr>
            </w:pPr>
            <w:r>
              <w:rPr>
                <w:rFonts w:ascii="Times New Roman"/>
                <w:spacing w:val="-5"/>
                <w:sz w:val="16"/>
              </w:rPr>
              <w:t>0.33</w:t>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9"/>
              <w:jc w:val="right"/>
              <w:rPr>
                <w:rFonts w:ascii="Times New Roman" w:hAnsi="Times New Roman" w:cs="Times New Roman" w:eastAsia="Times New Roman" w:hint="default"/>
                <w:sz w:val="16"/>
                <w:szCs w:val="16"/>
              </w:rPr>
            </w:pPr>
            <w:r>
              <w:rPr>
                <w:rFonts w:ascii="Times New Roman"/>
                <w:spacing w:val="-5"/>
                <w:sz w:val="16"/>
              </w:rPr>
              <w:t>0.35</w:t>
            </w:r>
          </w:p>
        </w:tc>
      </w:tr>
      <w:tr>
        <w:trPr>
          <w:trHeight w:val="518" w:hRule="exact"/>
        </w:trPr>
        <w:tc>
          <w:tcPr>
            <w:tcW w:w="4145"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9"/>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六、 </w:t>
            </w:r>
            <w:r>
              <w:rPr>
                <w:rFonts w:ascii="Microsoft JhengHei" w:hAnsi="Microsoft JhengHei" w:cs="Microsoft JhengHei" w:eastAsia="Microsoft JhengHei" w:hint="default"/>
                <w:b/>
                <w:bCs/>
                <w:spacing w:val="10"/>
                <w:sz w:val="16"/>
                <w:szCs w:val="16"/>
              </w:rPr>
              <w:t>其他综合收益</w:t>
            </w:r>
            <w:r>
              <w:rPr>
                <w:rFonts w:ascii="Microsoft JhengHei" w:hAnsi="Microsoft JhengHei" w:cs="Microsoft JhengHei" w:eastAsia="Microsoft JhengHei" w:hint="default"/>
                <w:spacing w:val="10"/>
                <w:sz w:val="16"/>
                <w:szCs w:val="16"/>
              </w:rPr>
            </w:r>
          </w:p>
        </w:tc>
        <w:tc>
          <w:tcPr>
            <w:tcW w:w="921" w:type="dxa"/>
            <w:tcBorders>
              <w:top w:val="single" w:sz="6" w:space="0" w:color="000000"/>
              <w:left w:val="single" w:sz="6" w:space="0" w:color="000000"/>
              <w:bottom w:val="single" w:sz="6" w:space="0" w:color="000000"/>
              <w:right w:val="single" w:sz="6" w:space="0" w:color="000000"/>
            </w:tcBorders>
          </w:tcPr>
          <w:p>
            <w:pPr/>
          </w:p>
        </w:tc>
        <w:tc>
          <w:tcPr>
            <w:tcW w:w="22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5"/>
              <w:jc w:val="right"/>
              <w:rPr>
                <w:rFonts w:ascii="Times New Roman" w:hAnsi="Times New Roman" w:cs="Times New Roman" w:eastAsia="Times New Roman" w:hint="default"/>
                <w:sz w:val="16"/>
                <w:szCs w:val="16"/>
              </w:rPr>
            </w:pPr>
            <w:r>
              <w:rPr>
                <w:rFonts w:ascii="Times New Roman"/>
                <w:b/>
                <w:spacing w:val="2"/>
                <w:sz w:val="16"/>
              </w:rPr>
              <w:t>-871,022.93</w:t>
            </w:r>
            <w:r>
              <w:rPr>
                <w:rFonts w:ascii="Times New Roman"/>
                <w:spacing w:val="2"/>
                <w:sz w:val="16"/>
              </w:rPr>
            </w:r>
          </w:p>
        </w:tc>
        <w:tc>
          <w:tcPr>
            <w:tcW w:w="2292"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79"/>
              <w:jc w:val="right"/>
              <w:rPr>
                <w:rFonts w:ascii="Times New Roman" w:hAnsi="Times New Roman" w:cs="Times New Roman" w:eastAsia="Times New Roman" w:hint="default"/>
                <w:sz w:val="16"/>
                <w:szCs w:val="16"/>
              </w:rPr>
            </w:pPr>
            <w:r>
              <w:rPr>
                <w:rFonts w:ascii="Times New Roman"/>
                <w:b/>
                <w:spacing w:val="2"/>
                <w:sz w:val="16"/>
              </w:rPr>
              <w:t>-6,486,826.58</w:t>
            </w:r>
            <w:r>
              <w:rPr>
                <w:rFonts w:ascii="Times New Roman"/>
                <w:spacing w:val="2"/>
                <w:sz w:val="16"/>
              </w:rPr>
            </w:r>
          </w:p>
        </w:tc>
      </w:tr>
      <w:tr>
        <w:trPr>
          <w:trHeight w:val="514" w:hRule="exact"/>
        </w:trPr>
        <w:tc>
          <w:tcPr>
            <w:tcW w:w="4145" w:type="dxa"/>
            <w:tcBorders>
              <w:top w:val="single" w:sz="6" w:space="0" w:color="000000"/>
              <w:left w:val="nil" w:sz="6" w:space="0" w:color="auto"/>
              <w:bottom w:val="single" w:sz="10" w:space="0" w:color="000000"/>
              <w:right w:val="single" w:sz="6" w:space="0" w:color="000000"/>
            </w:tcBorders>
          </w:tcPr>
          <w:p>
            <w:pPr>
              <w:pStyle w:val="TableParagraph"/>
              <w:spacing w:line="240" w:lineRule="auto" w:before="79"/>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sz w:val="16"/>
                <w:szCs w:val="16"/>
              </w:rPr>
              <w:t>七、 </w:t>
            </w:r>
            <w:r>
              <w:rPr>
                <w:rFonts w:ascii="Microsoft JhengHei" w:hAnsi="Microsoft JhengHei" w:cs="Microsoft JhengHei" w:eastAsia="Microsoft JhengHei" w:hint="default"/>
                <w:b/>
                <w:bCs/>
                <w:spacing w:val="10"/>
                <w:sz w:val="16"/>
                <w:szCs w:val="16"/>
              </w:rPr>
              <w:t>综合收益总额</w:t>
            </w:r>
            <w:r>
              <w:rPr>
                <w:rFonts w:ascii="Microsoft JhengHei" w:hAnsi="Microsoft JhengHei" w:cs="Microsoft JhengHei" w:eastAsia="Microsoft JhengHei" w:hint="default"/>
                <w:spacing w:val="10"/>
                <w:sz w:val="16"/>
                <w:szCs w:val="16"/>
              </w:rPr>
            </w:r>
          </w:p>
        </w:tc>
        <w:tc>
          <w:tcPr>
            <w:tcW w:w="921" w:type="dxa"/>
            <w:tcBorders>
              <w:top w:val="single" w:sz="6" w:space="0" w:color="000000"/>
              <w:left w:val="single" w:sz="6" w:space="0" w:color="000000"/>
              <w:bottom w:val="single" w:sz="10" w:space="0" w:color="000000"/>
              <w:right w:val="single" w:sz="6" w:space="0" w:color="000000"/>
            </w:tcBorders>
          </w:tcPr>
          <w:p>
            <w:pPr/>
          </w:p>
        </w:tc>
        <w:tc>
          <w:tcPr>
            <w:tcW w:w="2285"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65"/>
              <w:jc w:val="right"/>
              <w:rPr>
                <w:rFonts w:ascii="Times New Roman" w:hAnsi="Times New Roman" w:cs="Times New Roman" w:eastAsia="Times New Roman" w:hint="default"/>
                <w:sz w:val="16"/>
                <w:szCs w:val="16"/>
              </w:rPr>
            </w:pPr>
            <w:r>
              <w:rPr>
                <w:rFonts w:ascii="Times New Roman"/>
                <w:b/>
                <w:spacing w:val="2"/>
                <w:sz w:val="16"/>
              </w:rPr>
              <w:t>156,062,872.26</w:t>
            </w:r>
            <w:r>
              <w:rPr>
                <w:rFonts w:ascii="Times New Roman"/>
                <w:spacing w:val="2"/>
                <w:sz w:val="16"/>
              </w:rPr>
            </w:r>
          </w:p>
        </w:tc>
        <w:tc>
          <w:tcPr>
            <w:tcW w:w="2292" w:type="dxa"/>
            <w:tcBorders>
              <w:top w:val="single" w:sz="6" w:space="0" w:color="000000"/>
              <w:left w:val="single" w:sz="6" w:space="0" w:color="000000"/>
              <w:bottom w:val="single" w:sz="10" w:space="0" w:color="000000"/>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79"/>
              <w:jc w:val="right"/>
              <w:rPr>
                <w:rFonts w:ascii="Times New Roman" w:hAnsi="Times New Roman" w:cs="Times New Roman" w:eastAsia="Times New Roman" w:hint="default"/>
                <w:sz w:val="16"/>
                <w:szCs w:val="16"/>
              </w:rPr>
            </w:pPr>
            <w:r>
              <w:rPr>
                <w:rFonts w:ascii="Times New Roman"/>
                <w:b/>
                <w:spacing w:val="2"/>
                <w:sz w:val="16"/>
              </w:rPr>
              <w:t>156,355,586.30</w:t>
            </w:r>
            <w:r>
              <w:rPr>
                <w:rFonts w:ascii="Times New Roman"/>
                <w:spacing w:val="2"/>
                <w:sz w:val="16"/>
              </w:rPr>
            </w:r>
          </w:p>
        </w:tc>
      </w:tr>
    </w:tbl>
    <w:p>
      <w:pPr>
        <w:spacing w:line="240" w:lineRule="auto" w:before="10"/>
        <w:rPr>
          <w:rFonts w:ascii="宋体" w:hAnsi="宋体" w:cs="宋体" w:eastAsia="宋体" w:hint="default"/>
          <w:sz w:val="5"/>
          <w:szCs w:val="5"/>
        </w:rPr>
      </w:pPr>
    </w:p>
    <w:p>
      <w:pPr>
        <w:tabs>
          <w:tab w:pos="3397" w:val="left" w:leader="none"/>
          <w:tab w:pos="6891" w:val="left" w:leader="none"/>
        </w:tabs>
        <w:spacing w:before="54"/>
        <w:ind w:left="191" w:right="0" w:firstLine="0"/>
        <w:jc w:val="left"/>
        <w:rPr>
          <w:rFonts w:ascii="宋体" w:hAnsi="宋体" w:cs="宋体" w:eastAsia="宋体" w:hint="default"/>
          <w:sz w:val="16"/>
          <w:szCs w:val="16"/>
        </w:rPr>
      </w:pPr>
      <w:r>
        <w:rPr>
          <w:rFonts w:ascii="宋体" w:hAnsi="宋体" w:cs="宋体" w:eastAsia="宋体" w:hint="default"/>
          <w:sz w:val="16"/>
          <w:szCs w:val="16"/>
        </w:rPr>
        <w:t>法定代表人:</w:t>
        <w:tab/>
        <w:t>主管会计工作负责人：</w:t>
        <w:tab/>
        <w:t>会计机构负责人：</w:t>
      </w:r>
    </w:p>
    <w:p>
      <w:pPr>
        <w:spacing w:after="0"/>
        <w:jc w:val="left"/>
        <w:rPr>
          <w:rFonts w:ascii="宋体" w:hAnsi="宋体" w:cs="宋体" w:eastAsia="宋体" w:hint="default"/>
          <w:sz w:val="16"/>
          <w:szCs w:val="16"/>
        </w:rPr>
        <w:sectPr>
          <w:pgSz w:w="11900" w:h="16840"/>
          <w:pgMar w:header="872" w:footer="984" w:top="1120" w:bottom="1180" w:left="980" w:right="980"/>
        </w:sectPr>
      </w:pPr>
    </w:p>
    <w:p>
      <w:pPr>
        <w:spacing w:line="240" w:lineRule="auto" w:before="5"/>
        <w:rPr>
          <w:rFonts w:ascii="宋体" w:hAnsi="宋体" w:cs="宋体" w:eastAsia="宋体" w:hint="default"/>
          <w:sz w:val="18"/>
          <w:szCs w:val="18"/>
        </w:rPr>
      </w:pPr>
    </w:p>
    <w:p>
      <w:pPr>
        <w:pStyle w:val="Heading3"/>
        <w:spacing w:line="385" w:lineRule="exact"/>
        <w:ind w:right="1915"/>
        <w:jc w:val="center"/>
        <w:rPr>
          <w:b w:val="0"/>
          <w:bCs w:val="0"/>
        </w:rPr>
      </w:pPr>
      <w:r>
        <w:rPr>
          <w:spacing w:val="10"/>
          <w:w w:val="105"/>
        </w:rPr>
        <w:t>母公司现金流量表</w:t>
      </w:r>
      <w:r>
        <w:rPr>
          <w:b w:val="0"/>
          <w:bCs w:val="0"/>
          <w:spacing w:val="10"/>
        </w:rPr>
      </w:r>
    </w:p>
    <w:p>
      <w:pPr>
        <w:spacing w:line="240" w:lineRule="auto" w:before="1"/>
        <w:rPr>
          <w:rFonts w:ascii="Microsoft JhengHei" w:hAnsi="Microsoft JhengHei" w:cs="Microsoft JhengHei" w:eastAsia="Microsoft JhengHei" w:hint="default"/>
          <w:b/>
          <w:bCs/>
          <w:sz w:val="8"/>
          <w:szCs w:val="8"/>
        </w:rPr>
      </w:pPr>
    </w:p>
    <w:p>
      <w:pPr>
        <w:spacing w:before="51"/>
        <w:ind w:left="1913" w:right="1915" w:firstLine="0"/>
        <w:jc w:val="center"/>
        <w:rPr>
          <w:rFonts w:ascii="宋体" w:hAnsi="宋体" w:cs="宋体" w:eastAsia="宋体" w:hint="default"/>
          <w:sz w:val="16"/>
          <w:szCs w:val="16"/>
        </w:rPr>
      </w:pPr>
      <w:r>
        <w:rPr>
          <w:rFonts w:ascii="宋体" w:hAnsi="宋体" w:cs="宋体" w:eastAsia="宋体" w:hint="default"/>
          <w:spacing w:val="-3"/>
          <w:w w:val="105"/>
          <w:sz w:val="16"/>
          <w:szCs w:val="16"/>
        </w:rPr>
        <w:t>编制年度：</w:t>
      </w:r>
      <w:r>
        <w:rPr>
          <w:rFonts w:ascii="Times New Roman" w:hAnsi="Times New Roman" w:cs="Times New Roman" w:eastAsia="Times New Roman" w:hint="default"/>
          <w:spacing w:val="-3"/>
          <w:w w:val="105"/>
          <w:position w:val="1"/>
          <w:sz w:val="16"/>
          <w:szCs w:val="16"/>
        </w:rPr>
        <w:t>2012</w:t>
      </w:r>
      <w:r>
        <w:rPr>
          <w:rFonts w:ascii="宋体" w:hAnsi="宋体" w:cs="宋体" w:eastAsia="宋体" w:hint="default"/>
          <w:spacing w:val="-3"/>
          <w:w w:val="105"/>
          <w:sz w:val="16"/>
          <w:szCs w:val="16"/>
        </w:rPr>
        <w:t>年度</w:t>
      </w:r>
      <w:r>
        <w:rPr>
          <w:rFonts w:ascii="宋体" w:hAnsi="宋体" w:cs="宋体" w:eastAsia="宋体" w:hint="default"/>
          <w:spacing w:val="-3"/>
          <w:sz w:val="16"/>
          <w:szCs w:val="16"/>
        </w:rPr>
      </w:r>
    </w:p>
    <w:p>
      <w:pPr>
        <w:tabs>
          <w:tab w:pos="8591" w:val="left" w:leader="none"/>
        </w:tabs>
        <w:spacing w:before="110"/>
        <w:ind w:left="191" w:right="0" w:firstLine="0"/>
        <w:jc w:val="left"/>
        <w:rPr>
          <w:rFonts w:ascii="宋体" w:hAnsi="宋体" w:cs="宋体" w:eastAsia="宋体" w:hint="default"/>
          <w:sz w:val="16"/>
          <w:szCs w:val="16"/>
        </w:rPr>
      </w:pPr>
      <w:r>
        <w:rPr>
          <w:rFonts w:ascii="宋体" w:hAnsi="宋体" w:cs="宋体" w:eastAsia="宋体" w:hint="default"/>
          <w:sz w:val="16"/>
          <w:szCs w:val="16"/>
        </w:rPr>
        <w:t>编制单位: </w:t>
      </w:r>
      <w:r>
        <w:rPr>
          <w:rFonts w:ascii="宋体" w:hAnsi="宋体" w:cs="宋体" w:eastAsia="宋体" w:hint="default"/>
          <w:spacing w:val="1"/>
          <w:sz w:val="16"/>
          <w:szCs w:val="16"/>
        </w:rPr>
        <w:t> </w:t>
      </w:r>
      <w:r>
        <w:rPr>
          <w:rFonts w:ascii="宋体" w:hAnsi="宋体" w:cs="宋体" w:eastAsia="宋体" w:hint="default"/>
          <w:sz w:val="16"/>
          <w:szCs w:val="16"/>
        </w:rPr>
        <w:t>宝安鸿基地产集团股份有限公司</w:t>
        <w:tab/>
      </w:r>
      <w:r>
        <w:rPr>
          <w:rFonts w:ascii="宋体" w:hAnsi="宋体" w:cs="宋体" w:eastAsia="宋体" w:hint="default"/>
          <w:w w:val="105"/>
          <w:sz w:val="16"/>
          <w:szCs w:val="16"/>
        </w:rPr>
        <w:t>单位：人民币元</w:t>
      </w:r>
      <w:r>
        <w:rPr>
          <w:rFonts w:ascii="宋体" w:hAnsi="宋体" w:cs="宋体" w:eastAsia="宋体" w:hint="default"/>
          <w:sz w:val="16"/>
          <w:szCs w:val="16"/>
        </w:rPr>
      </w:r>
    </w:p>
    <w:p>
      <w:pPr>
        <w:spacing w:line="240" w:lineRule="auto" w:before="2"/>
        <w:rPr>
          <w:rFonts w:ascii="宋体" w:hAnsi="宋体" w:cs="宋体" w:eastAsia="宋体" w:hint="default"/>
          <w:sz w:val="4"/>
          <w:szCs w:val="4"/>
        </w:rPr>
      </w:pPr>
    </w:p>
    <w:p>
      <w:pPr>
        <w:spacing w:line="20" w:lineRule="exact"/>
        <w:ind w:left="964" w:right="0" w:firstLine="0"/>
        <w:rPr>
          <w:rFonts w:ascii="宋体" w:hAnsi="宋体" w:cs="宋体" w:eastAsia="宋体" w:hint="default"/>
          <w:sz w:val="2"/>
          <w:szCs w:val="2"/>
        </w:rPr>
      </w:pPr>
      <w:r>
        <w:rPr>
          <w:rFonts w:ascii="宋体" w:hAnsi="宋体" w:cs="宋体" w:eastAsia="宋体" w:hint="default"/>
          <w:sz w:val="2"/>
          <w:szCs w:val="2"/>
        </w:rPr>
        <w:pict>
          <v:group style="width:207.85pt;height:.75pt;mso-position-horizontal-relative:char;mso-position-vertical-relative:line" coordorigin="0,0" coordsize="4157,15">
            <v:group style="position:absolute;left:3;top:2;width:4149;height:2" coordorigin="3,2" coordsize="4149,2">
              <v:shape style="position:absolute;left:3;top:2;width:4149;height:2" coordorigin="3,2" coordsize="4149,0" path="m3,2l4152,2e" filled="false" stroked="true" strokeweight=".24pt" strokecolor="#000000">
                <v:path arrowok="t"/>
              </v:shape>
            </v:group>
            <v:group style="position:absolute;left:5;top:10;width:4148;height:2" coordorigin="5,10" coordsize="4148,2">
              <v:shape style="position:absolute;left:5;top:10;width:4148;height:2" coordorigin="5,10" coordsize="4148,0" path="m5,10l4152,10e" filled="false" stroked="true" strokeweight=".48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9"/>
          <w:szCs w:val="9"/>
        </w:rPr>
      </w:pPr>
    </w:p>
    <w:tbl>
      <w:tblPr>
        <w:tblW w:w="0" w:type="auto"/>
        <w:jc w:val="left"/>
        <w:tblInd w:w="140" w:type="dxa"/>
        <w:tblLayout w:type="fixed"/>
        <w:tblCellMar>
          <w:top w:w="0" w:type="dxa"/>
          <w:left w:w="0" w:type="dxa"/>
          <w:bottom w:w="0" w:type="dxa"/>
          <w:right w:w="0" w:type="dxa"/>
        </w:tblCellMar>
        <w:tblLook w:val="01E0"/>
      </w:tblPr>
      <w:tblGrid>
        <w:gridCol w:w="4956"/>
        <w:gridCol w:w="878"/>
        <w:gridCol w:w="1896"/>
        <w:gridCol w:w="1904"/>
      </w:tblGrid>
      <w:tr>
        <w:trPr>
          <w:trHeight w:val="359" w:hRule="exact"/>
        </w:trPr>
        <w:tc>
          <w:tcPr>
            <w:tcW w:w="4956" w:type="dxa"/>
            <w:tcBorders>
              <w:top w:val="single" w:sz="10" w:space="0" w:color="000000"/>
              <w:left w:val="nil" w:sz="6" w:space="0" w:color="auto"/>
              <w:bottom w:val="single" w:sz="6" w:space="0" w:color="000000"/>
              <w:right w:val="single" w:sz="6" w:space="0" w:color="000000"/>
            </w:tcBorders>
          </w:tcPr>
          <w:p>
            <w:pPr>
              <w:pStyle w:val="TableParagraph"/>
              <w:tabs>
                <w:tab w:pos="585" w:val="left" w:leader="none"/>
              </w:tabs>
              <w:spacing w:line="276" w:lineRule="exact"/>
              <w:ind w:right="1"/>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z w:val="16"/>
                <w:szCs w:val="16"/>
              </w:rPr>
              <w:t>项</w:t>
              <w:tab/>
            </w:r>
            <w:r>
              <w:rPr>
                <w:rFonts w:ascii="Microsoft JhengHei" w:hAnsi="Microsoft JhengHei" w:cs="Microsoft JhengHei" w:eastAsia="Microsoft JhengHei" w:hint="default"/>
                <w:b/>
                <w:bCs/>
                <w:w w:val="105"/>
                <w:sz w:val="16"/>
                <w:szCs w:val="16"/>
              </w:rPr>
              <w:t>目</w:t>
            </w:r>
            <w:r>
              <w:rPr>
                <w:rFonts w:ascii="Microsoft JhengHei" w:hAnsi="Microsoft JhengHei" w:cs="Microsoft JhengHei" w:eastAsia="Microsoft JhengHei" w:hint="default"/>
                <w:sz w:val="16"/>
                <w:szCs w:val="16"/>
              </w:rPr>
            </w:r>
          </w:p>
        </w:tc>
        <w:tc>
          <w:tcPr>
            <w:tcW w:w="878" w:type="dxa"/>
            <w:tcBorders>
              <w:top w:val="single" w:sz="10" w:space="0" w:color="000000"/>
              <w:left w:val="single" w:sz="6" w:space="0" w:color="000000"/>
              <w:bottom w:val="single" w:sz="6" w:space="0" w:color="000000"/>
              <w:right w:val="single" w:sz="6" w:space="0" w:color="000000"/>
            </w:tcBorders>
          </w:tcPr>
          <w:p>
            <w:pPr>
              <w:pStyle w:val="TableParagraph"/>
              <w:spacing w:line="276" w:lineRule="exact"/>
              <w:ind w:right="9"/>
              <w:jc w:val="center"/>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6"/>
                <w:w w:val="105"/>
                <w:sz w:val="16"/>
                <w:szCs w:val="16"/>
              </w:rPr>
              <w:t>附注</w:t>
            </w:r>
            <w:r>
              <w:rPr>
                <w:rFonts w:ascii="Microsoft JhengHei" w:hAnsi="Microsoft JhengHei" w:cs="Microsoft JhengHei" w:eastAsia="Microsoft JhengHei" w:hint="default"/>
                <w:spacing w:val="6"/>
                <w:sz w:val="16"/>
                <w:szCs w:val="16"/>
              </w:rPr>
            </w:r>
          </w:p>
        </w:tc>
        <w:tc>
          <w:tcPr>
            <w:tcW w:w="1896" w:type="dxa"/>
            <w:tcBorders>
              <w:top w:val="single" w:sz="10" w:space="0" w:color="000000"/>
              <w:left w:val="single" w:sz="6" w:space="0" w:color="000000"/>
              <w:bottom w:val="single" w:sz="6" w:space="0" w:color="000000"/>
              <w:right w:val="single" w:sz="6" w:space="0" w:color="000000"/>
            </w:tcBorders>
          </w:tcPr>
          <w:p>
            <w:pPr>
              <w:pStyle w:val="TableParagraph"/>
              <w:spacing w:line="276" w:lineRule="exact"/>
              <w:ind w:left="586"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9"/>
                <w:w w:val="105"/>
                <w:sz w:val="16"/>
                <w:szCs w:val="16"/>
              </w:rPr>
              <w:t>本期金额</w:t>
            </w:r>
            <w:r>
              <w:rPr>
                <w:rFonts w:ascii="Microsoft JhengHei" w:hAnsi="Microsoft JhengHei" w:cs="Microsoft JhengHei" w:eastAsia="Microsoft JhengHei" w:hint="default"/>
                <w:spacing w:val="9"/>
                <w:sz w:val="16"/>
                <w:szCs w:val="16"/>
              </w:rPr>
            </w:r>
          </w:p>
        </w:tc>
        <w:tc>
          <w:tcPr>
            <w:tcW w:w="1904" w:type="dxa"/>
            <w:tcBorders>
              <w:top w:val="single" w:sz="10" w:space="0" w:color="000000"/>
              <w:left w:val="single" w:sz="6" w:space="0" w:color="000000"/>
              <w:bottom w:val="single" w:sz="6" w:space="0" w:color="000000"/>
              <w:right w:val="nil" w:sz="6" w:space="0" w:color="auto"/>
            </w:tcBorders>
          </w:tcPr>
          <w:p>
            <w:pPr>
              <w:pStyle w:val="TableParagraph"/>
              <w:spacing w:line="276" w:lineRule="exact"/>
              <w:ind w:left="586"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9"/>
                <w:w w:val="105"/>
                <w:sz w:val="16"/>
                <w:szCs w:val="16"/>
              </w:rPr>
              <w:t>上期金额</w:t>
            </w:r>
            <w:r>
              <w:rPr>
                <w:rFonts w:ascii="Microsoft JhengHei" w:hAnsi="Microsoft JhengHei" w:cs="Microsoft JhengHei" w:eastAsia="Microsoft JhengHei" w:hint="default"/>
                <w:spacing w:val="9"/>
                <w:sz w:val="16"/>
                <w:szCs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53" w:lineRule="exact"/>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一、经营活动生产的现金流量：</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
        </w:tc>
        <w:tc>
          <w:tcPr>
            <w:tcW w:w="1904" w:type="dxa"/>
            <w:tcBorders>
              <w:top w:val="single" w:sz="6" w:space="0" w:color="000000"/>
              <w:left w:val="single" w:sz="6" w:space="0" w:color="000000"/>
              <w:bottom w:val="single" w:sz="4" w:space="0" w:color="000000"/>
              <w:right w:val="nil" w:sz="6" w:space="0" w:color="auto"/>
            </w:tcBorders>
          </w:tcPr>
          <w:p>
            <w:pP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0"/>
              <w:ind w:left="393" w:right="0"/>
              <w:jc w:val="left"/>
              <w:rPr>
                <w:rFonts w:ascii="宋体" w:hAnsi="宋体" w:cs="宋体" w:eastAsia="宋体" w:hint="default"/>
                <w:sz w:val="16"/>
                <w:szCs w:val="16"/>
              </w:rPr>
            </w:pPr>
            <w:r>
              <w:rPr>
                <w:rFonts w:ascii="宋体" w:hAnsi="宋体" w:cs="宋体" w:eastAsia="宋体" w:hint="default"/>
                <w:w w:val="105"/>
                <w:sz w:val="16"/>
                <w:szCs w:val="16"/>
              </w:rPr>
              <w:t>销售商品、提供劳务收到的现金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3"/>
              <w:ind w:right="12"/>
              <w:jc w:val="right"/>
              <w:rPr>
                <w:rFonts w:ascii="Times New Roman" w:hAnsi="Times New Roman" w:cs="Times New Roman" w:eastAsia="Times New Roman" w:hint="default"/>
                <w:sz w:val="16"/>
                <w:szCs w:val="16"/>
              </w:rPr>
            </w:pPr>
            <w:r>
              <w:rPr>
                <w:rFonts w:ascii="Times New Roman"/>
                <w:spacing w:val="-6"/>
                <w:sz w:val="16"/>
              </w:rPr>
              <w:t>313,742,263.24</w:t>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3"/>
              <w:ind w:right="27"/>
              <w:jc w:val="right"/>
              <w:rPr>
                <w:rFonts w:ascii="Times New Roman" w:hAnsi="Times New Roman" w:cs="Times New Roman" w:eastAsia="Times New Roman" w:hint="default"/>
                <w:sz w:val="16"/>
                <w:szCs w:val="16"/>
              </w:rPr>
            </w:pPr>
            <w:r>
              <w:rPr>
                <w:rFonts w:ascii="Times New Roman"/>
                <w:spacing w:val="-6"/>
                <w:sz w:val="16"/>
              </w:rPr>
              <w:t>61,487,216.96</w:t>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1"/>
              <w:ind w:left="393" w:right="0"/>
              <w:jc w:val="left"/>
              <w:rPr>
                <w:rFonts w:ascii="宋体" w:hAnsi="宋体" w:cs="宋体" w:eastAsia="宋体" w:hint="default"/>
                <w:sz w:val="16"/>
                <w:szCs w:val="16"/>
              </w:rPr>
            </w:pPr>
            <w:r>
              <w:rPr>
                <w:rFonts w:ascii="宋体" w:hAnsi="宋体" w:cs="宋体" w:eastAsia="宋体" w:hint="default"/>
                <w:w w:val="105"/>
                <w:sz w:val="16"/>
                <w:szCs w:val="16"/>
              </w:rPr>
              <w:t>收到的税费返还</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4"/>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4"/>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26"/>
              <w:ind w:left="393" w:right="0"/>
              <w:jc w:val="left"/>
              <w:rPr>
                <w:rFonts w:ascii="宋体" w:hAnsi="宋体" w:cs="宋体" w:eastAsia="宋体" w:hint="default"/>
                <w:sz w:val="16"/>
                <w:szCs w:val="16"/>
              </w:rPr>
            </w:pPr>
            <w:r>
              <w:rPr>
                <w:rFonts w:ascii="宋体" w:hAnsi="宋体" w:cs="宋体" w:eastAsia="宋体" w:hint="default"/>
                <w:w w:val="105"/>
                <w:sz w:val="16"/>
                <w:szCs w:val="16"/>
              </w:rPr>
              <w:t>收到其他与经营活动有关的现金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2"/>
              <w:jc w:val="right"/>
              <w:rPr>
                <w:rFonts w:ascii="Times New Roman" w:hAnsi="Times New Roman" w:cs="Times New Roman" w:eastAsia="Times New Roman" w:hint="default"/>
                <w:sz w:val="16"/>
                <w:szCs w:val="16"/>
              </w:rPr>
            </w:pPr>
            <w:r>
              <w:rPr>
                <w:rFonts w:ascii="Times New Roman"/>
                <w:spacing w:val="-6"/>
                <w:sz w:val="16"/>
              </w:rPr>
              <w:t>301,676,221.67</w:t>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27"/>
              <w:jc w:val="right"/>
              <w:rPr>
                <w:rFonts w:ascii="Times New Roman" w:hAnsi="Times New Roman" w:cs="Times New Roman" w:eastAsia="Times New Roman" w:hint="default"/>
                <w:sz w:val="16"/>
                <w:szCs w:val="16"/>
              </w:rPr>
            </w:pPr>
            <w:r>
              <w:rPr>
                <w:rFonts w:ascii="Times New Roman"/>
                <w:spacing w:val="-6"/>
                <w:sz w:val="16"/>
              </w:rPr>
              <w:t>7,735,913.18</w:t>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52" w:lineRule="exact"/>
              <w:ind w:left="158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经营活动现金流入小计</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28"/>
              <w:jc w:val="right"/>
              <w:rPr>
                <w:rFonts w:ascii="Times New Roman" w:hAnsi="Times New Roman" w:cs="Times New Roman" w:eastAsia="Times New Roman" w:hint="default"/>
                <w:sz w:val="16"/>
                <w:szCs w:val="16"/>
              </w:rPr>
            </w:pPr>
            <w:r>
              <w:rPr>
                <w:rFonts w:ascii="Times New Roman"/>
                <w:b/>
                <w:spacing w:val="2"/>
                <w:sz w:val="16"/>
              </w:rPr>
              <w:t>615,418,484.91</w:t>
            </w:r>
            <w:r>
              <w:rPr>
                <w:rFonts w:ascii="Times New Roman"/>
                <w:spacing w:val="2"/>
                <w:sz w:val="16"/>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7"/>
              <w:ind w:right="43"/>
              <w:jc w:val="right"/>
              <w:rPr>
                <w:rFonts w:ascii="Times New Roman" w:hAnsi="Times New Roman" w:cs="Times New Roman" w:eastAsia="Times New Roman" w:hint="default"/>
                <w:sz w:val="16"/>
                <w:szCs w:val="16"/>
              </w:rPr>
            </w:pPr>
            <w:r>
              <w:rPr>
                <w:rFonts w:ascii="Times New Roman"/>
                <w:b/>
                <w:spacing w:val="2"/>
                <w:sz w:val="16"/>
              </w:rPr>
              <w:t>69,223,130.14</w:t>
            </w:r>
            <w:r>
              <w:rPr>
                <w:rFonts w:ascii="Times New Roman"/>
                <w:spacing w:val="2"/>
                <w:sz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40" w:lineRule="auto" w:before="25"/>
              <w:ind w:left="393" w:right="0"/>
              <w:jc w:val="left"/>
              <w:rPr>
                <w:rFonts w:ascii="宋体" w:hAnsi="宋体" w:cs="宋体" w:eastAsia="宋体" w:hint="default"/>
                <w:sz w:val="16"/>
                <w:szCs w:val="16"/>
              </w:rPr>
            </w:pPr>
            <w:r>
              <w:rPr>
                <w:rFonts w:ascii="宋体" w:hAnsi="宋体" w:cs="宋体" w:eastAsia="宋体" w:hint="default"/>
                <w:w w:val="105"/>
                <w:sz w:val="16"/>
                <w:szCs w:val="16"/>
              </w:rPr>
              <w:t>购买商品、接受劳务支付的现金</w:t>
            </w:r>
            <w:r>
              <w:rPr>
                <w:rFonts w:ascii="宋体" w:hAnsi="宋体" w:cs="宋体" w:eastAsia="宋体" w:hint="default"/>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48"/>
              <w:ind w:right="12"/>
              <w:jc w:val="right"/>
              <w:rPr>
                <w:rFonts w:ascii="Times New Roman" w:hAnsi="Times New Roman" w:cs="Times New Roman" w:eastAsia="Times New Roman" w:hint="default"/>
                <w:sz w:val="16"/>
                <w:szCs w:val="16"/>
              </w:rPr>
            </w:pPr>
            <w:r>
              <w:rPr>
                <w:rFonts w:ascii="Times New Roman"/>
                <w:spacing w:val="-6"/>
                <w:sz w:val="16"/>
              </w:rPr>
              <w:t>60,611,904.52</w:t>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48"/>
              <w:ind w:right="27"/>
              <w:jc w:val="right"/>
              <w:rPr>
                <w:rFonts w:ascii="Times New Roman" w:hAnsi="Times New Roman" w:cs="Times New Roman" w:eastAsia="Times New Roman" w:hint="default"/>
                <w:sz w:val="16"/>
                <w:szCs w:val="16"/>
              </w:rPr>
            </w:pPr>
            <w:r>
              <w:rPr>
                <w:rFonts w:ascii="Times New Roman"/>
                <w:spacing w:val="-6"/>
                <w:sz w:val="16"/>
              </w:rPr>
              <w:t>11,295,221.26</w:t>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0"/>
              <w:ind w:left="393" w:right="0"/>
              <w:jc w:val="left"/>
              <w:rPr>
                <w:rFonts w:ascii="宋体" w:hAnsi="宋体" w:cs="宋体" w:eastAsia="宋体" w:hint="default"/>
                <w:sz w:val="16"/>
                <w:szCs w:val="16"/>
              </w:rPr>
            </w:pPr>
            <w:r>
              <w:rPr>
                <w:rFonts w:ascii="宋体" w:hAnsi="宋体" w:cs="宋体" w:eastAsia="宋体" w:hint="default"/>
                <w:w w:val="105"/>
                <w:sz w:val="16"/>
                <w:szCs w:val="16"/>
              </w:rPr>
              <w:t>支付给职工以及为职工支付的现金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3"/>
              <w:ind w:right="12"/>
              <w:jc w:val="right"/>
              <w:rPr>
                <w:rFonts w:ascii="Times New Roman" w:hAnsi="Times New Roman" w:cs="Times New Roman" w:eastAsia="Times New Roman" w:hint="default"/>
                <w:sz w:val="16"/>
                <w:szCs w:val="16"/>
              </w:rPr>
            </w:pPr>
            <w:r>
              <w:rPr>
                <w:rFonts w:ascii="Times New Roman"/>
                <w:spacing w:val="-6"/>
                <w:sz w:val="16"/>
              </w:rPr>
              <w:t>25,895,493.62</w:t>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3"/>
              <w:ind w:right="68"/>
              <w:jc w:val="right"/>
              <w:rPr>
                <w:rFonts w:ascii="Times New Roman" w:hAnsi="Times New Roman" w:cs="Times New Roman" w:eastAsia="Times New Roman" w:hint="default"/>
                <w:sz w:val="16"/>
                <w:szCs w:val="16"/>
              </w:rPr>
            </w:pPr>
            <w:r>
              <w:rPr>
                <w:rFonts w:ascii="Times New Roman"/>
                <w:spacing w:val="-6"/>
                <w:sz w:val="16"/>
              </w:rPr>
              <w:t>25,045,052.03</w:t>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31"/>
              <w:ind w:left="393" w:right="0"/>
              <w:jc w:val="left"/>
              <w:rPr>
                <w:rFonts w:ascii="宋体" w:hAnsi="宋体" w:cs="宋体" w:eastAsia="宋体" w:hint="default"/>
                <w:sz w:val="16"/>
                <w:szCs w:val="16"/>
              </w:rPr>
            </w:pPr>
            <w:r>
              <w:rPr>
                <w:rFonts w:ascii="宋体" w:hAnsi="宋体" w:cs="宋体" w:eastAsia="宋体" w:hint="default"/>
                <w:w w:val="105"/>
                <w:sz w:val="16"/>
                <w:szCs w:val="16"/>
              </w:rPr>
              <w:t>支付的各项税费</w:t>
            </w:r>
            <w:r>
              <w:rPr>
                <w:rFonts w:ascii="宋体" w:hAnsi="宋体" w:cs="宋体" w:eastAsia="宋体" w:hint="default"/>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2"/>
              <w:jc w:val="right"/>
              <w:rPr>
                <w:rFonts w:ascii="Times New Roman" w:hAnsi="Times New Roman" w:cs="Times New Roman" w:eastAsia="Times New Roman" w:hint="default"/>
                <w:sz w:val="16"/>
                <w:szCs w:val="16"/>
              </w:rPr>
            </w:pPr>
            <w:r>
              <w:rPr>
                <w:rFonts w:ascii="Times New Roman"/>
                <w:spacing w:val="-6"/>
                <w:sz w:val="16"/>
              </w:rPr>
              <w:t>90,085,210.94</w:t>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68"/>
              <w:jc w:val="right"/>
              <w:rPr>
                <w:rFonts w:ascii="Times New Roman" w:hAnsi="Times New Roman" w:cs="Times New Roman" w:eastAsia="Times New Roman" w:hint="default"/>
                <w:sz w:val="16"/>
                <w:szCs w:val="16"/>
              </w:rPr>
            </w:pPr>
            <w:r>
              <w:rPr>
                <w:rFonts w:ascii="Times New Roman"/>
                <w:spacing w:val="-6"/>
                <w:sz w:val="16"/>
              </w:rPr>
              <w:t>31,472,501.79</w:t>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4"/>
              <w:ind w:left="393" w:right="0"/>
              <w:jc w:val="left"/>
              <w:rPr>
                <w:rFonts w:ascii="宋体" w:hAnsi="宋体" w:cs="宋体" w:eastAsia="宋体" w:hint="default"/>
                <w:sz w:val="16"/>
                <w:szCs w:val="16"/>
              </w:rPr>
            </w:pPr>
            <w:r>
              <w:rPr>
                <w:rFonts w:ascii="宋体" w:hAnsi="宋体" w:cs="宋体" w:eastAsia="宋体" w:hint="default"/>
                <w:w w:val="105"/>
                <w:sz w:val="16"/>
                <w:szCs w:val="16"/>
              </w:rPr>
              <w:t>支付其他与经营活动有关的现金</w:t>
            </w:r>
            <w:r>
              <w:rPr>
                <w:rFonts w:ascii="宋体" w:hAnsi="宋体" w:cs="宋体" w:eastAsia="宋体" w:hint="default"/>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2"/>
              <w:jc w:val="right"/>
              <w:rPr>
                <w:rFonts w:ascii="Times New Roman" w:hAnsi="Times New Roman" w:cs="Times New Roman" w:eastAsia="Times New Roman" w:hint="default"/>
                <w:sz w:val="16"/>
                <w:szCs w:val="16"/>
              </w:rPr>
            </w:pPr>
            <w:r>
              <w:rPr>
                <w:rFonts w:ascii="Times New Roman"/>
                <w:spacing w:val="-6"/>
                <w:sz w:val="16"/>
              </w:rPr>
              <w:t>151,027,945.32</w:t>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2"/>
              <w:ind w:right="27"/>
              <w:jc w:val="right"/>
              <w:rPr>
                <w:rFonts w:ascii="Times New Roman" w:hAnsi="Times New Roman" w:cs="Times New Roman" w:eastAsia="Times New Roman" w:hint="default"/>
                <w:sz w:val="16"/>
                <w:szCs w:val="16"/>
              </w:rPr>
            </w:pPr>
            <w:r>
              <w:rPr>
                <w:rFonts w:ascii="Times New Roman"/>
                <w:spacing w:val="-6"/>
                <w:sz w:val="16"/>
              </w:rPr>
              <w:t>52,650,359.39</w:t>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52" w:lineRule="exact"/>
              <w:ind w:left="158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经营活动现金流出小计</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28"/>
              <w:jc w:val="right"/>
              <w:rPr>
                <w:rFonts w:ascii="Times New Roman" w:hAnsi="Times New Roman" w:cs="Times New Roman" w:eastAsia="Times New Roman" w:hint="default"/>
                <w:sz w:val="16"/>
                <w:szCs w:val="16"/>
              </w:rPr>
            </w:pPr>
            <w:r>
              <w:rPr>
                <w:rFonts w:ascii="Times New Roman"/>
                <w:b/>
                <w:spacing w:val="2"/>
                <w:sz w:val="16"/>
              </w:rPr>
              <w:t>327,620,554.40</w:t>
            </w:r>
            <w:r>
              <w:rPr>
                <w:rFonts w:ascii="Times New Roman"/>
                <w:spacing w:val="2"/>
                <w:sz w:val="16"/>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7"/>
              <w:ind w:right="43"/>
              <w:jc w:val="right"/>
              <w:rPr>
                <w:rFonts w:ascii="Times New Roman" w:hAnsi="Times New Roman" w:cs="Times New Roman" w:eastAsia="Times New Roman" w:hint="default"/>
                <w:sz w:val="16"/>
                <w:szCs w:val="16"/>
              </w:rPr>
            </w:pPr>
            <w:r>
              <w:rPr>
                <w:rFonts w:ascii="Times New Roman"/>
                <w:b/>
                <w:spacing w:val="2"/>
                <w:sz w:val="16"/>
              </w:rPr>
              <w:t>120,463,134.47</w:t>
            </w:r>
            <w:r>
              <w:rPr>
                <w:rFonts w:ascii="Times New Roman"/>
                <w:spacing w:val="2"/>
                <w:sz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53" w:lineRule="exact"/>
              <w:ind w:left="1324"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经营活动产生的现金流量净额</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25"/>
              <w:ind w:right="1"/>
              <w:jc w:val="center"/>
              <w:rPr>
                <w:rFonts w:ascii="宋体" w:hAnsi="宋体" w:cs="宋体" w:eastAsia="宋体" w:hint="default"/>
                <w:sz w:val="16"/>
                <w:szCs w:val="16"/>
              </w:rPr>
            </w:pPr>
            <w:r>
              <w:rPr>
                <w:rFonts w:ascii="宋体" w:hAnsi="宋体" w:cs="宋体" w:eastAsia="宋体" w:hint="default"/>
                <w:w w:val="105"/>
                <w:sz w:val="16"/>
                <w:szCs w:val="16"/>
              </w:rPr>
              <w:t>十二、6</w:t>
            </w:r>
            <w:r>
              <w:rPr>
                <w:rFonts w:ascii="宋体" w:hAnsi="宋体" w:cs="宋体" w:eastAsia="宋体" w:hint="default"/>
                <w:sz w:val="16"/>
                <w:szCs w:val="16"/>
              </w:rPr>
            </w: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53"/>
              <w:ind w:right="28"/>
              <w:jc w:val="right"/>
              <w:rPr>
                <w:rFonts w:ascii="Times New Roman" w:hAnsi="Times New Roman" w:cs="Times New Roman" w:eastAsia="Times New Roman" w:hint="default"/>
                <w:sz w:val="16"/>
                <w:szCs w:val="16"/>
              </w:rPr>
            </w:pPr>
            <w:r>
              <w:rPr>
                <w:rFonts w:ascii="Times New Roman"/>
                <w:b/>
                <w:spacing w:val="2"/>
                <w:sz w:val="16"/>
              </w:rPr>
              <w:t>287,797,930.51</w:t>
            </w:r>
            <w:r>
              <w:rPr>
                <w:rFonts w:ascii="Times New Roman"/>
                <w:spacing w:val="2"/>
                <w:sz w:val="16"/>
              </w:rPr>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53"/>
              <w:ind w:right="43"/>
              <w:jc w:val="right"/>
              <w:rPr>
                <w:rFonts w:ascii="Times New Roman" w:hAnsi="Times New Roman" w:cs="Times New Roman" w:eastAsia="Times New Roman" w:hint="default"/>
                <w:sz w:val="16"/>
                <w:szCs w:val="16"/>
              </w:rPr>
            </w:pPr>
            <w:r>
              <w:rPr>
                <w:rFonts w:ascii="Times New Roman"/>
                <w:b/>
                <w:w w:val="105"/>
                <w:sz w:val="16"/>
              </w:rPr>
              <w:t>-51,240,004.33</w:t>
            </w:r>
            <w:r>
              <w:rPr>
                <w:rFonts w:ascii="Times New Roman"/>
                <w:sz w:val="16"/>
              </w:rPr>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58" w:lineRule="exact"/>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二、投资活动产生的现金流量：</w:t>
            </w:r>
            <w:r>
              <w:rPr>
                <w:rFonts w:ascii="Microsoft JhengHei" w:hAnsi="Microsoft JhengHei" w:cs="Microsoft JhengHei" w:eastAsia="Microsoft JhengHei" w:hint="default"/>
                <w:spacing w:val="11"/>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
        </w:tc>
        <w:tc>
          <w:tcPr>
            <w:tcW w:w="1904" w:type="dxa"/>
            <w:tcBorders>
              <w:top w:val="single" w:sz="4" w:space="0" w:color="000000"/>
              <w:left w:val="single" w:sz="6" w:space="0" w:color="000000"/>
              <w:bottom w:val="single" w:sz="4" w:space="0" w:color="000000"/>
              <w:right w:val="nil" w:sz="6" w:space="0" w:color="auto"/>
            </w:tcBorders>
          </w:tcPr>
          <w:p>
            <w:pP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1"/>
              <w:ind w:left="393" w:right="0"/>
              <w:jc w:val="left"/>
              <w:rPr>
                <w:rFonts w:ascii="宋体" w:hAnsi="宋体" w:cs="宋体" w:eastAsia="宋体" w:hint="default"/>
                <w:sz w:val="16"/>
                <w:szCs w:val="16"/>
              </w:rPr>
            </w:pPr>
            <w:r>
              <w:rPr>
                <w:rFonts w:ascii="宋体" w:hAnsi="宋体" w:cs="宋体" w:eastAsia="宋体" w:hint="default"/>
                <w:w w:val="105"/>
                <w:sz w:val="16"/>
                <w:szCs w:val="16"/>
              </w:rPr>
              <w:t>收回投资收到的现金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4"/>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4"/>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26"/>
              <w:ind w:left="393" w:right="0"/>
              <w:jc w:val="left"/>
              <w:rPr>
                <w:rFonts w:ascii="宋体" w:hAnsi="宋体" w:cs="宋体" w:eastAsia="宋体" w:hint="default"/>
                <w:sz w:val="16"/>
                <w:szCs w:val="16"/>
              </w:rPr>
            </w:pPr>
            <w:r>
              <w:rPr>
                <w:rFonts w:ascii="宋体" w:hAnsi="宋体" w:cs="宋体" w:eastAsia="宋体" w:hint="default"/>
                <w:w w:val="105"/>
                <w:sz w:val="16"/>
                <w:szCs w:val="16"/>
              </w:rPr>
              <w:t>取得投资收益收到的现金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1"/>
              <w:jc w:val="right"/>
              <w:rPr>
                <w:rFonts w:ascii="Times New Roman" w:hAnsi="Times New Roman" w:cs="Times New Roman" w:eastAsia="Times New Roman" w:hint="default"/>
                <w:sz w:val="16"/>
                <w:szCs w:val="16"/>
              </w:rPr>
            </w:pPr>
            <w:r>
              <w:rPr>
                <w:rFonts w:ascii="Times New Roman"/>
                <w:spacing w:val="-6"/>
                <w:sz w:val="16"/>
              </w:rPr>
              <w:t>258,990.29</w:t>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27"/>
              <w:jc w:val="right"/>
              <w:rPr>
                <w:rFonts w:ascii="Times New Roman" w:hAnsi="Times New Roman" w:cs="Times New Roman" w:eastAsia="Times New Roman" w:hint="default"/>
                <w:sz w:val="16"/>
                <w:szCs w:val="16"/>
              </w:rPr>
            </w:pPr>
            <w:r>
              <w:rPr>
                <w:rFonts w:ascii="Times New Roman"/>
                <w:spacing w:val="-6"/>
                <w:sz w:val="16"/>
              </w:rPr>
              <w:t>10,317,990.96</w:t>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33"/>
              <w:ind w:right="788"/>
              <w:jc w:val="right"/>
              <w:rPr>
                <w:rFonts w:ascii="宋体" w:hAnsi="宋体" w:cs="宋体" w:eastAsia="宋体" w:hint="default"/>
                <w:sz w:val="14"/>
                <w:szCs w:val="14"/>
              </w:rPr>
            </w:pPr>
            <w:r>
              <w:rPr>
                <w:rFonts w:ascii="宋体" w:hAnsi="宋体" w:cs="宋体" w:eastAsia="宋体" w:hint="default"/>
                <w:w w:val="105"/>
                <w:sz w:val="14"/>
                <w:szCs w:val="14"/>
              </w:rPr>
              <w:t>处置固定资产、无形资产和其他长期资产收回的现金净额</w:t>
            </w:r>
            <w:r>
              <w:rPr>
                <w:rFonts w:ascii="宋体" w:hAnsi="宋体" w:cs="宋体" w:eastAsia="宋体" w:hint="default"/>
                <w:sz w:val="14"/>
                <w:szCs w:val="14"/>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1"/>
              <w:jc w:val="right"/>
              <w:rPr>
                <w:rFonts w:ascii="Times New Roman" w:hAnsi="Times New Roman" w:cs="Times New Roman" w:eastAsia="Times New Roman" w:hint="default"/>
                <w:sz w:val="16"/>
                <w:szCs w:val="16"/>
              </w:rPr>
            </w:pPr>
            <w:r>
              <w:rPr>
                <w:rFonts w:ascii="Times New Roman"/>
                <w:spacing w:val="-6"/>
                <w:sz w:val="16"/>
              </w:rPr>
              <w:t>43,500.00</w:t>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2"/>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40" w:lineRule="auto" w:before="25"/>
              <w:ind w:left="393" w:right="0"/>
              <w:jc w:val="left"/>
              <w:rPr>
                <w:rFonts w:ascii="宋体" w:hAnsi="宋体" w:cs="宋体" w:eastAsia="宋体" w:hint="default"/>
                <w:sz w:val="16"/>
                <w:szCs w:val="16"/>
              </w:rPr>
            </w:pPr>
            <w:r>
              <w:rPr>
                <w:rFonts w:ascii="宋体" w:hAnsi="宋体" w:cs="宋体" w:eastAsia="宋体" w:hint="default"/>
                <w:w w:val="105"/>
                <w:sz w:val="16"/>
                <w:szCs w:val="16"/>
              </w:rPr>
              <w:t>处置子公司及其他营业单位收到的现金净额</w:t>
            </w:r>
            <w:r>
              <w:rPr>
                <w:rFonts w:ascii="宋体" w:hAnsi="宋体" w:cs="宋体" w:eastAsia="宋体" w:hint="default"/>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48"/>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48"/>
              <w:ind w:right="27"/>
              <w:jc w:val="right"/>
              <w:rPr>
                <w:rFonts w:ascii="Times New Roman" w:hAnsi="Times New Roman" w:cs="Times New Roman" w:eastAsia="Times New Roman" w:hint="default"/>
                <w:sz w:val="16"/>
                <w:szCs w:val="16"/>
              </w:rPr>
            </w:pPr>
            <w:r>
              <w:rPr>
                <w:rFonts w:ascii="Times New Roman"/>
                <w:spacing w:val="-6"/>
                <w:sz w:val="16"/>
              </w:rPr>
              <w:t>156,401,953.47</w:t>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0"/>
              <w:ind w:left="393" w:right="0"/>
              <w:jc w:val="left"/>
              <w:rPr>
                <w:rFonts w:ascii="宋体" w:hAnsi="宋体" w:cs="宋体" w:eastAsia="宋体" w:hint="default"/>
                <w:sz w:val="16"/>
                <w:szCs w:val="16"/>
              </w:rPr>
            </w:pPr>
            <w:r>
              <w:rPr>
                <w:rFonts w:ascii="宋体" w:hAnsi="宋体" w:cs="宋体" w:eastAsia="宋体" w:hint="default"/>
                <w:w w:val="105"/>
                <w:sz w:val="16"/>
                <w:szCs w:val="16"/>
              </w:rPr>
              <w:t>收到其他与投资活动有关的现金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3"/>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3"/>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59" w:lineRule="exact"/>
              <w:ind w:left="158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投资活动现金流入小计</w:t>
            </w:r>
            <w:r>
              <w:rPr>
                <w:rFonts w:ascii="Microsoft JhengHei" w:hAnsi="Microsoft JhengHei" w:cs="Microsoft JhengHei" w:eastAsia="Microsoft JhengHei" w:hint="default"/>
                <w:spacing w:val="11"/>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9"/>
              <w:ind w:right="27"/>
              <w:jc w:val="right"/>
              <w:rPr>
                <w:rFonts w:ascii="Times New Roman" w:hAnsi="Times New Roman" w:cs="Times New Roman" w:eastAsia="Times New Roman" w:hint="default"/>
                <w:sz w:val="16"/>
                <w:szCs w:val="16"/>
              </w:rPr>
            </w:pPr>
            <w:r>
              <w:rPr>
                <w:rFonts w:ascii="Times New Roman"/>
                <w:b/>
                <w:spacing w:val="2"/>
                <w:sz w:val="16"/>
              </w:rPr>
              <w:t>302,490.29</w:t>
            </w:r>
            <w:r>
              <w:rPr>
                <w:rFonts w:ascii="Times New Roman"/>
                <w:spacing w:val="2"/>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9"/>
              <w:ind w:right="43"/>
              <w:jc w:val="right"/>
              <w:rPr>
                <w:rFonts w:ascii="Times New Roman" w:hAnsi="Times New Roman" w:cs="Times New Roman" w:eastAsia="Times New Roman" w:hint="default"/>
                <w:sz w:val="16"/>
                <w:szCs w:val="16"/>
              </w:rPr>
            </w:pPr>
            <w:r>
              <w:rPr>
                <w:rFonts w:ascii="Times New Roman"/>
                <w:b/>
                <w:spacing w:val="2"/>
                <w:sz w:val="16"/>
              </w:rPr>
              <w:t>166,719,944.43</w:t>
            </w:r>
            <w:r>
              <w:rPr>
                <w:rFonts w:ascii="Times New Roman"/>
                <w:spacing w:val="2"/>
                <w:sz w:val="16"/>
              </w:rPr>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26"/>
              <w:ind w:right="749"/>
              <w:jc w:val="right"/>
              <w:rPr>
                <w:rFonts w:ascii="宋体" w:hAnsi="宋体" w:cs="宋体" w:eastAsia="宋体" w:hint="default"/>
                <w:sz w:val="16"/>
                <w:szCs w:val="16"/>
              </w:rPr>
            </w:pPr>
            <w:r>
              <w:rPr>
                <w:rFonts w:ascii="宋体" w:hAnsi="宋体" w:cs="宋体" w:eastAsia="宋体" w:hint="default"/>
                <w:sz w:val="16"/>
                <w:szCs w:val="16"/>
              </w:rPr>
              <w:t>购建固定资产、无形资产和其他长期资产支付的现金</w:t>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2"/>
              <w:jc w:val="right"/>
              <w:rPr>
                <w:rFonts w:ascii="Times New Roman" w:hAnsi="Times New Roman" w:cs="Times New Roman" w:eastAsia="Times New Roman" w:hint="default"/>
                <w:sz w:val="16"/>
                <w:szCs w:val="16"/>
              </w:rPr>
            </w:pPr>
            <w:r>
              <w:rPr>
                <w:rFonts w:ascii="Times New Roman"/>
                <w:spacing w:val="-6"/>
                <w:sz w:val="16"/>
              </w:rPr>
              <w:t>5,195,000.14</w:t>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27"/>
              <w:jc w:val="right"/>
              <w:rPr>
                <w:rFonts w:ascii="Times New Roman" w:hAnsi="Times New Roman" w:cs="Times New Roman" w:eastAsia="Times New Roman" w:hint="default"/>
                <w:sz w:val="16"/>
                <w:szCs w:val="16"/>
              </w:rPr>
            </w:pPr>
            <w:r>
              <w:rPr>
                <w:rFonts w:ascii="Times New Roman"/>
                <w:spacing w:val="-6"/>
                <w:sz w:val="16"/>
              </w:rPr>
              <w:t>1,814,911.45</w:t>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4"/>
              <w:ind w:left="393" w:right="0"/>
              <w:jc w:val="left"/>
              <w:rPr>
                <w:rFonts w:ascii="宋体" w:hAnsi="宋体" w:cs="宋体" w:eastAsia="宋体" w:hint="default"/>
                <w:sz w:val="16"/>
                <w:szCs w:val="16"/>
              </w:rPr>
            </w:pPr>
            <w:r>
              <w:rPr>
                <w:rFonts w:ascii="宋体" w:hAnsi="宋体" w:cs="宋体" w:eastAsia="宋体" w:hint="default"/>
                <w:w w:val="105"/>
                <w:sz w:val="16"/>
                <w:szCs w:val="16"/>
              </w:rPr>
              <w:t>投资支付的现金</w:t>
            </w:r>
            <w:r>
              <w:rPr>
                <w:rFonts w:ascii="宋体" w:hAnsi="宋体" w:cs="宋体" w:eastAsia="宋体" w:hint="default"/>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2"/>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2"/>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40" w:lineRule="auto" w:before="25"/>
              <w:ind w:left="393" w:right="0"/>
              <w:jc w:val="left"/>
              <w:rPr>
                <w:rFonts w:ascii="宋体" w:hAnsi="宋体" w:cs="宋体" w:eastAsia="宋体" w:hint="default"/>
                <w:sz w:val="16"/>
                <w:szCs w:val="16"/>
              </w:rPr>
            </w:pPr>
            <w:r>
              <w:rPr>
                <w:rFonts w:ascii="宋体" w:hAnsi="宋体" w:cs="宋体" w:eastAsia="宋体" w:hint="default"/>
                <w:w w:val="105"/>
                <w:sz w:val="16"/>
                <w:szCs w:val="16"/>
              </w:rPr>
              <w:t>取得子公司及其他营业单位支付的现金净额</w:t>
            </w:r>
            <w:r>
              <w:rPr>
                <w:rFonts w:ascii="宋体" w:hAnsi="宋体" w:cs="宋体" w:eastAsia="宋体" w:hint="default"/>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48"/>
              <w:ind w:right="12"/>
              <w:jc w:val="right"/>
              <w:rPr>
                <w:rFonts w:ascii="Times New Roman" w:hAnsi="Times New Roman" w:cs="Times New Roman" w:eastAsia="Times New Roman" w:hint="default"/>
                <w:sz w:val="16"/>
                <w:szCs w:val="16"/>
              </w:rPr>
            </w:pPr>
            <w:r>
              <w:rPr>
                <w:rFonts w:ascii="Times New Roman"/>
                <w:spacing w:val="-6"/>
                <w:sz w:val="16"/>
              </w:rPr>
              <w:t>170,000,000.00</w:t>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48"/>
              <w:ind w:right="27"/>
              <w:jc w:val="right"/>
              <w:rPr>
                <w:rFonts w:ascii="Times New Roman" w:hAnsi="Times New Roman" w:cs="Times New Roman" w:eastAsia="Times New Roman" w:hint="default"/>
                <w:sz w:val="16"/>
                <w:szCs w:val="16"/>
              </w:rPr>
            </w:pPr>
            <w:r>
              <w:rPr>
                <w:rFonts w:ascii="Times New Roman"/>
                <w:spacing w:val="-6"/>
                <w:sz w:val="16"/>
              </w:rPr>
              <w:t>103,000,000.00</w:t>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0"/>
              <w:ind w:left="393" w:right="0"/>
              <w:jc w:val="left"/>
              <w:rPr>
                <w:rFonts w:ascii="宋体" w:hAnsi="宋体" w:cs="宋体" w:eastAsia="宋体" w:hint="default"/>
                <w:sz w:val="16"/>
                <w:szCs w:val="16"/>
              </w:rPr>
            </w:pPr>
            <w:r>
              <w:rPr>
                <w:rFonts w:ascii="宋体" w:hAnsi="宋体" w:cs="宋体" w:eastAsia="宋体" w:hint="default"/>
                <w:w w:val="105"/>
                <w:sz w:val="16"/>
                <w:szCs w:val="16"/>
              </w:rPr>
              <w:t>支付其他与投资活动有关的现金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3"/>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3"/>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59" w:lineRule="exact"/>
              <w:ind w:left="158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投资活动现金流出小计</w:t>
            </w:r>
            <w:r>
              <w:rPr>
                <w:rFonts w:ascii="Microsoft JhengHei" w:hAnsi="Microsoft JhengHei" w:cs="Microsoft JhengHei" w:eastAsia="Microsoft JhengHei" w:hint="default"/>
                <w:spacing w:val="11"/>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9"/>
              <w:ind w:right="28"/>
              <w:jc w:val="right"/>
              <w:rPr>
                <w:rFonts w:ascii="Times New Roman" w:hAnsi="Times New Roman" w:cs="Times New Roman" w:eastAsia="Times New Roman" w:hint="default"/>
                <w:sz w:val="16"/>
                <w:szCs w:val="16"/>
              </w:rPr>
            </w:pPr>
            <w:r>
              <w:rPr>
                <w:rFonts w:ascii="Times New Roman"/>
                <w:b/>
                <w:spacing w:val="2"/>
                <w:sz w:val="16"/>
              </w:rPr>
              <w:t>175,195,000.14</w:t>
            </w:r>
            <w:r>
              <w:rPr>
                <w:rFonts w:ascii="Times New Roman"/>
                <w:spacing w:val="2"/>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9"/>
              <w:ind w:right="43"/>
              <w:jc w:val="right"/>
              <w:rPr>
                <w:rFonts w:ascii="Times New Roman" w:hAnsi="Times New Roman" w:cs="Times New Roman" w:eastAsia="Times New Roman" w:hint="default"/>
                <w:sz w:val="16"/>
                <w:szCs w:val="16"/>
              </w:rPr>
            </w:pPr>
            <w:r>
              <w:rPr>
                <w:rFonts w:ascii="Times New Roman"/>
                <w:b/>
                <w:spacing w:val="2"/>
                <w:sz w:val="16"/>
              </w:rPr>
              <w:t>104,814,911.45</w:t>
            </w:r>
            <w:r>
              <w:rPr>
                <w:rFonts w:ascii="Times New Roman"/>
                <w:spacing w:val="2"/>
                <w:sz w:val="16"/>
              </w:rPr>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54" w:lineRule="exact"/>
              <w:ind w:left="1324"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投资活动产生的现金流量净额</w:t>
            </w:r>
            <w:r>
              <w:rPr>
                <w:rFonts w:ascii="Microsoft JhengHei" w:hAnsi="Microsoft JhengHei" w:cs="Microsoft JhengHei" w:eastAsia="Microsoft JhengHei" w:hint="default"/>
                <w:spacing w:val="11"/>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9"/>
              <w:ind w:right="28"/>
              <w:jc w:val="right"/>
              <w:rPr>
                <w:rFonts w:ascii="Times New Roman" w:hAnsi="Times New Roman" w:cs="Times New Roman" w:eastAsia="Times New Roman" w:hint="default"/>
                <w:sz w:val="16"/>
                <w:szCs w:val="16"/>
              </w:rPr>
            </w:pPr>
            <w:r>
              <w:rPr>
                <w:rFonts w:ascii="Times New Roman"/>
                <w:b/>
                <w:spacing w:val="2"/>
                <w:sz w:val="16"/>
              </w:rPr>
              <w:t>-174,892,509.85</w:t>
            </w:r>
            <w:r>
              <w:rPr>
                <w:rFonts w:ascii="Times New Roman"/>
                <w:spacing w:val="2"/>
                <w:sz w:val="16"/>
              </w:rPr>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9"/>
              <w:ind w:right="43"/>
              <w:jc w:val="right"/>
              <w:rPr>
                <w:rFonts w:ascii="Times New Roman" w:hAnsi="Times New Roman" w:cs="Times New Roman" w:eastAsia="Times New Roman" w:hint="default"/>
                <w:sz w:val="16"/>
                <w:szCs w:val="16"/>
              </w:rPr>
            </w:pPr>
            <w:r>
              <w:rPr>
                <w:rFonts w:ascii="Times New Roman"/>
                <w:b/>
                <w:spacing w:val="2"/>
                <w:sz w:val="16"/>
              </w:rPr>
              <w:t>61,905,032.98</w:t>
            </w:r>
            <w:r>
              <w:rPr>
                <w:rFonts w:ascii="Times New Roman"/>
                <w:spacing w:val="2"/>
                <w:sz w:val="16"/>
              </w:rPr>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52" w:lineRule="exact"/>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三、筹资活动产生的现金流量：</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
        </w:tc>
        <w:tc>
          <w:tcPr>
            <w:tcW w:w="1904" w:type="dxa"/>
            <w:tcBorders>
              <w:top w:val="single" w:sz="6" w:space="0" w:color="000000"/>
              <w:left w:val="single" w:sz="6" w:space="0" w:color="000000"/>
              <w:bottom w:val="single" w:sz="6" w:space="0" w:color="000000"/>
              <w:right w:val="nil" w:sz="6" w:space="0" w:color="auto"/>
            </w:tcBorders>
          </w:tcPr>
          <w:p>
            <w:pP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40" w:lineRule="auto" w:before="25"/>
              <w:ind w:left="393" w:right="0"/>
              <w:jc w:val="left"/>
              <w:rPr>
                <w:rFonts w:ascii="宋体" w:hAnsi="宋体" w:cs="宋体" w:eastAsia="宋体" w:hint="default"/>
                <w:sz w:val="16"/>
                <w:szCs w:val="16"/>
              </w:rPr>
            </w:pPr>
            <w:r>
              <w:rPr>
                <w:rFonts w:ascii="宋体" w:hAnsi="宋体" w:cs="宋体" w:eastAsia="宋体" w:hint="default"/>
                <w:w w:val="105"/>
                <w:sz w:val="16"/>
                <w:szCs w:val="16"/>
              </w:rPr>
              <w:t>吸收投资收到的现金</w:t>
            </w:r>
            <w:r>
              <w:rPr>
                <w:rFonts w:ascii="宋体" w:hAnsi="宋体" w:cs="宋体" w:eastAsia="宋体" w:hint="default"/>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48"/>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48"/>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0"/>
              <w:ind w:left="393" w:right="0"/>
              <w:jc w:val="left"/>
              <w:rPr>
                <w:rFonts w:ascii="宋体" w:hAnsi="宋体" w:cs="宋体" w:eastAsia="宋体" w:hint="default"/>
                <w:sz w:val="16"/>
                <w:szCs w:val="16"/>
              </w:rPr>
            </w:pPr>
            <w:r>
              <w:rPr>
                <w:rFonts w:ascii="宋体" w:hAnsi="宋体" w:cs="宋体" w:eastAsia="宋体" w:hint="default"/>
                <w:w w:val="105"/>
                <w:sz w:val="16"/>
                <w:szCs w:val="16"/>
              </w:rPr>
              <w:t>借款收到的现金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3"/>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3"/>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1"/>
              <w:ind w:left="393" w:right="0"/>
              <w:jc w:val="left"/>
              <w:rPr>
                <w:rFonts w:ascii="宋体" w:hAnsi="宋体" w:cs="宋体" w:eastAsia="宋体" w:hint="default"/>
                <w:sz w:val="16"/>
                <w:szCs w:val="16"/>
              </w:rPr>
            </w:pPr>
            <w:r>
              <w:rPr>
                <w:rFonts w:ascii="宋体" w:hAnsi="宋体" w:cs="宋体" w:eastAsia="宋体" w:hint="default"/>
                <w:w w:val="105"/>
                <w:sz w:val="16"/>
                <w:szCs w:val="16"/>
              </w:rPr>
              <w:t>发行债券收到的现金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4"/>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4"/>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26"/>
              <w:ind w:left="393" w:right="0"/>
              <w:jc w:val="left"/>
              <w:rPr>
                <w:rFonts w:ascii="宋体" w:hAnsi="宋体" w:cs="宋体" w:eastAsia="宋体" w:hint="default"/>
                <w:sz w:val="16"/>
                <w:szCs w:val="16"/>
              </w:rPr>
            </w:pPr>
            <w:r>
              <w:rPr>
                <w:rFonts w:ascii="宋体" w:hAnsi="宋体" w:cs="宋体" w:eastAsia="宋体" w:hint="default"/>
                <w:w w:val="105"/>
                <w:sz w:val="16"/>
                <w:szCs w:val="16"/>
              </w:rPr>
              <w:t>收到其他与筹资活动有关的现金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52" w:lineRule="exact"/>
              <w:ind w:left="158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筹资活动现金流入小计</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14"/>
              <w:jc w:val="right"/>
              <w:rPr>
                <w:rFonts w:ascii="Times New Roman" w:hAnsi="Times New Roman" w:cs="Times New Roman" w:eastAsia="Times New Roman" w:hint="default"/>
                <w:sz w:val="16"/>
                <w:szCs w:val="16"/>
              </w:rPr>
            </w:pPr>
            <w:r>
              <w:rPr>
                <w:rFonts w:ascii="Times New Roman"/>
                <w:b/>
                <w:w w:val="102"/>
                <w:sz w:val="16"/>
              </w:rPr>
              <w:t>-</w:t>
            </w:r>
            <w:r>
              <w:rPr>
                <w:rFonts w:ascii="Times New Roman"/>
                <w:sz w:val="16"/>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7"/>
              <w:ind w:right="29"/>
              <w:jc w:val="right"/>
              <w:rPr>
                <w:rFonts w:ascii="Times New Roman" w:hAnsi="Times New Roman" w:cs="Times New Roman" w:eastAsia="Times New Roman" w:hint="default"/>
                <w:sz w:val="16"/>
                <w:szCs w:val="16"/>
              </w:rPr>
            </w:pPr>
            <w:r>
              <w:rPr>
                <w:rFonts w:ascii="Times New Roman"/>
                <w:b/>
                <w:w w:val="102"/>
                <w:sz w:val="16"/>
              </w:rPr>
              <w:t>-</w:t>
            </w:r>
            <w:r>
              <w:rPr>
                <w:rFonts w:ascii="Times New Roman"/>
                <w:sz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40" w:lineRule="auto" w:before="25"/>
              <w:ind w:left="393" w:right="0"/>
              <w:jc w:val="left"/>
              <w:rPr>
                <w:rFonts w:ascii="宋体" w:hAnsi="宋体" w:cs="宋体" w:eastAsia="宋体" w:hint="default"/>
                <w:sz w:val="16"/>
                <w:szCs w:val="16"/>
              </w:rPr>
            </w:pPr>
            <w:r>
              <w:rPr>
                <w:rFonts w:ascii="宋体" w:hAnsi="宋体" w:cs="宋体" w:eastAsia="宋体" w:hint="default"/>
                <w:w w:val="105"/>
                <w:sz w:val="16"/>
                <w:szCs w:val="16"/>
              </w:rPr>
              <w:t>偿还债务支付的现金</w:t>
            </w:r>
            <w:r>
              <w:rPr>
                <w:rFonts w:ascii="宋体" w:hAnsi="宋体" w:cs="宋体" w:eastAsia="宋体" w:hint="default"/>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48"/>
              <w:ind w:right="12"/>
              <w:jc w:val="right"/>
              <w:rPr>
                <w:rFonts w:ascii="Times New Roman" w:hAnsi="Times New Roman" w:cs="Times New Roman" w:eastAsia="Times New Roman" w:hint="default"/>
                <w:sz w:val="16"/>
                <w:szCs w:val="16"/>
              </w:rPr>
            </w:pPr>
            <w:r>
              <w:rPr>
                <w:rFonts w:ascii="Times New Roman"/>
                <w:spacing w:val="-6"/>
                <w:sz w:val="16"/>
              </w:rPr>
              <w:t>93,340,000.00</w:t>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48"/>
              <w:ind w:right="27"/>
              <w:jc w:val="right"/>
              <w:rPr>
                <w:rFonts w:ascii="Times New Roman" w:hAnsi="Times New Roman" w:cs="Times New Roman" w:eastAsia="Times New Roman" w:hint="default"/>
                <w:sz w:val="16"/>
                <w:szCs w:val="16"/>
              </w:rPr>
            </w:pPr>
            <w:r>
              <w:rPr>
                <w:rFonts w:ascii="Times New Roman"/>
                <w:spacing w:val="-6"/>
                <w:sz w:val="16"/>
              </w:rPr>
              <w:t>3,160,000.00</w:t>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40" w:lineRule="auto" w:before="30"/>
              <w:ind w:left="393" w:right="0"/>
              <w:jc w:val="left"/>
              <w:rPr>
                <w:rFonts w:ascii="宋体" w:hAnsi="宋体" w:cs="宋体" w:eastAsia="宋体" w:hint="default"/>
                <w:sz w:val="16"/>
                <w:szCs w:val="16"/>
              </w:rPr>
            </w:pPr>
            <w:r>
              <w:rPr>
                <w:rFonts w:ascii="宋体" w:hAnsi="宋体" w:cs="宋体" w:eastAsia="宋体" w:hint="default"/>
                <w:w w:val="105"/>
                <w:sz w:val="16"/>
                <w:szCs w:val="16"/>
              </w:rPr>
              <w:t>分配股利、利润或偿付利息支付的现金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3"/>
              <w:ind w:right="12"/>
              <w:jc w:val="right"/>
              <w:rPr>
                <w:rFonts w:ascii="Times New Roman" w:hAnsi="Times New Roman" w:cs="Times New Roman" w:eastAsia="Times New Roman" w:hint="default"/>
                <w:sz w:val="16"/>
                <w:szCs w:val="16"/>
              </w:rPr>
            </w:pPr>
            <w:r>
              <w:rPr>
                <w:rFonts w:ascii="Times New Roman"/>
                <w:spacing w:val="-6"/>
                <w:sz w:val="16"/>
              </w:rPr>
              <w:t>23,229,499.72</w:t>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3"/>
              <w:ind w:right="27"/>
              <w:jc w:val="right"/>
              <w:rPr>
                <w:rFonts w:ascii="Times New Roman" w:hAnsi="Times New Roman" w:cs="Times New Roman" w:eastAsia="Times New Roman" w:hint="default"/>
                <w:sz w:val="16"/>
                <w:szCs w:val="16"/>
              </w:rPr>
            </w:pPr>
            <w:r>
              <w:rPr>
                <w:rFonts w:ascii="Times New Roman"/>
                <w:spacing w:val="-6"/>
                <w:sz w:val="16"/>
              </w:rPr>
              <w:t>6,434,623.24</w:t>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31"/>
              <w:ind w:left="393" w:right="0"/>
              <w:jc w:val="left"/>
              <w:rPr>
                <w:rFonts w:ascii="宋体" w:hAnsi="宋体" w:cs="宋体" w:eastAsia="宋体" w:hint="default"/>
                <w:sz w:val="16"/>
                <w:szCs w:val="16"/>
              </w:rPr>
            </w:pPr>
            <w:r>
              <w:rPr>
                <w:rFonts w:ascii="宋体" w:hAnsi="宋体" w:cs="宋体" w:eastAsia="宋体" w:hint="default"/>
                <w:w w:val="105"/>
                <w:sz w:val="16"/>
                <w:szCs w:val="16"/>
              </w:rPr>
              <w:t>支付其他与筹资活动有关的现金</w:t>
            </w:r>
            <w:r>
              <w:rPr>
                <w:rFonts w:ascii="宋体" w:hAnsi="宋体" w:cs="宋体" w:eastAsia="宋体" w:hint="default"/>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29"/>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52" w:lineRule="exact"/>
              <w:ind w:left="158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筹资活动现金流出小计</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28"/>
              <w:jc w:val="right"/>
              <w:rPr>
                <w:rFonts w:ascii="Times New Roman" w:hAnsi="Times New Roman" w:cs="Times New Roman" w:eastAsia="Times New Roman" w:hint="default"/>
                <w:sz w:val="16"/>
                <w:szCs w:val="16"/>
              </w:rPr>
            </w:pPr>
            <w:r>
              <w:rPr>
                <w:rFonts w:ascii="Times New Roman"/>
                <w:b/>
                <w:spacing w:val="2"/>
                <w:sz w:val="16"/>
              </w:rPr>
              <w:t>116,569,499.72</w:t>
            </w:r>
            <w:r>
              <w:rPr>
                <w:rFonts w:ascii="Times New Roman"/>
                <w:spacing w:val="2"/>
                <w:sz w:val="16"/>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7"/>
              <w:ind w:right="42"/>
              <w:jc w:val="right"/>
              <w:rPr>
                <w:rFonts w:ascii="Times New Roman" w:hAnsi="Times New Roman" w:cs="Times New Roman" w:eastAsia="Times New Roman" w:hint="default"/>
                <w:sz w:val="16"/>
                <w:szCs w:val="16"/>
              </w:rPr>
            </w:pPr>
            <w:r>
              <w:rPr>
                <w:rFonts w:ascii="Times New Roman"/>
                <w:b/>
                <w:spacing w:val="2"/>
                <w:sz w:val="16"/>
              </w:rPr>
              <w:t>9,594,623.24</w:t>
            </w:r>
            <w:r>
              <w:rPr>
                <w:rFonts w:ascii="Times New Roman"/>
                <w:spacing w:val="2"/>
                <w:sz w:val="16"/>
              </w:rPr>
            </w:r>
          </w:p>
        </w:tc>
      </w:tr>
      <w:tr>
        <w:trPr>
          <w:trHeight w:val="307" w:hRule="exact"/>
        </w:trPr>
        <w:tc>
          <w:tcPr>
            <w:tcW w:w="4956" w:type="dxa"/>
            <w:tcBorders>
              <w:top w:val="single" w:sz="6" w:space="0" w:color="000000"/>
              <w:left w:val="nil" w:sz="6" w:space="0" w:color="auto"/>
              <w:bottom w:val="single" w:sz="6" w:space="0" w:color="000000"/>
              <w:right w:val="single" w:sz="6" w:space="0" w:color="000000"/>
            </w:tcBorders>
          </w:tcPr>
          <w:p>
            <w:pPr>
              <w:pStyle w:val="TableParagraph"/>
              <w:spacing w:line="252" w:lineRule="exact"/>
              <w:ind w:left="1324"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筹资活动产生的现金流量净额</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6" w:space="0" w:color="000000"/>
              <w:right w:val="single" w:sz="6" w:space="0" w:color="000000"/>
            </w:tcBorders>
          </w:tcPr>
          <w:p>
            <w:pPr/>
          </w:p>
        </w:tc>
        <w:tc>
          <w:tcPr>
            <w:tcW w:w="1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28"/>
              <w:jc w:val="right"/>
              <w:rPr>
                <w:rFonts w:ascii="Times New Roman" w:hAnsi="Times New Roman" w:cs="Times New Roman" w:eastAsia="Times New Roman" w:hint="default"/>
                <w:sz w:val="16"/>
                <w:szCs w:val="16"/>
              </w:rPr>
            </w:pPr>
            <w:r>
              <w:rPr>
                <w:rFonts w:ascii="Times New Roman"/>
                <w:b/>
                <w:spacing w:val="2"/>
                <w:sz w:val="16"/>
              </w:rPr>
              <w:t>-116,569,499.72</w:t>
            </w:r>
            <w:r>
              <w:rPr>
                <w:rFonts w:ascii="Times New Roman"/>
                <w:spacing w:val="2"/>
                <w:sz w:val="16"/>
              </w:rPr>
            </w:r>
          </w:p>
        </w:tc>
        <w:tc>
          <w:tcPr>
            <w:tcW w:w="1904"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7"/>
              <w:ind w:right="43"/>
              <w:jc w:val="right"/>
              <w:rPr>
                <w:rFonts w:ascii="Times New Roman" w:hAnsi="Times New Roman" w:cs="Times New Roman" w:eastAsia="Times New Roman" w:hint="default"/>
                <w:sz w:val="16"/>
                <w:szCs w:val="16"/>
              </w:rPr>
            </w:pPr>
            <w:r>
              <w:rPr>
                <w:rFonts w:ascii="Times New Roman"/>
                <w:b/>
                <w:w w:val="105"/>
                <w:sz w:val="16"/>
              </w:rPr>
              <w:t>-9,594,623.24</w:t>
            </w:r>
            <w:r>
              <w:rPr>
                <w:rFonts w:ascii="Times New Roman"/>
                <w:sz w:val="16"/>
              </w:rPr>
            </w:r>
          </w:p>
        </w:tc>
      </w:tr>
      <w:tr>
        <w:trPr>
          <w:trHeight w:val="304" w:hRule="exact"/>
        </w:trPr>
        <w:tc>
          <w:tcPr>
            <w:tcW w:w="4956" w:type="dxa"/>
            <w:tcBorders>
              <w:top w:val="single" w:sz="6" w:space="0" w:color="000000"/>
              <w:left w:val="nil" w:sz="6" w:space="0" w:color="auto"/>
              <w:bottom w:val="single" w:sz="4" w:space="0" w:color="000000"/>
              <w:right w:val="single" w:sz="6" w:space="0" w:color="000000"/>
            </w:tcBorders>
          </w:tcPr>
          <w:p>
            <w:pPr>
              <w:pStyle w:val="TableParagraph"/>
              <w:spacing w:line="253" w:lineRule="exact"/>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四、汇率变动对现金及现金等价物的影响</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4" w:space="0" w:color="000000"/>
              <w:right w:val="single" w:sz="6" w:space="0" w:color="000000"/>
            </w:tcBorders>
          </w:tcPr>
          <w:p>
            <w:pPr/>
          </w:p>
        </w:tc>
        <w:tc>
          <w:tcPr>
            <w:tcW w:w="189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48"/>
              <w:ind w:right="14"/>
              <w:jc w:val="right"/>
              <w:rPr>
                <w:rFonts w:ascii="Times New Roman" w:hAnsi="Times New Roman" w:cs="Times New Roman" w:eastAsia="Times New Roman" w:hint="default"/>
                <w:sz w:val="16"/>
                <w:szCs w:val="16"/>
              </w:rPr>
            </w:pPr>
            <w:r>
              <w:rPr>
                <w:rFonts w:ascii="Times New Roman"/>
                <w:w w:val="102"/>
                <w:sz w:val="16"/>
              </w:rPr>
              <w:t>-</w:t>
            </w:r>
            <w:r>
              <w:rPr>
                <w:rFonts w:ascii="Times New Roman"/>
                <w:sz w:val="16"/>
              </w:rPr>
            </w:r>
          </w:p>
        </w:tc>
        <w:tc>
          <w:tcPr>
            <w:tcW w:w="1904" w:type="dxa"/>
            <w:tcBorders>
              <w:top w:val="single" w:sz="6" w:space="0" w:color="000000"/>
              <w:left w:val="single" w:sz="6" w:space="0" w:color="000000"/>
              <w:bottom w:val="single" w:sz="4" w:space="0" w:color="000000"/>
              <w:right w:val="nil" w:sz="6" w:space="0" w:color="auto"/>
            </w:tcBorders>
          </w:tcPr>
          <w:p>
            <w:pPr>
              <w:pStyle w:val="TableParagraph"/>
              <w:spacing w:line="240" w:lineRule="auto" w:before="48"/>
              <w:ind w:right="26"/>
              <w:jc w:val="right"/>
              <w:rPr>
                <w:rFonts w:ascii="Times New Roman" w:hAnsi="Times New Roman" w:cs="Times New Roman" w:eastAsia="Times New Roman" w:hint="default"/>
                <w:sz w:val="16"/>
                <w:szCs w:val="16"/>
              </w:rPr>
            </w:pPr>
            <w:r>
              <w:rPr>
                <w:rFonts w:ascii="Times New Roman"/>
                <w:spacing w:val="-5"/>
                <w:sz w:val="16"/>
              </w:rPr>
              <w:t>-1,650.00</w:t>
            </w:r>
          </w:p>
        </w:tc>
      </w:tr>
      <w:tr>
        <w:trPr>
          <w:trHeight w:val="307" w:hRule="exact"/>
        </w:trPr>
        <w:tc>
          <w:tcPr>
            <w:tcW w:w="4956" w:type="dxa"/>
            <w:tcBorders>
              <w:top w:val="single" w:sz="4" w:space="0" w:color="000000"/>
              <w:left w:val="nil" w:sz="6" w:space="0" w:color="auto"/>
              <w:bottom w:val="single" w:sz="4" w:space="0" w:color="000000"/>
              <w:right w:val="single" w:sz="6" w:space="0" w:color="000000"/>
            </w:tcBorders>
          </w:tcPr>
          <w:p>
            <w:pPr>
              <w:pStyle w:val="TableParagraph"/>
              <w:spacing w:line="258" w:lineRule="exact"/>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五、现金及现金等价物净增加额</w:t>
            </w:r>
            <w:r>
              <w:rPr>
                <w:rFonts w:ascii="Microsoft JhengHei" w:hAnsi="Microsoft JhengHei" w:cs="Microsoft JhengHei" w:eastAsia="Microsoft JhengHei" w:hint="default"/>
                <w:spacing w:val="11"/>
                <w:sz w:val="16"/>
                <w:szCs w:val="16"/>
              </w:rPr>
            </w:r>
          </w:p>
        </w:tc>
        <w:tc>
          <w:tcPr>
            <w:tcW w:w="878" w:type="dxa"/>
            <w:tcBorders>
              <w:top w:val="single" w:sz="4" w:space="0" w:color="000000"/>
              <w:left w:val="single" w:sz="6" w:space="0" w:color="000000"/>
              <w:bottom w:val="single" w:sz="4" w:space="0" w:color="000000"/>
              <w:right w:val="single" w:sz="6" w:space="0" w:color="000000"/>
            </w:tcBorders>
          </w:tcPr>
          <w:p>
            <w:pPr/>
          </w:p>
        </w:tc>
        <w:tc>
          <w:tcPr>
            <w:tcW w:w="1896" w:type="dxa"/>
            <w:tcBorders>
              <w:top w:val="single" w:sz="4" w:space="0" w:color="000000"/>
              <w:left w:val="single" w:sz="6" w:space="0" w:color="000000"/>
              <w:bottom w:val="single" w:sz="4" w:space="0" w:color="000000"/>
              <w:right w:val="single" w:sz="6" w:space="0" w:color="000000"/>
            </w:tcBorders>
          </w:tcPr>
          <w:p>
            <w:pPr>
              <w:pStyle w:val="TableParagraph"/>
              <w:spacing w:line="240" w:lineRule="auto" w:before="58"/>
              <w:ind w:right="28"/>
              <w:jc w:val="right"/>
              <w:rPr>
                <w:rFonts w:ascii="Times New Roman" w:hAnsi="Times New Roman" w:cs="Times New Roman" w:eastAsia="Times New Roman" w:hint="default"/>
                <w:sz w:val="16"/>
                <w:szCs w:val="16"/>
              </w:rPr>
            </w:pPr>
            <w:r>
              <w:rPr>
                <w:rFonts w:ascii="Times New Roman"/>
                <w:b/>
                <w:w w:val="105"/>
                <w:sz w:val="16"/>
              </w:rPr>
              <w:t>-3,664,079.06</w:t>
            </w:r>
            <w:r>
              <w:rPr>
                <w:rFonts w:ascii="Times New Roman"/>
                <w:sz w:val="16"/>
              </w:rPr>
            </w:r>
          </w:p>
        </w:tc>
        <w:tc>
          <w:tcPr>
            <w:tcW w:w="1904" w:type="dxa"/>
            <w:tcBorders>
              <w:top w:val="single" w:sz="4" w:space="0" w:color="000000"/>
              <w:left w:val="single" w:sz="6" w:space="0" w:color="000000"/>
              <w:bottom w:val="single" w:sz="4" w:space="0" w:color="000000"/>
              <w:right w:val="nil" w:sz="6" w:space="0" w:color="auto"/>
            </w:tcBorders>
          </w:tcPr>
          <w:p>
            <w:pPr>
              <w:pStyle w:val="TableParagraph"/>
              <w:spacing w:line="240" w:lineRule="auto" w:before="58"/>
              <w:ind w:right="42"/>
              <w:jc w:val="right"/>
              <w:rPr>
                <w:rFonts w:ascii="Times New Roman" w:hAnsi="Times New Roman" w:cs="Times New Roman" w:eastAsia="Times New Roman" w:hint="default"/>
                <w:sz w:val="16"/>
                <w:szCs w:val="16"/>
              </w:rPr>
            </w:pPr>
            <w:r>
              <w:rPr>
                <w:rFonts w:ascii="Times New Roman"/>
                <w:b/>
                <w:spacing w:val="2"/>
                <w:sz w:val="16"/>
              </w:rPr>
              <w:t>1,068,755.41</w:t>
            </w:r>
            <w:r>
              <w:rPr>
                <w:rFonts w:ascii="Times New Roman"/>
                <w:spacing w:val="2"/>
                <w:sz w:val="16"/>
              </w:rPr>
            </w:r>
          </w:p>
        </w:tc>
      </w:tr>
      <w:tr>
        <w:trPr>
          <w:trHeight w:val="307" w:hRule="exact"/>
        </w:trPr>
        <w:tc>
          <w:tcPr>
            <w:tcW w:w="4956" w:type="dxa"/>
            <w:tcBorders>
              <w:top w:val="single" w:sz="4" w:space="0" w:color="000000"/>
              <w:left w:val="nil" w:sz="6" w:space="0" w:color="auto"/>
              <w:bottom w:val="single" w:sz="6" w:space="0" w:color="000000"/>
              <w:right w:val="single" w:sz="6" w:space="0" w:color="000000"/>
            </w:tcBorders>
          </w:tcPr>
          <w:p>
            <w:pPr>
              <w:pStyle w:val="TableParagraph"/>
              <w:spacing w:line="240" w:lineRule="auto" w:before="31"/>
              <w:ind w:left="393" w:right="0"/>
              <w:jc w:val="left"/>
              <w:rPr>
                <w:rFonts w:ascii="宋体" w:hAnsi="宋体" w:cs="宋体" w:eastAsia="宋体" w:hint="default"/>
                <w:sz w:val="16"/>
                <w:szCs w:val="16"/>
              </w:rPr>
            </w:pPr>
            <w:r>
              <w:rPr>
                <w:rFonts w:ascii="宋体" w:hAnsi="宋体" w:cs="宋体" w:eastAsia="宋体" w:hint="default"/>
                <w:w w:val="105"/>
                <w:sz w:val="16"/>
                <w:szCs w:val="16"/>
              </w:rPr>
              <w:t>加：期初现金及现金等价物余额</w:t>
            </w:r>
            <w:r>
              <w:rPr>
                <w:rFonts w:ascii="宋体" w:hAnsi="宋体" w:cs="宋体" w:eastAsia="宋体" w:hint="default"/>
                <w:sz w:val="16"/>
                <w:szCs w:val="16"/>
              </w:rPr>
            </w:r>
          </w:p>
        </w:tc>
        <w:tc>
          <w:tcPr>
            <w:tcW w:w="878" w:type="dxa"/>
            <w:tcBorders>
              <w:top w:val="single" w:sz="4" w:space="0" w:color="000000"/>
              <w:left w:val="single" w:sz="6" w:space="0" w:color="000000"/>
              <w:bottom w:val="single" w:sz="6" w:space="0" w:color="000000"/>
              <w:right w:val="single" w:sz="6" w:space="0" w:color="000000"/>
            </w:tcBorders>
          </w:tcPr>
          <w:p>
            <w:pPr/>
          </w:p>
        </w:tc>
        <w:tc>
          <w:tcPr>
            <w:tcW w:w="189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12"/>
              <w:jc w:val="right"/>
              <w:rPr>
                <w:rFonts w:ascii="Times New Roman" w:hAnsi="Times New Roman" w:cs="Times New Roman" w:eastAsia="Times New Roman" w:hint="default"/>
                <w:sz w:val="16"/>
                <w:szCs w:val="16"/>
              </w:rPr>
            </w:pPr>
            <w:r>
              <w:rPr>
                <w:rFonts w:ascii="Times New Roman"/>
                <w:spacing w:val="-6"/>
                <w:sz w:val="16"/>
              </w:rPr>
              <w:t>4,299,690.12</w:t>
            </w:r>
          </w:p>
        </w:tc>
        <w:tc>
          <w:tcPr>
            <w:tcW w:w="1904" w:type="dxa"/>
            <w:tcBorders>
              <w:top w:val="single" w:sz="4" w:space="0" w:color="000000"/>
              <w:left w:val="single" w:sz="6" w:space="0" w:color="000000"/>
              <w:bottom w:val="single" w:sz="6" w:space="0" w:color="000000"/>
              <w:right w:val="nil" w:sz="6" w:space="0" w:color="auto"/>
            </w:tcBorders>
          </w:tcPr>
          <w:p>
            <w:pPr>
              <w:pStyle w:val="TableParagraph"/>
              <w:spacing w:line="240" w:lineRule="auto" w:before="54"/>
              <w:ind w:right="27"/>
              <w:jc w:val="right"/>
              <w:rPr>
                <w:rFonts w:ascii="Times New Roman" w:hAnsi="Times New Roman" w:cs="Times New Roman" w:eastAsia="Times New Roman" w:hint="default"/>
                <w:sz w:val="16"/>
                <w:szCs w:val="16"/>
              </w:rPr>
            </w:pPr>
            <w:r>
              <w:rPr>
                <w:rFonts w:ascii="Times New Roman"/>
                <w:spacing w:val="-6"/>
                <w:sz w:val="16"/>
              </w:rPr>
              <w:t>3,230,934.71</w:t>
            </w:r>
          </w:p>
        </w:tc>
      </w:tr>
      <w:tr>
        <w:trPr>
          <w:trHeight w:val="302" w:hRule="exact"/>
        </w:trPr>
        <w:tc>
          <w:tcPr>
            <w:tcW w:w="4956" w:type="dxa"/>
            <w:tcBorders>
              <w:top w:val="single" w:sz="6" w:space="0" w:color="000000"/>
              <w:left w:val="nil" w:sz="6" w:space="0" w:color="auto"/>
              <w:bottom w:val="single" w:sz="10" w:space="0" w:color="000000"/>
              <w:right w:val="single" w:sz="6" w:space="0" w:color="000000"/>
            </w:tcBorders>
          </w:tcPr>
          <w:p>
            <w:pPr>
              <w:pStyle w:val="TableParagraph"/>
              <w:spacing w:line="252" w:lineRule="exact"/>
              <w:ind w:left="38" w:right="0"/>
              <w:jc w:val="left"/>
              <w:rPr>
                <w:rFonts w:ascii="Microsoft JhengHei" w:hAnsi="Microsoft JhengHei" w:cs="Microsoft JhengHei" w:eastAsia="Microsoft JhengHei" w:hint="default"/>
                <w:sz w:val="16"/>
                <w:szCs w:val="16"/>
              </w:rPr>
            </w:pPr>
            <w:r>
              <w:rPr>
                <w:rFonts w:ascii="Microsoft JhengHei" w:hAnsi="Microsoft JhengHei" w:cs="Microsoft JhengHei" w:eastAsia="Microsoft JhengHei" w:hint="default"/>
                <w:b/>
                <w:bCs/>
                <w:spacing w:val="11"/>
                <w:w w:val="105"/>
                <w:sz w:val="16"/>
                <w:szCs w:val="16"/>
              </w:rPr>
              <w:t>六、期末现金及现金等价物余额</w:t>
            </w:r>
            <w:r>
              <w:rPr>
                <w:rFonts w:ascii="Microsoft JhengHei" w:hAnsi="Microsoft JhengHei" w:cs="Microsoft JhengHei" w:eastAsia="Microsoft JhengHei" w:hint="default"/>
                <w:spacing w:val="11"/>
                <w:sz w:val="16"/>
                <w:szCs w:val="16"/>
              </w:rPr>
            </w:r>
          </w:p>
        </w:tc>
        <w:tc>
          <w:tcPr>
            <w:tcW w:w="878" w:type="dxa"/>
            <w:tcBorders>
              <w:top w:val="single" w:sz="6" w:space="0" w:color="000000"/>
              <w:left w:val="single" w:sz="6" w:space="0" w:color="000000"/>
              <w:bottom w:val="single" w:sz="10" w:space="0" w:color="000000"/>
              <w:right w:val="single" w:sz="6" w:space="0" w:color="000000"/>
            </w:tcBorders>
          </w:tcPr>
          <w:p>
            <w:pPr/>
          </w:p>
        </w:tc>
        <w:tc>
          <w:tcPr>
            <w:tcW w:w="1896"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57"/>
              <w:ind w:right="27"/>
              <w:jc w:val="right"/>
              <w:rPr>
                <w:rFonts w:ascii="Times New Roman" w:hAnsi="Times New Roman" w:cs="Times New Roman" w:eastAsia="Times New Roman" w:hint="default"/>
                <w:sz w:val="16"/>
                <w:szCs w:val="16"/>
              </w:rPr>
            </w:pPr>
            <w:r>
              <w:rPr>
                <w:rFonts w:ascii="Times New Roman"/>
                <w:b/>
                <w:spacing w:val="2"/>
                <w:sz w:val="16"/>
              </w:rPr>
              <w:t>635,611.06</w:t>
            </w:r>
            <w:r>
              <w:rPr>
                <w:rFonts w:ascii="Times New Roman"/>
                <w:spacing w:val="2"/>
                <w:sz w:val="16"/>
              </w:rPr>
            </w:r>
          </w:p>
        </w:tc>
        <w:tc>
          <w:tcPr>
            <w:tcW w:w="1904" w:type="dxa"/>
            <w:tcBorders>
              <w:top w:val="single" w:sz="6" w:space="0" w:color="000000"/>
              <w:left w:val="single" w:sz="6" w:space="0" w:color="000000"/>
              <w:bottom w:val="single" w:sz="10" w:space="0" w:color="000000"/>
              <w:right w:val="nil" w:sz="6" w:space="0" w:color="auto"/>
            </w:tcBorders>
          </w:tcPr>
          <w:p>
            <w:pPr>
              <w:pStyle w:val="TableParagraph"/>
              <w:spacing w:line="240" w:lineRule="auto" w:before="57"/>
              <w:ind w:right="42"/>
              <w:jc w:val="right"/>
              <w:rPr>
                <w:rFonts w:ascii="Times New Roman" w:hAnsi="Times New Roman" w:cs="Times New Roman" w:eastAsia="Times New Roman" w:hint="default"/>
                <w:sz w:val="16"/>
                <w:szCs w:val="16"/>
              </w:rPr>
            </w:pPr>
            <w:r>
              <w:rPr>
                <w:rFonts w:ascii="Times New Roman"/>
                <w:b/>
                <w:spacing w:val="2"/>
                <w:sz w:val="16"/>
              </w:rPr>
              <w:t>4,299,690.12</w:t>
            </w:r>
            <w:r>
              <w:rPr>
                <w:rFonts w:ascii="Times New Roman"/>
                <w:spacing w:val="2"/>
                <w:sz w:val="16"/>
              </w:rPr>
            </w:r>
          </w:p>
        </w:tc>
      </w:tr>
    </w:tbl>
    <w:p>
      <w:pPr>
        <w:tabs>
          <w:tab w:pos="3867" w:val="left" w:leader="none"/>
          <w:tab w:pos="7760" w:val="left" w:leader="none"/>
        </w:tabs>
        <w:spacing w:before="62"/>
        <w:ind w:left="191" w:right="0" w:firstLine="0"/>
        <w:jc w:val="left"/>
        <w:rPr>
          <w:rFonts w:ascii="宋体" w:hAnsi="宋体" w:cs="宋体" w:eastAsia="宋体" w:hint="default"/>
          <w:sz w:val="16"/>
          <w:szCs w:val="16"/>
        </w:rPr>
      </w:pPr>
      <w:r>
        <w:rPr>
          <w:rFonts w:ascii="宋体" w:hAnsi="宋体" w:cs="宋体" w:eastAsia="宋体" w:hint="default"/>
          <w:sz w:val="16"/>
          <w:szCs w:val="16"/>
        </w:rPr>
        <w:t>法定代表人:</w:t>
        <w:tab/>
        <w:t>主管会计工作负责人:</w:t>
        <w:tab/>
      </w:r>
      <w:r>
        <w:rPr>
          <w:rFonts w:ascii="宋体" w:hAnsi="宋体" w:cs="宋体" w:eastAsia="宋体" w:hint="default"/>
          <w:w w:val="105"/>
          <w:sz w:val="16"/>
          <w:szCs w:val="16"/>
        </w:rPr>
        <w:t>会计机构负责人：</w:t>
      </w:r>
      <w:r>
        <w:rPr>
          <w:rFonts w:ascii="宋体" w:hAnsi="宋体" w:cs="宋体" w:eastAsia="宋体" w:hint="default"/>
          <w:sz w:val="16"/>
          <w:szCs w:val="16"/>
        </w:rPr>
      </w:r>
    </w:p>
    <w:p>
      <w:pPr>
        <w:spacing w:after="0"/>
        <w:jc w:val="left"/>
        <w:rPr>
          <w:rFonts w:ascii="宋体" w:hAnsi="宋体" w:cs="宋体" w:eastAsia="宋体" w:hint="default"/>
          <w:sz w:val="16"/>
          <w:szCs w:val="16"/>
        </w:rPr>
        <w:sectPr>
          <w:pgSz w:w="11900" w:h="16840"/>
          <w:pgMar w:header="872" w:footer="984" w:top="1120" w:bottom="1180" w:left="980" w:right="980"/>
        </w:sectPr>
      </w:pPr>
    </w:p>
    <w:p>
      <w:pPr>
        <w:spacing w:line="240" w:lineRule="auto" w:before="9"/>
        <w:rPr>
          <w:rFonts w:ascii="宋体" w:hAnsi="宋体" w:cs="宋体" w:eastAsia="宋体" w:hint="default"/>
          <w:sz w:val="12"/>
          <w:szCs w:val="12"/>
        </w:rPr>
      </w:pPr>
    </w:p>
    <w:p>
      <w:pPr>
        <w:spacing w:line="327" w:lineRule="exact" w:before="0"/>
        <w:ind w:left="6186" w:right="6183" w:firstLine="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8"/>
          <w:sz w:val="20"/>
          <w:szCs w:val="20"/>
        </w:rPr>
        <w:t>母公司股东权益变动表</w:t>
      </w:r>
      <w:r>
        <w:rPr>
          <w:rFonts w:ascii="Microsoft JhengHei" w:hAnsi="Microsoft JhengHei" w:cs="Microsoft JhengHei" w:eastAsia="Microsoft JhengHei" w:hint="default"/>
          <w:spacing w:val="8"/>
          <w:sz w:val="20"/>
          <w:szCs w:val="20"/>
        </w:rPr>
      </w:r>
    </w:p>
    <w:p>
      <w:pPr>
        <w:spacing w:after="0" w:line="327" w:lineRule="exact"/>
        <w:jc w:val="center"/>
        <w:rPr>
          <w:rFonts w:ascii="Microsoft JhengHei" w:hAnsi="Microsoft JhengHei" w:cs="Microsoft JhengHei" w:eastAsia="Microsoft JhengHei" w:hint="default"/>
          <w:sz w:val="20"/>
          <w:szCs w:val="20"/>
        </w:rPr>
        <w:sectPr>
          <w:headerReference w:type="default" r:id="rId26"/>
          <w:footerReference w:type="default" r:id="rId27"/>
          <w:pgSz w:w="16840" w:h="11900" w:orient="landscape"/>
          <w:pgMar w:header="756" w:footer="840" w:top="980" w:bottom="1020" w:left="1300" w:right="420"/>
          <w:pgNumType w:start="53"/>
        </w:sectPr>
      </w:pPr>
    </w:p>
    <w:p>
      <w:pPr>
        <w:spacing w:line="240" w:lineRule="auto" w:before="0"/>
        <w:rPr>
          <w:rFonts w:ascii="Microsoft JhengHei" w:hAnsi="Microsoft JhengHei" w:cs="Microsoft JhengHei" w:eastAsia="Microsoft JhengHei" w:hint="default"/>
          <w:b/>
          <w:bCs/>
          <w:sz w:val="12"/>
          <w:szCs w:val="12"/>
        </w:rPr>
      </w:pPr>
    </w:p>
    <w:p>
      <w:pPr>
        <w:spacing w:line="240" w:lineRule="auto" w:before="2"/>
        <w:rPr>
          <w:rFonts w:ascii="Microsoft JhengHei" w:hAnsi="Microsoft JhengHei" w:cs="Microsoft JhengHei" w:eastAsia="Microsoft JhengHei" w:hint="default"/>
          <w:b/>
          <w:bCs/>
          <w:sz w:val="10"/>
          <w:szCs w:val="10"/>
        </w:rPr>
      </w:pPr>
    </w:p>
    <w:p>
      <w:pPr>
        <w:spacing w:before="0"/>
        <w:ind w:left="168" w:right="-15" w:firstLine="0"/>
        <w:jc w:val="left"/>
        <w:rPr>
          <w:rFonts w:ascii="宋体" w:hAnsi="宋体" w:cs="宋体" w:eastAsia="宋体" w:hint="default"/>
          <w:sz w:val="12"/>
          <w:szCs w:val="12"/>
        </w:rPr>
      </w:pPr>
      <w:r>
        <w:rPr>
          <w:rFonts w:ascii="宋体" w:hAnsi="宋体" w:cs="宋体" w:eastAsia="宋体" w:hint="default"/>
          <w:w w:val="105"/>
          <w:sz w:val="12"/>
          <w:szCs w:val="12"/>
        </w:rPr>
        <w:t>编制单位:</w:t>
      </w:r>
      <w:r>
        <w:rPr>
          <w:rFonts w:ascii="宋体" w:hAnsi="宋体" w:cs="宋体" w:eastAsia="宋体" w:hint="default"/>
          <w:sz w:val="12"/>
          <w:szCs w:val="12"/>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6"/>
          <w:szCs w:val="16"/>
        </w:rPr>
      </w:pPr>
    </w:p>
    <w:p>
      <w:pPr>
        <w:spacing w:before="0"/>
        <w:ind w:left="168" w:right="-12" w:firstLine="0"/>
        <w:jc w:val="left"/>
        <w:rPr>
          <w:rFonts w:ascii="宋体" w:hAnsi="宋体" w:cs="宋体" w:eastAsia="宋体" w:hint="default"/>
          <w:sz w:val="12"/>
          <w:szCs w:val="12"/>
        </w:rPr>
      </w:pPr>
      <w:r>
        <w:rPr>
          <w:rFonts w:ascii="宋体" w:hAnsi="宋体" w:cs="宋体" w:eastAsia="宋体" w:hint="default"/>
          <w:w w:val="105"/>
          <w:sz w:val="12"/>
          <w:szCs w:val="12"/>
        </w:rPr>
        <w:t>宝安鸿基地产集团股份有限公司</w:t>
      </w:r>
      <w:r>
        <w:rPr>
          <w:rFonts w:ascii="宋体" w:hAnsi="宋体" w:cs="宋体" w:eastAsia="宋体" w:hint="default"/>
          <w:sz w:val="12"/>
          <w:szCs w:val="12"/>
        </w:rPr>
      </w:r>
    </w:p>
    <w:p>
      <w:pPr>
        <w:spacing w:line="240" w:lineRule="auto" w:before="8"/>
        <w:rPr>
          <w:rFonts w:ascii="宋体" w:hAnsi="宋体" w:cs="宋体" w:eastAsia="宋体" w:hint="default"/>
          <w:sz w:val="9"/>
          <w:szCs w:val="9"/>
        </w:rPr>
      </w:pPr>
      <w:r>
        <w:rPr/>
        <w:br w:type="column"/>
      </w:r>
      <w:r>
        <w:rPr>
          <w:rFonts w:ascii="宋体"/>
          <w:sz w:val="9"/>
        </w:rPr>
      </w:r>
    </w:p>
    <w:p>
      <w:pPr>
        <w:spacing w:before="0"/>
        <w:ind w:left="168" w:right="-1" w:firstLine="0"/>
        <w:jc w:val="left"/>
        <w:rPr>
          <w:rFonts w:ascii="宋体" w:hAnsi="宋体" w:cs="宋体" w:eastAsia="宋体" w:hint="default"/>
          <w:sz w:val="12"/>
          <w:szCs w:val="12"/>
        </w:rPr>
      </w:pPr>
      <w:r>
        <w:rPr>
          <w:rFonts w:ascii="宋体" w:hAnsi="宋体" w:cs="宋体" w:eastAsia="宋体" w:hint="default"/>
          <w:spacing w:val="-3"/>
          <w:w w:val="105"/>
          <w:sz w:val="12"/>
          <w:szCs w:val="12"/>
        </w:rPr>
        <w:t>编制年度：</w:t>
      </w:r>
      <w:r>
        <w:rPr>
          <w:rFonts w:ascii="Times New Roman" w:hAnsi="Times New Roman" w:cs="Times New Roman" w:eastAsia="Times New Roman" w:hint="default"/>
          <w:spacing w:val="-3"/>
          <w:w w:val="105"/>
          <w:position w:val="1"/>
          <w:sz w:val="12"/>
          <w:szCs w:val="12"/>
        </w:rPr>
        <w:t>2012</w:t>
      </w:r>
      <w:r>
        <w:rPr>
          <w:rFonts w:ascii="宋体" w:hAnsi="宋体" w:cs="宋体" w:eastAsia="宋体" w:hint="default"/>
          <w:spacing w:val="-3"/>
          <w:w w:val="105"/>
          <w:sz w:val="12"/>
          <w:szCs w:val="12"/>
        </w:rPr>
        <w:t>年度</w:t>
      </w:r>
      <w:r>
        <w:rPr>
          <w:rFonts w:ascii="宋体" w:hAnsi="宋体" w:cs="宋体" w:eastAsia="宋体" w:hint="default"/>
          <w:spacing w:val="-3"/>
          <w:sz w:val="12"/>
          <w:szCs w:val="12"/>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5"/>
        <w:rPr>
          <w:rFonts w:ascii="宋体" w:hAnsi="宋体" w:cs="宋体" w:eastAsia="宋体" w:hint="default"/>
          <w:sz w:val="17"/>
          <w:szCs w:val="17"/>
        </w:rPr>
      </w:pPr>
    </w:p>
    <w:p>
      <w:pPr>
        <w:spacing w:before="0"/>
        <w:ind w:left="168" w:right="0" w:firstLine="0"/>
        <w:jc w:val="left"/>
        <w:rPr>
          <w:rFonts w:ascii="宋体" w:hAnsi="宋体" w:cs="宋体" w:eastAsia="宋体" w:hint="default"/>
          <w:sz w:val="12"/>
          <w:szCs w:val="12"/>
        </w:rPr>
      </w:pPr>
      <w:r>
        <w:rPr>
          <w:rFonts w:ascii="宋体" w:hAnsi="宋体" w:cs="宋体" w:eastAsia="宋体" w:hint="default"/>
          <w:w w:val="105"/>
          <w:sz w:val="12"/>
          <w:szCs w:val="12"/>
        </w:rPr>
        <w:t>单位：人民币元</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1300" w:right="420"/>
          <w:cols w:num="4" w:equalWidth="0">
            <w:col w:w="741" w:space="89"/>
            <w:col w:w="1941" w:space="4064"/>
            <w:col w:w="1289" w:space="5710"/>
            <w:col w:w="1286"/>
          </w:cols>
        </w:sectPr>
      </w:pPr>
    </w:p>
    <w:p>
      <w:pPr>
        <w:spacing w:line="240" w:lineRule="auto" w:before="9"/>
        <w:rPr>
          <w:rFonts w:ascii="宋体" w:hAnsi="宋体" w:cs="宋体" w:eastAsia="宋体" w:hint="default"/>
          <w:sz w:val="3"/>
          <w:szCs w:val="3"/>
        </w:rPr>
      </w:pPr>
    </w:p>
    <w:p>
      <w:pPr>
        <w:spacing w:line="20" w:lineRule="exact"/>
        <w:ind w:left="965" w:right="0" w:firstLine="0"/>
        <w:rPr>
          <w:rFonts w:ascii="宋体" w:hAnsi="宋体" w:cs="宋体" w:eastAsia="宋体" w:hint="default"/>
          <w:sz w:val="2"/>
          <w:szCs w:val="2"/>
        </w:rPr>
      </w:pPr>
      <w:r>
        <w:rPr>
          <w:rFonts w:ascii="宋体" w:hAnsi="宋体" w:cs="宋体" w:eastAsia="宋体" w:hint="default"/>
          <w:sz w:val="2"/>
          <w:szCs w:val="2"/>
        </w:rPr>
        <w:pict>
          <v:group style="width:193pt;height:.6pt;mso-position-horizontal-relative:char;mso-position-vertical-relative:line" coordorigin="0,0" coordsize="3860,12">
            <v:group style="position:absolute;left:3;top:2;width:3851;height:2" coordorigin="3,2" coordsize="3851,2">
              <v:shape style="position:absolute;left:3;top:2;width:3851;height:2" coordorigin="3,2" coordsize="3851,0" path="m3,2l3854,2e" filled="false" stroked="true" strokeweight=".24pt" strokecolor="#000000">
                <v:path arrowok="t"/>
              </v:shape>
            </v:group>
            <v:group style="position:absolute;left:5;top:7;width:3850;height:2" coordorigin="5,7" coordsize="3850,2">
              <v:shape style="position:absolute;left:5;top:7;width:3850;height:2" coordorigin="5,7" coordsize="3850,0" path="m5,7l3854,7e" filled="false" stroked="true" strokeweight=".48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3220"/>
        <w:gridCol w:w="1453"/>
        <w:gridCol w:w="1451"/>
        <w:gridCol w:w="1454"/>
        <w:gridCol w:w="1453"/>
        <w:gridCol w:w="1451"/>
        <w:gridCol w:w="1453"/>
        <w:gridCol w:w="1451"/>
        <w:gridCol w:w="1460"/>
      </w:tblGrid>
      <w:tr>
        <w:trPr>
          <w:trHeight w:val="278" w:hRule="exact"/>
        </w:trPr>
        <w:tc>
          <w:tcPr>
            <w:tcW w:w="3220" w:type="dxa"/>
            <w:vMerge w:val="restart"/>
            <w:tcBorders>
              <w:top w:val="single" w:sz="8"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0"/>
                <w:szCs w:val="10"/>
              </w:rPr>
            </w:pPr>
          </w:p>
          <w:p>
            <w:pPr>
              <w:pStyle w:val="TableParagraph"/>
              <w:tabs>
                <w:tab w:pos="462" w:val="left" w:leader="none"/>
              </w:tabs>
              <w:spacing w:line="240" w:lineRule="auto"/>
              <w:ind w:left="11"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w w:val="105"/>
                <w:sz w:val="12"/>
                <w:szCs w:val="12"/>
              </w:rPr>
              <w:t>项</w:t>
              <w:tab/>
              <w:t>目</w:t>
            </w:r>
            <w:r>
              <w:rPr>
                <w:rFonts w:ascii="Microsoft JhengHei" w:hAnsi="Microsoft JhengHei" w:cs="Microsoft JhengHei" w:eastAsia="Microsoft JhengHei" w:hint="default"/>
                <w:sz w:val="12"/>
                <w:szCs w:val="12"/>
              </w:rPr>
            </w:r>
          </w:p>
        </w:tc>
        <w:tc>
          <w:tcPr>
            <w:tcW w:w="11626" w:type="dxa"/>
            <w:gridSpan w:val="8"/>
            <w:tcBorders>
              <w:top w:val="single" w:sz="8" w:space="0" w:color="000000"/>
              <w:left w:val="single" w:sz="4" w:space="0" w:color="000000"/>
              <w:bottom w:val="single" w:sz="4" w:space="0" w:color="000000"/>
              <w:right w:val="nil" w:sz="6" w:space="0" w:color="auto"/>
            </w:tcBorders>
          </w:tcPr>
          <w:p>
            <w:pPr>
              <w:pStyle w:val="TableParagraph"/>
              <w:spacing w:line="240" w:lineRule="auto" w:before="4"/>
              <w:ind w:right="5"/>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本期金额</w:t>
            </w:r>
            <w:r>
              <w:rPr>
                <w:rFonts w:ascii="Microsoft JhengHei" w:hAnsi="Microsoft JhengHei" w:cs="Microsoft JhengHei" w:eastAsia="Microsoft JhengHei" w:hint="default"/>
                <w:spacing w:val="6"/>
                <w:sz w:val="12"/>
                <w:szCs w:val="12"/>
              </w:rPr>
            </w:r>
          </w:p>
        </w:tc>
      </w:tr>
      <w:tr>
        <w:trPr>
          <w:trHeight w:val="273" w:hRule="exact"/>
        </w:trPr>
        <w:tc>
          <w:tcPr>
            <w:tcW w:w="3220" w:type="dxa"/>
            <w:vMerge/>
            <w:tcBorders>
              <w:left w:val="nil" w:sz="6" w:space="0" w:color="auto"/>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86"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股本</w:t>
            </w:r>
            <w:r>
              <w:rPr>
                <w:rFonts w:ascii="Microsoft JhengHei" w:hAnsi="Microsoft JhengHei" w:cs="Microsoft JhengHei" w:eastAsia="Microsoft JhengHei" w:hint="default"/>
                <w:spacing w:val="6"/>
                <w:sz w:val="12"/>
                <w:szCs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4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资本公积</w:t>
            </w:r>
            <w:r>
              <w:rPr>
                <w:rFonts w:ascii="Microsoft JhengHei" w:hAnsi="Microsoft JhengHei" w:cs="Microsoft JhengHei" w:eastAsia="Microsoft JhengHei" w:hint="default"/>
                <w:spacing w:val="7"/>
                <w:sz w:val="12"/>
                <w:szCs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1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10"/>
                <w:sz w:val="12"/>
                <w:szCs w:val="12"/>
              </w:rPr>
              <w:t>减:</w:t>
            </w:r>
            <w:r>
              <w:rPr>
                <w:rFonts w:ascii="Microsoft JhengHei" w:hAnsi="Microsoft JhengHei" w:cs="Microsoft JhengHei" w:eastAsia="Microsoft JhengHei" w:hint="default"/>
                <w:b/>
                <w:bCs/>
                <w:spacing w:val="-10"/>
                <w:w w:val="110"/>
                <w:sz w:val="12"/>
                <w:szCs w:val="12"/>
              </w:rPr>
              <w:t> </w:t>
            </w:r>
            <w:r>
              <w:rPr>
                <w:rFonts w:ascii="Microsoft JhengHei" w:hAnsi="Microsoft JhengHei" w:cs="Microsoft JhengHei" w:eastAsia="Microsoft JhengHei" w:hint="default"/>
                <w:b/>
                <w:bCs/>
                <w:spacing w:val="6"/>
                <w:w w:val="110"/>
                <w:sz w:val="12"/>
                <w:szCs w:val="12"/>
              </w:rPr>
              <w:t>库存股</w:t>
            </w:r>
            <w:r>
              <w:rPr>
                <w:rFonts w:ascii="Microsoft JhengHei" w:hAnsi="Microsoft JhengHei" w:cs="Microsoft JhengHei" w:eastAsia="Microsoft JhengHei" w:hint="default"/>
                <w:spacing w:val="6"/>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4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专项储备</w:t>
            </w:r>
            <w:r>
              <w:rPr>
                <w:rFonts w:ascii="Microsoft JhengHei" w:hAnsi="Microsoft JhengHei" w:cs="Microsoft JhengHei" w:eastAsia="Microsoft JhengHei" w:hint="default"/>
                <w:spacing w:val="7"/>
                <w:sz w:val="12"/>
                <w:szCs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4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盈余公积</w:t>
            </w:r>
            <w:r>
              <w:rPr>
                <w:rFonts w:ascii="Microsoft JhengHei" w:hAnsi="Microsoft JhengHei" w:cs="Microsoft JhengHei" w:eastAsia="Microsoft JhengHei" w:hint="default"/>
                <w:spacing w:val="6"/>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1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一般风险准备</w:t>
            </w:r>
            <w:r>
              <w:rPr>
                <w:rFonts w:ascii="Microsoft JhengHei" w:hAnsi="Microsoft JhengHei" w:cs="Microsoft JhengHei" w:eastAsia="Microsoft JhengHei" w:hint="default"/>
                <w:spacing w:val="7"/>
                <w:sz w:val="12"/>
                <w:szCs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81"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未分配利润</w:t>
            </w:r>
            <w:r>
              <w:rPr>
                <w:rFonts w:ascii="Microsoft JhengHei" w:hAnsi="Microsoft JhengHei" w:cs="Microsoft JhengHei" w:eastAsia="Microsoft JhengHei" w:hint="default"/>
                <w:spacing w:val="7"/>
                <w:sz w:val="12"/>
                <w:szCs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left="31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股东权益合计</w:t>
            </w:r>
            <w:r>
              <w:rPr>
                <w:rFonts w:ascii="Microsoft JhengHei" w:hAnsi="Microsoft JhengHei" w:cs="Microsoft JhengHei" w:eastAsia="Microsoft JhengHei" w:hint="default"/>
                <w:spacing w:val="8"/>
                <w:sz w:val="12"/>
                <w:szCs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一、上年年末余额</w:t>
            </w:r>
            <w:r>
              <w:rPr>
                <w:rFonts w:ascii="Microsoft JhengHei" w:hAnsi="Microsoft JhengHei" w:cs="Microsoft JhengHei" w:eastAsia="Microsoft JhengHei" w:hint="default"/>
                <w:spacing w:val="8"/>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557" w:right="0"/>
              <w:jc w:val="lef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spacing w:val="2"/>
                <w:w w:val="105"/>
                <w:sz w:val="12"/>
              </w:rPr>
              <w:t>423,569,157.10</w:t>
            </w:r>
            <w:r>
              <w:rPr>
                <w:rFonts w:ascii="Times New Roman"/>
                <w:spacing w:val="2"/>
                <w:sz w:val="12"/>
              </w:rPr>
            </w:r>
          </w:p>
        </w:tc>
        <w:tc>
          <w:tcPr>
            <w:tcW w:w="1454" w:type="dxa"/>
            <w:tcBorders>
              <w:top w:val="single" w:sz="4" w:space="0" w:color="000000"/>
              <w:left w:val="single" w:sz="4"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59,609,991.26</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52,393,263.36</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60"/>
              <w:jc w:val="right"/>
              <w:rPr>
                <w:rFonts w:ascii="Times New Roman" w:hAnsi="Times New Roman" w:cs="Times New Roman" w:eastAsia="Times New Roman" w:hint="default"/>
                <w:sz w:val="12"/>
                <w:szCs w:val="12"/>
              </w:rPr>
            </w:pPr>
            <w:r>
              <w:rPr>
                <w:rFonts w:ascii="Times New Roman"/>
                <w:b/>
                <w:spacing w:val="2"/>
                <w:w w:val="105"/>
                <w:sz w:val="12"/>
              </w:rPr>
              <w:t>1,005,165,775.72</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302" w:right="0"/>
              <w:jc w:val="left"/>
              <w:rPr>
                <w:rFonts w:ascii="宋体" w:hAnsi="宋体" w:cs="宋体" w:eastAsia="宋体" w:hint="default"/>
                <w:sz w:val="12"/>
                <w:szCs w:val="12"/>
              </w:rPr>
            </w:pPr>
            <w:r>
              <w:rPr>
                <w:rFonts w:ascii="宋体" w:hAnsi="宋体" w:cs="宋体" w:eastAsia="宋体" w:hint="default"/>
                <w:w w:val="105"/>
                <w:sz w:val="12"/>
                <w:szCs w:val="12"/>
              </w:rPr>
              <w:t>加:会计政策变更</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508" w:right="0"/>
              <w:jc w:val="left"/>
              <w:rPr>
                <w:rFonts w:ascii="宋体" w:hAnsi="宋体" w:cs="宋体" w:eastAsia="宋体" w:hint="default"/>
                <w:sz w:val="12"/>
                <w:szCs w:val="12"/>
              </w:rPr>
            </w:pPr>
            <w:r>
              <w:rPr>
                <w:rFonts w:ascii="宋体" w:hAnsi="宋体" w:cs="宋体" w:eastAsia="宋体" w:hint="default"/>
                <w:w w:val="105"/>
                <w:sz w:val="12"/>
                <w:szCs w:val="12"/>
              </w:rPr>
              <w:t>前期差错更正</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39"/>
              <w:ind w:left="508" w:right="0"/>
              <w:jc w:val="left"/>
              <w:rPr>
                <w:rFonts w:ascii="宋体" w:hAnsi="宋体" w:cs="宋体" w:eastAsia="宋体" w:hint="default"/>
                <w:sz w:val="12"/>
                <w:szCs w:val="12"/>
              </w:rPr>
            </w:pPr>
            <w:r>
              <w:rPr>
                <w:rFonts w:ascii="宋体" w:hAnsi="宋体" w:cs="宋体" w:eastAsia="宋体" w:hint="default"/>
                <w:w w:val="105"/>
                <w:sz w:val="12"/>
                <w:szCs w:val="12"/>
              </w:rPr>
              <w:t>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6" w:space="0" w:color="000000"/>
              <w:left w:val="nil" w:sz="6" w:space="0" w:color="auto"/>
              <w:bottom w:val="single" w:sz="4" w:space="0" w:color="000000"/>
              <w:right w:val="single" w:sz="4" w:space="0" w:color="000000"/>
            </w:tcBorders>
          </w:tcPr>
          <w:p>
            <w:pPr>
              <w:pStyle w:val="TableParagraph"/>
              <w:spacing w:line="208"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二、本年年初余额</w:t>
            </w:r>
            <w:r>
              <w:rPr>
                <w:rFonts w:ascii="Microsoft JhengHei" w:hAnsi="Microsoft JhengHei" w:cs="Microsoft JhengHei" w:eastAsia="Microsoft JhengHei" w:hint="default"/>
                <w:spacing w:val="8"/>
                <w:sz w:val="12"/>
                <w:szCs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left="557" w:right="0"/>
              <w:jc w:val="lef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50"/>
              <w:jc w:val="right"/>
              <w:rPr>
                <w:rFonts w:ascii="Times New Roman" w:hAnsi="Times New Roman" w:cs="Times New Roman" w:eastAsia="Times New Roman" w:hint="default"/>
                <w:sz w:val="12"/>
                <w:szCs w:val="12"/>
              </w:rPr>
            </w:pPr>
            <w:r>
              <w:rPr>
                <w:rFonts w:ascii="Times New Roman"/>
                <w:b/>
                <w:spacing w:val="2"/>
                <w:w w:val="105"/>
                <w:sz w:val="12"/>
              </w:rPr>
              <w:t>423,569,157.10</w:t>
            </w:r>
            <w:r>
              <w:rPr>
                <w:rFonts w:ascii="Times New Roman"/>
                <w:spacing w:val="2"/>
                <w:sz w:val="12"/>
              </w:rPr>
            </w:r>
          </w:p>
        </w:tc>
        <w:tc>
          <w:tcPr>
            <w:tcW w:w="14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50"/>
              <w:jc w:val="right"/>
              <w:rPr>
                <w:rFonts w:ascii="Times New Roman" w:hAnsi="Times New Roman" w:cs="Times New Roman" w:eastAsia="Times New Roman" w:hint="default"/>
                <w:sz w:val="12"/>
                <w:szCs w:val="12"/>
              </w:rPr>
            </w:pPr>
            <w:r>
              <w:rPr>
                <w:rFonts w:ascii="Times New Roman"/>
                <w:b/>
                <w:w w:val="105"/>
                <w:sz w:val="12"/>
              </w:rPr>
              <w:t>59,609,991.26</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50"/>
              <w:jc w:val="right"/>
              <w:rPr>
                <w:rFonts w:ascii="Times New Roman" w:hAnsi="Times New Roman" w:cs="Times New Roman" w:eastAsia="Times New Roman" w:hint="default"/>
                <w:sz w:val="12"/>
                <w:szCs w:val="12"/>
              </w:rPr>
            </w:pPr>
            <w:r>
              <w:rPr>
                <w:rFonts w:ascii="Times New Roman"/>
                <w:b/>
                <w:w w:val="105"/>
                <w:sz w:val="12"/>
              </w:rPr>
              <w:t>52,393,263.36</w:t>
            </w:r>
            <w:r>
              <w:rPr>
                <w:rFonts w:ascii="Times New Roman"/>
                <w:sz w:val="12"/>
              </w:rPr>
            </w:r>
          </w:p>
        </w:tc>
        <w:tc>
          <w:tcPr>
            <w:tcW w:w="1460"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60"/>
              <w:ind w:right="60"/>
              <w:jc w:val="right"/>
              <w:rPr>
                <w:rFonts w:ascii="Times New Roman" w:hAnsi="Times New Roman" w:cs="Times New Roman" w:eastAsia="Times New Roman" w:hint="default"/>
                <w:sz w:val="12"/>
                <w:szCs w:val="12"/>
              </w:rPr>
            </w:pPr>
            <w:r>
              <w:rPr>
                <w:rFonts w:ascii="Times New Roman"/>
                <w:b/>
                <w:spacing w:val="2"/>
                <w:w w:val="105"/>
                <w:sz w:val="12"/>
              </w:rPr>
              <w:t>1,005,165,775.72</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10"/>
                <w:sz w:val="12"/>
                <w:szCs w:val="12"/>
              </w:rPr>
              <w:t>三、本年增减变动金额（减少以“-”号填列)</w:t>
            </w:r>
            <w:r>
              <w:rPr>
                <w:rFonts w:ascii="Microsoft JhengHei" w:hAnsi="Microsoft JhengHei" w:cs="Microsoft JhengHei" w:eastAsia="Microsoft JhengHei" w:hint="default"/>
                <w:spacing w:val="8"/>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50"/>
              <w:jc w:val="right"/>
              <w:rPr>
                <w:rFonts w:ascii="Times New Roman" w:hAnsi="Times New Roman" w:cs="Times New Roman" w:eastAsia="Times New Roman" w:hint="default"/>
                <w:sz w:val="12"/>
                <w:szCs w:val="12"/>
              </w:rPr>
            </w:pPr>
            <w:r>
              <w:rPr>
                <w:rFonts w:ascii="Times New Roman"/>
                <w:b/>
                <w:w w:val="105"/>
                <w:sz w:val="12"/>
              </w:rPr>
              <w:t>-871,022.93</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50"/>
              <w:jc w:val="right"/>
              <w:rPr>
                <w:rFonts w:ascii="Times New Roman" w:hAnsi="Times New Roman" w:cs="Times New Roman" w:eastAsia="Times New Roman" w:hint="default"/>
                <w:sz w:val="12"/>
                <w:szCs w:val="12"/>
              </w:rPr>
            </w:pPr>
            <w:r>
              <w:rPr>
                <w:rFonts w:ascii="Times New Roman"/>
                <w:b/>
                <w:w w:val="105"/>
                <w:sz w:val="12"/>
              </w:rPr>
              <w:t>15,623,620.68</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50"/>
              <w:jc w:val="right"/>
              <w:rPr>
                <w:rFonts w:ascii="Times New Roman" w:hAnsi="Times New Roman" w:cs="Times New Roman" w:eastAsia="Times New Roman" w:hint="default"/>
                <w:sz w:val="12"/>
                <w:szCs w:val="12"/>
              </w:rPr>
            </w:pPr>
            <w:r>
              <w:rPr>
                <w:rFonts w:ascii="Times New Roman"/>
                <w:b/>
                <w:spacing w:val="2"/>
                <w:w w:val="105"/>
                <w:sz w:val="12"/>
              </w:rPr>
              <w:t>127,222,473.59</w:t>
            </w:r>
            <w:r>
              <w:rPr>
                <w:rFonts w:ascii="Times New Roman"/>
                <w:spacing w:val="2"/>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right="60"/>
              <w:jc w:val="right"/>
              <w:rPr>
                <w:rFonts w:ascii="Times New Roman" w:hAnsi="Times New Roman" w:cs="Times New Roman" w:eastAsia="Times New Roman" w:hint="default"/>
                <w:sz w:val="12"/>
                <w:szCs w:val="12"/>
              </w:rPr>
            </w:pPr>
            <w:r>
              <w:rPr>
                <w:rFonts w:ascii="Times New Roman"/>
                <w:b/>
                <w:spacing w:val="2"/>
                <w:w w:val="105"/>
                <w:sz w:val="12"/>
              </w:rPr>
              <w:t>141,975,071.34</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（一）净利润</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0"/>
              <w:jc w:val="right"/>
              <w:rPr>
                <w:rFonts w:ascii="Times New Roman" w:hAnsi="Times New Roman" w:cs="Times New Roman" w:eastAsia="Times New Roman" w:hint="default"/>
                <w:sz w:val="12"/>
                <w:szCs w:val="12"/>
              </w:rPr>
            </w:pPr>
            <w:r>
              <w:rPr>
                <w:rFonts w:ascii="Times New Roman"/>
                <w:spacing w:val="-5"/>
                <w:w w:val="105"/>
                <w:sz w:val="12"/>
              </w:rPr>
              <w:t>156,933,895.19</w:t>
            </w:r>
            <w:r>
              <w:rPr>
                <w:rFonts w:ascii="Times New Roman"/>
                <w:spacing w:val="-5"/>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49"/>
              <w:jc w:val="right"/>
              <w:rPr>
                <w:rFonts w:ascii="Times New Roman" w:hAnsi="Times New Roman" w:cs="Times New Roman" w:eastAsia="Times New Roman" w:hint="default"/>
                <w:sz w:val="12"/>
                <w:szCs w:val="12"/>
              </w:rPr>
            </w:pPr>
            <w:r>
              <w:rPr>
                <w:rFonts w:ascii="Times New Roman"/>
                <w:spacing w:val="-5"/>
                <w:w w:val="105"/>
                <w:sz w:val="12"/>
              </w:rPr>
              <w:t>156,933,895.19</w:t>
            </w:r>
            <w:r>
              <w:rPr>
                <w:rFonts w:ascii="Times New Roman"/>
                <w:spacing w:val="-5"/>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（二）其他综合收益</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0"/>
              <w:jc w:val="right"/>
              <w:rPr>
                <w:rFonts w:ascii="Times New Roman" w:hAnsi="Times New Roman" w:cs="Times New Roman" w:eastAsia="Times New Roman" w:hint="default"/>
                <w:sz w:val="12"/>
                <w:szCs w:val="12"/>
              </w:rPr>
            </w:pPr>
            <w:r>
              <w:rPr>
                <w:rFonts w:ascii="Times New Roman"/>
                <w:spacing w:val="-4"/>
                <w:w w:val="105"/>
                <w:sz w:val="12"/>
              </w:rPr>
              <w:t>-871,022.93</w:t>
            </w:r>
            <w:r>
              <w:rPr>
                <w:rFonts w:ascii="Times New Roman"/>
                <w:spacing w:val="-4"/>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49"/>
              <w:jc w:val="right"/>
              <w:rPr>
                <w:rFonts w:ascii="Times New Roman" w:hAnsi="Times New Roman" w:cs="Times New Roman" w:eastAsia="Times New Roman" w:hint="default"/>
                <w:sz w:val="12"/>
                <w:szCs w:val="12"/>
              </w:rPr>
            </w:pPr>
            <w:r>
              <w:rPr>
                <w:rFonts w:ascii="Times New Roman"/>
                <w:spacing w:val="-4"/>
                <w:w w:val="105"/>
                <w:sz w:val="12"/>
              </w:rPr>
              <w:t>-871,022.93</w:t>
            </w:r>
            <w:r>
              <w:rPr>
                <w:rFonts w:ascii="Times New Roman"/>
                <w:spacing w:val="-4"/>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left="88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上述（一）和（ </w:t>
            </w:r>
            <w:r>
              <w:rPr>
                <w:rFonts w:ascii="Microsoft JhengHei" w:hAnsi="Microsoft JhengHei" w:cs="Microsoft JhengHei" w:eastAsia="Microsoft JhengHei" w:hint="default"/>
                <w:b/>
                <w:bCs/>
                <w:spacing w:val="3"/>
                <w:w w:val="105"/>
                <w:sz w:val="12"/>
                <w:szCs w:val="12"/>
              </w:rPr>
              <w:t>二)</w:t>
            </w:r>
            <w:r>
              <w:rPr>
                <w:rFonts w:ascii="Microsoft JhengHei" w:hAnsi="Microsoft JhengHei" w:cs="Microsoft JhengHei" w:eastAsia="Microsoft JhengHei" w:hint="default"/>
                <w:b/>
                <w:bCs/>
                <w:spacing w:val="-9"/>
                <w:w w:val="105"/>
                <w:sz w:val="12"/>
                <w:szCs w:val="12"/>
              </w:rPr>
              <w:t> </w:t>
            </w:r>
            <w:r>
              <w:rPr>
                <w:rFonts w:ascii="Microsoft JhengHei" w:hAnsi="Microsoft JhengHei" w:cs="Microsoft JhengHei" w:eastAsia="Microsoft JhengHei" w:hint="default"/>
                <w:b/>
                <w:bCs/>
                <w:spacing w:val="3"/>
                <w:w w:val="105"/>
                <w:sz w:val="12"/>
                <w:szCs w:val="12"/>
              </w:rPr>
              <w:t>小计</w:t>
            </w:r>
            <w:r>
              <w:rPr>
                <w:rFonts w:ascii="Microsoft JhengHei" w:hAnsi="Microsoft JhengHei" w:cs="Microsoft JhengHei" w:eastAsia="Microsoft JhengHei" w:hint="default"/>
                <w:spacing w:val="3"/>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0"/>
              <w:jc w:val="right"/>
              <w:rPr>
                <w:rFonts w:ascii="Times New Roman" w:hAnsi="Times New Roman" w:cs="Times New Roman" w:eastAsia="Times New Roman" w:hint="default"/>
                <w:sz w:val="12"/>
                <w:szCs w:val="12"/>
              </w:rPr>
            </w:pPr>
            <w:r>
              <w:rPr>
                <w:rFonts w:ascii="Times New Roman"/>
                <w:b/>
                <w:w w:val="105"/>
                <w:sz w:val="12"/>
              </w:rPr>
              <w:t>-871,022.93</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0"/>
              <w:jc w:val="right"/>
              <w:rPr>
                <w:rFonts w:ascii="Times New Roman" w:hAnsi="Times New Roman" w:cs="Times New Roman" w:eastAsia="Times New Roman" w:hint="default"/>
                <w:sz w:val="12"/>
                <w:szCs w:val="12"/>
              </w:rPr>
            </w:pPr>
            <w:r>
              <w:rPr>
                <w:rFonts w:ascii="Times New Roman"/>
                <w:b/>
                <w:spacing w:val="2"/>
                <w:w w:val="105"/>
                <w:sz w:val="12"/>
              </w:rPr>
              <w:t>156,933,895.19</w:t>
            </w:r>
            <w:r>
              <w:rPr>
                <w:rFonts w:ascii="Times New Roman"/>
                <w:spacing w:val="2"/>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60"/>
              <w:jc w:val="right"/>
              <w:rPr>
                <w:rFonts w:ascii="Times New Roman" w:hAnsi="Times New Roman" w:cs="Times New Roman" w:eastAsia="Times New Roman" w:hint="default"/>
                <w:sz w:val="12"/>
                <w:szCs w:val="12"/>
              </w:rPr>
            </w:pPr>
            <w:r>
              <w:rPr>
                <w:rFonts w:ascii="Times New Roman"/>
                <w:b/>
                <w:spacing w:val="2"/>
                <w:w w:val="105"/>
                <w:sz w:val="12"/>
              </w:rPr>
              <w:t>156,062,872.26</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（三）股东投入和减少资本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1.股东投入资本</w:t>
            </w:r>
            <w:r>
              <w:rPr>
                <w:rFonts w:ascii="宋体" w:hAnsi="宋体" w:cs="宋体" w:eastAsia="宋体" w:hint="default"/>
                <w:sz w:val="12"/>
                <w:szCs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37"/>
              <w:ind w:left="28" w:right="0"/>
              <w:jc w:val="left"/>
              <w:rPr>
                <w:rFonts w:ascii="宋体" w:hAnsi="宋体" w:cs="宋体" w:eastAsia="宋体" w:hint="default"/>
                <w:sz w:val="12"/>
                <w:szCs w:val="12"/>
              </w:rPr>
            </w:pPr>
            <w:r>
              <w:rPr>
                <w:rFonts w:ascii="宋体" w:hAnsi="宋体" w:cs="宋体" w:eastAsia="宋体" w:hint="default"/>
                <w:w w:val="105"/>
                <w:sz w:val="12"/>
                <w:szCs w:val="12"/>
              </w:rPr>
              <w:t>2.股份支付计入股东权益的金额</w:t>
            </w:r>
            <w:r>
              <w:rPr>
                <w:rFonts w:ascii="宋体" w:hAnsi="宋体" w:cs="宋体" w:eastAsia="宋体" w:hint="default"/>
                <w:sz w:val="12"/>
                <w:szCs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56"/>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3.其他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（四）利润分配</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15,623,620.68</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-29,711,421.60</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60"/>
              <w:jc w:val="right"/>
              <w:rPr>
                <w:rFonts w:ascii="Times New Roman" w:hAnsi="Times New Roman" w:cs="Times New Roman" w:eastAsia="Times New Roman" w:hint="default"/>
                <w:sz w:val="12"/>
                <w:szCs w:val="12"/>
              </w:rPr>
            </w:pPr>
            <w:r>
              <w:rPr>
                <w:rFonts w:ascii="Times New Roman"/>
                <w:b/>
                <w:w w:val="105"/>
                <w:sz w:val="12"/>
              </w:rPr>
              <w:t>-14,087,800.92</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1.提取盈余公积</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9"/>
              <w:jc w:val="right"/>
              <w:rPr>
                <w:rFonts w:ascii="Times New Roman" w:hAnsi="Times New Roman" w:cs="Times New Roman" w:eastAsia="Times New Roman" w:hint="default"/>
                <w:sz w:val="12"/>
                <w:szCs w:val="12"/>
              </w:rPr>
            </w:pPr>
            <w:r>
              <w:rPr>
                <w:rFonts w:ascii="Times New Roman"/>
                <w:spacing w:val="-5"/>
                <w:w w:val="105"/>
                <w:sz w:val="12"/>
              </w:rPr>
              <w:t>15,623,620.68</w:t>
            </w:r>
            <w:r>
              <w:rPr>
                <w:rFonts w:ascii="Times New Roman"/>
                <w:spacing w:val="-5"/>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1"/>
              <w:jc w:val="right"/>
              <w:rPr>
                <w:rFonts w:ascii="Times New Roman" w:hAnsi="Times New Roman" w:cs="Times New Roman" w:eastAsia="Times New Roman" w:hint="default"/>
                <w:sz w:val="12"/>
                <w:szCs w:val="12"/>
              </w:rPr>
            </w:pPr>
            <w:r>
              <w:rPr>
                <w:rFonts w:ascii="Times New Roman"/>
                <w:spacing w:val="-5"/>
                <w:w w:val="105"/>
                <w:sz w:val="12"/>
              </w:rPr>
              <w:t>-15,623,620.68</w:t>
            </w:r>
            <w:r>
              <w:rPr>
                <w:rFonts w:ascii="Times New Roman"/>
                <w:spacing w:val="-5"/>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2.对股东的分配</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1"/>
              <w:jc w:val="right"/>
              <w:rPr>
                <w:rFonts w:ascii="Times New Roman" w:hAnsi="Times New Roman" w:cs="Times New Roman" w:eastAsia="Times New Roman" w:hint="default"/>
                <w:sz w:val="12"/>
                <w:szCs w:val="12"/>
              </w:rPr>
            </w:pPr>
            <w:r>
              <w:rPr>
                <w:rFonts w:ascii="Times New Roman"/>
                <w:spacing w:val="-5"/>
                <w:w w:val="105"/>
                <w:sz w:val="12"/>
              </w:rPr>
              <w:t>-14,087,800.92</w:t>
            </w:r>
            <w:r>
              <w:rPr>
                <w:rFonts w:ascii="Times New Roman"/>
                <w:spacing w:val="-5"/>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49"/>
              <w:jc w:val="right"/>
              <w:rPr>
                <w:rFonts w:ascii="Times New Roman" w:hAnsi="Times New Roman" w:cs="Times New Roman" w:eastAsia="Times New Roman" w:hint="default"/>
                <w:sz w:val="12"/>
                <w:szCs w:val="12"/>
              </w:rPr>
            </w:pPr>
            <w:r>
              <w:rPr>
                <w:rFonts w:ascii="Times New Roman"/>
                <w:spacing w:val="-5"/>
                <w:w w:val="105"/>
                <w:sz w:val="12"/>
              </w:rPr>
              <w:t>-14,087,800.92</w:t>
            </w:r>
            <w:r>
              <w:rPr>
                <w:rFonts w:ascii="Times New Roman"/>
                <w:spacing w:val="-5"/>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3.其他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（五）股东权益内部结转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1.资本公积转增股本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2.盈余公积转增股本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3.盈余公积弥补亏损</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4.其他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（六）专项储备</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1.提取专项储备</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2.使用专项储备</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（七）其他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69" w:hRule="exact"/>
        </w:trPr>
        <w:tc>
          <w:tcPr>
            <w:tcW w:w="3220"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4"/>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四、本年年末余额</w:t>
            </w:r>
            <w:r>
              <w:rPr>
                <w:rFonts w:ascii="Microsoft JhengHei" w:hAnsi="Microsoft JhengHei" w:cs="Microsoft JhengHei" w:eastAsia="Microsoft JhengHei" w:hint="default"/>
                <w:spacing w:val="8"/>
                <w:sz w:val="12"/>
                <w:szCs w:val="12"/>
              </w:rPr>
            </w:r>
          </w:p>
        </w:tc>
        <w:tc>
          <w:tcPr>
            <w:tcW w:w="14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left="586" w:right="0"/>
              <w:jc w:val="lef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45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b/>
                <w:spacing w:val="2"/>
                <w:w w:val="105"/>
                <w:sz w:val="12"/>
              </w:rPr>
              <w:t>422,698,134.17</w:t>
            </w:r>
            <w:r>
              <w:rPr>
                <w:rFonts w:ascii="Times New Roman"/>
                <w:spacing w:val="2"/>
                <w:sz w:val="12"/>
              </w:rPr>
            </w:r>
          </w:p>
        </w:tc>
        <w:tc>
          <w:tcPr>
            <w:tcW w:w="145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12"/>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1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b/>
                <w:w w:val="105"/>
                <w:sz w:val="12"/>
              </w:rPr>
              <w:t>75,233,611.94</w:t>
            </w:r>
            <w:r>
              <w:rPr>
                <w:rFonts w:ascii="Times New Roman"/>
                <w:sz w:val="12"/>
              </w:rPr>
            </w:r>
          </w:p>
        </w:tc>
        <w:tc>
          <w:tcPr>
            <w:tcW w:w="14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1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b/>
                <w:spacing w:val="2"/>
                <w:w w:val="105"/>
                <w:sz w:val="12"/>
              </w:rPr>
              <w:t>179,615,736.95</w:t>
            </w:r>
            <w:r>
              <w:rPr>
                <w:rFonts w:ascii="Times New Roman"/>
                <w:spacing w:val="2"/>
                <w:sz w:val="12"/>
              </w:rPr>
            </w:r>
          </w:p>
        </w:tc>
        <w:tc>
          <w:tcPr>
            <w:tcW w:w="1460"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61"/>
              <w:ind w:right="31"/>
              <w:jc w:val="right"/>
              <w:rPr>
                <w:rFonts w:ascii="Times New Roman" w:hAnsi="Times New Roman" w:cs="Times New Roman" w:eastAsia="Times New Roman" w:hint="default"/>
                <w:sz w:val="12"/>
                <w:szCs w:val="12"/>
              </w:rPr>
            </w:pPr>
            <w:r>
              <w:rPr>
                <w:rFonts w:ascii="Times New Roman"/>
                <w:b/>
                <w:spacing w:val="2"/>
                <w:w w:val="105"/>
                <w:sz w:val="12"/>
              </w:rPr>
              <w:t>1,147,140,847.06</w:t>
            </w:r>
            <w:r>
              <w:rPr>
                <w:rFonts w:ascii="Times New Roman"/>
                <w:spacing w:val="2"/>
                <w:sz w:val="12"/>
              </w:rPr>
            </w:r>
          </w:p>
        </w:tc>
      </w:tr>
    </w:tbl>
    <w:p>
      <w:pPr>
        <w:tabs>
          <w:tab w:pos="5511" w:val="left" w:leader="none"/>
          <w:tab w:pos="10949" w:val="left" w:leader="none"/>
        </w:tabs>
        <w:spacing w:before="37"/>
        <w:ind w:left="168" w:right="0" w:firstLine="0"/>
        <w:jc w:val="left"/>
        <w:rPr>
          <w:rFonts w:ascii="宋体" w:hAnsi="宋体" w:cs="宋体" w:eastAsia="宋体" w:hint="default"/>
          <w:sz w:val="12"/>
          <w:szCs w:val="12"/>
        </w:rPr>
      </w:pPr>
      <w:r>
        <w:rPr>
          <w:rFonts w:ascii="宋体" w:hAnsi="宋体" w:cs="宋体" w:eastAsia="宋体" w:hint="default"/>
          <w:w w:val="105"/>
          <w:sz w:val="12"/>
          <w:szCs w:val="12"/>
        </w:rPr>
        <w:t>法定代表人:</w:t>
        <w:tab/>
        <w:t>主管会计工作负责人:</w:t>
        <w:tab/>
        <w:t>会计机构负责人：</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1300" w:right="420"/>
        </w:sectPr>
      </w:pPr>
    </w:p>
    <w:p>
      <w:pPr>
        <w:spacing w:line="240" w:lineRule="auto" w:before="9"/>
        <w:rPr>
          <w:rFonts w:ascii="宋体" w:hAnsi="宋体" w:cs="宋体" w:eastAsia="宋体" w:hint="default"/>
          <w:sz w:val="12"/>
          <w:szCs w:val="12"/>
        </w:rPr>
      </w:pPr>
    </w:p>
    <w:p>
      <w:pPr>
        <w:spacing w:line="327" w:lineRule="exact" w:before="0"/>
        <w:ind w:left="6186" w:right="6189" w:firstLine="0"/>
        <w:jc w:val="center"/>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8"/>
          <w:sz w:val="20"/>
          <w:szCs w:val="20"/>
        </w:rPr>
        <w:t>母公司股东权益变动表（续）</w:t>
      </w:r>
      <w:r>
        <w:rPr>
          <w:rFonts w:ascii="Microsoft JhengHei" w:hAnsi="Microsoft JhengHei" w:cs="Microsoft JhengHei" w:eastAsia="Microsoft JhengHei" w:hint="default"/>
          <w:spacing w:val="8"/>
          <w:sz w:val="20"/>
          <w:szCs w:val="20"/>
        </w:rPr>
      </w:r>
    </w:p>
    <w:p>
      <w:pPr>
        <w:spacing w:after="0" w:line="327" w:lineRule="exact"/>
        <w:jc w:val="center"/>
        <w:rPr>
          <w:rFonts w:ascii="Microsoft JhengHei" w:hAnsi="Microsoft JhengHei" w:cs="Microsoft JhengHei" w:eastAsia="Microsoft JhengHei" w:hint="default"/>
          <w:sz w:val="20"/>
          <w:szCs w:val="20"/>
        </w:rPr>
        <w:sectPr>
          <w:pgSz w:w="16840" w:h="11900" w:orient="landscape"/>
          <w:pgMar w:header="756" w:footer="840" w:top="980" w:bottom="1020" w:left="1300" w:right="420"/>
        </w:sectPr>
      </w:pPr>
    </w:p>
    <w:p>
      <w:pPr>
        <w:spacing w:line="240" w:lineRule="auto" w:before="0"/>
        <w:rPr>
          <w:rFonts w:ascii="Microsoft JhengHei" w:hAnsi="Microsoft JhengHei" w:cs="Microsoft JhengHei" w:eastAsia="Microsoft JhengHei" w:hint="default"/>
          <w:b/>
          <w:bCs/>
          <w:sz w:val="12"/>
          <w:szCs w:val="12"/>
        </w:rPr>
      </w:pPr>
    </w:p>
    <w:p>
      <w:pPr>
        <w:spacing w:line="240" w:lineRule="auto" w:before="2"/>
        <w:rPr>
          <w:rFonts w:ascii="Microsoft JhengHei" w:hAnsi="Microsoft JhengHei" w:cs="Microsoft JhengHei" w:eastAsia="Microsoft JhengHei" w:hint="default"/>
          <w:b/>
          <w:bCs/>
          <w:sz w:val="10"/>
          <w:szCs w:val="10"/>
        </w:rPr>
      </w:pPr>
    </w:p>
    <w:p>
      <w:pPr>
        <w:spacing w:before="0"/>
        <w:ind w:left="168" w:right="-15" w:firstLine="0"/>
        <w:jc w:val="left"/>
        <w:rPr>
          <w:rFonts w:ascii="宋体" w:hAnsi="宋体" w:cs="宋体" w:eastAsia="宋体" w:hint="default"/>
          <w:sz w:val="12"/>
          <w:szCs w:val="12"/>
        </w:rPr>
      </w:pPr>
      <w:r>
        <w:rPr>
          <w:rFonts w:ascii="宋体" w:hAnsi="宋体" w:cs="宋体" w:eastAsia="宋体" w:hint="default"/>
          <w:w w:val="105"/>
          <w:sz w:val="12"/>
          <w:szCs w:val="12"/>
        </w:rPr>
        <w:t>编制单位:</w:t>
      </w:r>
      <w:r>
        <w:rPr>
          <w:rFonts w:ascii="宋体" w:hAnsi="宋体" w:cs="宋体" w:eastAsia="宋体" w:hint="default"/>
          <w:sz w:val="12"/>
          <w:szCs w:val="12"/>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9"/>
        <w:rPr>
          <w:rFonts w:ascii="宋体" w:hAnsi="宋体" w:cs="宋体" w:eastAsia="宋体" w:hint="default"/>
          <w:sz w:val="16"/>
          <w:szCs w:val="16"/>
        </w:rPr>
      </w:pPr>
    </w:p>
    <w:p>
      <w:pPr>
        <w:spacing w:before="0"/>
        <w:ind w:left="168" w:right="-12" w:firstLine="0"/>
        <w:jc w:val="left"/>
        <w:rPr>
          <w:rFonts w:ascii="宋体" w:hAnsi="宋体" w:cs="宋体" w:eastAsia="宋体" w:hint="default"/>
          <w:sz w:val="12"/>
          <w:szCs w:val="12"/>
        </w:rPr>
      </w:pPr>
      <w:r>
        <w:rPr>
          <w:rFonts w:ascii="宋体" w:hAnsi="宋体" w:cs="宋体" w:eastAsia="宋体" w:hint="default"/>
          <w:w w:val="105"/>
          <w:sz w:val="12"/>
          <w:szCs w:val="12"/>
        </w:rPr>
        <w:t>宝安鸿基地产集团股份有限公司</w:t>
      </w:r>
      <w:r>
        <w:rPr>
          <w:rFonts w:ascii="宋体" w:hAnsi="宋体" w:cs="宋体" w:eastAsia="宋体" w:hint="default"/>
          <w:sz w:val="12"/>
          <w:szCs w:val="12"/>
        </w:rPr>
      </w:r>
    </w:p>
    <w:p>
      <w:pPr>
        <w:spacing w:line="240" w:lineRule="auto" w:before="8"/>
        <w:rPr>
          <w:rFonts w:ascii="宋体" w:hAnsi="宋体" w:cs="宋体" w:eastAsia="宋体" w:hint="default"/>
          <w:sz w:val="9"/>
          <w:szCs w:val="9"/>
        </w:rPr>
      </w:pPr>
      <w:r>
        <w:rPr/>
        <w:br w:type="column"/>
      </w:r>
      <w:r>
        <w:rPr>
          <w:rFonts w:ascii="宋体"/>
          <w:sz w:val="9"/>
        </w:rPr>
      </w:r>
    </w:p>
    <w:p>
      <w:pPr>
        <w:spacing w:before="0"/>
        <w:ind w:left="168" w:right="-1" w:firstLine="0"/>
        <w:jc w:val="left"/>
        <w:rPr>
          <w:rFonts w:ascii="宋体" w:hAnsi="宋体" w:cs="宋体" w:eastAsia="宋体" w:hint="default"/>
          <w:sz w:val="12"/>
          <w:szCs w:val="12"/>
        </w:rPr>
      </w:pPr>
      <w:r>
        <w:rPr>
          <w:rFonts w:ascii="宋体" w:hAnsi="宋体" w:cs="宋体" w:eastAsia="宋体" w:hint="default"/>
          <w:spacing w:val="-3"/>
          <w:w w:val="105"/>
          <w:sz w:val="12"/>
          <w:szCs w:val="12"/>
        </w:rPr>
        <w:t>编制年度：</w:t>
      </w:r>
      <w:r>
        <w:rPr>
          <w:rFonts w:ascii="Times New Roman" w:hAnsi="Times New Roman" w:cs="Times New Roman" w:eastAsia="Times New Roman" w:hint="default"/>
          <w:spacing w:val="-3"/>
          <w:w w:val="105"/>
          <w:position w:val="1"/>
          <w:sz w:val="12"/>
          <w:szCs w:val="12"/>
        </w:rPr>
        <w:t>2012</w:t>
      </w:r>
      <w:r>
        <w:rPr>
          <w:rFonts w:ascii="宋体" w:hAnsi="宋体" w:cs="宋体" w:eastAsia="宋体" w:hint="default"/>
          <w:spacing w:val="-3"/>
          <w:w w:val="105"/>
          <w:sz w:val="12"/>
          <w:szCs w:val="12"/>
        </w:rPr>
        <w:t>年度</w:t>
      </w:r>
      <w:r>
        <w:rPr>
          <w:rFonts w:ascii="宋体" w:hAnsi="宋体" w:cs="宋体" w:eastAsia="宋体" w:hint="default"/>
          <w:spacing w:val="-3"/>
          <w:sz w:val="12"/>
          <w:szCs w:val="12"/>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5"/>
        <w:rPr>
          <w:rFonts w:ascii="宋体" w:hAnsi="宋体" w:cs="宋体" w:eastAsia="宋体" w:hint="default"/>
          <w:sz w:val="17"/>
          <w:szCs w:val="17"/>
        </w:rPr>
      </w:pPr>
    </w:p>
    <w:p>
      <w:pPr>
        <w:spacing w:before="0"/>
        <w:ind w:left="168" w:right="0" w:firstLine="0"/>
        <w:jc w:val="left"/>
        <w:rPr>
          <w:rFonts w:ascii="宋体" w:hAnsi="宋体" w:cs="宋体" w:eastAsia="宋体" w:hint="default"/>
          <w:sz w:val="12"/>
          <w:szCs w:val="12"/>
        </w:rPr>
      </w:pPr>
      <w:r>
        <w:rPr>
          <w:rFonts w:ascii="宋体" w:hAnsi="宋体" w:cs="宋体" w:eastAsia="宋体" w:hint="default"/>
          <w:w w:val="105"/>
          <w:sz w:val="12"/>
          <w:szCs w:val="12"/>
        </w:rPr>
        <w:t>单位：人民币元</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1300" w:right="420"/>
          <w:cols w:num="4" w:equalWidth="0">
            <w:col w:w="741" w:space="89"/>
            <w:col w:w="1941" w:space="4064"/>
            <w:col w:w="1289" w:space="5710"/>
            <w:col w:w="1286"/>
          </w:cols>
        </w:sectPr>
      </w:pPr>
    </w:p>
    <w:p>
      <w:pPr>
        <w:spacing w:line="240" w:lineRule="auto" w:before="9"/>
        <w:rPr>
          <w:rFonts w:ascii="宋体" w:hAnsi="宋体" w:cs="宋体" w:eastAsia="宋体" w:hint="default"/>
          <w:sz w:val="3"/>
          <w:szCs w:val="3"/>
        </w:rPr>
      </w:pPr>
    </w:p>
    <w:p>
      <w:pPr>
        <w:spacing w:line="20" w:lineRule="exact"/>
        <w:ind w:left="965" w:right="0" w:firstLine="0"/>
        <w:rPr>
          <w:rFonts w:ascii="宋体" w:hAnsi="宋体" w:cs="宋体" w:eastAsia="宋体" w:hint="default"/>
          <w:sz w:val="2"/>
          <w:szCs w:val="2"/>
        </w:rPr>
      </w:pPr>
      <w:r>
        <w:rPr>
          <w:rFonts w:ascii="宋体" w:hAnsi="宋体" w:cs="宋体" w:eastAsia="宋体" w:hint="default"/>
          <w:sz w:val="2"/>
          <w:szCs w:val="2"/>
        </w:rPr>
        <w:pict>
          <v:group style="width:193pt;height:.6pt;mso-position-horizontal-relative:char;mso-position-vertical-relative:line" coordorigin="0,0" coordsize="3860,12">
            <v:group style="position:absolute;left:3;top:2;width:3851;height:2" coordorigin="3,2" coordsize="3851,2">
              <v:shape style="position:absolute;left:3;top:2;width:3851;height:2" coordorigin="3,2" coordsize="3851,0" path="m3,2l3854,2e" filled="false" stroked="true" strokeweight=".24pt" strokecolor="#000000">
                <v:path arrowok="t"/>
              </v:shape>
            </v:group>
            <v:group style="position:absolute;left:5;top:7;width:3850;height:2" coordorigin="5,7" coordsize="3850,2">
              <v:shape style="position:absolute;left:5;top:7;width:3850;height:2" coordorigin="5,7" coordsize="3850,0" path="m5,7l3854,7e" filled="false" stroked="true" strokeweight=".48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3220"/>
        <w:gridCol w:w="1453"/>
        <w:gridCol w:w="1451"/>
        <w:gridCol w:w="1454"/>
        <w:gridCol w:w="1453"/>
        <w:gridCol w:w="1451"/>
        <w:gridCol w:w="1453"/>
        <w:gridCol w:w="1451"/>
        <w:gridCol w:w="1460"/>
      </w:tblGrid>
      <w:tr>
        <w:trPr>
          <w:trHeight w:val="278" w:hRule="exact"/>
        </w:trPr>
        <w:tc>
          <w:tcPr>
            <w:tcW w:w="3220" w:type="dxa"/>
            <w:vMerge w:val="restart"/>
            <w:tcBorders>
              <w:top w:val="single" w:sz="8"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0"/>
                <w:szCs w:val="10"/>
              </w:rPr>
            </w:pPr>
          </w:p>
          <w:p>
            <w:pPr>
              <w:pStyle w:val="TableParagraph"/>
              <w:tabs>
                <w:tab w:pos="462" w:val="left" w:leader="none"/>
              </w:tabs>
              <w:spacing w:line="240" w:lineRule="auto"/>
              <w:ind w:left="11" w:right="0"/>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w w:val="105"/>
                <w:sz w:val="12"/>
                <w:szCs w:val="12"/>
              </w:rPr>
              <w:t>项</w:t>
              <w:tab/>
              <w:t>目</w:t>
            </w:r>
            <w:r>
              <w:rPr>
                <w:rFonts w:ascii="Microsoft JhengHei" w:hAnsi="Microsoft JhengHei" w:cs="Microsoft JhengHei" w:eastAsia="Microsoft JhengHei" w:hint="default"/>
                <w:sz w:val="12"/>
                <w:szCs w:val="12"/>
              </w:rPr>
            </w:r>
          </w:p>
        </w:tc>
        <w:tc>
          <w:tcPr>
            <w:tcW w:w="11626" w:type="dxa"/>
            <w:gridSpan w:val="8"/>
            <w:tcBorders>
              <w:top w:val="single" w:sz="8" w:space="0" w:color="000000"/>
              <w:left w:val="single" w:sz="4" w:space="0" w:color="000000"/>
              <w:bottom w:val="single" w:sz="4" w:space="0" w:color="000000"/>
              <w:right w:val="nil" w:sz="6" w:space="0" w:color="auto"/>
            </w:tcBorders>
          </w:tcPr>
          <w:p>
            <w:pPr>
              <w:pStyle w:val="TableParagraph"/>
              <w:spacing w:line="240" w:lineRule="auto" w:before="4"/>
              <w:ind w:right="5"/>
              <w:jc w:val="center"/>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上期金额</w:t>
            </w:r>
            <w:r>
              <w:rPr>
                <w:rFonts w:ascii="Microsoft JhengHei" w:hAnsi="Microsoft JhengHei" w:cs="Microsoft JhengHei" w:eastAsia="Microsoft JhengHei" w:hint="default"/>
                <w:spacing w:val="6"/>
                <w:sz w:val="12"/>
                <w:szCs w:val="12"/>
              </w:rPr>
            </w:r>
          </w:p>
        </w:tc>
      </w:tr>
      <w:tr>
        <w:trPr>
          <w:trHeight w:val="273" w:hRule="exact"/>
        </w:trPr>
        <w:tc>
          <w:tcPr>
            <w:tcW w:w="3220" w:type="dxa"/>
            <w:vMerge/>
            <w:tcBorders>
              <w:left w:val="nil" w:sz="6" w:space="0" w:color="auto"/>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586"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股本</w:t>
            </w:r>
            <w:r>
              <w:rPr>
                <w:rFonts w:ascii="Microsoft JhengHei" w:hAnsi="Microsoft JhengHei" w:cs="Microsoft JhengHei" w:eastAsia="Microsoft JhengHei" w:hint="default"/>
                <w:spacing w:val="6"/>
                <w:sz w:val="12"/>
                <w:szCs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4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资本公积</w:t>
            </w:r>
            <w:r>
              <w:rPr>
                <w:rFonts w:ascii="Microsoft JhengHei" w:hAnsi="Microsoft JhengHei" w:cs="Microsoft JhengHei" w:eastAsia="Microsoft JhengHei" w:hint="default"/>
                <w:spacing w:val="7"/>
                <w:sz w:val="12"/>
                <w:szCs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13"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3"/>
                <w:w w:val="110"/>
                <w:sz w:val="12"/>
                <w:szCs w:val="12"/>
              </w:rPr>
              <w:t>减:</w:t>
            </w:r>
            <w:r>
              <w:rPr>
                <w:rFonts w:ascii="Microsoft JhengHei" w:hAnsi="Microsoft JhengHei" w:cs="Microsoft JhengHei" w:eastAsia="Microsoft JhengHei" w:hint="default"/>
                <w:b/>
                <w:bCs/>
                <w:spacing w:val="-10"/>
                <w:w w:val="110"/>
                <w:sz w:val="12"/>
                <w:szCs w:val="12"/>
              </w:rPr>
              <w:t> </w:t>
            </w:r>
            <w:r>
              <w:rPr>
                <w:rFonts w:ascii="Microsoft JhengHei" w:hAnsi="Microsoft JhengHei" w:cs="Microsoft JhengHei" w:eastAsia="Microsoft JhengHei" w:hint="default"/>
                <w:b/>
                <w:bCs/>
                <w:spacing w:val="6"/>
                <w:w w:val="110"/>
                <w:sz w:val="12"/>
                <w:szCs w:val="12"/>
              </w:rPr>
              <w:t>库存股</w:t>
            </w:r>
            <w:r>
              <w:rPr>
                <w:rFonts w:ascii="Microsoft JhengHei" w:hAnsi="Microsoft JhengHei" w:cs="Microsoft JhengHei" w:eastAsia="Microsoft JhengHei" w:hint="default"/>
                <w:spacing w:val="6"/>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47"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专项储备</w:t>
            </w:r>
            <w:r>
              <w:rPr>
                <w:rFonts w:ascii="Microsoft JhengHei" w:hAnsi="Microsoft JhengHei" w:cs="Microsoft JhengHei" w:eastAsia="Microsoft JhengHei" w:hint="default"/>
                <w:spacing w:val="7"/>
                <w:sz w:val="12"/>
                <w:szCs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4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盈余公积</w:t>
            </w:r>
            <w:r>
              <w:rPr>
                <w:rFonts w:ascii="Microsoft JhengHei" w:hAnsi="Microsoft JhengHei" w:cs="Microsoft JhengHei" w:eastAsia="Microsoft JhengHei" w:hint="default"/>
                <w:spacing w:val="6"/>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1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一般风险准备</w:t>
            </w:r>
            <w:r>
              <w:rPr>
                <w:rFonts w:ascii="Microsoft JhengHei" w:hAnsi="Microsoft JhengHei" w:cs="Microsoft JhengHei" w:eastAsia="Microsoft JhengHei" w:hint="default"/>
                <w:spacing w:val="7"/>
                <w:sz w:val="12"/>
                <w:szCs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81"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7"/>
                <w:w w:val="105"/>
                <w:sz w:val="12"/>
                <w:szCs w:val="12"/>
              </w:rPr>
              <w:t>未分配利润</w:t>
            </w:r>
            <w:r>
              <w:rPr>
                <w:rFonts w:ascii="Microsoft JhengHei" w:hAnsi="Microsoft JhengHei" w:cs="Microsoft JhengHei" w:eastAsia="Microsoft JhengHei" w:hint="default"/>
                <w:spacing w:val="7"/>
                <w:sz w:val="12"/>
                <w:szCs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left="312"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股东权益合计</w:t>
            </w:r>
            <w:r>
              <w:rPr>
                <w:rFonts w:ascii="Microsoft JhengHei" w:hAnsi="Microsoft JhengHei" w:cs="Microsoft JhengHei" w:eastAsia="Microsoft JhengHei" w:hint="default"/>
                <w:spacing w:val="8"/>
                <w:sz w:val="12"/>
                <w:szCs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一、上年年末余额</w:t>
            </w:r>
            <w:r>
              <w:rPr>
                <w:rFonts w:ascii="Microsoft JhengHei" w:hAnsi="Microsoft JhengHei" w:cs="Microsoft JhengHei" w:eastAsia="Microsoft JhengHei" w:hint="default"/>
                <w:spacing w:val="8"/>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557" w:right="0"/>
              <w:jc w:val="lef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spacing w:val="2"/>
                <w:w w:val="105"/>
                <w:sz w:val="12"/>
              </w:rPr>
              <w:t>430,055,983.68</w:t>
            </w:r>
            <w:r>
              <w:rPr>
                <w:rFonts w:ascii="Times New Roman"/>
                <w:spacing w:val="2"/>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spacing w:val="2"/>
                <w:w w:val="105"/>
                <w:sz w:val="12"/>
              </w:rPr>
              <w:t>196,990,878.50</w:t>
            </w:r>
            <w:r>
              <w:rPr>
                <w:rFonts w:ascii="Times New Roman"/>
                <w:spacing w:val="2"/>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-247,830,036.76</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60"/>
              <w:jc w:val="right"/>
              <w:rPr>
                <w:rFonts w:ascii="Times New Roman" w:hAnsi="Times New Roman" w:cs="Times New Roman" w:eastAsia="Times New Roman" w:hint="default"/>
                <w:sz w:val="12"/>
                <w:szCs w:val="12"/>
              </w:rPr>
            </w:pPr>
            <w:r>
              <w:rPr>
                <w:rFonts w:ascii="Times New Roman"/>
                <w:b/>
                <w:spacing w:val="2"/>
                <w:w w:val="105"/>
                <w:sz w:val="12"/>
              </w:rPr>
              <w:t>848,810,189.42</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302" w:right="0"/>
              <w:jc w:val="left"/>
              <w:rPr>
                <w:rFonts w:ascii="宋体" w:hAnsi="宋体" w:cs="宋体" w:eastAsia="宋体" w:hint="default"/>
                <w:sz w:val="12"/>
                <w:szCs w:val="12"/>
              </w:rPr>
            </w:pPr>
            <w:r>
              <w:rPr>
                <w:rFonts w:ascii="宋体" w:hAnsi="宋体" w:cs="宋体" w:eastAsia="宋体" w:hint="default"/>
                <w:w w:val="105"/>
                <w:sz w:val="12"/>
                <w:szCs w:val="12"/>
              </w:rPr>
              <w:t>加:会计政策变更</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508" w:right="0"/>
              <w:jc w:val="left"/>
              <w:rPr>
                <w:rFonts w:ascii="宋体" w:hAnsi="宋体" w:cs="宋体" w:eastAsia="宋体" w:hint="default"/>
                <w:sz w:val="12"/>
                <w:szCs w:val="12"/>
              </w:rPr>
            </w:pPr>
            <w:r>
              <w:rPr>
                <w:rFonts w:ascii="宋体" w:hAnsi="宋体" w:cs="宋体" w:eastAsia="宋体" w:hint="default"/>
                <w:w w:val="105"/>
                <w:sz w:val="12"/>
                <w:szCs w:val="12"/>
              </w:rPr>
              <w:t>前期差错更正</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39"/>
              <w:ind w:left="508" w:right="0"/>
              <w:jc w:val="left"/>
              <w:rPr>
                <w:rFonts w:ascii="宋体" w:hAnsi="宋体" w:cs="宋体" w:eastAsia="宋体" w:hint="default"/>
                <w:sz w:val="12"/>
                <w:szCs w:val="12"/>
              </w:rPr>
            </w:pPr>
            <w:r>
              <w:rPr>
                <w:rFonts w:ascii="宋体" w:hAnsi="宋体" w:cs="宋体" w:eastAsia="宋体" w:hint="default"/>
                <w:w w:val="105"/>
                <w:sz w:val="12"/>
                <w:szCs w:val="12"/>
              </w:rPr>
              <w:t>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6" w:space="0" w:color="000000"/>
              <w:left w:val="nil" w:sz="6" w:space="0" w:color="auto"/>
              <w:bottom w:val="single" w:sz="4" w:space="0" w:color="000000"/>
              <w:right w:val="single" w:sz="4" w:space="0" w:color="000000"/>
            </w:tcBorders>
          </w:tcPr>
          <w:p>
            <w:pPr>
              <w:pStyle w:val="TableParagraph"/>
              <w:spacing w:line="208" w:lineRule="exact"/>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二、本年年初余额</w:t>
            </w:r>
            <w:r>
              <w:rPr>
                <w:rFonts w:ascii="Microsoft JhengHei" w:hAnsi="Microsoft JhengHei" w:cs="Microsoft JhengHei" w:eastAsia="Microsoft JhengHei" w:hint="default"/>
                <w:spacing w:val="8"/>
                <w:sz w:val="12"/>
                <w:szCs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left="557" w:right="0"/>
              <w:jc w:val="lef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50"/>
              <w:jc w:val="right"/>
              <w:rPr>
                <w:rFonts w:ascii="Times New Roman" w:hAnsi="Times New Roman" w:cs="Times New Roman" w:eastAsia="Times New Roman" w:hint="default"/>
                <w:sz w:val="12"/>
                <w:szCs w:val="12"/>
              </w:rPr>
            </w:pPr>
            <w:r>
              <w:rPr>
                <w:rFonts w:ascii="Times New Roman"/>
                <w:b/>
                <w:spacing w:val="2"/>
                <w:w w:val="105"/>
                <w:sz w:val="12"/>
              </w:rPr>
              <w:t>430,055,983.68</w:t>
            </w:r>
            <w:r>
              <w:rPr>
                <w:rFonts w:ascii="Times New Roman"/>
                <w:spacing w:val="2"/>
                <w:sz w:val="12"/>
              </w:rPr>
            </w:r>
          </w:p>
        </w:tc>
        <w:tc>
          <w:tcPr>
            <w:tcW w:w="14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50"/>
              <w:jc w:val="right"/>
              <w:rPr>
                <w:rFonts w:ascii="Times New Roman" w:hAnsi="Times New Roman" w:cs="Times New Roman" w:eastAsia="Times New Roman" w:hint="default"/>
                <w:sz w:val="12"/>
                <w:szCs w:val="12"/>
              </w:rPr>
            </w:pPr>
            <w:r>
              <w:rPr>
                <w:rFonts w:ascii="Times New Roman"/>
                <w:b/>
                <w:spacing w:val="2"/>
                <w:w w:val="105"/>
                <w:sz w:val="12"/>
              </w:rPr>
              <w:t>196,990,878.50</w:t>
            </w:r>
            <w:r>
              <w:rPr>
                <w:rFonts w:ascii="Times New Roman"/>
                <w:spacing w:val="2"/>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60"/>
              <w:ind w:right="50"/>
              <w:jc w:val="right"/>
              <w:rPr>
                <w:rFonts w:ascii="Times New Roman" w:hAnsi="Times New Roman" w:cs="Times New Roman" w:eastAsia="Times New Roman" w:hint="default"/>
                <w:sz w:val="12"/>
                <w:szCs w:val="12"/>
              </w:rPr>
            </w:pPr>
            <w:r>
              <w:rPr>
                <w:rFonts w:ascii="Times New Roman"/>
                <w:b/>
                <w:w w:val="105"/>
                <w:sz w:val="12"/>
              </w:rPr>
              <w:t>-247,830,036.76</w:t>
            </w:r>
            <w:r>
              <w:rPr>
                <w:rFonts w:ascii="Times New Roman"/>
                <w:sz w:val="12"/>
              </w:rPr>
            </w:r>
          </w:p>
        </w:tc>
        <w:tc>
          <w:tcPr>
            <w:tcW w:w="1460"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60"/>
              <w:ind w:right="60"/>
              <w:jc w:val="right"/>
              <w:rPr>
                <w:rFonts w:ascii="Times New Roman" w:hAnsi="Times New Roman" w:cs="Times New Roman" w:eastAsia="Times New Roman" w:hint="default"/>
                <w:sz w:val="12"/>
                <w:szCs w:val="12"/>
              </w:rPr>
            </w:pPr>
            <w:r>
              <w:rPr>
                <w:rFonts w:ascii="Times New Roman"/>
                <w:b/>
                <w:spacing w:val="2"/>
                <w:w w:val="105"/>
                <w:sz w:val="12"/>
              </w:rPr>
              <w:t>848,810,189.42</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10"/>
                <w:sz w:val="12"/>
                <w:szCs w:val="12"/>
              </w:rPr>
              <w:t>三、本年增减变动金额（减少以“-”号填列)</w:t>
            </w:r>
            <w:r>
              <w:rPr>
                <w:rFonts w:ascii="Microsoft JhengHei" w:hAnsi="Microsoft JhengHei" w:cs="Microsoft JhengHei" w:eastAsia="Microsoft JhengHei" w:hint="default"/>
                <w:spacing w:val="8"/>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50"/>
              <w:jc w:val="right"/>
              <w:rPr>
                <w:rFonts w:ascii="Times New Roman" w:hAnsi="Times New Roman" w:cs="Times New Roman" w:eastAsia="Times New Roman" w:hint="default"/>
                <w:sz w:val="12"/>
                <w:szCs w:val="12"/>
              </w:rPr>
            </w:pPr>
            <w:r>
              <w:rPr>
                <w:rFonts w:ascii="Times New Roman"/>
                <w:b/>
                <w:w w:val="105"/>
                <w:sz w:val="12"/>
              </w:rPr>
              <w:t>-6,486,826.58</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50"/>
              <w:jc w:val="right"/>
              <w:rPr>
                <w:rFonts w:ascii="Times New Roman" w:hAnsi="Times New Roman" w:cs="Times New Roman" w:eastAsia="Times New Roman" w:hint="default"/>
                <w:sz w:val="12"/>
                <w:szCs w:val="12"/>
              </w:rPr>
            </w:pPr>
            <w:r>
              <w:rPr>
                <w:rFonts w:ascii="Times New Roman"/>
                <w:b/>
                <w:w w:val="105"/>
                <w:sz w:val="12"/>
              </w:rPr>
              <w:t>-137,380,887.24</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50"/>
              <w:jc w:val="right"/>
              <w:rPr>
                <w:rFonts w:ascii="Times New Roman" w:hAnsi="Times New Roman" w:cs="Times New Roman" w:eastAsia="Times New Roman" w:hint="default"/>
                <w:sz w:val="12"/>
                <w:szCs w:val="12"/>
              </w:rPr>
            </w:pPr>
            <w:r>
              <w:rPr>
                <w:rFonts w:ascii="Times New Roman"/>
                <w:b/>
                <w:spacing w:val="2"/>
                <w:w w:val="105"/>
                <w:sz w:val="12"/>
              </w:rPr>
              <w:t>300,223,300.12</w:t>
            </w:r>
            <w:r>
              <w:rPr>
                <w:rFonts w:ascii="Times New Roman"/>
                <w:spacing w:val="2"/>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6"/>
              <w:ind w:right="60"/>
              <w:jc w:val="right"/>
              <w:rPr>
                <w:rFonts w:ascii="Times New Roman" w:hAnsi="Times New Roman" w:cs="Times New Roman" w:eastAsia="Times New Roman" w:hint="default"/>
                <w:sz w:val="12"/>
                <w:szCs w:val="12"/>
              </w:rPr>
            </w:pPr>
            <w:r>
              <w:rPr>
                <w:rFonts w:ascii="Times New Roman"/>
                <w:b/>
                <w:spacing w:val="2"/>
                <w:w w:val="105"/>
                <w:sz w:val="12"/>
              </w:rPr>
              <w:t>156,355,586.30</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（一）净利润</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0"/>
              <w:jc w:val="right"/>
              <w:rPr>
                <w:rFonts w:ascii="Times New Roman" w:hAnsi="Times New Roman" w:cs="Times New Roman" w:eastAsia="Times New Roman" w:hint="default"/>
                <w:sz w:val="12"/>
                <w:szCs w:val="12"/>
              </w:rPr>
            </w:pPr>
            <w:r>
              <w:rPr>
                <w:rFonts w:ascii="Times New Roman"/>
                <w:spacing w:val="-5"/>
                <w:w w:val="105"/>
                <w:sz w:val="12"/>
              </w:rPr>
              <w:t>162,842,412.88</w:t>
            </w:r>
            <w:r>
              <w:rPr>
                <w:rFonts w:ascii="Times New Roman"/>
                <w:spacing w:val="-5"/>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6"/>
              <w:ind w:right="49"/>
              <w:jc w:val="right"/>
              <w:rPr>
                <w:rFonts w:ascii="Times New Roman" w:hAnsi="Times New Roman" w:cs="Times New Roman" w:eastAsia="Times New Roman" w:hint="default"/>
                <w:sz w:val="12"/>
                <w:szCs w:val="12"/>
              </w:rPr>
            </w:pPr>
            <w:r>
              <w:rPr>
                <w:rFonts w:ascii="Times New Roman"/>
                <w:spacing w:val="-5"/>
                <w:w w:val="105"/>
                <w:sz w:val="12"/>
              </w:rPr>
              <w:t>162,842,412.88</w:t>
            </w:r>
            <w:r>
              <w:rPr>
                <w:rFonts w:ascii="Times New Roman"/>
                <w:spacing w:val="-5"/>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（二）其他综合收益</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0"/>
              <w:jc w:val="right"/>
              <w:rPr>
                <w:rFonts w:ascii="Times New Roman" w:hAnsi="Times New Roman" w:cs="Times New Roman" w:eastAsia="Times New Roman" w:hint="default"/>
                <w:sz w:val="12"/>
                <w:szCs w:val="12"/>
              </w:rPr>
            </w:pPr>
            <w:r>
              <w:rPr>
                <w:rFonts w:ascii="Times New Roman"/>
                <w:spacing w:val="-4"/>
                <w:w w:val="105"/>
                <w:sz w:val="12"/>
              </w:rPr>
              <w:t>-6,486,826.58</w:t>
            </w:r>
            <w:r>
              <w:rPr>
                <w:rFonts w:ascii="Times New Roman"/>
                <w:spacing w:val="-4"/>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49"/>
              <w:jc w:val="right"/>
              <w:rPr>
                <w:rFonts w:ascii="Times New Roman" w:hAnsi="Times New Roman" w:cs="Times New Roman" w:eastAsia="Times New Roman" w:hint="default"/>
                <w:sz w:val="12"/>
                <w:szCs w:val="12"/>
              </w:rPr>
            </w:pPr>
            <w:r>
              <w:rPr>
                <w:rFonts w:ascii="Times New Roman"/>
                <w:spacing w:val="-4"/>
                <w:w w:val="105"/>
                <w:sz w:val="12"/>
              </w:rPr>
              <w:t>-6,486,826.58</w:t>
            </w:r>
            <w:r>
              <w:rPr>
                <w:rFonts w:ascii="Times New Roman"/>
                <w:spacing w:val="-4"/>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left="88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6"/>
                <w:w w:val="105"/>
                <w:sz w:val="12"/>
                <w:szCs w:val="12"/>
              </w:rPr>
              <w:t>上述（一）和（ </w:t>
            </w:r>
            <w:r>
              <w:rPr>
                <w:rFonts w:ascii="Microsoft JhengHei" w:hAnsi="Microsoft JhengHei" w:cs="Microsoft JhengHei" w:eastAsia="Microsoft JhengHei" w:hint="default"/>
                <w:b/>
                <w:bCs/>
                <w:spacing w:val="3"/>
                <w:w w:val="105"/>
                <w:sz w:val="12"/>
                <w:szCs w:val="12"/>
              </w:rPr>
              <w:t>二)</w:t>
            </w:r>
            <w:r>
              <w:rPr>
                <w:rFonts w:ascii="Microsoft JhengHei" w:hAnsi="Microsoft JhengHei" w:cs="Microsoft JhengHei" w:eastAsia="Microsoft JhengHei" w:hint="default"/>
                <w:b/>
                <w:bCs/>
                <w:spacing w:val="-9"/>
                <w:w w:val="105"/>
                <w:sz w:val="12"/>
                <w:szCs w:val="12"/>
              </w:rPr>
              <w:t> </w:t>
            </w:r>
            <w:r>
              <w:rPr>
                <w:rFonts w:ascii="Microsoft JhengHei" w:hAnsi="Microsoft JhengHei" w:cs="Microsoft JhengHei" w:eastAsia="Microsoft JhengHei" w:hint="default"/>
                <w:b/>
                <w:bCs/>
                <w:spacing w:val="3"/>
                <w:w w:val="105"/>
                <w:sz w:val="12"/>
                <w:szCs w:val="12"/>
              </w:rPr>
              <w:t>小计</w:t>
            </w:r>
            <w:r>
              <w:rPr>
                <w:rFonts w:ascii="Microsoft JhengHei" w:hAnsi="Microsoft JhengHei" w:cs="Microsoft JhengHei" w:eastAsia="Microsoft JhengHei" w:hint="default"/>
                <w:spacing w:val="3"/>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0"/>
              <w:jc w:val="right"/>
              <w:rPr>
                <w:rFonts w:ascii="Times New Roman" w:hAnsi="Times New Roman" w:cs="Times New Roman" w:eastAsia="Times New Roman" w:hint="default"/>
                <w:sz w:val="12"/>
                <w:szCs w:val="12"/>
              </w:rPr>
            </w:pPr>
            <w:r>
              <w:rPr>
                <w:rFonts w:ascii="Times New Roman"/>
                <w:b/>
                <w:w w:val="105"/>
                <w:sz w:val="12"/>
              </w:rPr>
              <w:t>-6,486,826.58</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0"/>
              <w:jc w:val="right"/>
              <w:rPr>
                <w:rFonts w:ascii="Times New Roman" w:hAnsi="Times New Roman" w:cs="Times New Roman" w:eastAsia="Times New Roman" w:hint="default"/>
                <w:sz w:val="12"/>
                <w:szCs w:val="12"/>
              </w:rPr>
            </w:pPr>
            <w:r>
              <w:rPr>
                <w:rFonts w:ascii="Times New Roman"/>
                <w:b/>
                <w:spacing w:val="2"/>
                <w:w w:val="105"/>
                <w:sz w:val="12"/>
              </w:rPr>
              <w:t>162,842,412.88</w:t>
            </w:r>
            <w:r>
              <w:rPr>
                <w:rFonts w:ascii="Times New Roman"/>
                <w:spacing w:val="2"/>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60"/>
              <w:jc w:val="right"/>
              <w:rPr>
                <w:rFonts w:ascii="Times New Roman" w:hAnsi="Times New Roman" w:cs="Times New Roman" w:eastAsia="Times New Roman" w:hint="default"/>
                <w:sz w:val="12"/>
                <w:szCs w:val="12"/>
              </w:rPr>
            </w:pPr>
            <w:r>
              <w:rPr>
                <w:rFonts w:ascii="Times New Roman"/>
                <w:b/>
                <w:spacing w:val="2"/>
                <w:w w:val="105"/>
                <w:sz w:val="12"/>
              </w:rPr>
              <w:t>156,355,586.30</w:t>
            </w:r>
            <w:r>
              <w:rPr>
                <w:rFonts w:ascii="Times New Roman"/>
                <w:spacing w:val="2"/>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（三）股东投入和减少资本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2"/>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6"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1.股东投入资本</w:t>
            </w:r>
            <w:r>
              <w:rPr>
                <w:rFonts w:ascii="宋体" w:hAnsi="宋体" w:cs="宋体" w:eastAsia="宋体" w:hint="default"/>
                <w:sz w:val="12"/>
                <w:szCs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6"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6"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6" w:space="0" w:color="000000"/>
              <w:left w:val="nil" w:sz="6" w:space="0" w:color="auto"/>
              <w:bottom w:val="single" w:sz="4" w:space="0" w:color="000000"/>
              <w:right w:val="single" w:sz="4" w:space="0" w:color="000000"/>
            </w:tcBorders>
          </w:tcPr>
          <w:p>
            <w:pPr>
              <w:pStyle w:val="TableParagraph"/>
              <w:spacing w:line="240" w:lineRule="auto" w:before="37"/>
              <w:ind w:left="28" w:right="0"/>
              <w:jc w:val="left"/>
              <w:rPr>
                <w:rFonts w:ascii="宋体" w:hAnsi="宋体" w:cs="宋体" w:eastAsia="宋体" w:hint="default"/>
                <w:sz w:val="12"/>
                <w:szCs w:val="12"/>
              </w:rPr>
            </w:pPr>
            <w:r>
              <w:rPr>
                <w:rFonts w:ascii="宋体" w:hAnsi="宋体" w:cs="宋体" w:eastAsia="宋体" w:hint="default"/>
                <w:w w:val="105"/>
                <w:sz w:val="12"/>
                <w:szCs w:val="12"/>
              </w:rPr>
              <w:t>2.股份支付计入股东权益的金额</w:t>
            </w:r>
            <w:r>
              <w:rPr>
                <w:rFonts w:ascii="宋体" w:hAnsi="宋体" w:cs="宋体" w:eastAsia="宋体" w:hint="default"/>
                <w:sz w:val="12"/>
                <w:szCs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6"/>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6" w:space="0" w:color="000000"/>
              <w:left w:val="single" w:sz="4" w:space="0" w:color="000000"/>
              <w:bottom w:val="single" w:sz="4" w:space="0" w:color="000000"/>
              <w:right w:val="nil" w:sz="6" w:space="0" w:color="auto"/>
            </w:tcBorders>
          </w:tcPr>
          <w:p>
            <w:pPr>
              <w:pStyle w:val="TableParagraph"/>
              <w:spacing w:line="240" w:lineRule="auto" w:before="56"/>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3.其他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（四）利润分配</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16,284,241.29</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50"/>
              <w:jc w:val="right"/>
              <w:rPr>
                <w:rFonts w:ascii="Times New Roman" w:hAnsi="Times New Roman" w:cs="Times New Roman" w:eastAsia="Times New Roman" w:hint="default"/>
                <w:sz w:val="12"/>
                <w:szCs w:val="12"/>
              </w:rPr>
            </w:pPr>
            <w:r>
              <w:rPr>
                <w:rFonts w:ascii="Times New Roman"/>
                <w:b/>
                <w:w w:val="105"/>
                <w:sz w:val="12"/>
              </w:rPr>
              <w:t>-16,284,241.29</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1.提取盈余公积</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9"/>
              <w:jc w:val="right"/>
              <w:rPr>
                <w:rFonts w:ascii="Times New Roman" w:hAnsi="Times New Roman" w:cs="Times New Roman" w:eastAsia="Times New Roman" w:hint="default"/>
                <w:sz w:val="12"/>
                <w:szCs w:val="12"/>
              </w:rPr>
            </w:pPr>
            <w:r>
              <w:rPr>
                <w:rFonts w:ascii="Times New Roman"/>
                <w:spacing w:val="-5"/>
                <w:w w:val="105"/>
                <w:sz w:val="12"/>
              </w:rPr>
              <w:t>16,284,241.29</w:t>
            </w:r>
            <w:r>
              <w:rPr>
                <w:rFonts w:ascii="Times New Roman"/>
                <w:spacing w:val="-5"/>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1"/>
              <w:jc w:val="right"/>
              <w:rPr>
                <w:rFonts w:ascii="Times New Roman" w:hAnsi="Times New Roman" w:cs="Times New Roman" w:eastAsia="Times New Roman" w:hint="default"/>
                <w:sz w:val="12"/>
                <w:szCs w:val="12"/>
              </w:rPr>
            </w:pPr>
            <w:r>
              <w:rPr>
                <w:rFonts w:ascii="Times New Roman"/>
                <w:spacing w:val="-5"/>
                <w:w w:val="105"/>
                <w:sz w:val="12"/>
              </w:rPr>
              <w:t>-16,284,241.29</w:t>
            </w:r>
            <w:r>
              <w:rPr>
                <w:rFonts w:ascii="Times New Roman"/>
                <w:spacing w:val="-5"/>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2.对股东的分配</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3.其他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（五）股东权益内部结转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7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80"/>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Times New Roman" w:hAnsi="Times New Roman" w:cs="Times New Roman" w:eastAsia="Times New Roman" w:hint="default"/>
                <w:sz w:val="12"/>
                <w:szCs w:val="12"/>
              </w:rPr>
            </w:pPr>
            <w:r>
              <w:rPr>
                <w:rFonts w:ascii="Times New Roman"/>
                <w:b/>
                <w:w w:val="105"/>
                <w:sz w:val="12"/>
              </w:rPr>
              <w:t>-153,665,128.53</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79"/>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50"/>
              <w:jc w:val="right"/>
              <w:rPr>
                <w:rFonts w:ascii="Times New Roman" w:hAnsi="Times New Roman" w:cs="Times New Roman" w:eastAsia="Times New Roman" w:hint="default"/>
                <w:sz w:val="12"/>
                <w:szCs w:val="12"/>
              </w:rPr>
            </w:pPr>
            <w:r>
              <w:rPr>
                <w:rFonts w:ascii="Times New Roman"/>
                <w:b/>
                <w:spacing w:val="2"/>
                <w:w w:val="105"/>
                <w:sz w:val="12"/>
              </w:rPr>
              <w:t>153,665,128.53</w:t>
            </w:r>
            <w:r>
              <w:rPr>
                <w:rFonts w:ascii="Times New Roman"/>
                <w:spacing w:val="2"/>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3"/>
              <w:ind w:right="19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1.资本公积转增股本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2.盈余公积转增股本</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3.盈余公积弥补亏损</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9"/>
              <w:jc w:val="right"/>
              <w:rPr>
                <w:rFonts w:ascii="Times New Roman" w:hAnsi="Times New Roman" w:cs="Times New Roman" w:eastAsia="Times New Roman" w:hint="default"/>
                <w:sz w:val="12"/>
                <w:szCs w:val="12"/>
              </w:rPr>
            </w:pPr>
            <w:r>
              <w:rPr>
                <w:rFonts w:ascii="Times New Roman"/>
                <w:spacing w:val="-5"/>
                <w:w w:val="105"/>
                <w:sz w:val="12"/>
              </w:rPr>
              <w:t>-153,665,128.53</w:t>
            </w:r>
            <w:r>
              <w:rPr>
                <w:rFonts w:ascii="Times New Roman"/>
                <w:spacing w:val="-5"/>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40"/>
              <w:jc w:val="right"/>
              <w:rPr>
                <w:rFonts w:ascii="Times New Roman" w:hAnsi="Times New Roman" w:cs="Times New Roman" w:eastAsia="Times New Roman" w:hint="default"/>
                <w:sz w:val="12"/>
                <w:szCs w:val="12"/>
              </w:rPr>
            </w:pPr>
            <w:r>
              <w:rPr>
                <w:rFonts w:ascii="Times New Roman"/>
                <w:spacing w:val="-5"/>
                <w:w w:val="105"/>
                <w:sz w:val="12"/>
              </w:rPr>
              <w:t>153,665,128.53</w:t>
            </w:r>
            <w:r>
              <w:rPr>
                <w:rFonts w:ascii="Times New Roman"/>
                <w:spacing w:val="-5"/>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8"/>
              <w:ind w:left="28" w:right="0"/>
              <w:jc w:val="left"/>
              <w:rPr>
                <w:rFonts w:ascii="宋体" w:hAnsi="宋体" w:cs="宋体" w:eastAsia="宋体" w:hint="default"/>
                <w:sz w:val="12"/>
                <w:szCs w:val="12"/>
              </w:rPr>
            </w:pPr>
            <w:r>
              <w:rPr>
                <w:rFonts w:ascii="宋体" w:hAnsi="宋体" w:cs="宋体" w:eastAsia="宋体" w:hint="default"/>
                <w:w w:val="105"/>
                <w:sz w:val="12"/>
                <w:szCs w:val="12"/>
              </w:rPr>
              <w:t>4.其他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（六）专项储备</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7"/>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1.提取专项储备</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1"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9"/>
              <w:ind w:left="28" w:right="0"/>
              <w:jc w:val="left"/>
              <w:rPr>
                <w:rFonts w:ascii="宋体" w:hAnsi="宋体" w:cs="宋体" w:eastAsia="宋体" w:hint="default"/>
                <w:sz w:val="12"/>
                <w:szCs w:val="12"/>
              </w:rPr>
            </w:pPr>
            <w:r>
              <w:rPr>
                <w:rFonts w:ascii="宋体" w:hAnsi="宋体" w:cs="宋体" w:eastAsia="宋体" w:hint="default"/>
                <w:w w:val="105"/>
                <w:sz w:val="12"/>
                <w:szCs w:val="12"/>
              </w:rPr>
              <w:t>2.使用专项储备</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8"/>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73" w:hRule="exact"/>
        </w:trPr>
        <w:tc>
          <w:tcPr>
            <w:tcW w:w="322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2"/>
              <w:ind w:left="28" w:right="0"/>
              <w:jc w:val="left"/>
              <w:rPr>
                <w:rFonts w:ascii="宋体" w:hAnsi="宋体" w:cs="宋体" w:eastAsia="宋体" w:hint="default"/>
                <w:sz w:val="12"/>
                <w:szCs w:val="12"/>
              </w:rPr>
            </w:pPr>
            <w:r>
              <w:rPr>
                <w:rFonts w:ascii="宋体" w:hAnsi="宋体" w:cs="宋体" w:eastAsia="宋体" w:hint="default"/>
                <w:w w:val="105"/>
                <w:sz w:val="12"/>
                <w:szCs w:val="12"/>
              </w:rPr>
              <w:t>（七）其他</w:t>
            </w:r>
            <w:r>
              <w:rPr>
                <w:rFonts w:ascii="宋体" w:hAnsi="宋体" w:cs="宋体" w:eastAsia="宋体" w:hint="default"/>
                <w:sz w:val="12"/>
                <w:szCs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1"/>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6"/>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60"/>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57"/>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c>
          <w:tcPr>
            <w:tcW w:w="14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1"/>
              <w:ind w:right="172"/>
              <w:jc w:val="right"/>
              <w:rPr>
                <w:rFonts w:ascii="Times New Roman" w:hAnsi="Times New Roman" w:cs="Times New Roman" w:eastAsia="Times New Roman" w:hint="default"/>
                <w:sz w:val="12"/>
                <w:szCs w:val="12"/>
              </w:rPr>
            </w:pPr>
            <w:r>
              <w:rPr>
                <w:rFonts w:ascii="Times New Roman"/>
                <w:w w:val="105"/>
                <w:sz w:val="12"/>
              </w:rPr>
              <w:t>-</w:t>
            </w:r>
            <w:r>
              <w:rPr>
                <w:rFonts w:ascii="Times New Roman"/>
                <w:sz w:val="12"/>
              </w:rPr>
            </w:r>
          </w:p>
        </w:tc>
      </w:tr>
      <w:tr>
        <w:trPr>
          <w:trHeight w:val="269" w:hRule="exact"/>
        </w:trPr>
        <w:tc>
          <w:tcPr>
            <w:tcW w:w="3220"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4"/>
              <w:ind w:left="28" w:right="0"/>
              <w:jc w:val="left"/>
              <w:rPr>
                <w:rFonts w:ascii="Microsoft JhengHei" w:hAnsi="Microsoft JhengHei" w:cs="Microsoft JhengHei" w:eastAsia="Microsoft JhengHei" w:hint="default"/>
                <w:sz w:val="12"/>
                <w:szCs w:val="12"/>
              </w:rPr>
            </w:pPr>
            <w:r>
              <w:rPr>
                <w:rFonts w:ascii="Microsoft JhengHei" w:hAnsi="Microsoft JhengHei" w:cs="Microsoft JhengHei" w:eastAsia="Microsoft JhengHei" w:hint="default"/>
                <w:b/>
                <w:bCs/>
                <w:spacing w:val="8"/>
                <w:w w:val="105"/>
                <w:sz w:val="12"/>
                <w:szCs w:val="12"/>
              </w:rPr>
              <w:t>四、本年年末余额</w:t>
            </w:r>
            <w:r>
              <w:rPr>
                <w:rFonts w:ascii="Microsoft JhengHei" w:hAnsi="Microsoft JhengHei" w:cs="Microsoft JhengHei" w:eastAsia="Microsoft JhengHei" w:hint="default"/>
                <w:spacing w:val="8"/>
                <w:sz w:val="12"/>
                <w:szCs w:val="12"/>
              </w:rPr>
            </w:r>
          </w:p>
        </w:tc>
        <w:tc>
          <w:tcPr>
            <w:tcW w:w="14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left="586" w:right="0"/>
              <w:jc w:val="left"/>
              <w:rPr>
                <w:rFonts w:ascii="Times New Roman" w:hAnsi="Times New Roman" w:cs="Times New Roman" w:eastAsia="Times New Roman" w:hint="default"/>
                <w:sz w:val="12"/>
                <w:szCs w:val="12"/>
              </w:rPr>
            </w:pPr>
            <w:r>
              <w:rPr>
                <w:rFonts w:ascii="Times New Roman"/>
                <w:b/>
                <w:spacing w:val="2"/>
                <w:w w:val="105"/>
                <w:sz w:val="12"/>
              </w:rPr>
              <w:t>469,593,364.00</w:t>
            </w:r>
            <w:r>
              <w:rPr>
                <w:rFonts w:ascii="Times New Roman"/>
                <w:spacing w:val="2"/>
                <w:sz w:val="12"/>
              </w:rPr>
            </w:r>
          </w:p>
        </w:tc>
        <w:tc>
          <w:tcPr>
            <w:tcW w:w="145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b/>
                <w:spacing w:val="2"/>
                <w:w w:val="105"/>
                <w:sz w:val="12"/>
              </w:rPr>
              <w:t>423,569,157.10</w:t>
            </w:r>
            <w:r>
              <w:rPr>
                <w:rFonts w:ascii="Times New Roman"/>
                <w:spacing w:val="2"/>
                <w:sz w:val="12"/>
              </w:rPr>
            </w:r>
          </w:p>
        </w:tc>
        <w:tc>
          <w:tcPr>
            <w:tcW w:w="1454"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12"/>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16"/>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b/>
                <w:w w:val="105"/>
                <w:sz w:val="12"/>
              </w:rPr>
              <w:t>59,609,991.26</w:t>
            </w:r>
            <w:r>
              <w:rPr>
                <w:rFonts w:ascii="Times New Roman"/>
                <w:sz w:val="12"/>
              </w:rPr>
            </w:r>
          </w:p>
        </w:tc>
        <w:tc>
          <w:tcPr>
            <w:tcW w:w="1453"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11"/>
              <w:jc w:val="right"/>
              <w:rPr>
                <w:rFonts w:ascii="Times New Roman" w:hAnsi="Times New Roman" w:cs="Times New Roman" w:eastAsia="Times New Roman" w:hint="default"/>
                <w:sz w:val="12"/>
                <w:szCs w:val="12"/>
              </w:rPr>
            </w:pPr>
            <w:r>
              <w:rPr>
                <w:rFonts w:ascii="Times New Roman"/>
                <w:b/>
                <w:w w:val="105"/>
                <w:sz w:val="12"/>
              </w:rPr>
              <w:t>-</w:t>
            </w:r>
            <w:r>
              <w:rPr>
                <w:rFonts w:ascii="Times New Roman"/>
                <w:sz w:val="12"/>
              </w:rPr>
            </w:r>
          </w:p>
        </w:tc>
        <w:tc>
          <w:tcPr>
            <w:tcW w:w="1451"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61"/>
              <w:ind w:right="21"/>
              <w:jc w:val="right"/>
              <w:rPr>
                <w:rFonts w:ascii="Times New Roman" w:hAnsi="Times New Roman" w:cs="Times New Roman" w:eastAsia="Times New Roman" w:hint="default"/>
                <w:sz w:val="12"/>
                <w:szCs w:val="12"/>
              </w:rPr>
            </w:pPr>
            <w:r>
              <w:rPr>
                <w:rFonts w:ascii="Times New Roman"/>
                <w:b/>
                <w:w w:val="105"/>
                <w:sz w:val="12"/>
              </w:rPr>
              <w:t>52,393,263.36</w:t>
            </w:r>
            <w:r>
              <w:rPr>
                <w:rFonts w:ascii="Times New Roman"/>
                <w:sz w:val="12"/>
              </w:rPr>
            </w:r>
          </w:p>
        </w:tc>
        <w:tc>
          <w:tcPr>
            <w:tcW w:w="1460"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61"/>
              <w:ind w:right="31"/>
              <w:jc w:val="right"/>
              <w:rPr>
                <w:rFonts w:ascii="Times New Roman" w:hAnsi="Times New Roman" w:cs="Times New Roman" w:eastAsia="Times New Roman" w:hint="default"/>
                <w:sz w:val="12"/>
                <w:szCs w:val="12"/>
              </w:rPr>
            </w:pPr>
            <w:r>
              <w:rPr>
                <w:rFonts w:ascii="Times New Roman"/>
                <w:b/>
                <w:spacing w:val="2"/>
                <w:w w:val="105"/>
                <w:sz w:val="12"/>
              </w:rPr>
              <w:t>1,005,165,775.72</w:t>
            </w:r>
            <w:r>
              <w:rPr>
                <w:rFonts w:ascii="Times New Roman"/>
                <w:spacing w:val="2"/>
                <w:sz w:val="12"/>
              </w:rPr>
            </w:r>
          </w:p>
        </w:tc>
      </w:tr>
    </w:tbl>
    <w:p>
      <w:pPr>
        <w:tabs>
          <w:tab w:pos="5511" w:val="left" w:leader="none"/>
          <w:tab w:pos="10949" w:val="left" w:leader="none"/>
        </w:tabs>
        <w:spacing w:before="37"/>
        <w:ind w:left="168" w:right="0" w:firstLine="0"/>
        <w:jc w:val="left"/>
        <w:rPr>
          <w:rFonts w:ascii="宋体" w:hAnsi="宋体" w:cs="宋体" w:eastAsia="宋体" w:hint="default"/>
          <w:sz w:val="12"/>
          <w:szCs w:val="12"/>
        </w:rPr>
      </w:pPr>
      <w:r>
        <w:rPr>
          <w:rFonts w:ascii="宋体" w:hAnsi="宋体" w:cs="宋体" w:eastAsia="宋体" w:hint="default"/>
          <w:w w:val="105"/>
          <w:sz w:val="12"/>
          <w:szCs w:val="12"/>
        </w:rPr>
        <w:t>法定代表人:</w:t>
        <w:tab/>
        <w:t>主管会计工作负责人:</w:t>
        <w:tab/>
        <w:t>会计机构负责人：</w:t>
      </w:r>
      <w:r>
        <w:rPr>
          <w:rFonts w:ascii="宋体" w:hAnsi="宋体" w:cs="宋体" w:eastAsia="宋体" w:hint="default"/>
          <w:sz w:val="12"/>
          <w:szCs w:val="12"/>
        </w:rPr>
      </w:r>
    </w:p>
    <w:p>
      <w:pPr>
        <w:spacing w:after="0"/>
        <w:jc w:val="left"/>
        <w:rPr>
          <w:rFonts w:ascii="宋体" w:hAnsi="宋体" w:cs="宋体" w:eastAsia="宋体" w:hint="default"/>
          <w:sz w:val="12"/>
          <w:szCs w:val="12"/>
        </w:rPr>
        <w:sectPr>
          <w:type w:val="continuous"/>
          <w:pgSz w:w="16840" w:h="11900" w:orient="landscape"/>
          <w:pgMar w:top="860" w:bottom="280" w:left="1300" w:right="420"/>
        </w:sectPr>
      </w:pPr>
    </w:p>
    <w:p>
      <w:pPr>
        <w:spacing w:line="240" w:lineRule="auto" w:before="3"/>
        <w:rPr>
          <w:rFonts w:ascii="宋体" w:hAnsi="宋体" w:cs="宋体" w:eastAsia="宋体" w:hint="default"/>
          <w:sz w:val="29"/>
          <w:szCs w:val="29"/>
        </w:rPr>
      </w:pPr>
    </w:p>
    <w:p>
      <w:pPr>
        <w:spacing w:line="458" w:lineRule="exact" w:before="0"/>
        <w:ind w:left="149" w:right="106"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宝安鸿基地产集团股份有限公司</w:t>
      </w:r>
      <w:r>
        <w:rPr>
          <w:rFonts w:ascii="Microsoft JhengHei" w:hAnsi="Microsoft JhengHei" w:cs="Microsoft JhengHei" w:eastAsia="Microsoft JhengHei" w:hint="default"/>
          <w:sz w:val="32"/>
          <w:szCs w:val="32"/>
        </w:rPr>
      </w:r>
    </w:p>
    <w:p>
      <w:pPr>
        <w:spacing w:before="67"/>
        <w:ind w:left="145" w:right="106" w:firstLine="0"/>
        <w:jc w:val="center"/>
        <w:rPr>
          <w:rFonts w:ascii="Microsoft JhengHei" w:hAnsi="Microsoft JhengHei" w:cs="Microsoft JhengHei" w:eastAsia="Microsoft JhengHei" w:hint="default"/>
          <w:sz w:val="32"/>
          <w:szCs w:val="32"/>
        </w:rPr>
      </w:pPr>
      <w:r>
        <w:rPr>
          <w:rFonts w:ascii="Microsoft JhengHei" w:hAnsi="Microsoft JhengHei" w:cs="Microsoft JhengHei" w:eastAsia="Microsoft JhengHei" w:hint="default"/>
          <w:b/>
          <w:bCs/>
          <w:sz w:val="32"/>
          <w:szCs w:val="32"/>
        </w:rPr>
        <w:t>财  务  报  表  附 </w:t>
      </w:r>
      <w:r>
        <w:rPr>
          <w:rFonts w:ascii="Microsoft JhengHei" w:hAnsi="Microsoft JhengHei" w:cs="Microsoft JhengHei" w:eastAsia="Microsoft JhengHei" w:hint="default"/>
          <w:b/>
          <w:bCs/>
          <w:spacing w:val="9"/>
          <w:sz w:val="32"/>
          <w:szCs w:val="32"/>
        </w:rPr>
        <w:t> </w:t>
      </w:r>
      <w:r>
        <w:rPr>
          <w:rFonts w:ascii="Microsoft JhengHei" w:hAnsi="Microsoft JhengHei" w:cs="Microsoft JhengHei" w:eastAsia="Microsoft JhengHei" w:hint="default"/>
          <w:b/>
          <w:bCs/>
          <w:sz w:val="32"/>
          <w:szCs w:val="32"/>
        </w:rPr>
        <w:t>注</w:t>
      </w:r>
      <w:r>
        <w:rPr>
          <w:rFonts w:ascii="Microsoft JhengHei" w:hAnsi="Microsoft JhengHei" w:cs="Microsoft JhengHei" w:eastAsia="Microsoft JhengHei" w:hint="default"/>
          <w:sz w:val="32"/>
          <w:szCs w:val="32"/>
        </w:rPr>
      </w:r>
    </w:p>
    <w:p>
      <w:pPr>
        <w:pStyle w:val="Heading4"/>
        <w:spacing w:line="240" w:lineRule="auto" w:before="99"/>
        <w:ind w:left="145" w:right="106"/>
        <w:jc w:val="center"/>
        <w:rPr>
          <w:b w:val="0"/>
          <w:bCs w:val="0"/>
        </w:rPr>
      </w:pP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年度</w:t>
      </w:r>
      <w:r>
        <w:rPr>
          <w:b w:val="0"/>
          <w:bCs w:val="0"/>
        </w:rPr>
      </w:r>
    </w:p>
    <w:p>
      <w:pPr>
        <w:pStyle w:val="BodyText"/>
        <w:spacing w:line="240" w:lineRule="auto" w:before="135"/>
        <w:ind w:left="149" w:right="106"/>
        <w:jc w:val="center"/>
      </w:pPr>
      <w:r>
        <w:rPr/>
        <w:t>（除非特别注明，以下币种为人民币，货币单位为元）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6"/>
        <w:spacing w:line="335" w:lineRule="exact"/>
        <w:ind w:right="101"/>
        <w:jc w:val="left"/>
        <w:rPr>
          <w:b w:val="0"/>
          <w:bCs w:val="0"/>
        </w:rPr>
      </w:pPr>
      <w:r>
        <w:rPr/>
        <w:t>一、公司基本情况</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9"/>
          <w:szCs w:val="19"/>
        </w:rPr>
      </w:pPr>
    </w:p>
    <w:p>
      <w:pPr>
        <w:pStyle w:val="BodyText"/>
        <w:spacing w:line="240" w:lineRule="auto"/>
        <w:ind w:left="690" w:right="101"/>
        <w:jc w:val="left"/>
      </w:pPr>
      <w:r>
        <w:rPr>
          <w:rFonts w:ascii="Times New Roman" w:hAnsi="Times New Roman" w:cs="Times New Roman" w:eastAsia="Times New Roman" w:hint="default"/>
        </w:rPr>
        <w:t>1</w:t>
      </w:r>
      <w:r>
        <w:rPr/>
        <w:t>、公司概况</w:t>
      </w:r>
    </w:p>
    <w:p>
      <w:pPr>
        <w:spacing w:line="240" w:lineRule="auto" w:before="3"/>
        <w:rPr>
          <w:rFonts w:ascii="宋体" w:hAnsi="宋体" w:cs="宋体" w:eastAsia="宋体" w:hint="default"/>
          <w:sz w:val="15"/>
          <w:szCs w:val="15"/>
        </w:rPr>
      </w:pPr>
    </w:p>
    <w:p>
      <w:pPr>
        <w:pStyle w:val="BodyText"/>
        <w:spacing w:line="240" w:lineRule="auto"/>
        <w:ind w:left="690" w:right="101"/>
        <w:jc w:val="left"/>
        <w:rPr>
          <w:rFonts w:ascii="Times New Roman" w:hAnsi="Times New Roman" w:cs="Times New Roman" w:eastAsia="Times New Roman" w:hint="default"/>
        </w:rPr>
      </w:pPr>
      <w:r>
        <w:rPr>
          <w:spacing w:val="-7"/>
        </w:rPr>
        <w:t>宝安鸿基地产集团股份有限公司（以下简称</w:t>
      </w:r>
      <w:r>
        <w:rPr>
          <w:rFonts w:ascii="Times New Roman" w:hAnsi="Times New Roman" w:cs="Times New Roman" w:eastAsia="Times New Roman" w:hint="default"/>
          <w:spacing w:val="-7"/>
        </w:rPr>
        <w:t>“</w:t>
      </w:r>
      <w:r>
        <w:rPr>
          <w:spacing w:val="-7"/>
        </w:rPr>
        <w:t>本公司</w:t>
      </w:r>
      <w:r>
        <w:rPr>
          <w:rFonts w:ascii="Times New Roman" w:hAnsi="Times New Roman" w:cs="Times New Roman" w:eastAsia="Times New Roman" w:hint="default"/>
          <w:spacing w:val="-7"/>
        </w:rPr>
        <w:t>”</w:t>
      </w:r>
      <w:r>
        <w:rPr>
          <w:spacing w:val="-7"/>
        </w:rPr>
        <w:t>）是于</w:t>
      </w:r>
      <w:r>
        <w:rPr>
          <w:spacing w:val="-46"/>
        </w:rPr>
        <w:t> </w:t>
      </w:r>
      <w:r>
        <w:rPr>
          <w:rFonts w:ascii="Times New Roman" w:hAnsi="Times New Roman" w:cs="Times New Roman" w:eastAsia="Times New Roman" w:hint="default"/>
        </w:rPr>
        <w:t>1993</w:t>
      </w:r>
      <w:r>
        <w:rPr>
          <w:rFonts w:ascii="Times New Roman" w:hAnsi="Times New Roman" w:cs="Times New Roman" w:eastAsia="Times New Roman" w:hint="default"/>
          <w:spacing w:val="7"/>
        </w:rPr>
        <w:t> </w:t>
      </w:r>
      <w:r>
        <w:rPr/>
        <w:t>年</w:t>
      </w:r>
      <w:r>
        <w:rPr>
          <w:spacing w:val="-50"/>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日经深府办复</w:t>
      </w:r>
      <w:r>
        <w:rPr>
          <w:rFonts w:ascii="Times New Roman" w:hAnsi="Times New Roman" w:cs="Times New Roman" w:eastAsia="Times New Roman" w:hint="default"/>
        </w:rPr>
        <w:t>[1993]926</w:t>
      </w:r>
    </w:p>
    <w:p>
      <w:pPr>
        <w:spacing w:line="240" w:lineRule="auto" w:before="3"/>
        <w:rPr>
          <w:rFonts w:ascii="Times New Roman" w:hAnsi="Times New Roman" w:cs="Times New Roman" w:eastAsia="Times New Roman" w:hint="default"/>
          <w:sz w:val="17"/>
          <w:szCs w:val="17"/>
        </w:rPr>
      </w:pPr>
    </w:p>
    <w:p>
      <w:pPr>
        <w:pStyle w:val="BodyText"/>
        <w:spacing w:line="240" w:lineRule="auto"/>
        <w:ind w:left="267" w:right="101"/>
        <w:jc w:val="left"/>
      </w:pPr>
      <w:r>
        <w:rPr/>
        <w:t>号文批准在原深圳市装卸运输公司的基础上改组设立的股份有限公司。</w:t>
      </w:r>
      <w:r>
        <w:rPr>
          <w:rFonts w:ascii="Times New Roman" w:hAnsi="Times New Roman" w:cs="Times New Roman" w:eastAsia="Times New Roman" w:hint="default"/>
        </w:rPr>
        <w:t>1994  </w:t>
      </w:r>
      <w:r>
        <w:rPr/>
        <w:t>年 </w:t>
      </w:r>
      <w:r>
        <w:rPr>
          <w:rFonts w:ascii="Times New Roman" w:hAnsi="Times New Roman" w:cs="Times New Roman" w:eastAsia="Times New Roman" w:hint="default"/>
        </w:rPr>
        <w:t>2  </w:t>
      </w:r>
      <w:r>
        <w:rPr/>
        <w:t>月 </w:t>
      </w:r>
      <w:r>
        <w:rPr>
          <w:rFonts w:ascii="Times New Roman" w:hAnsi="Times New Roman" w:cs="Times New Roman" w:eastAsia="Times New Roman" w:hint="default"/>
        </w:rPr>
        <w:t>8  </w:t>
      </w:r>
      <w:r>
        <w:rPr>
          <w:rFonts w:ascii="Times New Roman" w:hAnsi="Times New Roman" w:cs="Times New Roman" w:eastAsia="Times New Roman" w:hint="default"/>
          <w:spacing w:val="9"/>
        </w:rPr>
        <w:t> </w:t>
      </w:r>
      <w:r>
        <w:rPr/>
        <w:t>日经深证办复</w:t>
      </w:r>
    </w:p>
    <w:p>
      <w:pPr>
        <w:spacing w:line="240" w:lineRule="auto" w:before="3"/>
        <w:rPr>
          <w:rFonts w:ascii="宋体" w:hAnsi="宋体" w:cs="宋体" w:eastAsia="宋体" w:hint="default"/>
          <w:sz w:val="15"/>
          <w:szCs w:val="15"/>
        </w:rPr>
      </w:pPr>
    </w:p>
    <w:p>
      <w:pPr>
        <w:pStyle w:val="BodyText"/>
        <w:spacing w:line="240" w:lineRule="auto"/>
        <w:ind w:left="267" w:right="101"/>
        <w:jc w:val="left"/>
        <w:rPr>
          <w:rFonts w:ascii="Times New Roman" w:hAnsi="Times New Roman" w:cs="Times New Roman" w:eastAsia="Times New Roman" w:hint="default"/>
        </w:rPr>
      </w:pPr>
      <w:r>
        <w:rPr>
          <w:rFonts w:ascii="Times New Roman" w:hAnsi="Times New Roman" w:cs="Times New Roman" w:eastAsia="Times New Roman" w:hint="default"/>
        </w:rPr>
        <w:t>[1994]40 </w:t>
      </w:r>
      <w:r>
        <w:rPr>
          <w:rFonts w:ascii="Times New Roman" w:hAnsi="Times New Roman" w:cs="Times New Roman" w:eastAsia="Times New Roman" w:hint="default"/>
          <w:spacing w:val="30"/>
        </w:rPr>
        <w:t> </w:t>
      </w:r>
      <w:r>
        <w:rPr>
          <w:spacing w:val="-7"/>
        </w:rPr>
        <w:t>号文批准，向社会公众公开发行人民币普通股股票，并于同年在深圳证券交易所挂牌上市。</w:t>
      </w:r>
      <w:r>
        <w:rPr>
          <w:rFonts w:ascii="Times New Roman" w:hAnsi="Times New Roman" w:cs="Times New Roman" w:eastAsia="Times New Roman" w:hint="default"/>
          <w:spacing w:val="-7"/>
        </w:rPr>
        <w:t>1995</w:t>
      </w:r>
    </w:p>
    <w:p>
      <w:pPr>
        <w:spacing w:line="240" w:lineRule="auto" w:before="3"/>
        <w:rPr>
          <w:rFonts w:ascii="Times New Roman" w:hAnsi="Times New Roman" w:cs="Times New Roman" w:eastAsia="Times New Roman" w:hint="default"/>
          <w:sz w:val="17"/>
          <w:szCs w:val="17"/>
        </w:rPr>
      </w:pPr>
    </w:p>
    <w:p>
      <w:pPr>
        <w:pStyle w:val="BodyText"/>
        <w:spacing w:line="240" w:lineRule="auto"/>
        <w:ind w:left="267" w:right="101"/>
        <w:jc w:val="left"/>
        <w:rPr>
          <w:rFonts w:ascii="Times New Roman" w:hAnsi="Times New Roman" w:cs="Times New Roman" w:eastAsia="Times New Roman" w:hint="default"/>
        </w:rPr>
      </w:pPr>
      <w:r>
        <w:rPr/>
        <w:t>年</w:t>
      </w:r>
      <w:r>
        <w:rPr>
          <w:spacing w:val="-48"/>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5"/>
        </w:rPr>
        <w:t> </w:t>
      </w:r>
      <w:r>
        <w:rPr>
          <w:spacing w:val="-8"/>
        </w:rPr>
        <w:t>月、</w:t>
      </w:r>
      <w:r>
        <w:rPr>
          <w:rFonts w:ascii="Times New Roman" w:hAnsi="Times New Roman" w:cs="Times New Roman" w:eastAsia="Times New Roman" w:hint="default"/>
          <w:spacing w:val="-8"/>
        </w:rPr>
        <w:t>1997</w:t>
      </w:r>
      <w:r>
        <w:rPr>
          <w:rFonts w:ascii="Times New Roman" w:hAnsi="Times New Roman" w:cs="Times New Roman" w:eastAsia="Times New Roman" w:hint="default"/>
          <w:spacing w:val="5"/>
        </w:rPr>
        <w:t> </w:t>
      </w:r>
      <w:r>
        <w:rPr/>
        <w:t>年</w:t>
      </w:r>
      <w:r>
        <w:rPr>
          <w:spacing w:val="-52"/>
        </w:rPr>
        <w:t> </w:t>
      </w:r>
      <w:r>
        <w:rPr>
          <w:rFonts w:ascii="Times New Roman" w:hAnsi="Times New Roman" w:cs="Times New Roman" w:eastAsia="Times New Roman" w:hint="default"/>
        </w:rPr>
        <w:t>8</w:t>
      </w:r>
      <w:r>
        <w:rPr>
          <w:rFonts w:ascii="Times New Roman" w:hAnsi="Times New Roman" w:cs="Times New Roman" w:eastAsia="Times New Roman" w:hint="default"/>
          <w:spacing w:val="5"/>
        </w:rPr>
        <w:t> </w:t>
      </w:r>
      <w:r>
        <w:rPr>
          <w:spacing w:val="-8"/>
        </w:rPr>
        <w:t>月、</w:t>
      </w:r>
      <w:r>
        <w:rPr>
          <w:rFonts w:ascii="Times New Roman" w:hAnsi="Times New Roman" w:cs="Times New Roman" w:eastAsia="Times New Roman" w:hint="default"/>
          <w:spacing w:val="-8"/>
        </w:rPr>
        <w:t>1999</w:t>
      </w:r>
      <w:r>
        <w:rPr>
          <w:rFonts w:ascii="Times New Roman" w:hAnsi="Times New Roman" w:cs="Times New Roman" w:eastAsia="Times New Roman" w:hint="default"/>
        </w:rPr>
        <w:t> </w:t>
      </w:r>
      <w:r>
        <w:rPr/>
        <w:t>年</w:t>
      </w:r>
      <w:r>
        <w:rPr>
          <w:spacing w:val="-48"/>
        </w:rPr>
        <w:t> </w:t>
      </w:r>
      <w:r>
        <w:rPr>
          <w:rFonts w:ascii="Times New Roman" w:hAnsi="Times New Roman" w:cs="Times New Roman" w:eastAsia="Times New Roman" w:hint="default"/>
        </w:rPr>
        <w:t>4</w:t>
      </w:r>
      <w:r>
        <w:rPr>
          <w:rFonts w:ascii="Times New Roman" w:hAnsi="Times New Roman" w:cs="Times New Roman" w:eastAsia="Times New Roman" w:hint="default"/>
          <w:spacing w:val="5"/>
        </w:rPr>
        <w:t> </w:t>
      </w:r>
      <w:r>
        <w:rPr>
          <w:spacing w:val="-16"/>
        </w:rPr>
        <w:t>月、</w:t>
      </w:r>
      <w:r>
        <w:rPr>
          <w:rFonts w:ascii="Times New Roman" w:hAnsi="Times New Roman" w:cs="Times New Roman" w:eastAsia="Times New Roman" w:hint="default"/>
          <w:spacing w:val="-16"/>
        </w:rPr>
        <w:t>7</w:t>
      </w:r>
      <w:r>
        <w:rPr>
          <w:rFonts w:ascii="Times New Roman" w:hAnsi="Times New Roman" w:cs="Times New Roman" w:eastAsia="Times New Roman" w:hint="default"/>
        </w:rPr>
        <w:t> </w:t>
      </w:r>
      <w:r>
        <w:rPr>
          <w:spacing w:val="-5"/>
        </w:rPr>
        <w:t>月分别实施了增资配股、分红派息和公积金转增股本，截至</w:t>
      </w:r>
      <w:r>
        <w:rPr>
          <w:spacing w:val="-48"/>
        </w:rPr>
        <w:t> </w:t>
      </w:r>
      <w:r>
        <w:rPr>
          <w:rFonts w:ascii="Times New Roman" w:hAnsi="Times New Roman" w:cs="Times New Roman" w:eastAsia="Times New Roman" w:hint="default"/>
        </w:rPr>
        <w:t>2004</w:t>
      </w:r>
    </w:p>
    <w:p>
      <w:pPr>
        <w:spacing w:line="240" w:lineRule="auto" w:before="3"/>
        <w:rPr>
          <w:rFonts w:ascii="Times New Roman" w:hAnsi="Times New Roman" w:cs="Times New Roman" w:eastAsia="Times New Roman" w:hint="default"/>
          <w:sz w:val="17"/>
          <w:szCs w:val="17"/>
        </w:rPr>
      </w:pPr>
    </w:p>
    <w:p>
      <w:pPr>
        <w:pStyle w:val="BodyText"/>
        <w:spacing w:line="240" w:lineRule="auto"/>
        <w:ind w:left="267" w:right="101"/>
        <w:jc w:val="left"/>
      </w:pPr>
      <w:r>
        <w:rPr/>
        <w:t>年</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日止，总股本为</w:t>
      </w:r>
      <w:r>
        <w:rPr>
          <w:spacing w:val="-52"/>
        </w:rPr>
        <w:t> </w:t>
      </w:r>
      <w:r>
        <w:rPr>
          <w:rFonts w:ascii="Times New Roman" w:hAnsi="Times New Roman" w:cs="Times New Roman" w:eastAsia="Times New Roman" w:hint="default"/>
        </w:rPr>
        <w:t>469,593,364.00</w:t>
      </w:r>
      <w:r>
        <w:rPr>
          <w:rFonts w:ascii="Times New Roman" w:hAnsi="Times New Roman" w:cs="Times New Roman" w:eastAsia="Times New Roman" w:hint="default"/>
          <w:spacing w:val="1"/>
        </w:rPr>
        <w:t> </w:t>
      </w:r>
      <w:r>
        <w:rPr/>
        <w:t>元。自</w:t>
      </w:r>
      <w:r>
        <w:rPr>
          <w:spacing w:val="-5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日起，中国宝安集团控股有限公司通</w:t>
      </w:r>
    </w:p>
    <w:p>
      <w:pPr>
        <w:spacing w:line="240" w:lineRule="auto" w:before="3"/>
        <w:rPr>
          <w:rFonts w:ascii="宋体" w:hAnsi="宋体" w:cs="宋体" w:eastAsia="宋体" w:hint="default"/>
          <w:sz w:val="15"/>
          <w:szCs w:val="15"/>
        </w:rPr>
      </w:pPr>
    </w:p>
    <w:p>
      <w:pPr>
        <w:pStyle w:val="BodyText"/>
        <w:spacing w:line="408" w:lineRule="auto"/>
        <w:ind w:left="690" w:right="198" w:hanging="423"/>
        <w:jc w:val="left"/>
      </w:pPr>
      <w:r>
        <w:rPr/>
        <w:t>过二级市场买入本公司股票，至</w:t>
      </w:r>
      <w:r>
        <w:rPr>
          <w:spacing w:val="-53"/>
        </w:rPr>
        <w:t> </w:t>
      </w:r>
      <w:r>
        <w:rPr>
          <w:rFonts w:ascii="Times New Roman" w:hAnsi="Times New Roman" w:cs="Times New Roman" w:eastAsia="Times New Roman" w:hint="default"/>
        </w:rPr>
        <w:t>2009</w:t>
      </w:r>
      <w:r>
        <w:rPr>
          <w:rFonts w:ascii="Times New Roman" w:hAnsi="Times New Roman" w:cs="Times New Roman" w:eastAsia="Times New Roman" w:hint="default"/>
          <w:spacing w:val="-5"/>
        </w:rPr>
        <w:t> </w:t>
      </w:r>
      <w:r>
        <w:rPr/>
        <w:t>年</w:t>
      </w:r>
      <w:r>
        <w:rPr>
          <w:spacing w:val="-53"/>
        </w:rPr>
        <w:t> </w:t>
      </w:r>
      <w:r>
        <w:rPr>
          <w:rFonts w:ascii="Times New Roman" w:hAnsi="Times New Roman" w:cs="Times New Roman" w:eastAsia="Times New Roman" w:hint="default"/>
        </w:rPr>
        <w:t>6 </w:t>
      </w:r>
      <w:r>
        <w:rPr/>
        <w:t>月</w:t>
      </w:r>
      <w:r>
        <w:rPr>
          <w:spacing w:val="-53"/>
        </w:rPr>
        <w:t> </w:t>
      </w:r>
      <w:r>
        <w:rPr>
          <w:rFonts w:ascii="Times New Roman" w:hAnsi="Times New Roman" w:cs="Times New Roman" w:eastAsia="Times New Roman" w:hint="default"/>
        </w:rPr>
        <w:t>30</w:t>
      </w:r>
      <w:r>
        <w:rPr>
          <w:rFonts w:ascii="Times New Roman" w:hAnsi="Times New Roman" w:cs="Times New Roman" w:eastAsia="Times New Roman" w:hint="default"/>
          <w:spacing w:val="-5"/>
        </w:rPr>
        <w:t> </w:t>
      </w:r>
      <w:r>
        <w:rPr/>
        <w:t>日持有本公司</w:t>
      </w:r>
      <w:r>
        <w:rPr>
          <w:spacing w:val="-53"/>
        </w:rPr>
        <w:t> </w:t>
      </w:r>
      <w:r>
        <w:rPr>
          <w:rFonts w:ascii="Times New Roman" w:hAnsi="Times New Roman" w:cs="Times New Roman" w:eastAsia="Times New Roman" w:hint="default"/>
        </w:rPr>
        <w:t>19.80%</w:t>
      </w:r>
      <w:r>
        <w:rPr/>
        <w:t>的股票</w:t>
      </w:r>
      <w:r>
        <w:rPr>
          <w:rFonts w:ascii="Times New Roman" w:hAnsi="Times New Roman" w:cs="Times New Roman" w:eastAsia="Times New Roman" w:hint="default"/>
        </w:rPr>
        <w:t>,</w:t>
      </w:r>
      <w:r>
        <w:rPr/>
        <w:t>为本公司第一大股东。</w:t>
      </w:r>
      <w:r>
        <w:rPr>
          <w:w w:val="100"/>
        </w:rPr>
        <w:t> </w:t>
      </w:r>
      <w:r>
        <w:rPr/>
        <w:t>本公司持有深司字</w:t>
      </w:r>
      <w:r>
        <w:rPr>
          <w:spacing w:val="-51"/>
        </w:rPr>
        <w:t> </w:t>
      </w:r>
      <w:r>
        <w:rPr>
          <w:rFonts w:ascii="Times New Roman" w:hAnsi="Times New Roman" w:cs="Times New Roman" w:eastAsia="Times New Roman" w:hint="default"/>
        </w:rPr>
        <w:t>N24470</w:t>
      </w:r>
      <w:r>
        <w:rPr>
          <w:rFonts w:ascii="Times New Roman" w:hAnsi="Times New Roman" w:cs="Times New Roman" w:eastAsia="Times New Roman" w:hint="default"/>
          <w:spacing w:val="6"/>
        </w:rPr>
        <w:t> </w:t>
      </w:r>
      <w:r>
        <w:rPr/>
        <w:t>号企业法人营业执照，注册号为</w:t>
      </w:r>
      <w:r>
        <w:rPr>
          <w:spacing w:val="-46"/>
        </w:rPr>
        <w:t> </w:t>
      </w:r>
      <w:r>
        <w:rPr>
          <w:rFonts w:ascii="Times New Roman" w:hAnsi="Times New Roman" w:cs="Times New Roman" w:eastAsia="Times New Roman" w:hint="default"/>
        </w:rPr>
        <w:t>440301104155082</w:t>
      </w:r>
      <w:r>
        <w:rPr>
          <w:rFonts w:ascii="Times New Roman" w:hAnsi="Times New Roman" w:cs="Times New Roman" w:eastAsia="Times New Roman" w:hint="default"/>
          <w:spacing w:val="6"/>
        </w:rPr>
        <w:t> </w:t>
      </w:r>
      <w:r>
        <w:rPr/>
        <w:t>号。公司注册地址及</w:t>
      </w:r>
    </w:p>
    <w:p>
      <w:pPr>
        <w:pStyle w:val="BodyText"/>
        <w:spacing w:line="240" w:lineRule="auto" w:before="36"/>
        <w:ind w:left="267" w:right="101"/>
        <w:jc w:val="left"/>
      </w:pPr>
      <w:r>
        <w:rPr/>
        <w:t>办公地址均位于深圳市罗湖区东门中路</w:t>
      </w:r>
      <w:r>
        <w:rPr>
          <w:spacing w:val="-54"/>
        </w:rPr>
        <w:t> </w:t>
      </w:r>
      <w:r>
        <w:rPr>
          <w:rFonts w:ascii="Times New Roman" w:hAnsi="Times New Roman" w:cs="Times New Roman" w:eastAsia="Times New Roman" w:hint="default"/>
          <w:spacing w:val="-3"/>
        </w:rPr>
        <w:t>1011</w:t>
      </w:r>
      <w:r>
        <w:rPr>
          <w:rFonts w:ascii="Times New Roman" w:hAnsi="Times New Roman" w:cs="Times New Roman" w:eastAsia="Times New Roman" w:hint="default"/>
          <w:spacing w:val="4"/>
        </w:rPr>
        <w:t> </w:t>
      </w:r>
      <w:r>
        <w:rPr/>
        <w:t>号鸿基大厦</w:t>
      </w:r>
      <w:r>
        <w:rPr>
          <w:spacing w:val="-49"/>
        </w:rPr>
        <w:t> </w:t>
      </w:r>
      <w:r>
        <w:rPr>
          <w:rFonts w:ascii="Times New Roman" w:hAnsi="Times New Roman" w:cs="Times New Roman" w:eastAsia="Times New Roman" w:hint="default"/>
        </w:rPr>
        <w:t>25</w:t>
      </w:r>
      <w:r>
        <w:rPr/>
        <w:t>－</w:t>
      </w:r>
      <w:r>
        <w:rPr>
          <w:rFonts w:ascii="Times New Roman" w:hAnsi="Times New Roman" w:cs="Times New Roman" w:eastAsia="Times New Roman" w:hint="default"/>
        </w:rPr>
        <w:t>27</w:t>
      </w:r>
      <w:r>
        <w:rPr>
          <w:rFonts w:ascii="Times New Roman" w:hAnsi="Times New Roman" w:cs="Times New Roman" w:eastAsia="Times New Roman" w:hint="default"/>
          <w:spacing w:val="-2"/>
        </w:rPr>
        <w:t> </w:t>
      </w:r>
      <w:r>
        <w:rPr/>
        <w:t>楼。</w:t>
      </w:r>
    </w:p>
    <w:p>
      <w:pPr>
        <w:spacing w:line="240" w:lineRule="auto" w:before="3"/>
        <w:rPr>
          <w:rFonts w:ascii="宋体" w:hAnsi="宋体" w:cs="宋体" w:eastAsia="宋体" w:hint="default"/>
          <w:sz w:val="15"/>
          <w:szCs w:val="15"/>
        </w:rPr>
      </w:pPr>
    </w:p>
    <w:p>
      <w:pPr>
        <w:pStyle w:val="BodyText"/>
        <w:spacing w:line="403" w:lineRule="auto"/>
        <w:ind w:left="267" w:right="201" w:firstLine="422"/>
        <w:jc w:val="left"/>
      </w:pPr>
      <w:r>
        <w:rPr/>
        <w:t>本公司于</w:t>
      </w:r>
      <w:r>
        <w:rPr>
          <w:spacing w:val="-56"/>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4"/>
        </w:rPr>
        <w:t> </w:t>
      </w:r>
      <w:r>
        <w:rPr/>
        <w:t>年</w:t>
      </w:r>
      <w:r>
        <w:rPr>
          <w:spacing w:val="-56"/>
        </w:rPr>
        <w:t> </w:t>
      </w:r>
      <w:r>
        <w:rPr>
          <w:rFonts w:ascii="Times New Roman" w:hAnsi="Times New Roman" w:cs="Times New Roman" w:eastAsia="Times New Roman" w:hint="default"/>
        </w:rPr>
        <w:t>5</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18</w:t>
      </w:r>
      <w:r>
        <w:rPr>
          <w:rFonts w:ascii="Times New Roman" w:hAnsi="Times New Roman" w:cs="Times New Roman" w:eastAsia="Times New Roman" w:hint="default"/>
          <w:spacing w:val="-9"/>
        </w:rPr>
        <w:t> </w:t>
      </w:r>
      <w:r>
        <w:rPr/>
        <w:t>日由原</w:t>
      </w:r>
      <w:r>
        <w:rPr>
          <w:rFonts w:ascii="Times New Roman" w:hAnsi="Times New Roman" w:cs="Times New Roman" w:eastAsia="Times New Roman" w:hint="default"/>
        </w:rPr>
        <w:t>“</w:t>
      </w:r>
      <w:r>
        <w:rPr/>
        <w:t>深圳市鸿基</w:t>
      </w:r>
      <w:r>
        <w:rPr>
          <w:rFonts w:ascii="Times New Roman" w:hAnsi="Times New Roman" w:cs="Times New Roman" w:eastAsia="Times New Roman" w:hint="default"/>
        </w:rPr>
        <w:t>(</w:t>
      </w:r>
      <w:r>
        <w:rPr/>
        <w:t>集团</w:t>
      </w:r>
      <w:r>
        <w:rPr>
          <w:rFonts w:ascii="Times New Roman" w:hAnsi="Times New Roman" w:cs="Times New Roman" w:eastAsia="Times New Roman" w:hint="default"/>
        </w:rPr>
        <w:t>)</w:t>
      </w:r>
      <w:r>
        <w:rPr/>
        <w:t>股份有限公司</w:t>
      </w:r>
      <w:r>
        <w:rPr>
          <w:rFonts w:ascii="Times New Roman" w:hAnsi="Times New Roman" w:cs="Times New Roman" w:eastAsia="Times New Roman" w:hint="default"/>
        </w:rPr>
        <w:t>”</w:t>
      </w:r>
      <w:r>
        <w:rPr/>
        <w:t>更名为</w:t>
      </w:r>
      <w:r>
        <w:rPr>
          <w:rFonts w:ascii="Times New Roman" w:hAnsi="Times New Roman" w:cs="Times New Roman" w:eastAsia="Times New Roman" w:hint="default"/>
        </w:rPr>
        <w:t>“</w:t>
      </w:r>
      <w:r>
        <w:rPr/>
        <w:t>宝安鸿基地产集团股份有</w:t>
      </w:r>
      <w:r>
        <w:rPr>
          <w:w w:val="100"/>
        </w:rPr>
        <w:t> </w:t>
      </w:r>
      <w:r>
        <w:rPr/>
        <w:t>限公司</w:t>
      </w:r>
      <w:r>
        <w:rPr>
          <w:rFonts w:ascii="Times New Roman" w:hAnsi="Times New Roman" w:cs="Times New Roman" w:eastAsia="Times New Roman" w:hint="default"/>
        </w:rPr>
        <w:t>”</w:t>
      </w:r>
      <w:r>
        <w:rPr/>
        <w:t>，注册号由原</w:t>
      </w:r>
      <w:r>
        <w:rPr>
          <w:rFonts w:ascii="Times New Roman" w:hAnsi="Times New Roman" w:cs="Times New Roman" w:eastAsia="Times New Roman" w:hint="default"/>
        </w:rPr>
        <w:t>“4403011002854”</w:t>
      </w:r>
      <w:r>
        <w:rPr/>
        <w:t>变更为</w:t>
      </w:r>
      <w:r>
        <w:rPr>
          <w:rFonts w:ascii="Times New Roman" w:hAnsi="Times New Roman" w:cs="Times New Roman" w:eastAsia="Times New Roman" w:hint="default"/>
        </w:rPr>
        <w:t>“440301104155082”</w:t>
      </w:r>
      <w:r>
        <w:rPr/>
        <w:t>。</w:t>
      </w:r>
    </w:p>
    <w:p>
      <w:pPr>
        <w:pStyle w:val="BodyText"/>
        <w:spacing w:line="240" w:lineRule="auto" w:before="40"/>
        <w:ind w:left="690" w:right="101"/>
        <w:jc w:val="left"/>
      </w:pPr>
      <w:r>
        <w:rPr/>
        <w:t>本公司证券简称自</w:t>
      </w:r>
      <w:r>
        <w:rPr>
          <w:spacing w:val="-50"/>
        </w:rPr>
        <w:t> </w:t>
      </w:r>
      <w:r>
        <w:rPr>
          <w:rFonts w:ascii="Times New Roman" w:hAnsi="Times New Roman" w:cs="Times New Roman" w:eastAsia="Times New Roman" w:hint="default"/>
          <w:spacing w:val="-3"/>
        </w:rPr>
        <w:t>2011 </w:t>
      </w:r>
      <w:r>
        <w:rPr/>
        <w:t>年</w:t>
      </w:r>
      <w:r>
        <w:rPr>
          <w:spacing w:val="-51"/>
        </w:rPr>
        <w:t> </w:t>
      </w:r>
      <w:r>
        <w:rPr>
          <w:rFonts w:ascii="Times New Roman" w:hAnsi="Times New Roman" w:cs="Times New Roman" w:eastAsia="Times New Roman" w:hint="default"/>
        </w:rPr>
        <w:t>6</w:t>
      </w:r>
      <w:r>
        <w:rPr>
          <w:rFonts w:ascii="Times New Roman" w:hAnsi="Times New Roman" w:cs="Times New Roman" w:eastAsia="Times New Roman" w:hint="default"/>
          <w:spacing w:val="2"/>
        </w:rPr>
        <w:t> </w:t>
      </w:r>
      <w:r>
        <w:rPr/>
        <w:t>月</w:t>
      </w:r>
      <w:r>
        <w:rPr>
          <w:spacing w:val="-51"/>
        </w:rPr>
        <w:t> </w:t>
      </w:r>
      <w:r>
        <w:rPr>
          <w:rFonts w:ascii="Times New Roman" w:hAnsi="Times New Roman" w:cs="Times New Roman" w:eastAsia="Times New Roman" w:hint="default"/>
        </w:rPr>
        <w:t>20</w:t>
      </w:r>
      <w:r>
        <w:rPr>
          <w:rFonts w:ascii="Times New Roman" w:hAnsi="Times New Roman" w:cs="Times New Roman" w:eastAsia="Times New Roman" w:hint="default"/>
          <w:spacing w:val="-3"/>
        </w:rPr>
        <w:t> </w:t>
      </w:r>
      <w:r>
        <w:rPr/>
        <w:t>日起，由</w:t>
      </w:r>
      <w:r>
        <w:rPr>
          <w:rFonts w:ascii="Times New Roman" w:hAnsi="Times New Roman" w:cs="Times New Roman" w:eastAsia="Times New Roman" w:hint="default"/>
        </w:rPr>
        <w:t>“</w:t>
      </w:r>
      <w:r>
        <w:rPr/>
        <w:t>深鸿基</w:t>
      </w:r>
      <w:r>
        <w:rPr>
          <w:rFonts w:ascii="Times New Roman" w:hAnsi="Times New Roman" w:cs="Times New Roman" w:eastAsia="Times New Roman" w:hint="default"/>
        </w:rPr>
        <w:t>”</w:t>
      </w:r>
      <w:r>
        <w:rPr/>
        <w:t>变更为</w:t>
      </w:r>
      <w:r>
        <w:rPr>
          <w:rFonts w:ascii="Times New Roman" w:hAnsi="Times New Roman" w:cs="Times New Roman" w:eastAsia="Times New Roman" w:hint="default"/>
        </w:rPr>
        <w:t>“</w:t>
      </w:r>
      <w:r>
        <w:rPr/>
        <w:t>宝安地产</w:t>
      </w:r>
      <w:r>
        <w:rPr>
          <w:rFonts w:ascii="Times New Roman" w:hAnsi="Times New Roman" w:cs="Times New Roman" w:eastAsia="Times New Roman" w:hint="default"/>
        </w:rPr>
        <w:t>”</w:t>
      </w:r>
      <w:r>
        <w:rPr/>
        <w:t>。</w:t>
      </w:r>
    </w:p>
    <w:p>
      <w:pPr>
        <w:spacing w:line="240" w:lineRule="auto" w:before="3"/>
        <w:rPr>
          <w:rFonts w:ascii="宋体" w:hAnsi="宋体" w:cs="宋体" w:eastAsia="宋体" w:hint="default"/>
          <w:sz w:val="15"/>
          <w:szCs w:val="15"/>
        </w:rPr>
      </w:pPr>
    </w:p>
    <w:p>
      <w:pPr>
        <w:pStyle w:val="BodyText"/>
        <w:spacing w:line="403" w:lineRule="auto"/>
        <w:ind w:left="690" w:right="101"/>
        <w:jc w:val="left"/>
      </w:pPr>
      <w:r>
        <w:rPr>
          <w:rFonts w:ascii="Times New Roman" w:hAnsi="Times New Roman" w:cs="Times New Roman" w:eastAsia="Times New Roman" w:hint="default"/>
        </w:rPr>
        <w:t>2</w:t>
      </w:r>
      <w:r>
        <w:rPr/>
        <w:t>、公司经营范围</w:t>
      </w:r>
      <w:r>
        <w:rPr>
          <w:spacing w:val="-102"/>
        </w:rPr>
        <w:t> </w:t>
      </w:r>
      <w:r>
        <w:rPr>
          <w:spacing w:val="-102"/>
        </w:rPr>
      </w:r>
      <w:r>
        <w:rPr>
          <w:spacing w:val="-2"/>
        </w:rPr>
        <w:t>本公司及控股子公司（以下统称</w:t>
      </w:r>
      <w:r>
        <w:rPr>
          <w:rFonts w:ascii="Times New Roman" w:hAnsi="Times New Roman" w:cs="Times New Roman" w:eastAsia="Times New Roman" w:hint="default"/>
          <w:spacing w:val="-2"/>
        </w:rPr>
        <w:t>“</w:t>
      </w:r>
      <w:r>
        <w:rPr>
          <w:spacing w:val="-2"/>
        </w:rPr>
        <w:t>本公司</w:t>
      </w:r>
      <w:r>
        <w:rPr>
          <w:rFonts w:ascii="Times New Roman" w:hAnsi="Times New Roman" w:cs="Times New Roman" w:eastAsia="Times New Roman" w:hint="default"/>
          <w:spacing w:val="-2"/>
        </w:rPr>
        <w:t>”</w:t>
      </w:r>
      <w:r>
        <w:rPr>
          <w:spacing w:val="-2"/>
        </w:rPr>
        <w:t>）的经营范围：在合法取得使用权的土地上从事房地产开</w:t>
      </w:r>
    </w:p>
    <w:p>
      <w:pPr>
        <w:pStyle w:val="BodyText"/>
        <w:spacing w:line="240" w:lineRule="auto" w:before="40"/>
        <w:ind w:left="267" w:right="101"/>
        <w:jc w:val="left"/>
      </w:pPr>
      <w:r>
        <w:rPr>
          <w:w w:val="100"/>
        </w:rPr>
        <w:t>发经营；</w:t>
      </w:r>
      <w:r>
        <w:rPr>
          <w:spacing w:val="-5"/>
          <w:w w:val="100"/>
        </w:rPr>
        <w:t>投</w:t>
      </w:r>
      <w:r>
        <w:rPr>
          <w:w w:val="100"/>
        </w:rPr>
        <w:t>资兴办</w:t>
      </w:r>
      <w:r>
        <w:rPr>
          <w:spacing w:val="-5"/>
          <w:w w:val="100"/>
        </w:rPr>
        <w:t>实</w:t>
      </w:r>
      <w:r>
        <w:rPr>
          <w:spacing w:val="-1"/>
          <w:w w:val="100"/>
        </w:rPr>
        <w:t>业</w:t>
      </w:r>
      <w:r>
        <w:rPr>
          <w:w w:val="100"/>
        </w:rPr>
        <w:t>（具</w:t>
      </w:r>
      <w:r>
        <w:rPr>
          <w:spacing w:val="-5"/>
          <w:w w:val="100"/>
        </w:rPr>
        <w:t>体</w:t>
      </w:r>
      <w:r>
        <w:rPr>
          <w:w w:val="100"/>
        </w:rPr>
        <w:t>项目另</w:t>
      </w:r>
      <w:r>
        <w:rPr>
          <w:spacing w:val="-5"/>
          <w:w w:val="100"/>
        </w:rPr>
        <w:t>行</w:t>
      </w:r>
      <w:r>
        <w:rPr>
          <w:w w:val="100"/>
        </w:rPr>
        <w:t>申报</w:t>
      </w:r>
      <w:r>
        <w:rPr>
          <w:spacing w:val="-106"/>
          <w:w w:val="100"/>
        </w:rPr>
        <w:t>）</w:t>
      </w:r>
      <w:r>
        <w:rPr>
          <w:spacing w:val="-5"/>
          <w:w w:val="100"/>
        </w:rPr>
        <w:t>；</w:t>
      </w:r>
      <w:r>
        <w:rPr>
          <w:w w:val="100"/>
        </w:rPr>
        <w:t>仓</w:t>
      </w:r>
      <w:r>
        <w:rPr>
          <w:spacing w:val="-5"/>
          <w:w w:val="100"/>
        </w:rPr>
        <w:t>储</w:t>
      </w:r>
      <w:r>
        <w:rPr>
          <w:w w:val="100"/>
        </w:rPr>
        <w:t>；物业管</w:t>
      </w:r>
      <w:r>
        <w:rPr>
          <w:spacing w:val="-5"/>
          <w:w w:val="100"/>
        </w:rPr>
        <w:t>理</w:t>
      </w:r>
      <w:r>
        <w:rPr>
          <w:w w:val="100"/>
        </w:rPr>
        <w:t>。</w:t>
      </w:r>
    </w:p>
    <w:p>
      <w:pPr>
        <w:spacing w:line="240" w:lineRule="auto" w:before="5"/>
        <w:rPr>
          <w:rFonts w:ascii="宋体" w:hAnsi="宋体" w:cs="宋体" w:eastAsia="宋体" w:hint="default"/>
          <w:sz w:val="16"/>
          <w:szCs w:val="16"/>
        </w:rPr>
      </w:pPr>
    </w:p>
    <w:p>
      <w:pPr>
        <w:pStyle w:val="BodyText"/>
        <w:spacing w:line="403" w:lineRule="auto"/>
        <w:ind w:left="690" w:right="6787"/>
        <w:jc w:val="left"/>
      </w:pPr>
      <w:r>
        <w:rPr>
          <w:rFonts w:ascii="Times New Roman" w:hAnsi="Times New Roman" w:cs="Times New Roman" w:eastAsia="Times New Roman" w:hint="default"/>
          <w:spacing w:val="-1"/>
        </w:rPr>
        <w:t>3</w:t>
      </w:r>
      <w:r>
        <w:rPr>
          <w:spacing w:val="-1"/>
        </w:rPr>
        <w:t>、母公司以及最终母公司</w:t>
      </w:r>
      <w:r>
        <w:rPr>
          <w:spacing w:val="-90"/>
        </w:rPr>
        <w:t> </w:t>
      </w:r>
      <w:r>
        <w:rPr>
          <w:spacing w:val="-90"/>
        </w:rPr>
      </w:r>
      <w:r>
        <w:rPr/>
        <w:t>不适用。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Heading6"/>
        <w:spacing w:line="240" w:lineRule="auto"/>
        <w:ind w:right="101"/>
        <w:jc w:val="left"/>
        <w:rPr>
          <w:b w:val="0"/>
          <w:bCs w:val="0"/>
        </w:rPr>
      </w:pPr>
      <w:r>
        <w:rPr/>
        <w:t>二、公司主要会计政策、会计估计和前期差错</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2"/>
        <w:rPr>
          <w:rFonts w:ascii="Microsoft JhengHei" w:hAnsi="Microsoft JhengHei" w:cs="Microsoft JhengHei" w:eastAsia="Microsoft JhengHei" w:hint="default"/>
          <w:b/>
          <w:bCs/>
          <w:sz w:val="14"/>
          <w:szCs w:val="14"/>
        </w:rPr>
      </w:pPr>
    </w:p>
    <w:p>
      <w:pPr>
        <w:pStyle w:val="Heading6"/>
        <w:spacing w:line="240" w:lineRule="auto"/>
        <w:ind w:right="101"/>
        <w:jc w:val="left"/>
        <w:rPr>
          <w:b w:val="0"/>
          <w:bCs w:val="0"/>
        </w:rPr>
      </w:pPr>
      <w:r>
        <w:rPr>
          <w:rFonts w:ascii="Times New Roman" w:hAnsi="Times New Roman" w:cs="Times New Roman" w:eastAsia="Times New Roman" w:hint="default"/>
        </w:rPr>
        <w:t>1</w:t>
      </w:r>
      <w:r>
        <w:rPr/>
        <w:t>、财务报表的编制基础</w:t>
      </w:r>
      <w:r>
        <w:rPr>
          <w:b w:val="0"/>
          <w:bCs w:val="0"/>
        </w:rPr>
      </w:r>
    </w:p>
    <w:p>
      <w:pPr>
        <w:spacing w:after="0" w:line="240" w:lineRule="auto"/>
        <w:jc w:val="left"/>
        <w:sectPr>
          <w:headerReference w:type="default" r:id="rId28"/>
          <w:footerReference w:type="default" r:id="rId29"/>
          <w:pgSz w:w="11900" w:h="16840"/>
          <w:pgMar w:header="762" w:footer="840" w:top="1000" w:bottom="1020" w:left="980" w:right="1020"/>
          <w:pgNumType w:start="55"/>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BodyText"/>
        <w:spacing w:line="240" w:lineRule="auto" w:before="36"/>
        <w:ind w:left="690" w:right="101"/>
        <w:jc w:val="left"/>
      </w:pPr>
      <w:r>
        <w:rPr/>
        <w:t>本公司财务报表系以持续经营为基础，根据实际发生的交易和事项，按照财政部</w:t>
      </w:r>
      <w:r>
        <w:rPr>
          <w:spacing w:val="-3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3"/>
        </w:rPr>
        <w:t> </w:t>
      </w:r>
      <w:r>
        <w:rPr/>
        <w:t>年</w:t>
      </w:r>
      <w:r>
        <w:rPr>
          <w:spacing w:val="-34"/>
        </w:rPr>
        <w:t> </w:t>
      </w:r>
      <w:r>
        <w:rPr>
          <w:rFonts w:ascii="Times New Roman" w:hAnsi="Times New Roman" w:cs="Times New Roman" w:eastAsia="Times New Roman" w:hint="default"/>
        </w:rPr>
        <w:t>2</w:t>
      </w:r>
      <w:r>
        <w:rPr>
          <w:rFonts w:ascii="Times New Roman" w:hAnsi="Times New Roman" w:cs="Times New Roman" w:eastAsia="Times New Roman" w:hint="default"/>
          <w:spacing w:val="18"/>
        </w:rPr>
        <w:t> </w:t>
      </w:r>
      <w:r>
        <w:rPr/>
        <w:t>月颁布</w:t>
      </w:r>
    </w:p>
    <w:p>
      <w:pPr>
        <w:spacing w:line="240" w:lineRule="auto" w:before="12"/>
        <w:rPr>
          <w:rFonts w:ascii="宋体" w:hAnsi="宋体" w:cs="宋体" w:eastAsia="宋体" w:hint="default"/>
          <w:sz w:val="15"/>
          <w:szCs w:val="15"/>
        </w:rPr>
      </w:pPr>
    </w:p>
    <w:p>
      <w:pPr>
        <w:pStyle w:val="BodyText"/>
        <w:spacing w:line="240" w:lineRule="auto"/>
        <w:ind w:left="267" w:right="0"/>
        <w:jc w:val="both"/>
      </w:pPr>
      <w:r>
        <w:rPr/>
        <w:t>的《企业会计准则</w:t>
      </w:r>
      <w:r>
        <w:rPr>
          <w:rFonts w:ascii="Times New Roman" w:hAnsi="Times New Roman" w:cs="Times New Roman" w:eastAsia="Times New Roman" w:hint="default"/>
        </w:rPr>
        <w:t>—</w:t>
      </w:r>
      <w:r>
        <w:rPr/>
        <w:t>基本准则》和</w:t>
      </w:r>
      <w:r>
        <w:rPr>
          <w:spacing w:val="-55"/>
        </w:rPr>
        <w:t> </w:t>
      </w:r>
      <w:r>
        <w:rPr>
          <w:rFonts w:ascii="Times New Roman" w:hAnsi="Times New Roman" w:cs="Times New Roman" w:eastAsia="Times New Roman" w:hint="default"/>
        </w:rPr>
        <w:t>38</w:t>
      </w:r>
      <w:r>
        <w:rPr>
          <w:rFonts w:ascii="Times New Roman" w:hAnsi="Times New Roman" w:cs="Times New Roman" w:eastAsia="Times New Roman" w:hint="default"/>
          <w:spacing w:val="-2"/>
        </w:rPr>
        <w:t> </w:t>
      </w:r>
      <w:r>
        <w:rPr/>
        <w:t>项具体会计准则及其应用指南、解释以及其他相关规定编制。</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Heading6"/>
        <w:spacing w:line="240" w:lineRule="auto"/>
        <w:ind w:right="101"/>
        <w:jc w:val="left"/>
        <w:rPr>
          <w:b w:val="0"/>
          <w:bCs w:val="0"/>
        </w:rPr>
      </w:pPr>
      <w:r>
        <w:rPr>
          <w:rFonts w:ascii="Times New Roman" w:hAnsi="Times New Roman" w:cs="Times New Roman" w:eastAsia="Times New Roman" w:hint="default"/>
        </w:rPr>
        <w:t>2</w:t>
      </w:r>
      <w:r>
        <w:rPr/>
        <w:t>、遵循企业会计准则的声明</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36" w:lineRule="auto"/>
        <w:ind w:left="267" w:right="101" w:firstLine="422"/>
        <w:jc w:val="left"/>
      </w:pPr>
      <w:r>
        <w:rPr>
          <w:spacing w:val="-2"/>
        </w:rPr>
        <w:t>本公司财务报表的编制符合企业会计准则的要求，真实、完整地反映了公司的财务状况、经营成果</w:t>
      </w:r>
      <w:r>
        <w:rPr>
          <w:w w:val="100"/>
        </w:rPr>
        <w:t> </w:t>
      </w:r>
      <w:r>
        <w:rPr/>
        <w:t>和现金流量等有关信息。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pStyle w:val="Heading6"/>
        <w:spacing w:line="240" w:lineRule="auto"/>
        <w:ind w:right="101"/>
        <w:jc w:val="left"/>
        <w:rPr>
          <w:b w:val="0"/>
          <w:bCs w:val="0"/>
        </w:rPr>
      </w:pPr>
      <w:r>
        <w:rPr>
          <w:rFonts w:ascii="Times New Roman" w:hAnsi="Times New Roman" w:cs="Times New Roman" w:eastAsia="Times New Roman" w:hint="default"/>
        </w:rPr>
        <w:t>3</w:t>
      </w:r>
      <w:r>
        <w:rPr/>
        <w:t>、会计期间</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90" w:right="101"/>
        <w:jc w:val="left"/>
      </w:pPr>
      <w:r>
        <w:rPr/>
        <w:t>本公司以公历年度为会计期间，即每年自</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t>日起至</w:t>
      </w:r>
      <w:r>
        <w:rPr>
          <w:spacing w:val="-52"/>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日止。</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Heading6"/>
        <w:spacing w:line="240" w:lineRule="auto"/>
        <w:ind w:right="101"/>
        <w:jc w:val="left"/>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90" w:right="101"/>
        <w:jc w:val="left"/>
      </w:pPr>
      <w:r>
        <w:rPr/>
        <w:t>本公司采用人民币为记账本位币。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3"/>
        <w:ind w:right="101"/>
        <w:jc w:val="left"/>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11"/>
        <w:rPr>
          <w:rFonts w:ascii="Microsoft JhengHei" w:hAnsi="Microsoft JhengHei" w:cs="Microsoft JhengHei" w:eastAsia="Microsoft JhengHei" w:hint="default"/>
          <w:b/>
          <w:bCs/>
          <w:sz w:val="12"/>
          <w:szCs w:val="12"/>
        </w:rPr>
      </w:pPr>
    </w:p>
    <w:p>
      <w:pPr>
        <w:pStyle w:val="BodyText"/>
        <w:spacing w:line="432" w:lineRule="auto"/>
        <w:ind w:left="690" w:right="101"/>
        <w:jc w:val="left"/>
      </w:pPr>
      <w:r>
        <w:rPr/>
        <w:t>（</w:t>
      </w:r>
      <w:r>
        <w:rPr>
          <w:rFonts w:ascii="Times New Roman" w:hAnsi="Times New Roman" w:cs="Times New Roman" w:eastAsia="Times New Roman" w:hint="default"/>
        </w:rPr>
        <w:t>1</w:t>
      </w:r>
      <w:r>
        <w:rPr/>
        <w:t>）同一控制下的企业合并</w:t>
      </w:r>
      <w:r>
        <w:rPr>
          <w:spacing w:val="-101"/>
        </w:rPr>
        <w:t> </w:t>
      </w:r>
      <w:r>
        <w:rPr>
          <w:spacing w:val="-101"/>
        </w:rPr>
      </w:r>
      <w:r>
        <w:rPr>
          <w:spacing w:val="-2"/>
        </w:rPr>
        <w:t>本公司对同一控制下的企业合并采用权益结合法进行会计处理。通过合并取得的被合并方的资产、</w:t>
      </w:r>
    </w:p>
    <w:p>
      <w:pPr>
        <w:pStyle w:val="BodyText"/>
        <w:spacing w:line="456" w:lineRule="auto" w:before="75"/>
        <w:ind w:left="267" w:right="207"/>
        <w:jc w:val="both"/>
      </w:pPr>
      <w:r>
        <w:rPr>
          <w:spacing w:val="-2"/>
        </w:rPr>
        <w:t>负债，除因会计政策不同而进行的必要调整外，本公司按合并日被合并方的原账面价值计量。合并对价</w:t>
      </w:r>
      <w:r>
        <w:rPr>
          <w:spacing w:val="-48"/>
        </w:rPr>
        <w:t> </w:t>
      </w:r>
      <w:r>
        <w:rPr>
          <w:spacing w:val="-48"/>
        </w:rPr>
      </w:r>
      <w:r>
        <w:rPr>
          <w:spacing w:val="-2"/>
        </w:rPr>
        <w:t>的账面价值（或发行股份面值总额）与合并中取得的净资产账面价值份额的差额调整资本公积，资本公</w:t>
      </w:r>
      <w:r>
        <w:rPr>
          <w:spacing w:val="-48"/>
        </w:rPr>
        <w:t> </w:t>
      </w:r>
      <w:r>
        <w:rPr>
          <w:spacing w:val="-48"/>
        </w:rPr>
      </w:r>
      <w:r>
        <w:rPr/>
        <w:t>积不足冲减的，调整留存收益。</w:t>
      </w:r>
    </w:p>
    <w:p>
      <w:pPr>
        <w:pStyle w:val="BodyText"/>
        <w:spacing w:line="453" w:lineRule="auto" w:before="54"/>
        <w:ind w:left="267" w:right="202" w:firstLine="422"/>
        <w:jc w:val="both"/>
      </w:pPr>
      <w:r>
        <w:rPr>
          <w:spacing w:val="-2"/>
        </w:rPr>
        <w:t>本公司作为合并方为进行企业合并发生的审计、法律服务、评估咨询等中介费用以及其他相关管理</w:t>
      </w:r>
      <w:r>
        <w:rPr>
          <w:w w:val="100"/>
        </w:rPr>
        <w:t> </w:t>
      </w:r>
      <w:r>
        <w:rPr>
          <w:spacing w:val="-2"/>
        </w:rPr>
        <w:t>费用，于发生时计入当期损益。为企业合并发行的债券或承担其他债务支付的手续费、佣金等，计入所</w:t>
      </w:r>
      <w:r>
        <w:rPr>
          <w:spacing w:val="-48"/>
        </w:rPr>
        <w:t> </w:t>
      </w:r>
      <w:r>
        <w:rPr>
          <w:spacing w:val="-48"/>
        </w:rPr>
      </w:r>
      <w:r>
        <w:rPr>
          <w:spacing w:val="-2"/>
        </w:rPr>
        <w:t>发行债券及其他债务的初始计量金额。企业合并中发行权益性证券发生的手续费、佣金等费用，应当递</w:t>
      </w:r>
      <w:r>
        <w:rPr>
          <w:spacing w:val="-48"/>
        </w:rPr>
        <w:t> </w:t>
      </w:r>
      <w:r>
        <w:rPr>
          <w:spacing w:val="-48"/>
        </w:rPr>
      </w:r>
      <w:r>
        <w:rPr/>
        <w:t>减权益性证券溢价收入，溢价收入不足冲减的，冲减留存收益。</w:t>
      </w:r>
    </w:p>
    <w:p>
      <w:pPr>
        <w:pStyle w:val="BodyText"/>
        <w:spacing w:line="432" w:lineRule="auto" w:before="56"/>
        <w:ind w:left="690" w:right="101"/>
        <w:jc w:val="left"/>
      </w:pPr>
      <w:r>
        <w:rPr/>
        <w:t>（</w:t>
      </w:r>
      <w:r>
        <w:rPr>
          <w:rFonts w:ascii="Times New Roman" w:hAnsi="Times New Roman" w:cs="Times New Roman" w:eastAsia="Times New Roman" w:hint="default"/>
        </w:rPr>
        <w:t>2</w:t>
      </w:r>
      <w:r>
        <w:rPr/>
        <w:t>）非同一控制下的企业合并</w:t>
      </w:r>
      <w:r>
        <w:rPr>
          <w:spacing w:val="-100"/>
        </w:rPr>
        <w:t> </w:t>
      </w:r>
      <w:r>
        <w:rPr>
          <w:spacing w:val="-100"/>
        </w:rPr>
      </w:r>
      <w:r>
        <w:rPr>
          <w:spacing w:val="-2"/>
        </w:rPr>
        <w:t>本公司对非同一控制下的企业合并采用购买法进行会计处理。合并成本为本公司在购买日为取得被</w:t>
      </w:r>
    </w:p>
    <w:p>
      <w:pPr>
        <w:pStyle w:val="BodyText"/>
        <w:spacing w:line="453" w:lineRule="auto" w:before="75"/>
        <w:ind w:left="267" w:right="174"/>
        <w:jc w:val="both"/>
      </w:pPr>
      <w:r>
        <w:rPr>
          <w:spacing w:val="-2"/>
        </w:rPr>
        <w:t>购买方的控制权而支付的现金或非现金资产、发行或承担的债务以及发行的权益性证券等的公允价值。</w:t>
      </w:r>
      <w:r>
        <w:rPr>
          <w:spacing w:val="-13"/>
        </w:rPr>
        <w:t> </w:t>
      </w:r>
      <w:r>
        <w:rPr>
          <w:spacing w:val="-13"/>
        </w:rPr>
      </w:r>
      <w:r>
        <w:rPr>
          <w:spacing w:val="-2"/>
        </w:rPr>
        <w:t>本公司作为购买方为企业合并发生的审计、法律服务、评估咨询等中介费用以及其他相关管理费用，于</w:t>
      </w:r>
    </w:p>
    <w:p>
      <w:pPr>
        <w:spacing w:after="0" w:line="453" w:lineRule="auto"/>
        <w:jc w:val="both"/>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pStyle w:val="BodyText"/>
        <w:spacing w:line="453" w:lineRule="auto" w:before="36"/>
        <w:ind w:left="267" w:right="207"/>
        <w:jc w:val="both"/>
      </w:pPr>
      <w:r>
        <w:rPr>
          <w:spacing w:val="-2"/>
        </w:rPr>
        <w:t>发生时计入当期损益；本公司作为合并对价发行的权益性证券或债务性证券的交易费用，应当计入权益</w:t>
      </w:r>
      <w:r>
        <w:rPr>
          <w:spacing w:val="-48"/>
        </w:rPr>
        <w:t> </w:t>
      </w:r>
      <w:r>
        <w:rPr>
          <w:spacing w:val="-48"/>
        </w:rPr>
      </w:r>
      <w:r>
        <w:rPr/>
        <w:t>性证券或债务性证券的初始确认金额。</w:t>
      </w:r>
    </w:p>
    <w:p>
      <w:pPr>
        <w:pStyle w:val="BodyText"/>
        <w:spacing w:line="453" w:lineRule="auto" w:before="61"/>
        <w:ind w:left="267" w:right="101" w:firstLine="422"/>
        <w:jc w:val="left"/>
      </w:pPr>
      <w:r>
        <w:rPr/>
        <w:t>本公司以购买日确定的合并成本作为非同一控制下的控股合并取得的长期股权投资的初始投资成</w:t>
      </w:r>
      <w:r>
        <w:rPr>
          <w:w w:val="100"/>
        </w:rPr>
        <w:t> </w:t>
      </w:r>
      <w:r>
        <w:rPr>
          <w:spacing w:val="-2"/>
        </w:rPr>
        <w:t>本，本公司对通过非同一控制下的吸收合并取得的各项可辨认资产、负债以其在购买日的公允价值确认</w:t>
      </w:r>
      <w:r>
        <w:rPr>
          <w:spacing w:val="-49"/>
        </w:rPr>
        <w:t> </w:t>
      </w:r>
      <w:r>
        <w:rPr>
          <w:spacing w:val="-49"/>
        </w:rPr>
      </w:r>
      <w:r>
        <w:rPr>
          <w:spacing w:val="-2"/>
        </w:rPr>
        <w:t>计量。合并成本大于合并中取得的被购买方可辨认净资产公允价值份额的差额，确认为商誉；合并成本</w:t>
      </w:r>
      <w:r>
        <w:rPr>
          <w:spacing w:val="-48"/>
        </w:rPr>
        <w:t> </w:t>
      </w:r>
      <w:r>
        <w:rPr>
          <w:spacing w:val="-48"/>
        </w:rPr>
      </w:r>
      <w:r>
        <w:rPr/>
        <w:t>小于合并中取得的被购买方可辨认净资产公允价值份额的差额，经复核后计入合并当期损益。</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Heading6"/>
        <w:spacing w:line="240" w:lineRule="auto"/>
        <w:ind w:right="101"/>
        <w:jc w:val="left"/>
        <w:rPr>
          <w:b w:val="0"/>
          <w:bCs w:val="0"/>
        </w:rPr>
      </w:pPr>
      <w:r>
        <w:rPr>
          <w:rFonts w:ascii="Times New Roman" w:hAnsi="Times New Roman" w:cs="Times New Roman" w:eastAsia="Times New Roman" w:hint="default"/>
        </w:rPr>
        <w:t>6</w:t>
      </w:r>
      <w:r>
        <w:rPr/>
        <w:t>、合并财务报表的编制方法</w:t>
      </w:r>
      <w:r>
        <w:rPr>
          <w:b w:val="0"/>
          <w:bCs w:val="0"/>
        </w:rPr>
      </w:r>
    </w:p>
    <w:p>
      <w:pPr>
        <w:spacing w:line="240" w:lineRule="auto" w:before="16"/>
        <w:rPr>
          <w:rFonts w:ascii="Microsoft JhengHei" w:hAnsi="Microsoft JhengHei" w:cs="Microsoft JhengHei" w:eastAsia="Microsoft JhengHei" w:hint="default"/>
          <w:b/>
          <w:bCs/>
          <w:sz w:val="12"/>
          <w:szCs w:val="12"/>
        </w:rPr>
      </w:pPr>
    </w:p>
    <w:p>
      <w:pPr>
        <w:pStyle w:val="BodyText"/>
        <w:spacing w:line="439" w:lineRule="auto"/>
        <w:ind w:left="690" w:right="101"/>
        <w:jc w:val="left"/>
      </w:pPr>
      <w:r>
        <w:rPr/>
        <w:t>（</w:t>
      </w:r>
      <w:r>
        <w:rPr>
          <w:rFonts w:ascii="Times New Roman" w:hAnsi="Times New Roman" w:cs="Times New Roman" w:eastAsia="Times New Roman" w:hint="default"/>
        </w:rPr>
        <w:t>1</w:t>
      </w:r>
      <w:r>
        <w:rPr/>
        <w:t>）合并范围的确定原则</w:t>
      </w:r>
      <w:r>
        <w:rPr>
          <w:spacing w:val="-102"/>
        </w:rPr>
        <w:t> </w:t>
      </w:r>
      <w:r>
        <w:rPr>
          <w:spacing w:val="-102"/>
        </w:rPr>
      </w:r>
      <w:r>
        <w:rPr/>
        <w:t>本公司以控制为基础，将本公司及全部子公司纳入财务报表的合并范围。</w:t>
      </w:r>
      <w:r>
        <w:rPr>
          <w:spacing w:val="-103"/>
        </w:rPr>
        <w:t> </w:t>
      </w:r>
      <w:r>
        <w:rPr>
          <w:spacing w:val="-103"/>
        </w:rPr>
      </w:r>
      <w:r>
        <w:rPr>
          <w:spacing w:val="-2"/>
        </w:rPr>
        <w:t>本报告期内因同一控制下企业合并而增加的子公司，本公司自财务报表期初至本报告年末均将该子</w:t>
      </w:r>
    </w:p>
    <w:p>
      <w:pPr>
        <w:pStyle w:val="BodyText"/>
        <w:spacing w:line="453" w:lineRule="auto" w:before="74"/>
        <w:ind w:left="267" w:right="207"/>
        <w:jc w:val="both"/>
      </w:pPr>
      <w:r>
        <w:rPr>
          <w:spacing w:val="-2"/>
        </w:rPr>
        <w:t>公司纳入合并范围；本报告期内因非同一控制下企业合并增加的子公司，本公司自购买日起至本报告期</w:t>
      </w:r>
      <w:r>
        <w:rPr>
          <w:spacing w:val="-49"/>
        </w:rPr>
        <w:t> </w:t>
      </w:r>
      <w:r>
        <w:rPr>
          <w:spacing w:val="-49"/>
        </w:rPr>
      </w:r>
      <w:r>
        <w:rPr>
          <w:spacing w:val="-2"/>
        </w:rPr>
        <w:t>末将该子公司纳入合并范围。在本报告期内因处置而减少的子公司，本公司自处置日起不再将该子公司</w:t>
      </w:r>
      <w:r>
        <w:rPr>
          <w:spacing w:val="-48"/>
        </w:rPr>
        <w:t> </w:t>
      </w:r>
      <w:r>
        <w:rPr>
          <w:spacing w:val="-48"/>
        </w:rPr>
      </w:r>
      <w:r>
        <w:rPr/>
        <w:t>纳入合并范围。</w:t>
      </w:r>
    </w:p>
    <w:p>
      <w:pPr>
        <w:pStyle w:val="BodyText"/>
        <w:spacing w:line="427" w:lineRule="auto" w:before="61"/>
        <w:ind w:left="690" w:right="101"/>
        <w:jc w:val="left"/>
      </w:pPr>
      <w:r>
        <w:rPr/>
        <w:t>（</w:t>
      </w:r>
      <w:r>
        <w:rPr>
          <w:rFonts w:ascii="Times New Roman" w:hAnsi="Times New Roman" w:cs="Times New Roman" w:eastAsia="Times New Roman" w:hint="default"/>
        </w:rPr>
        <w:t>2</w:t>
      </w:r>
      <w:r>
        <w:rPr/>
        <w:t>）合并财务报表的编制方法</w:t>
      </w:r>
      <w:r>
        <w:rPr>
          <w:spacing w:val="-100"/>
        </w:rPr>
        <w:t> </w:t>
      </w:r>
      <w:r>
        <w:rPr>
          <w:spacing w:val="-100"/>
        </w:rPr>
      </w:r>
      <w:r>
        <w:rPr>
          <w:spacing w:val="-3"/>
        </w:rPr>
        <w:t>合并财务报表以本公司和子公司的个别财务报表为基础，根据其他有关资料，按照权益法调整对子</w:t>
      </w:r>
    </w:p>
    <w:p>
      <w:pPr>
        <w:pStyle w:val="BodyText"/>
        <w:spacing w:line="456" w:lineRule="auto" w:before="79"/>
        <w:ind w:left="267" w:right="207"/>
        <w:jc w:val="both"/>
      </w:pPr>
      <w:r>
        <w:rPr>
          <w:spacing w:val="-2"/>
        </w:rPr>
        <w:t>公司的长期股权投资后由本公司编制。编制合并财务报表时，对与本公司会计政策和会计期间不一致的</w:t>
      </w:r>
      <w:r>
        <w:rPr>
          <w:spacing w:val="-49"/>
        </w:rPr>
        <w:t> </w:t>
      </w:r>
      <w:r>
        <w:rPr>
          <w:spacing w:val="-49"/>
        </w:rPr>
      </w:r>
      <w:r>
        <w:rPr>
          <w:spacing w:val="-2"/>
        </w:rPr>
        <w:t>子公司财务报表按本公司的统一要求进行必要的调整；对合并范围内各公司之间的内部交易或事项以及</w:t>
      </w:r>
      <w:r>
        <w:rPr>
          <w:spacing w:val="-47"/>
        </w:rPr>
        <w:t> </w:t>
      </w:r>
      <w:r>
        <w:rPr>
          <w:spacing w:val="-47"/>
        </w:rPr>
      </w:r>
      <w:r>
        <w:rPr>
          <w:spacing w:val="-2"/>
        </w:rPr>
        <w:t>内部债权债务均进行抵销；子公司的股东权益中不属于母公司所拥有的部分，作为少数股东权益在合并</w:t>
      </w:r>
      <w:r>
        <w:rPr>
          <w:spacing w:val="-48"/>
        </w:rPr>
        <w:t> </w:t>
      </w:r>
      <w:r>
        <w:rPr>
          <w:spacing w:val="-48"/>
        </w:rPr>
      </w:r>
      <w:r>
        <w:rPr>
          <w:spacing w:val="-2"/>
        </w:rPr>
        <w:t>财务报表中的股东权益项下单独列示；若子公司少数股东分担的当期亏损超过了少数股东在该子公司年</w:t>
      </w:r>
      <w:r>
        <w:rPr>
          <w:spacing w:val="-52"/>
        </w:rPr>
        <w:t> </w:t>
      </w:r>
      <w:r>
        <w:rPr>
          <w:spacing w:val="-52"/>
        </w:rPr>
      </w:r>
      <w:r>
        <w:rPr/>
        <w:t>初所有者权益中所享有的份额的，其余额仍应当冲减少数股东权益。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Heading6"/>
        <w:spacing w:line="240" w:lineRule="auto"/>
        <w:ind w:right="101"/>
        <w:jc w:val="left"/>
        <w:rPr>
          <w:b w:val="0"/>
          <w:bCs w:val="0"/>
        </w:rPr>
      </w:pPr>
      <w:r>
        <w:rPr>
          <w:rFonts w:ascii="Times New Roman" w:hAnsi="Times New Roman" w:cs="Times New Roman" w:eastAsia="Times New Roman" w:hint="default"/>
        </w:rPr>
        <w:t>7</w:t>
      </w:r>
      <w:r>
        <w:rPr/>
        <w:t>、现金等价物的确定标准</w:t>
      </w:r>
      <w:r>
        <w:rPr>
          <w:b w:val="0"/>
          <w:bCs w:val="0"/>
        </w:rPr>
      </w:r>
    </w:p>
    <w:p>
      <w:pPr>
        <w:spacing w:line="240" w:lineRule="auto" w:before="16"/>
        <w:rPr>
          <w:rFonts w:ascii="Microsoft JhengHei" w:hAnsi="Microsoft JhengHei" w:cs="Microsoft JhengHei" w:eastAsia="Microsoft JhengHei" w:hint="default"/>
          <w:b/>
          <w:bCs/>
          <w:sz w:val="12"/>
          <w:szCs w:val="12"/>
        </w:rPr>
      </w:pPr>
    </w:p>
    <w:p>
      <w:pPr>
        <w:pStyle w:val="BodyText"/>
        <w:spacing w:line="453" w:lineRule="auto"/>
        <w:ind w:left="267" w:right="207" w:firstLine="412"/>
        <w:jc w:val="left"/>
      </w:pPr>
      <w:r>
        <w:rPr>
          <w:spacing w:val="-2"/>
          <w:w w:val="100"/>
        </w:rPr>
        <w:t>本公司在编制现金流量表时，将同时具备期限短（从购买日起三个月内到期）、流动性强、易于转</w:t>
      </w:r>
      <w:r>
        <w:rPr>
          <w:w w:val="100"/>
        </w:rPr>
        <w:t> </w:t>
      </w:r>
      <w:r>
        <w:rPr/>
        <w:t>换为已知金额现金、价值变动风险很小等四个条件的投资确定为现金等价物。</w:t>
      </w:r>
    </w:p>
    <w:p>
      <w:pPr>
        <w:spacing w:after="0" w:line="453"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right="101"/>
        <w:jc w:val="left"/>
        <w:rPr>
          <w:b w:val="0"/>
          <w:bCs w:val="0"/>
        </w:rPr>
      </w:pPr>
      <w:r>
        <w:rPr>
          <w:rFonts w:ascii="Times New Roman" w:hAnsi="Times New Roman" w:cs="Times New Roman" w:eastAsia="Times New Roman" w:hint="default"/>
        </w:rPr>
        <w:t>8</w:t>
      </w:r>
      <w:r>
        <w:rPr/>
        <w:t>、外币业务</w:t>
      </w:r>
      <w:r>
        <w:rPr>
          <w:b w:val="0"/>
          <w:bCs w:val="0"/>
        </w:rPr>
      </w:r>
    </w:p>
    <w:p>
      <w:pPr>
        <w:pStyle w:val="BodyText"/>
        <w:spacing w:line="436" w:lineRule="auto" w:before="195"/>
        <w:ind w:left="680" w:right="101"/>
        <w:jc w:val="left"/>
      </w:pPr>
      <w:r>
        <w:rPr/>
        <w:t>本公司对于发生的外币业务，按交易发生日的即期汇率的近似汇率折算为记账本位币金额。</w:t>
      </w:r>
      <w:r>
        <w:rPr>
          <w:w w:val="100"/>
        </w:rPr>
        <w:t> </w:t>
      </w:r>
      <w:r>
        <w:rPr>
          <w:spacing w:val="-2"/>
        </w:rPr>
        <w:t>在资产负债表日，对于外币货币性项目，采用资产负债表日即期汇率折算，因资产负债表日即期汇</w:t>
      </w:r>
    </w:p>
    <w:p>
      <w:pPr>
        <w:pStyle w:val="BodyText"/>
        <w:spacing w:line="432" w:lineRule="auto" w:before="47"/>
        <w:ind w:left="267" w:right="207"/>
        <w:jc w:val="both"/>
      </w:pPr>
      <w:r>
        <w:rPr>
          <w:spacing w:val="-2"/>
        </w:rPr>
        <w:t>率与初始确认时或前一资产负债表日即期汇率不同而产生的汇兑差额计入财务费用；以历史成本计量的</w:t>
      </w:r>
      <w:r>
        <w:rPr>
          <w:spacing w:val="-47"/>
        </w:rPr>
        <w:t> </w:t>
      </w:r>
      <w:r>
        <w:rPr>
          <w:spacing w:val="-47"/>
        </w:rPr>
      </w:r>
      <w:r>
        <w:rPr>
          <w:spacing w:val="-2"/>
        </w:rPr>
        <w:t>外币非货币性项目，仍按交易发生日的即期汇率折算；以公允价值计量的外币非货币性项目，按公允价</w:t>
      </w:r>
      <w:r>
        <w:rPr>
          <w:spacing w:val="-48"/>
        </w:rPr>
        <w:t> </w:t>
      </w:r>
      <w:r>
        <w:rPr>
          <w:spacing w:val="-48"/>
        </w:rPr>
      </w:r>
      <w:r>
        <w:rPr>
          <w:spacing w:val="-2"/>
        </w:rPr>
        <w:t>值确定日的即期汇率折算，折算后的记账本位币金额与原账面记账本位币金额的差额，作为公允价值变</w:t>
      </w:r>
      <w:r>
        <w:rPr>
          <w:spacing w:val="-48"/>
        </w:rPr>
        <w:t> </w:t>
      </w:r>
      <w:r>
        <w:rPr>
          <w:spacing w:val="-48"/>
        </w:rPr>
      </w:r>
      <w:r>
        <w:rPr/>
        <w:t>动收益计入当期损益，但与可供出售外币非货币性项目相关的汇兑差额应计入资本公积。</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Heading6"/>
        <w:spacing w:line="240" w:lineRule="auto"/>
        <w:ind w:right="101"/>
        <w:jc w:val="left"/>
        <w:rPr>
          <w:b w:val="0"/>
          <w:bCs w:val="0"/>
        </w:rPr>
      </w:pPr>
      <w:r>
        <w:rPr>
          <w:rFonts w:ascii="Times New Roman" w:hAnsi="Times New Roman" w:cs="Times New Roman" w:eastAsia="Times New Roman" w:hint="default"/>
        </w:rPr>
        <w:t>9</w:t>
      </w:r>
      <w:r>
        <w:rPr/>
        <w:t>、金融工具</w:t>
      </w:r>
      <w:r>
        <w:rPr>
          <w:b w:val="0"/>
          <w:bCs w:val="0"/>
        </w:rPr>
      </w:r>
    </w:p>
    <w:p>
      <w:pPr>
        <w:pStyle w:val="BodyText"/>
        <w:spacing w:line="240" w:lineRule="auto" w:before="195"/>
        <w:ind w:left="685" w:right="101"/>
        <w:jc w:val="left"/>
      </w:pPr>
      <w:r>
        <w:rPr/>
        <w:t>金融工具是指形成一个企业的金融资产、并形成其他单位的金融负债或权益工具的合同。</w:t>
      </w:r>
    </w:p>
    <w:p>
      <w:pPr>
        <w:spacing w:line="240" w:lineRule="auto" w:before="10"/>
        <w:rPr>
          <w:rFonts w:ascii="宋体" w:hAnsi="宋体" w:cs="宋体" w:eastAsia="宋体" w:hint="default"/>
          <w:sz w:val="16"/>
          <w:szCs w:val="16"/>
        </w:rPr>
      </w:pPr>
    </w:p>
    <w:p>
      <w:pPr>
        <w:pStyle w:val="BodyText"/>
        <w:spacing w:line="422" w:lineRule="auto"/>
        <w:ind w:left="685" w:right="101"/>
        <w:jc w:val="left"/>
      </w:pPr>
      <w:r>
        <w:rPr/>
        <w:t>（</w:t>
      </w:r>
      <w:r>
        <w:rPr>
          <w:rFonts w:ascii="Times New Roman" w:hAnsi="Times New Roman" w:cs="Times New Roman" w:eastAsia="Times New Roman" w:hint="default"/>
        </w:rPr>
        <w:t>1</w:t>
      </w:r>
      <w:r>
        <w:rPr/>
        <w:t>）金融资产和金融负债的确认和终止确认</w:t>
      </w:r>
      <w:r>
        <w:rPr>
          <w:spacing w:val="-103"/>
        </w:rPr>
        <w:t> </w:t>
      </w:r>
      <w:r>
        <w:rPr>
          <w:spacing w:val="-103"/>
        </w:rPr>
      </w:r>
      <w:r>
        <w:rPr>
          <w:spacing w:val="-2"/>
        </w:rPr>
        <w:t>本公司于成为金融工具合同的一方时确认一项金融资产或金融负债。</w:t>
      </w:r>
      <w:r>
        <w:rPr>
          <w:spacing w:val="-46"/>
        </w:rPr>
        <w:t> </w:t>
      </w:r>
      <w:r>
        <w:rPr>
          <w:spacing w:val="-46"/>
        </w:rPr>
      </w:r>
      <w:r>
        <w:rPr/>
        <w:t>金融资产满足下列条件之一的，终止确认：</w:t>
      </w:r>
    </w:p>
    <w:p>
      <w:pPr>
        <w:pStyle w:val="BodyText"/>
        <w:spacing w:line="240" w:lineRule="auto" w:before="60"/>
        <w:ind w:left="685" w:right="101"/>
        <w:jc w:val="left"/>
      </w:pPr>
      <w:r>
        <w:rPr/>
        <w:t>①</w:t>
      </w:r>
      <w:r>
        <w:rPr>
          <w:spacing w:val="3"/>
        </w:rPr>
        <w:t> </w:t>
      </w:r>
      <w:r>
        <w:rPr/>
        <w:t>收取该金融资产现金流量的合同权利终止；</w:t>
      </w:r>
    </w:p>
    <w:p>
      <w:pPr>
        <w:spacing w:line="240" w:lineRule="auto" w:before="2"/>
        <w:rPr>
          <w:rFonts w:ascii="宋体" w:hAnsi="宋体" w:cs="宋体" w:eastAsia="宋体" w:hint="default"/>
          <w:sz w:val="17"/>
          <w:szCs w:val="17"/>
        </w:rPr>
      </w:pPr>
    </w:p>
    <w:p>
      <w:pPr>
        <w:pStyle w:val="BodyText"/>
        <w:spacing w:line="432" w:lineRule="auto"/>
        <w:ind w:left="685" w:right="101"/>
        <w:jc w:val="left"/>
      </w:pPr>
      <w:r>
        <w:rPr/>
        <w:t>②</w:t>
      </w:r>
      <w:r>
        <w:rPr>
          <w:spacing w:val="-1"/>
        </w:rPr>
        <w:t> </w:t>
      </w:r>
      <w:r>
        <w:rPr/>
        <w:t>该金融资产已转移，且符合下述金融资产转移的终止确认条件。</w:t>
      </w:r>
      <w:r>
        <w:rPr>
          <w:w w:val="100"/>
        </w:rPr>
        <w:t> </w:t>
      </w:r>
      <w:r>
        <w:rPr>
          <w:spacing w:val="-2"/>
        </w:rPr>
        <w:t>金融负债的现时义务全部或部分已经解除的，终止确认该金融负债或其一部分。</w:t>
      </w:r>
    </w:p>
    <w:p>
      <w:pPr>
        <w:pStyle w:val="BodyText"/>
        <w:spacing w:line="412" w:lineRule="auto" w:before="51"/>
        <w:ind w:left="685" w:right="101"/>
        <w:jc w:val="left"/>
      </w:pPr>
      <w:r>
        <w:rPr/>
        <w:t>（</w:t>
      </w:r>
      <w:r>
        <w:rPr>
          <w:rFonts w:ascii="Times New Roman" w:hAnsi="Times New Roman" w:cs="Times New Roman" w:eastAsia="Times New Roman" w:hint="default"/>
        </w:rPr>
        <w:t>2</w:t>
      </w:r>
      <w:r>
        <w:rPr/>
        <w:t>）金融资产和金融负债的分类和计量</w:t>
      </w:r>
      <w:r>
        <w:rPr>
          <w:spacing w:val="-101"/>
        </w:rPr>
        <w:t> </w:t>
      </w:r>
      <w:r>
        <w:rPr>
          <w:spacing w:val="-101"/>
        </w:rPr>
      </w:r>
      <w:r>
        <w:rPr>
          <w:spacing w:val="-2"/>
        </w:rPr>
        <w:t>本公司的金融资产和金融负债于初始确认时分为以下五类：以公允价值计量且其变动计入当期损益</w:t>
      </w:r>
    </w:p>
    <w:p>
      <w:pPr>
        <w:pStyle w:val="BodyText"/>
        <w:spacing w:line="432" w:lineRule="auto" w:before="68"/>
        <w:ind w:left="263" w:right="207"/>
        <w:jc w:val="both"/>
      </w:pPr>
      <w:r>
        <w:rPr>
          <w:spacing w:val="-2"/>
        </w:rPr>
        <w:t>的金融资产或金融负债、持有至到期投资、应收款项、可供出售金融资产和其他金融负债。金融资产或</w:t>
      </w:r>
      <w:r>
        <w:rPr>
          <w:spacing w:val="-43"/>
        </w:rPr>
        <w:t> </w:t>
      </w:r>
      <w:r>
        <w:rPr>
          <w:spacing w:val="-43"/>
        </w:rPr>
      </w:r>
      <w:r>
        <w:rPr>
          <w:spacing w:val="-2"/>
        </w:rPr>
        <w:t>金融负债在初始确认时以公允价值计量。对于以公允价值计量且其变动计入当期损益的金融资产或金融</w:t>
      </w:r>
      <w:r>
        <w:rPr>
          <w:spacing w:val="-48"/>
        </w:rPr>
        <w:t> </w:t>
      </w:r>
      <w:r>
        <w:rPr>
          <w:spacing w:val="-48"/>
        </w:rPr>
      </w:r>
      <w:r>
        <w:rPr>
          <w:spacing w:val="-2"/>
        </w:rPr>
        <w:t>负债，相关交易费用直接计入当期损益，其他类别的金融资产或金融负债的相关交易费用计入其初始确</w:t>
      </w:r>
      <w:r>
        <w:rPr>
          <w:spacing w:val="-49"/>
        </w:rPr>
        <w:t> </w:t>
      </w:r>
      <w:r>
        <w:rPr>
          <w:spacing w:val="-49"/>
        </w:rPr>
      </w:r>
      <w:r>
        <w:rPr/>
        <w:t>认金额。</w:t>
      </w:r>
    </w:p>
    <w:p>
      <w:pPr>
        <w:pStyle w:val="BodyText"/>
        <w:spacing w:line="436" w:lineRule="auto" w:before="51"/>
        <w:ind w:left="685" w:right="101" w:firstLine="4"/>
        <w:jc w:val="left"/>
      </w:pPr>
      <w:r>
        <w:rPr/>
        <w:t>①以公允价值计量且其变动计入当期损益的金融资产或金融负债</w:t>
      </w:r>
      <w:r>
        <w:rPr>
          <w:w w:val="100"/>
        </w:rPr>
        <w:t> </w:t>
      </w:r>
      <w:r>
        <w:rPr>
          <w:spacing w:val="-2"/>
        </w:rPr>
        <w:t>以公允价值计量且其变动计入当期损益的金融资产或金融负债，包括交易性金融资产或金融负债和</w:t>
      </w:r>
    </w:p>
    <w:p>
      <w:pPr>
        <w:pStyle w:val="BodyText"/>
        <w:spacing w:line="432" w:lineRule="auto" w:before="47"/>
        <w:ind w:left="263" w:right="207"/>
        <w:jc w:val="both"/>
      </w:pPr>
      <w:r>
        <w:rPr>
          <w:spacing w:val="-2"/>
        </w:rPr>
        <w:t>直接指定为以公允价值计量且其变动计入当期损益的金融资产或金融负债。交易性金融资产，主要指企</w:t>
      </w:r>
      <w:r>
        <w:rPr>
          <w:spacing w:val="-43"/>
        </w:rPr>
        <w:t> </w:t>
      </w:r>
      <w:r>
        <w:rPr>
          <w:spacing w:val="-43"/>
        </w:rPr>
      </w:r>
      <w:r>
        <w:rPr>
          <w:spacing w:val="-2"/>
        </w:rPr>
        <w:t>业为了近期内出售而持有的股票、债券、基金以及不作为有效套期工具的衍生工具或近期内回购而承担</w:t>
      </w:r>
      <w:r>
        <w:rPr>
          <w:spacing w:val="-48"/>
        </w:rPr>
        <w:t> </w:t>
      </w:r>
      <w:r>
        <w:rPr>
          <w:spacing w:val="-48"/>
        </w:rPr>
      </w:r>
      <w:r>
        <w:rPr>
          <w:spacing w:val="-2"/>
        </w:rPr>
        <w:t>的金融负债；直接指定以公允价值计量且其变动计入当期损益的金融资产或金融负债，主要是指本公司</w:t>
      </w:r>
      <w:r>
        <w:rPr>
          <w:spacing w:val="-43"/>
        </w:rPr>
        <w:t> </w:t>
      </w:r>
      <w:r>
        <w:rPr>
          <w:spacing w:val="-43"/>
        </w:rPr>
      </w:r>
      <w:r>
        <w:rPr/>
        <w:t>基于风险管理，战略投资需要等所作的指定。</w:t>
      </w:r>
    </w:p>
    <w:p>
      <w:pPr>
        <w:spacing w:after="0" w:line="432" w:lineRule="auto"/>
        <w:jc w:val="both"/>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432" w:lineRule="auto" w:before="36"/>
        <w:ind w:left="263" w:right="101" w:firstLine="307"/>
        <w:jc w:val="left"/>
      </w:pPr>
      <w:r>
        <w:rPr/>
        <w:t>此类金融资产或金融负债采用公允价值进行后续计量。除作为有效的套期工具外，此类金融资产或</w:t>
      </w:r>
      <w:r>
        <w:rPr>
          <w:w w:val="100"/>
        </w:rPr>
        <w:t> </w:t>
      </w:r>
      <w:r>
        <w:rPr/>
        <w:t>金融负债所有已实现和未实现损益均计入当期损益。</w:t>
      </w:r>
    </w:p>
    <w:p>
      <w:pPr>
        <w:pStyle w:val="BodyText"/>
        <w:spacing w:line="432" w:lineRule="auto" w:before="56"/>
        <w:ind w:left="685" w:right="101" w:firstLine="4"/>
        <w:jc w:val="left"/>
      </w:pPr>
      <w:r>
        <w:rPr/>
        <w:t>②持有至到期投资</w:t>
      </w:r>
      <w:r>
        <w:rPr>
          <w:w w:val="100"/>
        </w:rPr>
        <w:t> </w:t>
      </w:r>
      <w:r>
        <w:rPr>
          <w:spacing w:val="-2"/>
        </w:rPr>
        <w:t>持有至到期投资，是指本公司购入的到期日固定、回收金额固定或可确定，且本公司有明确意图和</w:t>
      </w:r>
    </w:p>
    <w:p>
      <w:pPr>
        <w:pStyle w:val="BodyText"/>
        <w:spacing w:line="436" w:lineRule="auto" w:before="51"/>
        <w:ind w:left="676" w:right="101" w:hanging="413"/>
        <w:jc w:val="left"/>
      </w:pPr>
      <w:r>
        <w:rPr/>
        <w:t>能力持有至到期的固定利率国债、浮动利率公司债券等非衍生金融资产。</w:t>
      </w:r>
      <w:r>
        <w:rPr>
          <w:spacing w:val="-103"/>
        </w:rPr>
        <w:t> </w:t>
      </w:r>
      <w:r>
        <w:rPr>
          <w:spacing w:val="-103"/>
        </w:rPr>
      </w:r>
      <w:r>
        <w:rPr>
          <w:spacing w:val="-2"/>
        </w:rPr>
        <w:t>本公司对持有至到期投资在持有期间采用实际利率法、按照摊余成本计量。持有至到期投资发生减</w:t>
      </w:r>
    </w:p>
    <w:p>
      <w:pPr>
        <w:pStyle w:val="BodyText"/>
        <w:spacing w:line="432" w:lineRule="auto" w:before="47"/>
        <w:ind w:left="263" w:right="207"/>
        <w:jc w:val="both"/>
      </w:pPr>
      <w:r>
        <w:rPr>
          <w:spacing w:val="-2"/>
        </w:rPr>
        <w:t>值、摊销或终止确认时产生的利得或损失，均应当计入当期损益。处置持有至到期投资时，将所取得价</w:t>
      </w:r>
      <w:r>
        <w:rPr>
          <w:spacing w:val="-43"/>
        </w:rPr>
        <w:t> </w:t>
      </w:r>
      <w:r>
        <w:rPr>
          <w:spacing w:val="-43"/>
        </w:rPr>
      </w:r>
      <w:r>
        <w:rPr/>
        <w:t>款与该投资账面价值之间的差额计入投资收益。</w:t>
      </w:r>
    </w:p>
    <w:p>
      <w:pPr>
        <w:pStyle w:val="BodyText"/>
        <w:spacing w:line="432" w:lineRule="auto" w:before="56"/>
        <w:ind w:left="676" w:right="101" w:firstLine="14"/>
        <w:jc w:val="left"/>
      </w:pPr>
      <w:r>
        <w:rPr/>
        <w:t>③应收款项</w:t>
      </w:r>
      <w:r>
        <w:rPr>
          <w:w w:val="100"/>
        </w:rPr>
        <w:t> </w:t>
      </w:r>
      <w:r>
        <w:rPr>
          <w:spacing w:val="-2"/>
        </w:rPr>
        <w:t>应收款项，是指本公司对外销售商品或提供劳务形成的应收账款等债权，包括应收账款、其他应收</w:t>
      </w:r>
    </w:p>
    <w:p>
      <w:pPr>
        <w:pStyle w:val="BodyText"/>
        <w:spacing w:line="436" w:lineRule="auto" w:before="51"/>
        <w:ind w:left="676" w:right="101" w:hanging="413"/>
        <w:jc w:val="left"/>
      </w:pPr>
      <w:r>
        <w:rPr/>
        <w:t>款、长期应收款等。</w:t>
      </w:r>
      <w:r>
        <w:rPr>
          <w:spacing w:val="-100"/>
        </w:rPr>
        <w:t> </w:t>
      </w:r>
      <w:r>
        <w:rPr>
          <w:spacing w:val="-100"/>
        </w:rPr>
      </w:r>
      <w:r>
        <w:rPr>
          <w:spacing w:val="-2"/>
        </w:rPr>
        <w:t>应收款项按从购货方应收的合同或协议价款作为初始确认金额，在持有期间采用实际利率法，按摊</w:t>
      </w:r>
    </w:p>
    <w:p>
      <w:pPr>
        <w:pStyle w:val="BodyText"/>
        <w:spacing w:line="240" w:lineRule="auto" w:before="47"/>
        <w:ind w:left="263" w:right="101"/>
        <w:jc w:val="left"/>
      </w:pPr>
      <w:r>
        <w:rPr/>
        <w:t>余成本计量。收回或处置时，将取得的价款与该应收款项账面价值之间的差额计入当期损益。</w:t>
      </w:r>
    </w:p>
    <w:p>
      <w:pPr>
        <w:spacing w:line="240" w:lineRule="auto" w:before="10"/>
        <w:rPr>
          <w:rFonts w:ascii="宋体" w:hAnsi="宋体" w:cs="宋体" w:eastAsia="宋体" w:hint="default"/>
          <w:sz w:val="16"/>
          <w:szCs w:val="16"/>
        </w:rPr>
      </w:pPr>
    </w:p>
    <w:p>
      <w:pPr>
        <w:pStyle w:val="BodyText"/>
        <w:spacing w:line="436" w:lineRule="auto"/>
        <w:ind w:left="676" w:right="101" w:firstLine="14"/>
        <w:jc w:val="left"/>
      </w:pPr>
      <w:r>
        <w:rPr/>
        <w:t>④可供出售金融资产</w:t>
      </w:r>
      <w:r>
        <w:rPr>
          <w:w w:val="100"/>
        </w:rPr>
        <w:t> </w:t>
      </w:r>
      <w:r>
        <w:rPr>
          <w:spacing w:val="-2"/>
        </w:rPr>
        <w:t>可供出售金融资产，是指初始确认时即指定为可供出售的非衍生金融资产，以及除上述三类金融资</w:t>
      </w:r>
    </w:p>
    <w:p>
      <w:pPr>
        <w:pStyle w:val="BodyText"/>
        <w:spacing w:line="432" w:lineRule="auto" w:before="47"/>
        <w:ind w:left="263" w:right="178"/>
        <w:jc w:val="both"/>
      </w:pPr>
      <w:r>
        <w:rPr>
          <w:spacing w:val="-2"/>
        </w:rPr>
        <w:t>产类别以外的金融资产。对于此类金融资产，本公司采用公允价值进行后续计量，其折、溢价采用实际</w:t>
      </w:r>
      <w:r>
        <w:rPr>
          <w:spacing w:val="-43"/>
        </w:rPr>
        <w:t> </w:t>
      </w:r>
      <w:r>
        <w:rPr>
          <w:spacing w:val="-43"/>
        </w:rPr>
      </w:r>
      <w:r>
        <w:rPr>
          <w:spacing w:val="-2"/>
        </w:rPr>
        <w:t>利率法进行摊销并确认为利息收入。除减值损失及外币货币性金融资产的汇兑差额确认为当期损益外，</w:t>
      </w:r>
      <w:r>
        <w:rPr>
          <w:spacing w:val="-13"/>
        </w:rPr>
        <w:t> </w:t>
      </w:r>
      <w:r>
        <w:rPr>
          <w:spacing w:val="-13"/>
        </w:rPr>
      </w:r>
      <w:r>
        <w:rPr>
          <w:spacing w:val="-2"/>
        </w:rPr>
        <w:t>可供出售金融资产的公允价值变动作为资本公积的单独部分予以确认，直到该金融资产终止确认或发生</w:t>
      </w:r>
      <w:r>
        <w:rPr>
          <w:spacing w:val="-42"/>
        </w:rPr>
        <w:t> </w:t>
      </w:r>
      <w:r>
        <w:rPr>
          <w:spacing w:val="-42"/>
        </w:rPr>
      </w:r>
      <w:r>
        <w:rPr>
          <w:spacing w:val="-2"/>
        </w:rPr>
        <w:t>减值时，在此之前在资本公积中确认的累计利得或损失转入当期损益。与可供出售金融资产相关的股利</w:t>
      </w:r>
      <w:r>
        <w:rPr>
          <w:spacing w:val="-43"/>
        </w:rPr>
        <w:t> </w:t>
      </w:r>
      <w:r>
        <w:rPr>
          <w:spacing w:val="-43"/>
        </w:rPr>
      </w:r>
      <w:r>
        <w:rPr/>
        <w:t>或利息收入，计入当期损益。</w:t>
      </w:r>
    </w:p>
    <w:p>
      <w:pPr>
        <w:pStyle w:val="BodyText"/>
        <w:spacing w:line="432" w:lineRule="auto" w:before="56"/>
        <w:ind w:left="676" w:right="101"/>
        <w:jc w:val="left"/>
      </w:pPr>
      <w:r>
        <w:rPr/>
        <w:t>⑤其他金融负债</w:t>
      </w:r>
      <w:r>
        <w:rPr>
          <w:spacing w:val="-102"/>
        </w:rPr>
        <w:t> </w:t>
      </w:r>
      <w:r>
        <w:rPr>
          <w:spacing w:val="-102"/>
        </w:rPr>
      </w:r>
      <w:r>
        <w:rPr/>
        <w:t>其他金融负债，是指没有划分为以公允价值计量且其变动计入当期损益的金融负债。</w:t>
      </w:r>
      <w:r>
        <w:rPr>
          <w:w w:val="100"/>
        </w:rPr>
        <w:t> </w:t>
      </w:r>
      <w:r>
        <w:rPr>
          <w:spacing w:val="-5"/>
        </w:rPr>
        <w:t>本公司对其他负债采用摊余成本或成本计量。其他金融负债在摊销、终止确认时产生的利得或损失，</w:t>
      </w:r>
    </w:p>
    <w:p>
      <w:pPr>
        <w:pStyle w:val="BodyText"/>
        <w:spacing w:line="240" w:lineRule="auto" w:before="56"/>
        <w:ind w:left="263" w:right="101"/>
        <w:jc w:val="left"/>
      </w:pPr>
      <w:r>
        <w:rPr/>
        <w:t>应当计入当期损益。</w:t>
      </w:r>
    </w:p>
    <w:p>
      <w:pPr>
        <w:spacing w:line="240" w:lineRule="auto" w:before="10"/>
        <w:rPr>
          <w:rFonts w:ascii="宋体" w:hAnsi="宋体" w:cs="宋体" w:eastAsia="宋体" w:hint="default"/>
          <w:sz w:val="16"/>
          <w:szCs w:val="16"/>
        </w:rPr>
      </w:pPr>
    </w:p>
    <w:p>
      <w:pPr>
        <w:pStyle w:val="BodyText"/>
        <w:spacing w:line="240" w:lineRule="auto"/>
        <w:ind w:left="685" w:right="101"/>
        <w:jc w:val="left"/>
      </w:pPr>
      <w:r>
        <w:rPr/>
        <w:t>（</w:t>
      </w:r>
      <w:r>
        <w:rPr>
          <w:rFonts w:ascii="Times New Roman" w:hAnsi="Times New Roman" w:cs="Times New Roman" w:eastAsia="Times New Roman" w:hint="default"/>
        </w:rPr>
        <w:t>3</w:t>
      </w:r>
      <w:r>
        <w:rPr/>
        <w:t>）金融资产转移</w:t>
      </w:r>
    </w:p>
    <w:p>
      <w:pPr>
        <w:spacing w:line="240" w:lineRule="auto" w:before="7"/>
        <w:rPr>
          <w:rFonts w:ascii="宋体" w:hAnsi="宋体" w:cs="宋体" w:eastAsia="宋体" w:hint="default"/>
          <w:sz w:val="15"/>
          <w:szCs w:val="15"/>
        </w:rPr>
      </w:pPr>
    </w:p>
    <w:p>
      <w:pPr>
        <w:pStyle w:val="BodyText"/>
        <w:spacing w:line="436" w:lineRule="auto"/>
        <w:ind w:left="263" w:right="101" w:firstLine="422"/>
        <w:jc w:val="left"/>
      </w:pPr>
      <w:r>
        <w:rPr>
          <w:spacing w:val="2"/>
        </w:rPr>
        <w:t>①本公司已将金融资产所有权上几乎所有的风险和报酬转移给转入方的或既没有转移也没有保留</w:t>
      </w:r>
      <w:r>
        <w:rPr>
          <w:w w:val="100"/>
        </w:rPr>
        <w:t> </w:t>
      </w:r>
      <w:r>
        <w:rPr>
          <w:spacing w:val="-2"/>
        </w:rPr>
        <w:t>金融资产所有权上几乎所有的风险和报酬、但放弃了对该金融资产控制的，终止对该金融资产的确认。</w:t>
      </w:r>
    </w:p>
    <w:p>
      <w:pPr>
        <w:pStyle w:val="BodyText"/>
        <w:spacing w:line="240" w:lineRule="auto" w:before="47"/>
        <w:ind w:left="685" w:right="101"/>
        <w:jc w:val="left"/>
      </w:pPr>
      <w:r>
        <w:rPr/>
        <w:t>②金融资产整体转移满足终止确认条件的，将下列两项的差额计入当期损益：</w:t>
      </w:r>
    </w:p>
    <w:p>
      <w:pPr>
        <w:spacing w:after="0" w:line="240"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396" w:lineRule="auto" w:before="36"/>
        <w:ind w:left="685" w:right="101"/>
        <w:jc w:val="left"/>
      </w:pPr>
      <w:r>
        <w:rPr>
          <w:rFonts w:ascii="Times New Roman" w:hAnsi="Times New Roman" w:cs="Times New Roman" w:eastAsia="Times New Roman" w:hint="default"/>
        </w:rPr>
        <w:t>A</w:t>
      </w:r>
      <w:r>
        <w:rPr/>
        <w:t>、所转移金融资产的账面价值；</w:t>
      </w:r>
      <w:r>
        <w:rPr>
          <w:spacing w:val="-102"/>
        </w:rPr>
        <w:t> </w:t>
      </w:r>
      <w:r>
        <w:rPr>
          <w:spacing w:val="-102"/>
        </w:rPr>
      </w:r>
      <w:r>
        <w:rPr>
          <w:rFonts w:ascii="Times New Roman" w:hAnsi="Times New Roman" w:cs="Times New Roman" w:eastAsia="Times New Roman" w:hint="default"/>
          <w:spacing w:val="-2"/>
        </w:rPr>
        <w:t>B</w:t>
      </w:r>
      <w:r>
        <w:rPr>
          <w:spacing w:val="-2"/>
        </w:rPr>
        <w:t>、因转移而收到的对价，与原直接计入所有者权益的公允价值变动累计额之和。</w:t>
      </w:r>
    </w:p>
    <w:p>
      <w:pPr>
        <w:pStyle w:val="BodyText"/>
        <w:spacing w:line="420" w:lineRule="auto" w:before="38"/>
        <w:ind w:left="263" w:right="101" w:firstLine="422"/>
        <w:jc w:val="left"/>
      </w:pPr>
      <w:r>
        <w:rPr>
          <w:spacing w:val="-2"/>
        </w:rPr>
        <w:t>③金融资产部分转移满足终止确认条件的，将所转移金融资产整体的账面价值，在终止确认部分和</w:t>
      </w:r>
      <w:r>
        <w:rPr>
          <w:w w:val="100"/>
        </w:rPr>
        <w:t> </w:t>
      </w:r>
      <w:r>
        <w:rPr/>
        <w:t>未终止确认部分之间，按照各自的相对公允价值进行分摊，并将下列两项金额的差额计入当期损益：</w:t>
      </w:r>
    </w:p>
    <w:p>
      <w:pPr>
        <w:pStyle w:val="BodyText"/>
        <w:spacing w:line="396" w:lineRule="auto" w:before="47"/>
        <w:ind w:left="685" w:right="101"/>
        <w:jc w:val="left"/>
      </w:pPr>
      <w:r>
        <w:rPr>
          <w:rFonts w:ascii="Times New Roman" w:hAnsi="Times New Roman" w:cs="Times New Roman" w:eastAsia="Times New Roman" w:hint="default"/>
        </w:rPr>
        <w:t>A</w:t>
      </w:r>
      <w:r>
        <w:rPr/>
        <w:t>、终止确认部分的账面价值；</w:t>
      </w:r>
      <w:r>
        <w:rPr>
          <w:w w:val="100"/>
        </w:rPr>
        <w:t> </w:t>
      </w:r>
      <w:r>
        <w:rPr>
          <w:rFonts w:ascii="Times New Roman" w:hAnsi="Times New Roman" w:cs="Times New Roman" w:eastAsia="Times New Roman" w:hint="default"/>
          <w:spacing w:val="-1"/>
        </w:rPr>
        <w:t>B</w:t>
      </w:r>
      <w:r>
        <w:rPr>
          <w:spacing w:val="-1"/>
        </w:rPr>
        <w:t>、终止确认部分的对价，与原直接计入所有者权益的公允价值变动累计额中对应终止确认部分的</w:t>
      </w:r>
    </w:p>
    <w:p>
      <w:pPr>
        <w:pStyle w:val="BodyText"/>
        <w:spacing w:line="240" w:lineRule="auto" w:before="38"/>
        <w:ind w:left="263" w:right="0"/>
        <w:jc w:val="both"/>
      </w:pPr>
      <w:r>
        <w:rPr/>
        <w:t>金额之和。</w:t>
      </w:r>
    </w:p>
    <w:p>
      <w:pPr>
        <w:spacing w:line="240" w:lineRule="auto" w:before="9"/>
        <w:rPr>
          <w:rFonts w:ascii="宋体" w:hAnsi="宋体" w:cs="宋体" w:eastAsia="宋体" w:hint="default"/>
          <w:sz w:val="15"/>
          <w:szCs w:val="15"/>
        </w:rPr>
      </w:pPr>
    </w:p>
    <w:p>
      <w:pPr>
        <w:pStyle w:val="BodyText"/>
        <w:spacing w:line="240" w:lineRule="auto"/>
        <w:ind w:left="685" w:right="101"/>
        <w:jc w:val="left"/>
      </w:pPr>
      <w:r>
        <w:rPr/>
        <w:t>④金融资产转移不满足终止确认条件的，继续确认该金融资产，将所收到的对价确认为一项金融负</w:t>
      </w:r>
    </w:p>
    <w:p>
      <w:pPr>
        <w:spacing w:line="240" w:lineRule="auto" w:before="9"/>
        <w:rPr>
          <w:rFonts w:ascii="宋体" w:hAnsi="宋体" w:cs="宋体" w:eastAsia="宋体" w:hint="default"/>
          <w:sz w:val="15"/>
          <w:szCs w:val="15"/>
        </w:rPr>
      </w:pPr>
    </w:p>
    <w:p>
      <w:pPr>
        <w:pStyle w:val="BodyText"/>
        <w:spacing w:line="240" w:lineRule="auto"/>
        <w:ind w:left="263" w:right="0"/>
        <w:jc w:val="both"/>
      </w:pPr>
      <w:r>
        <w:rPr/>
        <w:t>债。</w:t>
      </w:r>
    </w:p>
    <w:p>
      <w:pPr>
        <w:spacing w:line="240" w:lineRule="auto" w:before="9"/>
        <w:rPr>
          <w:rFonts w:ascii="宋体" w:hAnsi="宋体" w:cs="宋体" w:eastAsia="宋体" w:hint="default"/>
          <w:sz w:val="15"/>
          <w:szCs w:val="15"/>
        </w:rPr>
      </w:pPr>
    </w:p>
    <w:p>
      <w:pPr>
        <w:pStyle w:val="BodyText"/>
        <w:spacing w:line="420" w:lineRule="auto"/>
        <w:ind w:left="263" w:right="101" w:firstLine="422"/>
        <w:jc w:val="left"/>
      </w:pPr>
      <w:r>
        <w:rPr>
          <w:spacing w:val="-2"/>
        </w:rPr>
        <w:t>⑤对于采用继续涉入方式的金融资产转移，本公司按照继续涉入所转移金融资产的程度确认一项金</w:t>
      </w:r>
      <w:r>
        <w:rPr>
          <w:w w:val="100"/>
        </w:rPr>
        <w:t> </w:t>
      </w:r>
      <w:r>
        <w:rPr/>
        <w:t>融资产，同时确认一项金融负债。</w:t>
      </w:r>
    </w:p>
    <w:p>
      <w:pPr>
        <w:pStyle w:val="BodyText"/>
        <w:spacing w:line="240" w:lineRule="auto" w:before="47"/>
        <w:ind w:left="685" w:right="101"/>
        <w:jc w:val="left"/>
      </w:pPr>
      <w:r>
        <w:rPr/>
        <w:t>（</w:t>
      </w:r>
      <w:r>
        <w:rPr>
          <w:rFonts w:ascii="Times New Roman" w:hAnsi="Times New Roman" w:cs="Times New Roman" w:eastAsia="Times New Roman" w:hint="default"/>
        </w:rPr>
        <w:t>4</w:t>
      </w:r>
      <w:r>
        <w:rPr/>
        <w:t>）金融资产和金融负债的公允价值确定方法</w:t>
      </w:r>
    </w:p>
    <w:p>
      <w:pPr>
        <w:pStyle w:val="BodyText"/>
        <w:spacing w:line="240" w:lineRule="auto" w:before="189"/>
        <w:ind w:left="685" w:right="101"/>
        <w:jc w:val="left"/>
      </w:pPr>
      <w:r>
        <w:rPr/>
        <w:t>①存在活跃市场的金融资产或金融负债，用活跃市场中的报价来确定公允价值；</w:t>
      </w:r>
    </w:p>
    <w:p>
      <w:pPr>
        <w:spacing w:line="240" w:lineRule="auto" w:before="9"/>
        <w:rPr>
          <w:rFonts w:ascii="宋体" w:hAnsi="宋体" w:cs="宋体" w:eastAsia="宋体" w:hint="default"/>
          <w:sz w:val="15"/>
          <w:szCs w:val="15"/>
        </w:rPr>
      </w:pPr>
    </w:p>
    <w:p>
      <w:pPr>
        <w:pStyle w:val="BodyText"/>
        <w:spacing w:line="240" w:lineRule="auto"/>
        <w:ind w:left="685" w:right="101"/>
        <w:jc w:val="left"/>
      </w:pPr>
      <w:r>
        <w:rPr/>
        <w:t>②金融工具不存在活跃市场的，本公司采用估值技术确定其公允价值。</w:t>
      </w:r>
    </w:p>
    <w:p>
      <w:pPr>
        <w:spacing w:line="240" w:lineRule="auto" w:before="9"/>
        <w:rPr>
          <w:rFonts w:ascii="宋体" w:hAnsi="宋体" w:cs="宋体" w:eastAsia="宋体" w:hint="default"/>
          <w:sz w:val="15"/>
          <w:szCs w:val="15"/>
        </w:rPr>
      </w:pPr>
    </w:p>
    <w:p>
      <w:pPr>
        <w:pStyle w:val="BodyText"/>
        <w:spacing w:line="396" w:lineRule="auto"/>
        <w:ind w:left="685" w:right="101"/>
        <w:jc w:val="left"/>
      </w:pPr>
      <w:r>
        <w:rPr/>
        <w:t>（</w:t>
      </w:r>
      <w:r>
        <w:rPr>
          <w:rFonts w:ascii="Times New Roman" w:hAnsi="Times New Roman" w:cs="Times New Roman" w:eastAsia="Times New Roman" w:hint="default"/>
        </w:rPr>
        <w:t>5</w:t>
      </w:r>
      <w:r>
        <w:rPr/>
        <w:t>）金融资产（不含应收款项）减值测试方法</w:t>
      </w:r>
      <w:r>
        <w:rPr>
          <w:spacing w:val="-102"/>
        </w:rPr>
        <w:t> </w:t>
      </w:r>
      <w:r>
        <w:rPr>
          <w:spacing w:val="-102"/>
        </w:rPr>
      </w:r>
      <w:r>
        <w:rPr>
          <w:spacing w:val="-2"/>
        </w:rPr>
        <w:t>本公司在资产负债表日对金融资产（不含应收款项）的账面价值进行检查，有客观证据表明发生减</w:t>
      </w:r>
    </w:p>
    <w:p>
      <w:pPr>
        <w:pStyle w:val="BodyText"/>
        <w:spacing w:line="240" w:lineRule="auto" w:before="68"/>
        <w:ind w:left="263" w:right="0"/>
        <w:jc w:val="both"/>
      </w:pPr>
      <w:r>
        <w:rPr/>
        <w:t>值的，计提减值准备。</w:t>
      </w:r>
    </w:p>
    <w:p>
      <w:pPr>
        <w:spacing w:line="240" w:lineRule="auto" w:before="9"/>
        <w:rPr>
          <w:rFonts w:ascii="宋体" w:hAnsi="宋体" w:cs="宋体" w:eastAsia="宋体" w:hint="default"/>
          <w:sz w:val="15"/>
          <w:szCs w:val="15"/>
        </w:rPr>
      </w:pPr>
    </w:p>
    <w:p>
      <w:pPr>
        <w:pStyle w:val="BodyText"/>
        <w:spacing w:line="420" w:lineRule="auto"/>
        <w:ind w:left="685" w:right="101"/>
        <w:jc w:val="left"/>
      </w:pPr>
      <w:r>
        <w:rPr/>
        <w:t>①持有至到期投资</w:t>
      </w:r>
      <w:r>
        <w:rPr>
          <w:spacing w:val="-101"/>
        </w:rPr>
        <w:t> </w:t>
      </w:r>
      <w:r>
        <w:rPr>
          <w:spacing w:val="-101"/>
        </w:rPr>
      </w:r>
      <w:r>
        <w:rPr>
          <w:spacing w:val="-2"/>
        </w:rPr>
        <w:t>根据账面价值与预计未来现金流量的现值之间的差额计算确认减值损失。具体比照应收款项减值损</w:t>
      </w:r>
    </w:p>
    <w:p>
      <w:pPr>
        <w:pStyle w:val="BodyText"/>
        <w:spacing w:line="420" w:lineRule="auto" w:before="47"/>
        <w:ind w:left="685" w:right="101" w:hanging="423"/>
        <w:jc w:val="left"/>
      </w:pPr>
      <w:r>
        <w:rPr/>
        <w:t>失计量方法处理。</w:t>
      </w:r>
      <w:r>
        <w:rPr>
          <w:spacing w:val="-101"/>
        </w:rPr>
        <w:t> </w:t>
      </w:r>
      <w:r>
        <w:rPr>
          <w:spacing w:val="-101"/>
        </w:rPr>
      </w:r>
      <w:r>
        <w:rPr>
          <w:spacing w:val="-4"/>
          <w:w w:val="100"/>
        </w:rPr>
        <w:t>如有客观证据表明该金融资产价值已恢复，且客观上与确认该损失后发生的事项有关</w:t>
      </w:r>
      <w:r>
        <w:rPr>
          <w:rFonts w:ascii="Times New Roman" w:hAnsi="Times New Roman" w:cs="Times New Roman" w:eastAsia="Times New Roman" w:hint="default"/>
          <w:spacing w:val="-4"/>
          <w:w w:val="100"/>
        </w:rPr>
        <w:t>(</w:t>
      </w:r>
      <w:r>
        <w:rPr>
          <w:spacing w:val="-4"/>
          <w:w w:val="100"/>
        </w:rPr>
        <w:t>如债务人的信</w:t>
      </w:r>
    </w:p>
    <w:p>
      <w:pPr>
        <w:pStyle w:val="BodyText"/>
        <w:spacing w:line="396" w:lineRule="auto" w:before="15"/>
        <w:ind w:left="263" w:right="207"/>
        <w:jc w:val="both"/>
      </w:pPr>
      <w:r>
        <w:rPr>
          <w:spacing w:val="-4"/>
        </w:rPr>
        <w:t>用评级已提高等</w:t>
      </w:r>
      <w:r>
        <w:rPr>
          <w:rFonts w:ascii="Times New Roman" w:hAnsi="Times New Roman" w:cs="Times New Roman" w:eastAsia="Times New Roman" w:hint="default"/>
          <w:spacing w:val="-4"/>
        </w:rPr>
        <w:t>)</w:t>
      </w:r>
      <w:r>
        <w:rPr>
          <w:spacing w:val="-4"/>
        </w:rPr>
        <w:t>，原确认的减值损失应当予以转回，计人当期损益。但是，该转回后的账面价值不应当</w:t>
      </w:r>
      <w:r>
        <w:rPr>
          <w:spacing w:val="-19"/>
        </w:rPr>
        <w:t> </w:t>
      </w:r>
      <w:r>
        <w:rPr>
          <w:spacing w:val="-19"/>
        </w:rPr>
      </w:r>
      <w:r>
        <w:rPr/>
        <w:t>超过假定不计提减值准备情况下该金融资产在转回日的摊余成本。</w:t>
      </w:r>
    </w:p>
    <w:p>
      <w:pPr>
        <w:pStyle w:val="BodyText"/>
        <w:spacing w:line="420" w:lineRule="auto" w:before="68"/>
        <w:ind w:left="685" w:right="101"/>
        <w:jc w:val="left"/>
      </w:pPr>
      <w:r>
        <w:rPr/>
        <w:t>②可供出售金融资产</w:t>
      </w:r>
      <w:r>
        <w:rPr>
          <w:spacing w:val="-100"/>
        </w:rPr>
        <w:t> </w:t>
      </w:r>
      <w:r>
        <w:rPr>
          <w:spacing w:val="-100"/>
        </w:rPr>
      </w:r>
      <w:r>
        <w:rPr>
          <w:spacing w:val="-2"/>
        </w:rPr>
        <w:t>有客观证据表明可供出售金融资产公允价值发生较大幅度下降，并预期这种下降趋势属于非暂时性</w:t>
      </w:r>
    </w:p>
    <w:p>
      <w:pPr>
        <w:pStyle w:val="BodyText"/>
        <w:spacing w:line="420" w:lineRule="auto" w:before="47"/>
        <w:ind w:left="263" w:right="178"/>
        <w:jc w:val="both"/>
      </w:pPr>
      <w:r>
        <w:rPr>
          <w:spacing w:val="-2"/>
        </w:rPr>
        <w:t>的，可以认定该可供出售金融资产已发生减值，确认减值损失。可供出售金融资产发生减值的，在确认</w:t>
      </w:r>
      <w:r>
        <w:rPr>
          <w:spacing w:val="-43"/>
        </w:rPr>
        <w:t> </w:t>
      </w:r>
      <w:r>
        <w:rPr>
          <w:spacing w:val="-43"/>
        </w:rPr>
      </w:r>
      <w:r>
        <w:rPr>
          <w:spacing w:val="-2"/>
        </w:rPr>
        <w:t>减值损失时，应当将原直接计入所有者权益的公允价值下降形成的累计损失一并转出，计入减值损失。</w:t>
      </w:r>
      <w:r>
        <w:rPr>
          <w:spacing w:val="-13"/>
        </w:rPr>
        <w:t> </w:t>
      </w:r>
      <w:r>
        <w:rPr>
          <w:spacing w:val="-13"/>
        </w:rPr>
      </w:r>
      <w:r>
        <w:rPr>
          <w:spacing w:val="-2"/>
        </w:rPr>
        <w:t>该转出的累计损失，等于可供出售金融资产的初始取得成本扣除已收回本金和已摊销金额、当前公允价</w:t>
      </w:r>
      <w:r>
        <w:rPr>
          <w:spacing w:val="-44"/>
        </w:rPr>
        <w:t> </w:t>
      </w:r>
      <w:r>
        <w:rPr>
          <w:spacing w:val="-44"/>
        </w:rPr>
      </w:r>
      <w:r>
        <w:rPr/>
        <w:t>值和原已计入损益的减值损失后的余额。</w:t>
      </w:r>
    </w:p>
    <w:p>
      <w:pPr>
        <w:spacing w:after="0" w:line="420" w:lineRule="auto"/>
        <w:jc w:val="both"/>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434" w:lineRule="auto" w:before="36"/>
        <w:ind w:left="263" w:right="227" w:firstLine="422"/>
        <w:jc w:val="both"/>
      </w:pPr>
      <w:r>
        <w:rPr>
          <w:spacing w:val="-2"/>
        </w:rPr>
        <w:t>对于已确认减值损失的可供出售债务工具，在随后的会计期间公允价值已上升且客观上与确认原减</w:t>
      </w:r>
      <w:r>
        <w:rPr>
          <w:w w:val="100"/>
        </w:rPr>
        <w:t> </w:t>
      </w:r>
      <w:r>
        <w:rPr>
          <w:spacing w:val="-2"/>
        </w:rPr>
        <w:t>值损失后发生的事项有关的，原确认的减值损失予以转回，计入当期损益。可供出售权益工具投资发生</w:t>
      </w:r>
      <w:r>
        <w:rPr>
          <w:spacing w:val="-44"/>
        </w:rPr>
        <w:t> </w:t>
      </w:r>
      <w:r>
        <w:rPr>
          <w:spacing w:val="-44"/>
        </w:rPr>
      </w:r>
      <w:r>
        <w:rPr/>
        <w:t>的减值损失，在该权益工具价值回升时，通过权益转回，不通过损益转回。</w:t>
      </w:r>
    </w:p>
    <w:p>
      <w:pPr>
        <w:spacing w:line="240" w:lineRule="auto" w:before="0"/>
        <w:rPr>
          <w:rFonts w:ascii="宋体" w:hAnsi="宋体" w:cs="宋体" w:eastAsia="宋体" w:hint="default"/>
          <w:sz w:val="20"/>
          <w:szCs w:val="20"/>
        </w:rPr>
      </w:pPr>
    </w:p>
    <w:p>
      <w:pPr>
        <w:pStyle w:val="Heading6"/>
        <w:spacing w:line="240" w:lineRule="auto" w:before="162"/>
        <w:ind w:right="3657"/>
        <w:jc w:val="left"/>
        <w:rPr>
          <w:b w:val="0"/>
          <w:bCs w:val="0"/>
        </w:rPr>
      </w:pPr>
      <w:r>
        <w:rPr>
          <w:rFonts w:ascii="Times New Roman" w:hAnsi="Times New Roman" w:cs="Times New Roman" w:eastAsia="Times New Roman" w:hint="default"/>
        </w:rPr>
        <w:t>10</w:t>
      </w:r>
      <w:r>
        <w:rPr/>
        <w:t>、应收款项</w:t>
      </w:r>
      <w:r>
        <w:rPr>
          <w:b w:val="0"/>
          <w:bCs w:val="0"/>
        </w:rPr>
      </w:r>
    </w:p>
    <w:p>
      <w:pPr>
        <w:pStyle w:val="BodyText"/>
        <w:spacing w:line="240" w:lineRule="auto" w:before="171"/>
        <w:ind w:left="575" w:right="3657"/>
        <w:jc w:val="left"/>
      </w:pPr>
      <w:r>
        <w:rPr/>
        <w:t>（</w:t>
      </w:r>
      <w:r>
        <w:rPr>
          <w:rFonts w:ascii="Times New Roman" w:hAnsi="Times New Roman" w:cs="Times New Roman" w:eastAsia="Times New Roman" w:hint="default"/>
        </w:rPr>
        <w:t>1</w:t>
      </w:r>
      <w:r>
        <w:rPr/>
        <w:t>）单项金额重大并单项计提坏账准备的应收款项</w:t>
      </w:r>
    </w:p>
    <w:p>
      <w:pPr>
        <w:pStyle w:val="BodyText"/>
        <w:spacing w:line="410" w:lineRule="auto" w:before="179"/>
        <w:ind w:left="575" w:right="3657"/>
        <w:jc w:val="left"/>
      </w:pPr>
      <w:r>
        <w:rPr/>
        <w:t>①单项金额重大的判断依据或金额标准</w:t>
      </w:r>
      <w:r>
        <w:rPr>
          <w:spacing w:val="-101"/>
        </w:rPr>
        <w:t> </w:t>
      </w:r>
      <w:r>
        <w:rPr>
          <w:spacing w:val="-101"/>
        </w:rPr>
      </w:r>
      <w:r>
        <w:rPr/>
        <w:t>本公司对应收款项期末余额</w:t>
      </w:r>
      <w:r>
        <w:rPr>
          <w:spacing w:val="-54"/>
        </w:rPr>
        <w:t> </w:t>
      </w:r>
      <w:r>
        <w:rPr>
          <w:rFonts w:ascii="Times New Roman" w:hAnsi="Times New Roman" w:cs="Times New Roman" w:eastAsia="Times New Roman" w:hint="default"/>
        </w:rPr>
        <w:t>100</w:t>
      </w:r>
      <w:r>
        <w:rPr>
          <w:rFonts w:ascii="Times New Roman" w:hAnsi="Times New Roman" w:cs="Times New Roman" w:eastAsia="Times New Roman" w:hint="default"/>
          <w:spacing w:val="-1"/>
        </w:rPr>
        <w:t> </w:t>
      </w:r>
      <w:r>
        <w:rPr/>
        <w:t>万元及以上为单项金额重大。</w:t>
      </w:r>
    </w:p>
    <w:p>
      <w:pPr>
        <w:pStyle w:val="BodyText"/>
        <w:spacing w:line="410" w:lineRule="auto" w:before="14"/>
        <w:ind w:left="575" w:right="0"/>
        <w:jc w:val="left"/>
      </w:pPr>
      <w:r>
        <w:rPr/>
        <w:t>② 单项金额重大的应收款项坏账准备的计提方法</w:t>
      </w:r>
      <w:r>
        <w:rPr>
          <w:w w:val="100"/>
        </w:rPr>
        <w:t> </w:t>
      </w:r>
      <w:r>
        <w:rPr>
          <w:spacing w:val="-2"/>
        </w:rPr>
        <w:t>若有客观证据表明某笔金额重大的应收款项未来现金流量的现值低于其账面价值，则将其差额确认为</w:t>
      </w:r>
    </w:p>
    <w:p>
      <w:pPr>
        <w:pStyle w:val="BodyText"/>
        <w:spacing w:line="410" w:lineRule="auto" w:before="41"/>
        <w:ind w:right="0"/>
        <w:jc w:val="left"/>
      </w:pPr>
      <w:r>
        <w:rPr>
          <w:spacing w:val="-2"/>
        </w:rPr>
        <w:t>减值损失并计提坏账准备。经单独测试未减值的应收款项，采用账龄分析法，按应收款项的账龄和规定的</w:t>
      </w:r>
      <w:r>
        <w:rPr>
          <w:spacing w:val="-35"/>
        </w:rPr>
        <w:t> </w:t>
      </w:r>
      <w:r>
        <w:rPr>
          <w:spacing w:val="-35"/>
        </w:rPr>
      </w:r>
      <w:r>
        <w:rPr/>
        <w:t>提取比例确认减值损失。</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pStyle w:val="BodyText"/>
        <w:spacing w:line="412" w:lineRule="auto"/>
        <w:ind w:left="263" w:right="4656" w:firstLine="312"/>
        <w:jc w:val="left"/>
      </w:pPr>
      <w:r>
        <w:rPr/>
        <w:pict>
          <v:group style="position:absolute;margin-left:56.639999pt;margin-top:16.343666pt;width:481.45pt;height:.1pt;mso-position-horizontal-relative:page;mso-position-vertical-relative:paragraph;z-index:-999400" coordorigin="1133,327" coordsize="9629,2">
            <v:shape style="position:absolute;left:1133;top:327;width:9629;height:2" coordorigin="1133,327" coordsize="9629,0" path="m1133,327l10762,327e" filled="false" stroked="true" strokeweight="1.44pt" strokecolor="#000000">
              <v:path arrowok="t"/>
            </v:shape>
            <w10:wrap type="none"/>
          </v:group>
        </w:pict>
      </w:r>
      <w:r>
        <w:rPr/>
        <w:pict>
          <v:shape style="position:absolute;margin-left:56.400002pt;margin-top:40.583664pt;width:482.2pt;height:48.5pt;mso-position-horizontal-relative:page;mso-position-vertical-relative:paragraph;z-index:25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37"/>
                    <w:gridCol w:w="6792"/>
                  </w:tblGrid>
                  <w:tr>
                    <w:trPr>
                      <w:trHeight w:val="480" w:hRule="exact"/>
                    </w:trPr>
                    <w:tc>
                      <w:tcPr>
                        <w:tcW w:w="28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10" w:right="0"/>
                          <w:jc w:val="left"/>
                          <w:rPr>
                            <w:rFonts w:ascii="宋体" w:hAnsi="宋体" w:cs="宋体" w:eastAsia="宋体" w:hint="default"/>
                            <w:sz w:val="21"/>
                            <w:szCs w:val="21"/>
                          </w:rPr>
                        </w:pPr>
                        <w:r>
                          <w:rPr>
                            <w:rFonts w:ascii="宋体" w:hAnsi="宋体" w:cs="宋体" w:eastAsia="宋体" w:hint="default"/>
                            <w:sz w:val="21"/>
                            <w:szCs w:val="21"/>
                          </w:rPr>
                          <w:t>未逾期款项</w:t>
                        </w:r>
                      </w:p>
                    </w:tc>
                    <w:tc>
                      <w:tcPr>
                        <w:tcW w:w="67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按合同约定尚未到期的应收款项。</w:t>
                        </w:r>
                      </w:p>
                    </w:tc>
                  </w:tr>
                  <w:tr>
                    <w:trPr>
                      <w:trHeight w:val="480" w:hRule="exact"/>
                    </w:trPr>
                    <w:tc>
                      <w:tcPr>
                        <w:tcW w:w="283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10" w:right="0"/>
                          <w:jc w:val="left"/>
                          <w:rPr>
                            <w:rFonts w:ascii="宋体" w:hAnsi="宋体" w:cs="宋体" w:eastAsia="宋体" w:hint="default"/>
                            <w:sz w:val="21"/>
                            <w:szCs w:val="21"/>
                          </w:rPr>
                        </w:pPr>
                        <w:r>
                          <w:rPr>
                            <w:rFonts w:ascii="宋体" w:hAnsi="宋体" w:cs="宋体" w:eastAsia="宋体" w:hint="default"/>
                            <w:sz w:val="21"/>
                            <w:szCs w:val="21"/>
                          </w:rPr>
                          <w:t>已逾期款项</w:t>
                        </w:r>
                      </w:p>
                    </w:tc>
                    <w:tc>
                      <w:tcPr>
                        <w:tcW w:w="679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按合同约定已到期但尚未归还的应收款项及无固定还款期的应收款项。</w:t>
                        </w:r>
                      </w:p>
                    </w:tc>
                  </w:tr>
                </w:tbl>
                <w:p>
                  <w:pPr/>
                </w:p>
              </w:txbxContent>
            </v:textbox>
            <w10:wrap type="none"/>
          </v:shape>
        </w:pict>
      </w:r>
      <w:r>
        <w:rPr>
          <w:spacing w:val="-1"/>
        </w:rPr>
        <w:t>（</w:t>
      </w:r>
      <w:r>
        <w:rPr>
          <w:rFonts w:ascii="Times New Roman" w:hAnsi="Times New Roman" w:cs="Times New Roman" w:eastAsia="Times New Roman" w:hint="default"/>
          <w:spacing w:val="-1"/>
        </w:rPr>
        <w:t>2</w:t>
      </w:r>
      <w:r>
        <w:rPr>
          <w:spacing w:val="-1"/>
        </w:rPr>
        <w:t>）按组合计提坏账准备应收款项</w:t>
      </w:r>
      <w:r>
        <w:rPr>
          <w:w w:val="100"/>
        </w:rPr>
        <w:t> </w:t>
      </w:r>
      <w:r>
        <w:rPr/>
        <w:t>确定组合的依据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BodyText"/>
        <w:spacing w:line="240" w:lineRule="auto" w:before="36"/>
        <w:ind w:left="263" w:right="3657"/>
        <w:jc w:val="left"/>
      </w:pPr>
      <w:r>
        <w:rPr/>
        <w:t>按组合计提坏账准备的计提方法</w:t>
      </w:r>
    </w:p>
    <w:p>
      <w:pPr>
        <w:spacing w:line="240" w:lineRule="auto" w:before="11"/>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851"/>
        <w:gridCol w:w="6802"/>
      </w:tblGrid>
      <w:tr>
        <w:trPr>
          <w:trHeight w:val="48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宋体" w:hAnsi="宋体" w:cs="宋体" w:eastAsia="宋体" w:hint="default"/>
                <w:sz w:val="21"/>
                <w:szCs w:val="21"/>
              </w:rPr>
              <w:t>未逾期款项</w:t>
            </w:r>
          </w:p>
        </w:tc>
        <w:tc>
          <w:tcPr>
            <w:tcW w:w="6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采用余额百分比法。</w:t>
            </w:r>
          </w:p>
        </w:tc>
      </w:tr>
      <w:tr>
        <w:trPr>
          <w:trHeight w:val="494" w:hRule="exact"/>
        </w:trPr>
        <w:tc>
          <w:tcPr>
            <w:tcW w:w="285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宋体" w:hAnsi="宋体" w:cs="宋体" w:eastAsia="宋体" w:hint="default"/>
                <w:sz w:val="21"/>
                <w:szCs w:val="21"/>
              </w:rPr>
              <w:t>已逾期款项</w:t>
            </w:r>
          </w:p>
        </w:tc>
        <w:tc>
          <w:tcPr>
            <w:tcW w:w="680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采用账龄分析法。</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240" w:lineRule="auto" w:before="36"/>
        <w:ind w:left="575" w:right="3657"/>
        <w:jc w:val="left"/>
      </w:pPr>
      <w:r>
        <w:rPr/>
        <w:t>组合中，采用账龄分析法计提坏账准备的：</w:t>
      </w:r>
    </w:p>
    <w:p>
      <w:pPr>
        <w:spacing w:line="240" w:lineRule="auto" w:before="11"/>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3226"/>
        <w:gridCol w:w="3216"/>
        <w:gridCol w:w="3211"/>
      </w:tblGrid>
      <w:tr>
        <w:trPr>
          <w:trHeight w:val="494" w:hRule="exact"/>
        </w:trPr>
        <w:tc>
          <w:tcPr>
            <w:tcW w:w="32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58"/>
              <w:ind w:left="23"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2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8"/>
              <w:ind w:right="2"/>
              <w:jc w:val="center"/>
              <w:rPr>
                <w:rFonts w:ascii="宋体" w:hAnsi="宋体" w:cs="宋体" w:eastAsia="宋体" w:hint="default"/>
                <w:sz w:val="21"/>
                <w:szCs w:val="21"/>
              </w:rPr>
            </w:pPr>
            <w:r>
              <w:rPr>
                <w:rFonts w:ascii="宋体" w:hAnsi="宋体" w:cs="宋体" w:eastAsia="宋体" w:hint="default"/>
                <w:sz w:val="21"/>
                <w:szCs w:val="21"/>
              </w:rPr>
              <w:t>应收账款计提比例</w:t>
            </w:r>
          </w:p>
        </w:tc>
        <w:tc>
          <w:tcPr>
            <w:tcW w:w="321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58"/>
              <w:ind w:right="12"/>
              <w:jc w:val="center"/>
              <w:rPr>
                <w:rFonts w:ascii="宋体" w:hAnsi="宋体" w:cs="宋体" w:eastAsia="宋体" w:hint="default"/>
                <w:sz w:val="21"/>
                <w:szCs w:val="21"/>
              </w:rPr>
            </w:pPr>
            <w:r>
              <w:rPr>
                <w:rFonts w:ascii="宋体" w:hAnsi="宋体" w:cs="宋体" w:eastAsia="宋体" w:hint="default"/>
                <w:sz w:val="21"/>
                <w:szCs w:val="21"/>
              </w:rPr>
              <w:t>其他应收款计提比例</w:t>
            </w:r>
          </w:p>
        </w:tc>
      </w:tr>
      <w:tr>
        <w:trPr>
          <w:trHeight w:val="480"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年以内（含</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5%</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5%</w:t>
            </w:r>
          </w:p>
        </w:tc>
      </w:tr>
      <w:tr>
        <w:trPr>
          <w:trHeight w:val="480"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15%</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15%</w:t>
            </w:r>
          </w:p>
        </w:tc>
      </w:tr>
      <w:tr>
        <w:trPr>
          <w:trHeight w:val="480"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30%</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30%</w:t>
            </w:r>
          </w:p>
        </w:tc>
      </w:tr>
      <w:tr>
        <w:trPr>
          <w:trHeight w:val="480"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50%</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50%</w:t>
            </w:r>
          </w:p>
        </w:tc>
      </w:tr>
      <w:tr>
        <w:trPr>
          <w:trHeight w:val="480"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80%</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80%</w:t>
            </w:r>
          </w:p>
        </w:tc>
      </w:tr>
      <w:tr>
        <w:trPr>
          <w:trHeight w:val="490" w:hRule="exact"/>
        </w:trPr>
        <w:tc>
          <w:tcPr>
            <w:tcW w:w="32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8"/>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年以上</w:t>
            </w:r>
          </w:p>
        </w:tc>
        <w:tc>
          <w:tcPr>
            <w:tcW w:w="32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100%</w:t>
            </w:r>
          </w:p>
        </w:tc>
        <w:tc>
          <w:tcPr>
            <w:tcW w:w="32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100%</w:t>
            </w:r>
          </w:p>
        </w:tc>
      </w:tr>
    </w:tbl>
    <w:p>
      <w:pPr>
        <w:spacing w:after="0" w:line="240" w:lineRule="auto"/>
        <w:jc w:val="center"/>
        <w:rPr>
          <w:rFonts w:ascii="Times New Roman" w:hAnsi="Times New Roman" w:cs="Times New Roman" w:eastAsia="Times New Roman" w:hint="default"/>
          <w:sz w:val="21"/>
          <w:szCs w:val="21"/>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left="575" w:right="3657"/>
        <w:jc w:val="left"/>
      </w:pPr>
      <w:r>
        <w:rPr/>
        <w:t>组合中，采用余额百分比法计提坏账准备的：</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3226"/>
        <w:gridCol w:w="3216"/>
        <w:gridCol w:w="3211"/>
      </w:tblGrid>
      <w:tr>
        <w:trPr>
          <w:trHeight w:val="523" w:hRule="exact"/>
        </w:trPr>
        <w:tc>
          <w:tcPr>
            <w:tcW w:w="32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组合名称</w:t>
            </w:r>
          </w:p>
        </w:tc>
        <w:tc>
          <w:tcPr>
            <w:tcW w:w="32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91"/>
              <w:ind w:right="4"/>
              <w:jc w:val="center"/>
              <w:rPr>
                <w:rFonts w:ascii="Times New Roman" w:hAnsi="Times New Roman" w:cs="Times New Roman" w:eastAsia="Times New Roman" w:hint="default"/>
                <w:sz w:val="21"/>
                <w:szCs w:val="21"/>
              </w:rPr>
            </w:pPr>
            <w:r>
              <w:rPr>
                <w:rFonts w:ascii="宋体" w:hAnsi="宋体" w:cs="宋体" w:eastAsia="宋体" w:hint="default"/>
                <w:sz w:val="21"/>
                <w:szCs w:val="21"/>
              </w:rPr>
              <w:t>应收账款计提比例</w:t>
            </w:r>
            <w:r>
              <w:rPr>
                <w:rFonts w:ascii="Times New Roman" w:hAnsi="Times New Roman" w:cs="Times New Roman" w:eastAsia="Times New Roman" w:hint="default"/>
                <w:sz w:val="21"/>
                <w:szCs w:val="21"/>
              </w:rPr>
              <w:t>(%)</w:t>
            </w:r>
          </w:p>
        </w:tc>
        <w:tc>
          <w:tcPr>
            <w:tcW w:w="321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91"/>
              <w:ind w:right="9"/>
              <w:jc w:val="center"/>
              <w:rPr>
                <w:rFonts w:ascii="Times New Roman" w:hAnsi="Times New Roman" w:cs="Times New Roman" w:eastAsia="Times New Roman" w:hint="default"/>
                <w:sz w:val="21"/>
                <w:szCs w:val="21"/>
              </w:rPr>
            </w:pPr>
            <w:r>
              <w:rPr>
                <w:rFonts w:ascii="宋体" w:hAnsi="宋体" w:cs="宋体" w:eastAsia="宋体" w:hint="default"/>
                <w:sz w:val="21"/>
                <w:szCs w:val="21"/>
              </w:rPr>
              <w:t>其他应收款计提比例</w:t>
            </w:r>
            <w:r>
              <w:rPr>
                <w:rFonts w:ascii="Times New Roman" w:hAnsi="Times New Roman" w:cs="Times New Roman" w:eastAsia="Times New Roman" w:hint="default"/>
                <w:sz w:val="21"/>
                <w:szCs w:val="21"/>
              </w:rPr>
              <w:t>(%)</w:t>
            </w:r>
          </w:p>
        </w:tc>
      </w:tr>
      <w:tr>
        <w:trPr>
          <w:trHeight w:val="518" w:hRule="exact"/>
        </w:trPr>
        <w:tc>
          <w:tcPr>
            <w:tcW w:w="32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未逾期款项</w:t>
            </w:r>
          </w:p>
        </w:tc>
        <w:tc>
          <w:tcPr>
            <w:tcW w:w="32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0.5%</w:t>
            </w:r>
          </w:p>
        </w:tc>
        <w:tc>
          <w:tcPr>
            <w:tcW w:w="32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0.5%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7"/>
        <w:ind w:left="575" w:right="3657"/>
        <w:jc w:val="left"/>
      </w:pPr>
      <w:r>
        <w:rPr/>
        <w:t>（</w:t>
      </w:r>
      <w:r>
        <w:rPr>
          <w:rFonts w:ascii="Times New Roman" w:hAnsi="Times New Roman" w:cs="Times New Roman" w:eastAsia="Times New Roman" w:hint="default"/>
        </w:rPr>
        <w:t>3</w:t>
      </w:r>
      <w:r>
        <w:rPr/>
        <w:t>）单项金额虽不重大但单项计提坏账准备的应收账款</w:t>
      </w:r>
    </w:p>
    <w:tbl>
      <w:tblPr>
        <w:tblW w:w="0" w:type="auto"/>
        <w:jc w:val="left"/>
        <w:tblInd w:w="123" w:type="dxa"/>
        <w:tblLayout w:type="fixed"/>
        <w:tblCellMar>
          <w:top w:w="0" w:type="dxa"/>
          <w:left w:w="0" w:type="dxa"/>
          <w:bottom w:w="0" w:type="dxa"/>
          <w:right w:w="0" w:type="dxa"/>
        </w:tblCellMar>
        <w:tblLook w:val="01E0"/>
      </w:tblPr>
      <w:tblGrid>
        <w:gridCol w:w="3024"/>
        <w:gridCol w:w="6629"/>
      </w:tblGrid>
      <w:tr>
        <w:trPr>
          <w:trHeight w:val="1022" w:hRule="exact"/>
        </w:trPr>
        <w:tc>
          <w:tcPr>
            <w:tcW w:w="302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tc>
        <w:tc>
          <w:tcPr>
            <w:tcW w:w="6629" w:type="dxa"/>
            <w:tcBorders>
              <w:top w:val="single" w:sz="12" w:space="0" w:color="000000"/>
              <w:left w:val="single" w:sz="4" w:space="0" w:color="000000"/>
              <w:bottom w:val="single" w:sz="4" w:space="0" w:color="000000"/>
              <w:right w:val="nil" w:sz="6" w:space="0" w:color="auto"/>
            </w:tcBorders>
          </w:tcPr>
          <w:p>
            <w:pPr>
              <w:pStyle w:val="TableParagraph"/>
              <w:spacing w:line="504" w:lineRule="exact" w:before="33"/>
              <w:ind w:left="105" w:right="98"/>
              <w:jc w:val="left"/>
              <w:rPr>
                <w:rFonts w:ascii="宋体" w:hAnsi="宋体" w:cs="宋体" w:eastAsia="宋体" w:hint="default"/>
                <w:sz w:val="21"/>
                <w:szCs w:val="21"/>
              </w:rPr>
            </w:pPr>
            <w:r>
              <w:rPr>
                <w:rFonts w:ascii="宋体" w:hAnsi="宋体" w:cs="宋体" w:eastAsia="宋体" w:hint="default"/>
                <w:spacing w:val="-5"/>
                <w:sz w:val="21"/>
                <w:szCs w:val="21"/>
              </w:rPr>
              <w:t>单项金额不重大但风险较大的应收款项，单独进行测试，并计提个别坏</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z w:val="21"/>
                <w:szCs w:val="21"/>
              </w:rPr>
              <w:t>账准备。</w:t>
            </w:r>
          </w:p>
        </w:tc>
      </w:tr>
      <w:tr>
        <w:trPr>
          <w:trHeight w:val="1522" w:hRule="exact"/>
        </w:trPr>
        <w:tc>
          <w:tcPr>
            <w:tcW w:w="30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坏账准备的计提方法</w:t>
            </w:r>
          </w:p>
        </w:tc>
        <w:tc>
          <w:tcPr>
            <w:tcW w:w="6629" w:type="dxa"/>
            <w:tcBorders>
              <w:top w:val="single" w:sz="4" w:space="0" w:color="000000"/>
              <w:left w:val="single" w:sz="4" w:space="0" w:color="000000"/>
              <w:bottom w:val="single" w:sz="12" w:space="0" w:color="000000"/>
              <w:right w:val="nil" w:sz="6" w:space="0" w:color="auto"/>
            </w:tcBorders>
          </w:tcPr>
          <w:p>
            <w:pPr>
              <w:pStyle w:val="TableParagraph"/>
              <w:spacing w:line="500" w:lineRule="exact" w:before="37"/>
              <w:ind w:left="105" w:right="2"/>
              <w:jc w:val="left"/>
              <w:rPr>
                <w:rFonts w:ascii="宋体" w:hAnsi="宋体" w:cs="宋体" w:eastAsia="宋体" w:hint="default"/>
                <w:sz w:val="21"/>
                <w:szCs w:val="21"/>
              </w:rPr>
            </w:pPr>
            <w:r>
              <w:rPr>
                <w:rFonts w:ascii="宋体" w:hAnsi="宋体" w:cs="宋体" w:eastAsia="宋体" w:hint="default"/>
                <w:spacing w:val="-2"/>
                <w:sz w:val="21"/>
                <w:szCs w:val="21"/>
              </w:rPr>
              <w:t>单独进行减值测试，根据其未来现金流量现值低于其账面价值的差额，</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5"/>
                <w:sz w:val="21"/>
                <w:szCs w:val="21"/>
              </w:rPr>
              <w:t>确认减值损失，计提坏账准备，经单独测试未减值的应收款项，采用账</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龄分析法，按应收款项的账龄和规定的提取比例确认减值损失。</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17"/>
        <w:ind w:right="3657"/>
        <w:jc w:val="left"/>
        <w:rPr>
          <w:b w:val="0"/>
          <w:bCs w:val="0"/>
        </w:rPr>
      </w:pPr>
      <w:r>
        <w:rPr>
          <w:rFonts w:ascii="Times New Roman" w:hAnsi="Times New Roman" w:cs="Times New Roman" w:eastAsia="Times New Roman" w:hint="default"/>
          <w:spacing w:val="-3"/>
        </w:rPr>
        <w:t>11</w:t>
      </w:r>
      <w:r>
        <w:rPr>
          <w:spacing w:val="-3"/>
        </w:rPr>
        <w:t>、存货</w:t>
      </w:r>
      <w:r>
        <w:rPr>
          <w:b w:val="0"/>
          <w:bCs w:val="0"/>
          <w:spacing w:val="-3"/>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690" w:right="0" w:hanging="116"/>
        <w:jc w:val="left"/>
      </w:pPr>
      <w:r>
        <w:rPr/>
        <w:t>（</w:t>
      </w:r>
      <w:r>
        <w:rPr>
          <w:rFonts w:ascii="Times New Roman" w:hAnsi="Times New Roman" w:cs="Times New Roman" w:eastAsia="Times New Roman" w:hint="default"/>
        </w:rPr>
        <w:t>1</w:t>
      </w:r>
      <w:r>
        <w:rPr/>
        <w:t>）存货的分类</w:t>
      </w:r>
      <w:r>
        <w:rPr>
          <w:spacing w:val="-102"/>
        </w:rPr>
        <w:t> </w:t>
      </w:r>
      <w:r>
        <w:rPr>
          <w:spacing w:val="-102"/>
        </w:rPr>
      </w:r>
      <w:r>
        <w:rPr>
          <w:spacing w:val="-3"/>
        </w:rPr>
        <w:t>本公司将存货分为原材料、在产品、产成品、库存商品、低值易耗品、包装物、在建开发成本、开</w:t>
      </w:r>
    </w:p>
    <w:p>
      <w:pPr>
        <w:pStyle w:val="BodyText"/>
        <w:spacing w:line="240" w:lineRule="auto" w:before="78"/>
        <w:ind w:left="267" w:right="3657"/>
        <w:jc w:val="left"/>
      </w:pPr>
      <w:r>
        <w:rPr/>
        <w:t>发产品等。</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BodyText"/>
        <w:spacing w:line="412" w:lineRule="auto"/>
        <w:ind w:left="690" w:right="3657" w:hanging="116"/>
        <w:jc w:val="left"/>
      </w:pPr>
      <w:r>
        <w:rPr/>
        <w:t>（</w:t>
      </w:r>
      <w:r>
        <w:rPr>
          <w:rFonts w:ascii="Times New Roman" w:hAnsi="Times New Roman" w:cs="Times New Roman" w:eastAsia="Times New Roman" w:hint="default"/>
        </w:rPr>
        <w:t>2</w:t>
      </w:r>
      <w:r>
        <w:rPr/>
        <w:t>）发出存货的计价方法</w:t>
      </w:r>
      <w:r>
        <w:rPr>
          <w:spacing w:val="-102"/>
        </w:rPr>
        <w:t> </w:t>
      </w:r>
      <w:r>
        <w:rPr>
          <w:spacing w:val="-102"/>
        </w:rPr>
      </w:r>
      <w:r>
        <w:rPr>
          <w:spacing w:val="-2"/>
        </w:rPr>
        <w:t>购入与入库按实际成本计价，发出采用加权平均法计价</w:t>
      </w:r>
    </w:p>
    <w:p>
      <w:pPr>
        <w:pStyle w:val="BodyText"/>
        <w:spacing w:line="436" w:lineRule="auto" w:before="73"/>
        <w:ind w:left="267" w:right="0" w:firstLine="422"/>
        <w:jc w:val="left"/>
      </w:pPr>
      <w:r>
        <w:rPr>
          <w:spacing w:val="-2"/>
        </w:rPr>
        <w:t>开发产品的实际成本包括土地出让金、基础配套设施支出、建筑安装工程支出、开发项目完工之前</w:t>
      </w:r>
      <w:r>
        <w:rPr>
          <w:w w:val="100"/>
        </w:rPr>
        <w:t> </w:t>
      </w:r>
      <w:r>
        <w:rPr>
          <w:spacing w:val="-2"/>
        </w:rPr>
        <w:t>所发生的借款费用及开发过程中的其他相关费用。开发产品发出时，采用个别计价法确定其实际成本。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pStyle w:val="BodyText"/>
        <w:spacing w:line="412" w:lineRule="auto"/>
        <w:ind w:left="690" w:right="0" w:hanging="125"/>
        <w:jc w:val="left"/>
      </w:pPr>
      <w:r>
        <w:rPr/>
        <w:t>（</w:t>
      </w:r>
      <w:r>
        <w:rPr>
          <w:rFonts w:ascii="Times New Roman" w:hAnsi="Times New Roman" w:cs="Times New Roman" w:eastAsia="Times New Roman" w:hint="default"/>
        </w:rPr>
        <w:t>3</w:t>
      </w:r>
      <w:r>
        <w:rPr/>
        <w:t>）存货可变现净值的确认依据及存货跌价准备的计提方法</w:t>
      </w:r>
      <w:r>
        <w:rPr>
          <w:w w:val="100"/>
        </w:rPr>
        <w:t> </w:t>
      </w:r>
      <w:r>
        <w:rPr>
          <w:spacing w:val="-2"/>
        </w:rPr>
        <w:t>存货可变现净值系根据本公司在正常经营过程中，以估计售价减去估计完工成本及销售所必须的估</w:t>
      </w:r>
    </w:p>
    <w:p>
      <w:pPr>
        <w:pStyle w:val="BodyText"/>
        <w:spacing w:line="436" w:lineRule="auto" w:before="73"/>
        <w:ind w:left="690" w:right="0" w:hanging="423"/>
        <w:jc w:val="left"/>
      </w:pPr>
      <w:r>
        <w:rPr/>
        <w:t>计费用后的价值。</w:t>
      </w:r>
      <w:r>
        <w:rPr>
          <w:spacing w:val="-101"/>
        </w:rPr>
        <w:t> </w:t>
      </w:r>
      <w:r>
        <w:rPr>
          <w:spacing w:val="-101"/>
        </w:rPr>
      </w:r>
      <w:r>
        <w:rPr>
          <w:spacing w:val="-2"/>
        </w:rPr>
        <w:t>存货跌价准备的计提方法：本公司于每年中期期末及年度终了在对存货进行全面盘点的基础上，对</w:t>
      </w:r>
    </w:p>
    <w:p>
      <w:pPr>
        <w:pStyle w:val="BodyText"/>
        <w:spacing w:line="439" w:lineRule="auto" w:before="52"/>
        <w:ind w:left="267" w:right="0"/>
        <w:jc w:val="left"/>
      </w:pPr>
      <w:r>
        <w:rPr>
          <w:spacing w:val="-2"/>
        </w:rPr>
        <w:t>遭受损失，全部或部分陈旧过时或销售价格低于成本的存货，根据存货成本与可变现净值孰低计量，按</w:t>
      </w:r>
      <w:r>
        <w:rPr>
          <w:spacing w:val="-48"/>
        </w:rPr>
        <w:t> </w:t>
      </w:r>
      <w:r>
        <w:rPr>
          <w:spacing w:val="-48"/>
        </w:rPr>
      </w:r>
      <w:r>
        <w:rPr>
          <w:spacing w:val="-2"/>
        </w:rPr>
        <w:t>单个存货项目对同类存货项目的可变现净值低于存货成本的差额计提存货跌价准备，并计入当期损益。</w:t>
      </w:r>
    </w:p>
    <w:p>
      <w:pPr>
        <w:spacing w:after="0" w:line="439" w:lineRule="auto"/>
        <w:jc w:val="left"/>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36" w:lineRule="auto" w:before="36"/>
        <w:ind w:left="267" w:right="101"/>
        <w:jc w:val="left"/>
      </w:pPr>
      <w:r>
        <w:rPr>
          <w:spacing w:val="-2"/>
        </w:rPr>
        <w:t>确定可变现净值时，除考虑持有目的和资产负债表日该存货的价格与成本波动外，还需要考虑未来事项</w:t>
      </w:r>
      <w:r>
        <w:rPr>
          <w:spacing w:val="-48"/>
        </w:rPr>
        <w:t> </w:t>
      </w:r>
      <w:r>
        <w:rPr>
          <w:spacing w:val="-48"/>
        </w:rPr>
      </w:r>
      <w:r>
        <w:rPr/>
        <w:t>的影响。</w:t>
      </w:r>
    </w:p>
    <w:p>
      <w:pPr>
        <w:pStyle w:val="BodyText"/>
        <w:spacing w:line="439" w:lineRule="auto" w:before="52"/>
        <w:ind w:left="267" w:right="101" w:firstLine="422"/>
        <w:jc w:val="left"/>
      </w:pPr>
      <w:r>
        <w:rPr>
          <w:spacing w:val="-2"/>
        </w:rPr>
        <w:t>若以前减记存货价值的影响因素已经消失，减记的金额予以恢复，并在原已计提的存货跌价准备金</w:t>
      </w:r>
      <w:r>
        <w:rPr>
          <w:w w:val="100"/>
        </w:rPr>
        <w:t> </w:t>
      </w:r>
      <w:r>
        <w:rPr/>
        <w:t>额内转回，转回的金额计入当期损益。</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pStyle w:val="BodyText"/>
        <w:spacing w:line="412" w:lineRule="auto"/>
        <w:ind w:left="680" w:right="4634" w:hanging="106"/>
        <w:jc w:val="left"/>
      </w:pPr>
      <w:r>
        <w:rPr/>
        <w:t>（</w:t>
      </w:r>
      <w:r>
        <w:rPr>
          <w:rFonts w:ascii="Times New Roman" w:hAnsi="Times New Roman" w:cs="Times New Roman" w:eastAsia="Times New Roman" w:hint="default"/>
        </w:rPr>
        <w:t>4</w:t>
      </w:r>
      <w:r>
        <w:rPr/>
        <w:t>）存货的盘存制度</w:t>
      </w:r>
      <w:r>
        <w:rPr>
          <w:spacing w:val="-99"/>
        </w:rPr>
        <w:t> </w:t>
      </w:r>
      <w:r>
        <w:rPr>
          <w:spacing w:val="-99"/>
        </w:rPr>
      </w:r>
      <w:r>
        <w:rPr>
          <w:spacing w:val="-1"/>
        </w:rPr>
        <w:t>存货盘存制度为永续盘存制。</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BodyText"/>
        <w:spacing w:line="427" w:lineRule="auto"/>
        <w:ind w:left="575" w:right="4634"/>
        <w:jc w:val="left"/>
      </w:pPr>
      <w:r>
        <w:rPr/>
        <w:t>（</w:t>
      </w:r>
      <w:r>
        <w:rPr>
          <w:rFonts w:ascii="Times New Roman" w:hAnsi="Times New Roman" w:cs="Times New Roman" w:eastAsia="Times New Roman" w:hint="default"/>
        </w:rPr>
        <w:t>5</w:t>
      </w:r>
      <w:r>
        <w:rPr/>
        <w:t>）低值易耗品和包装物的摊销方法</w:t>
      </w:r>
      <w:r>
        <w:rPr>
          <w:spacing w:val="-101"/>
        </w:rPr>
        <w:t> </w:t>
      </w:r>
      <w:r>
        <w:rPr>
          <w:spacing w:val="-101"/>
        </w:rPr>
      </w:r>
      <w:r>
        <w:rPr/>
        <w:t>低值易耗品在领用时采用一次摊销法摊销。</w:t>
      </w:r>
      <w:r>
        <w:rPr>
          <w:w w:val="100"/>
        </w:rPr>
        <w:t> </w:t>
      </w:r>
      <w:r>
        <w:rPr/>
        <w:t>包装物在领用时采用一次摊销法摊销。</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6"/>
        <w:spacing w:line="240" w:lineRule="auto"/>
        <w:ind w:right="101"/>
        <w:jc w:val="left"/>
        <w:rPr>
          <w:b w:val="0"/>
          <w:bCs w:val="0"/>
        </w:rPr>
      </w:pPr>
      <w:r>
        <w:rPr>
          <w:rFonts w:ascii="Times New Roman" w:hAnsi="Times New Roman" w:cs="Times New Roman" w:eastAsia="Times New Roman" w:hint="default"/>
        </w:rPr>
        <w:t>12</w:t>
      </w:r>
      <w:r>
        <w:rPr/>
        <w:t>、长期股权投资</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75" w:right="101"/>
        <w:jc w:val="left"/>
      </w:pPr>
      <w:r>
        <w:rPr/>
        <w:t>（</w:t>
      </w:r>
      <w:r>
        <w:rPr>
          <w:rFonts w:ascii="Times New Roman" w:hAnsi="Times New Roman" w:cs="Times New Roman" w:eastAsia="Times New Roman" w:hint="default"/>
        </w:rPr>
        <w:t>1</w:t>
      </w:r>
      <w:r>
        <w:rPr/>
        <w:t>）投资成本确定</w:t>
      </w:r>
    </w:p>
    <w:p>
      <w:pPr>
        <w:spacing w:line="240" w:lineRule="auto" w:before="12"/>
        <w:rPr>
          <w:rFonts w:ascii="宋体" w:hAnsi="宋体" w:cs="宋体" w:eastAsia="宋体" w:hint="default"/>
          <w:sz w:val="15"/>
          <w:szCs w:val="15"/>
        </w:rPr>
      </w:pPr>
    </w:p>
    <w:p>
      <w:pPr>
        <w:pStyle w:val="BodyText"/>
        <w:spacing w:line="439" w:lineRule="auto"/>
        <w:ind w:left="690" w:right="101"/>
        <w:jc w:val="left"/>
      </w:pPr>
      <w:r>
        <w:rPr/>
        <w:t>①同一控制下的企业合并取得的长期股权投资</w:t>
      </w:r>
      <w:r>
        <w:rPr>
          <w:spacing w:val="-102"/>
        </w:rPr>
        <w:t> </w:t>
      </w:r>
      <w:r>
        <w:rPr>
          <w:spacing w:val="-102"/>
        </w:rPr>
      </w:r>
      <w:r>
        <w:rPr>
          <w:spacing w:val="-2"/>
        </w:rPr>
        <w:t>通过同一控制下企业合并取得的长期股权投资，以本公司在被合并方于合并日按本公司会计政策调</w:t>
      </w:r>
    </w:p>
    <w:p>
      <w:pPr>
        <w:pStyle w:val="BodyText"/>
        <w:spacing w:line="240" w:lineRule="auto" w:before="50"/>
        <w:ind w:left="267" w:right="101"/>
        <w:jc w:val="left"/>
      </w:pPr>
      <w:r>
        <w:rPr/>
        <w:t>整后的账面净资产中所享有的份额作为初始投资成本。</w:t>
      </w:r>
    </w:p>
    <w:p>
      <w:pPr>
        <w:spacing w:line="240" w:lineRule="auto" w:before="2"/>
        <w:rPr>
          <w:rFonts w:ascii="宋体" w:hAnsi="宋体" w:cs="宋体" w:eastAsia="宋体" w:hint="default"/>
          <w:sz w:val="17"/>
          <w:szCs w:val="17"/>
        </w:rPr>
      </w:pPr>
    </w:p>
    <w:p>
      <w:pPr>
        <w:pStyle w:val="BodyText"/>
        <w:spacing w:line="436" w:lineRule="auto"/>
        <w:ind w:left="690" w:right="101"/>
        <w:jc w:val="left"/>
      </w:pPr>
      <w:r>
        <w:rPr/>
        <w:t>②非同一控制下的企业合并取得的长期股权投资</w:t>
      </w:r>
      <w:r>
        <w:rPr>
          <w:spacing w:val="-101"/>
        </w:rPr>
        <w:t> </w:t>
      </w:r>
      <w:r>
        <w:rPr>
          <w:spacing w:val="-101"/>
        </w:rPr>
      </w:r>
      <w:r>
        <w:rPr>
          <w:spacing w:val="-2"/>
        </w:rPr>
        <w:t>通过非同一控制下的控股合并取得的长期股权投资，以购买日确定的合并成本作为初始投资成本。</w:t>
      </w:r>
      <w:r>
        <w:rPr>
          <w:spacing w:val="-20"/>
        </w:rPr>
        <w:t> </w:t>
      </w:r>
      <w:r>
        <w:rPr>
          <w:spacing w:val="-20"/>
        </w:rPr>
      </w:r>
      <w:r>
        <w:rPr>
          <w:spacing w:val="-2"/>
        </w:rPr>
        <w:t>通过多次交易分步实现非同一控制下企业合并的，应当以购买日之前所持被购买方的股权投资的账</w:t>
      </w:r>
    </w:p>
    <w:p>
      <w:pPr>
        <w:pStyle w:val="BodyText"/>
        <w:spacing w:line="240" w:lineRule="auto" w:before="52"/>
        <w:ind w:left="267" w:right="101"/>
        <w:jc w:val="left"/>
      </w:pPr>
      <w:r>
        <w:rPr/>
        <w:t>面价值与购买日新增投资成本之和作为该项投资的初始投资成本。</w:t>
      </w:r>
    </w:p>
    <w:p>
      <w:pPr>
        <w:spacing w:line="240" w:lineRule="auto" w:before="7"/>
        <w:rPr>
          <w:rFonts w:ascii="宋体" w:hAnsi="宋体" w:cs="宋体" w:eastAsia="宋体" w:hint="default"/>
          <w:sz w:val="17"/>
          <w:szCs w:val="17"/>
        </w:rPr>
      </w:pPr>
    </w:p>
    <w:p>
      <w:pPr>
        <w:pStyle w:val="BodyText"/>
        <w:spacing w:line="436" w:lineRule="auto"/>
        <w:ind w:left="690" w:right="101"/>
        <w:jc w:val="left"/>
      </w:pPr>
      <w:r>
        <w:rPr/>
        <w:t>③其他方式取得的长期股权投资</w:t>
      </w:r>
      <w:r>
        <w:rPr>
          <w:w w:val="100"/>
        </w:rPr>
        <w:t> </w:t>
      </w:r>
      <w:r>
        <w:rPr/>
        <w:t>以支付现金取得的长期股权投资，按照实际支付的购买价款作为初始投资成本。</w:t>
      </w:r>
      <w:r>
        <w:rPr>
          <w:w w:val="100"/>
        </w:rPr>
        <w:t> </w:t>
      </w:r>
      <w:r>
        <w:rPr>
          <w:spacing w:val="-2"/>
        </w:rPr>
        <w:t>以发行权益性证券取得的长期股权投资，按照所发行权益性证券的公允价值（不包括自被投资单位</w:t>
      </w:r>
    </w:p>
    <w:p>
      <w:pPr>
        <w:pStyle w:val="BodyText"/>
        <w:spacing w:line="436" w:lineRule="auto" w:before="52"/>
        <w:ind w:left="690" w:right="101" w:hanging="423"/>
        <w:jc w:val="left"/>
      </w:pPr>
      <w:r>
        <w:rPr/>
        <w:t>收取的已宣告但未发放的现金股利或利润）作为初始投资成本。</w:t>
      </w:r>
      <w:r>
        <w:rPr>
          <w:spacing w:val="-103"/>
        </w:rPr>
        <w:t> </w:t>
      </w:r>
      <w:r>
        <w:rPr>
          <w:spacing w:val="-103"/>
        </w:rPr>
      </w:r>
      <w:r>
        <w:rPr>
          <w:spacing w:val="-2"/>
        </w:rPr>
        <w:t>投资者投入的长期股权投资，按照投资合同或协议约定的价值作为初始投资成本，但合同或协议约</w:t>
      </w:r>
    </w:p>
    <w:p>
      <w:pPr>
        <w:pStyle w:val="BodyText"/>
        <w:spacing w:line="240" w:lineRule="auto" w:before="52"/>
        <w:ind w:left="267" w:right="101"/>
        <w:jc w:val="left"/>
      </w:pPr>
      <w:r>
        <w:rPr/>
        <w:t>定的价值不公允的除外。</w:t>
      </w:r>
    </w:p>
    <w:p>
      <w:pPr>
        <w:spacing w:after="0" w:line="240"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36" w:lineRule="auto" w:before="36"/>
        <w:ind w:left="267" w:right="207" w:firstLine="422"/>
        <w:jc w:val="both"/>
      </w:pPr>
      <w:r>
        <w:rPr>
          <w:spacing w:val="-2"/>
        </w:rPr>
        <w:t>在非货币性资产交换具备商业实质和换入资产或换出资产的公允价值能够可靠计量的前提下，非货</w:t>
      </w:r>
      <w:r>
        <w:rPr>
          <w:w w:val="100"/>
        </w:rPr>
        <w:t> </w:t>
      </w:r>
      <w:r>
        <w:rPr>
          <w:spacing w:val="-2"/>
        </w:rPr>
        <w:t>币性资产交换换入的长期股权投资以换出资产的公允价值为基础确定其初始投资成本，除非有确凿证据</w:t>
      </w:r>
      <w:r>
        <w:rPr>
          <w:spacing w:val="-47"/>
        </w:rPr>
        <w:t> </w:t>
      </w:r>
      <w:r>
        <w:rPr>
          <w:spacing w:val="-47"/>
        </w:rPr>
      </w:r>
      <w:r>
        <w:rPr>
          <w:spacing w:val="-2"/>
        </w:rPr>
        <w:t>表明换入资产的公允价值更加可靠；不满足上述前提的非货币性资产交换，以换出资产的账面价值和应</w:t>
      </w:r>
      <w:r>
        <w:rPr>
          <w:spacing w:val="-48"/>
        </w:rPr>
        <w:t> </w:t>
      </w:r>
      <w:r>
        <w:rPr>
          <w:spacing w:val="-48"/>
        </w:rPr>
      </w:r>
      <w:r>
        <w:rPr/>
        <w:t>支付的相关税费作为换入长期股权投资的初始投资成本。</w:t>
      </w:r>
    </w:p>
    <w:p>
      <w:pPr>
        <w:pStyle w:val="BodyText"/>
        <w:spacing w:line="240" w:lineRule="auto" w:before="52"/>
        <w:ind w:left="690" w:right="101"/>
        <w:jc w:val="left"/>
      </w:pPr>
      <w:r>
        <w:rPr/>
        <w:t>通过债务重组取得的长期股权投资，其初始投资成本按照公允价值为基础确定。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403" w:lineRule="auto"/>
        <w:ind w:left="685" w:right="101" w:hanging="111"/>
        <w:jc w:val="left"/>
      </w:pPr>
      <w:r>
        <w:rPr/>
        <w:t>（</w:t>
      </w:r>
      <w:r>
        <w:rPr>
          <w:rFonts w:ascii="Times New Roman" w:hAnsi="Times New Roman" w:cs="Times New Roman" w:eastAsia="Times New Roman" w:hint="default"/>
        </w:rPr>
        <w:t>2</w:t>
      </w:r>
      <w:r>
        <w:rPr/>
        <w:t>）后续计量及损益确认方法</w:t>
      </w:r>
      <w:r>
        <w:rPr>
          <w:spacing w:val="-100"/>
        </w:rPr>
        <w:t> </w:t>
      </w:r>
      <w:r>
        <w:rPr>
          <w:spacing w:val="-100"/>
        </w:rPr>
      </w:r>
      <w:r>
        <w:rPr>
          <w:spacing w:val="-2"/>
        </w:rPr>
        <w:t>本公司对子公司的投资，以及对被投资单位不具有共同控制或重大影响，并且在活跃市场中没有报</w:t>
      </w:r>
    </w:p>
    <w:p>
      <w:pPr>
        <w:pStyle w:val="BodyText"/>
        <w:spacing w:line="427" w:lineRule="auto" w:before="72"/>
        <w:ind w:left="267" w:right="101"/>
        <w:jc w:val="left"/>
      </w:pPr>
      <w:r>
        <w:rPr>
          <w:spacing w:val="-2"/>
        </w:rPr>
        <w:t>价、公允价值不能可靠计量的长期股权投资，采用成本法核算。本公司对被投资单位具有共同控制或重</w:t>
      </w:r>
      <w:r>
        <w:rPr>
          <w:spacing w:val="-48"/>
        </w:rPr>
        <w:t> </w:t>
      </w:r>
      <w:r>
        <w:rPr>
          <w:spacing w:val="-48"/>
        </w:rPr>
      </w:r>
      <w:r>
        <w:rPr/>
        <w:t>大影响的长期股权投资，采用权益法核算。</w:t>
      </w:r>
    </w:p>
    <w:p>
      <w:pPr>
        <w:pStyle w:val="BodyText"/>
        <w:spacing w:line="240" w:lineRule="auto" w:before="51"/>
        <w:ind w:left="685" w:right="101"/>
        <w:jc w:val="left"/>
      </w:pPr>
      <w:r>
        <w:rPr/>
        <w:t>按权益法核算长期股权投资时：</w:t>
      </w:r>
    </w:p>
    <w:p>
      <w:pPr>
        <w:spacing w:line="240" w:lineRule="auto" w:before="5"/>
        <w:rPr>
          <w:rFonts w:ascii="宋体" w:hAnsi="宋体" w:cs="宋体" w:eastAsia="宋体" w:hint="default"/>
          <w:sz w:val="16"/>
          <w:szCs w:val="16"/>
        </w:rPr>
      </w:pPr>
    </w:p>
    <w:p>
      <w:pPr>
        <w:pStyle w:val="BodyText"/>
        <w:spacing w:line="429" w:lineRule="auto"/>
        <w:ind w:left="267" w:right="207" w:firstLine="566"/>
        <w:jc w:val="both"/>
      </w:pPr>
      <w:r>
        <w:rPr/>
        <w:t>①</w:t>
      </w:r>
      <w:r>
        <w:rPr>
          <w:spacing w:val="2"/>
        </w:rPr>
        <w:t> </w:t>
      </w:r>
      <w:r>
        <w:rPr>
          <w:spacing w:val="-2"/>
        </w:rPr>
        <w:t>长期股权投资的初始投资成本大于投资时应享有被投资单位可辨认净资产公允价值份额的，不</w:t>
      </w:r>
      <w:r>
        <w:rPr>
          <w:w w:val="100"/>
        </w:rPr>
        <w:t> </w:t>
      </w:r>
      <w:r>
        <w:rPr>
          <w:spacing w:val="-2"/>
        </w:rPr>
        <w:t>调整长期股权投资的初始投资成本；长期股权投资的初始投资成本小于投资时应享有被投资单位可辨认</w:t>
      </w:r>
      <w:r>
        <w:rPr>
          <w:spacing w:val="-53"/>
        </w:rPr>
        <w:t> </w:t>
      </w:r>
      <w:r>
        <w:rPr>
          <w:spacing w:val="-53"/>
        </w:rPr>
      </w:r>
      <w:r>
        <w:rPr/>
        <w:t>净资产公允价值份额的，其差额应当计入当期损益，同时调整长期股权投资的成本。</w:t>
      </w:r>
    </w:p>
    <w:p>
      <w:pPr>
        <w:pStyle w:val="BodyText"/>
        <w:spacing w:line="427" w:lineRule="auto" w:before="49"/>
        <w:ind w:left="267" w:right="207" w:firstLine="566"/>
        <w:jc w:val="both"/>
      </w:pPr>
      <w:r>
        <w:rPr/>
        <w:t>② </w:t>
      </w:r>
      <w:r>
        <w:rPr>
          <w:spacing w:val="-2"/>
        </w:rPr>
        <w:t>取得长期股权投资后，按照应享有或应分担的被投资单位实现的净损益的份额，确认投资损益</w:t>
      </w:r>
      <w:r>
        <w:rPr>
          <w:w w:val="100"/>
        </w:rPr>
        <w:t> </w:t>
      </w:r>
      <w:r>
        <w:rPr>
          <w:spacing w:val="-2"/>
        </w:rPr>
        <w:t>并调整长期股权投资的账面价值。在确认应享有或应分担的被投资单位实现的净损益的份额时，以取得</w:t>
      </w:r>
      <w:r>
        <w:rPr>
          <w:spacing w:val="-48"/>
        </w:rPr>
        <w:t> </w:t>
      </w:r>
      <w:r>
        <w:rPr>
          <w:spacing w:val="-48"/>
        </w:rPr>
      </w:r>
      <w:r>
        <w:rPr>
          <w:spacing w:val="-2"/>
        </w:rPr>
        <w:t>投资时被投资单位各项可辨认资产的公允价值为基础，按照本公司的会计政策及会计期间，并抵消与联</w:t>
      </w:r>
      <w:r>
        <w:rPr>
          <w:spacing w:val="-48"/>
        </w:rPr>
        <w:t> </w:t>
      </w:r>
      <w:r>
        <w:rPr>
          <w:spacing w:val="-48"/>
        </w:rPr>
      </w:r>
      <w:r>
        <w:rPr>
          <w:spacing w:val="-2"/>
        </w:rPr>
        <w:t>营企业及合营企业之间发生的未实现内部交易损益按照持股比例计算归属于本公司的部分（但未实现内</w:t>
      </w:r>
      <w:r>
        <w:rPr>
          <w:spacing w:val="-47"/>
        </w:rPr>
        <w:t> </w:t>
      </w:r>
      <w:r>
        <w:rPr>
          <w:spacing w:val="-47"/>
        </w:rPr>
      </w:r>
      <w:r>
        <w:rPr>
          <w:spacing w:val="-4"/>
          <w:w w:val="100"/>
        </w:rPr>
        <w:t>部交易损失属于资产减值损失的，应全额确认），对被投资单位的净利润进行调整后确认。</w:t>
      </w:r>
    </w:p>
    <w:p>
      <w:pPr>
        <w:pStyle w:val="BodyText"/>
        <w:spacing w:line="427" w:lineRule="auto" w:before="51"/>
        <w:ind w:left="267" w:right="207" w:firstLine="412"/>
        <w:jc w:val="both"/>
      </w:pPr>
      <w:r>
        <w:rPr>
          <w:spacing w:val="-2"/>
        </w:rPr>
        <w:t>③确认被投资单位发生的净亏损，以长期股权投资的账面价值以及其他实质上构成对被投资单位净</w:t>
      </w:r>
      <w:r>
        <w:rPr>
          <w:w w:val="100"/>
        </w:rPr>
        <w:t> </w:t>
      </w:r>
      <w:r>
        <w:rPr>
          <w:spacing w:val="-2"/>
        </w:rPr>
        <w:t>投资的长期权益减记至零为限，但合同或协议约定负有承担额外损失义务的除外。被投资单位以后实现</w:t>
      </w:r>
      <w:r>
        <w:rPr>
          <w:spacing w:val="-48"/>
        </w:rPr>
        <w:t> </w:t>
      </w:r>
      <w:r>
        <w:rPr>
          <w:spacing w:val="-48"/>
        </w:rPr>
      </w:r>
      <w:r>
        <w:rPr/>
        <w:t>净利润的，本公司在其收益分享额弥补未确认的亏损分担额后，恢复确认收益分享额。</w:t>
      </w:r>
    </w:p>
    <w:p>
      <w:pPr>
        <w:pStyle w:val="BodyText"/>
        <w:spacing w:line="240" w:lineRule="auto" w:before="51"/>
        <w:ind w:left="680" w:right="101"/>
        <w:jc w:val="left"/>
      </w:pPr>
      <w:r>
        <w:rPr/>
        <w:t>④被投资单位宣告分派的利润或现金股利计算应分得的部分，相应冲减长期股权投资的账面价值。</w:t>
      </w:r>
    </w:p>
    <w:p>
      <w:pPr>
        <w:spacing w:line="240" w:lineRule="auto" w:before="5"/>
        <w:rPr>
          <w:rFonts w:ascii="宋体" w:hAnsi="宋体" w:cs="宋体" w:eastAsia="宋体" w:hint="default"/>
          <w:sz w:val="16"/>
          <w:szCs w:val="16"/>
        </w:rPr>
      </w:pPr>
    </w:p>
    <w:p>
      <w:pPr>
        <w:pStyle w:val="BodyText"/>
        <w:spacing w:line="427" w:lineRule="auto"/>
        <w:ind w:left="267" w:right="207" w:firstLine="422"/>
        <w:jc w:val="both"/>
      </w:pPr>
      <w:r>
        <w:rPr>
          <w:spacing w:val="-2"/>
        </w:rPr>
        <w:t>⑤对于被投资单位除净损益以外所有者权益的其他变动，在持股比例不变的情况下，本公司按照持</w:t>
      </w:r>
      <w:r>
        <w:rPr>
          <w:w w:val="100"/>
        </w:rPr>
        <w:t> </w:t>
      </w:r>
      <w:r>
        <w:rPr/>
        <w:t>股比例计算应享有或承担的部分，调整长期股权投资的账面价值，同时增加或减少资本公积。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p>
      <w:pPr>
        <w:pStyle w:val="BodyText"/>
        <w:spacing w:line="240" w:lineRule="auto"/>
        <w:ind w:left="575" w:right="101"/>
        <w:jc w:val="left"/>
      </w:pPr>
      <w:r>
        <w:rPr/>
        <w:t>（</w:t>
      </w:r>
      <w:r>
        <w:rPr>
          <w:rFonts w:ascii="Times New Roman" w:hAnsi="Times New Roman" w:cs="Times New Roman" w:eastAsia="Times New Roman" w:hint="default"/>
        </w:rPr>
        <w:t>3</w:t>
      </w:r>
      <w:r>
        <w:rPr/>
        <w:t>）确定对被投资单位具有共同控制、重大影响的依据</w:t>
      </w:r>
    </w:p>
    <w:p>
      <w:pPr>
        <w:spacing w:line="240" w:lineRule="auto" w:before="3"/>
        <w:rPr>
          <w:rFonts w:ascii="宋体" w:hAnsi="宋体" w:cs="宋体" w:eastAsia="宋体" w:hint="default"/>
          <w:sz w:val="15"/>
          <w:szCs w:val="15"/>
        </w:rPr>
      </w:pPr>
    </w:p>
    <w:p>
      <w:pPr>
        <w:pStyle w:val="BodyText"/>
        <w:spacing w:line="240" w:lineRule="auto"/>
        <w:ind w:left="695" w:right="101"/>
        <w:jc w:val="left"/>
      </w:pPr>
      <w:r>
        <w:rPr>
          <w:rFonts w:ascii="宋体" w:hAnsi="宋体" w:cs="宋体" w:eastAsia="宋体" w:hint="default"/>
        </w:rPr>
        <w:t>①</w:t>
      </w:r>
      <w:r>
        <w:rPr>
          <w:rFonts w:ascii="宋体" w:hAnsi="宋体" w:cs="宋体" w:eastAsia="宋体" w:hint="default"/>
          <w:spacing w:val="-66"/>
        </w:rPr>
        <w:t> </w:t>
      </w:r>
      <w:r>
        <w:rPr/>
        <w:t>共同控制的判断依据</w:t>
      </w:r>
    </w:p>
    <w:p>
      <w:pPr>
        <w:spacing w:after="0" w:line="240"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pStyle w:val="BodyText"/>
        <w:spacing w:line="427" w:lineRule="auto" w:before="36"/>
        <w:ind w:left="267" w:right="101" w:firstLine="422"/>
        <w:jc w:val="left"/>
      </w:pPr>
      <w:r>
        <w:rPr>
          <w:spacing w:val="-2"/>
        </w:rPr>
        <w:t>共同控制，是指任何一个合营方均不能单独控制合营企业的生产经营活动，涉及合营企业基本经营</w:t>
      </w:r>
      <w:r>
        <w:rPr>
          <w:w w:val="100"/>
        </w:rPr>
        <w:t> </w:t>
      </w:r>
      <w:r>
        <w:rPr/>
        <w:t>活动的决策需要各合营方一致同意等。</w:t>
      </w:r>
    </w:p>
    <w:p>
      <w:pPr>
        <w:pStyle w:val="BodyText"/>
        <w:spacing w:line="427" w:lineRule="auto" w:before="51"/>
        <w:ind w:left="690" w:right="101" w:firstLine="4"/>
        <w:jc w:val="left"/>
      </w:pPr>
      <w:r>
        <w:rPr>
          <w:rFonts w:ascii="宋体" w:hAnsi="宋体" w:cs="宋体" w:eastAsia="宋体" w:hint="default"/>
        </w:rPr>
        <w:t>②</w:t>
      </w:r>
      <w:r>
        <w:rPr>
          <w:rFonts w:ascii="宋体" w:hAnsi="宋体" w:cs="宋体" w:eastAsia="宋体" w:hint="default"/>
          <w:spacing w:val="-72"/>
        </w:rPr>
        <w:t> </w:t>
      </w:r>
      <w:r>
        <w:rPr/>
        <w:t>重大影响的判断依据</w:t>
      </w:r>
      <w:r>
        <w:rPr>
          <w:spacing w:val="-103"/>
        </w:rPr>
        <w:t> </w:t>
      </w:r>
      <w:r>
        <w:rPr>
          <w:spacing w:val="-103"/>
        </w:rPr>
      </w:r>
      <w:r>
        <w:rPr>
          <w:spacing w:val="-2"/>
        </w:rPr>
        <w:t>重大影响，是指对一个企业的财务和经营政策有参与决策的权力，但并不能够控制或者与其他方一</w:t>
      </w:r>
    </w:p>
    <w:p>
      <w:pPr>
        <w:pStyle w:val="BodyText"/>
        <w:spacing w:line="410" w:lineRule="auto" w:before="51"/>
        <w:ind w:left="267" w:right="207"/>
        <w:jc w:val="both"/>
      </w:pPr>
      <w:r>
        <w:rPr>
          <w:spacing w:val="-3"/>
        </w:rPr>
        <w:t>起共同控制这些政策的制定。当本公司直接或通过子公司间接拥有被投资单位</w:t>
      </w:r>
      <w:r>
        <w:rPr>
          <w:spacing w:val="-15"/>
        </w:rPr>
        <w:t> </w:t>
      </w:r>
      <w:r>
        <w:rPr>
          <w:rFonts w:ascii="Times New Roman" w:hAnsi="Times New Roman" w:cs="Times New Roman" w:eastAsia="Times New Roman" w:hint="default"/>
          <w:spacing w:val="-8"/>
        </w:rPr>
        <w:t>20</w:t>
      </w:r>
      <w:r>
        <w:rPr>
          <w:spacing w:val="-8"/>
        </w:rPr>
        <w:t>％（含</w:t>
      </w:r>
      <w:r>
        <w:rPr>
          <w:spacing w:val="-15"/>
        </w:rPr>
        <w:t> </w:t>
      </w:r>
      <w:r>
        <w:rPr>
          <w:rFonts w:ascii="Times New Roman" w:hAnsi="Times New Roman" w:cs="Times New Roman" w:eastAsia="Times New Roman" w:hint="default"/>
          <w:spacing w:val="-6"/>
        </w:rPr>
        <w:t>20%</w:t>
      </w:r>
      <w:r>
        <w:rPr>
          <w:spacing w:val="-6"/>
        </w:rPr>
        <w:t>）以上但低</w:t>
      </w:r>
      <w:r>
        <w:rPr>
          <w:spacing w:val="-97"/>
        </w:rPr>
        <w:t> </w:t>
      </w:r>
      <w:r>
        <w:rPr>
          <w:spacing w:val="-97"/>
        </w:rPr>
      </w:r>
      <w:r>
        <w:rPr>
          <w:w w:val="100"/>
        </w:rPr>
        <w:t>于</w:t>
      </w:r>
      <w:r>
        <w:rPr>
          <w:spacing w:val="-24"/>
          <w:w w:val="100"/>
        </w:rPr>
        <w:t> </w:t>
      </w:r>
      <w:r>
        <w:rPr>
          <w:rFonts w:ascii="Times New Roman" w:hAnsi="Times New Roman" w:cs="Times New Roman" w:eastAsia="Times New Roman" w:hint="default"/>
          <w:spacing w:val="-4"/>
          <w:w w:val="100"/>
        </w:rPr>
        <w:t>50</w:t>
      </w:r>
      <w:r>
        <w:rPr>
          <w:spacing w:val="-4"/>
          <w:w w:val="100"/>
        </w:rPr>
        <w:t>％的表决权股份时，除非有明确证据表明该种情况下不能参与被投资单位的生产经营决策从而不形</w:t>
      </w:r>
      <w:r>
        <w:rPr>
          <w:spacing w:val="-98"/>
          <w:w w:val="100"/>
        </w:rPr>
        <w:t> </w:t>
      </w:r>
      <w:r>
        <w:rPr>
          <w:spacing w:val="-98"/>
          <w:w w:val="100"/>
        </w:rPr>
      </w:r>
      <w:r>
        <w:rPr>
          <w:spacing w:val="-3"/>
        </w:rPr>
        <w:t>成重大影响外，均确定对被投资单位具有重大影响；本公司拥有被投资单位 </w:t>
      </w:r>
      <w:r>
        <w:rPr>
          <w:rFonts w:ascii="Times New Roman" w:hAnsi="Times New Roman" w:cs="Times New Roman" w:eastAsia="Times New Roman" w:hint="default"/>
          <w:spacing w:val="-5"/>
        </w:rPr>
        <w:t>20</w:t>
      </w:r>
      <w:r>
        <w:rPr>
          <w:spacing w:val="-5"/>
        </w:rPr>
        <w:t>％（不含）以下的表决权</w:t>
      </w:r>
      <w:r>
        <w:rPr>
          <w:spacing w:val="-83"/>
        </w:rPr>
        <w:t> </w:t>
      </w:r>
      <w:r>
        <w:rPr>
          <w:spacing w:val="-83"/>
        </w:rPr>
      </w:r>
      <w:r>
        <w:rPr>
          <w:spacing w:val="-2"/>
        </w:rPr>
        <w:t>股份，一般不认为对被投资单位具有重大影响，除非有明确证据表明该种情况下能够参与被投资单位的</w:t>
      </w:r>
      <w:r>
        <w:rPr>
          <w:spacing w:val="-53"/>
        </w:rPr>
        <w:t> </w:t>
      </w:r>
      <w:r>
        <w:rPr>
          <w:spacing w:val="-53"/>
        </w:rPr>
      </w:r>
      <w:r>
        <w:rPr/>
        <w:t>生产经营决策，能够形成重大影响。</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412" w:lineRule="auto"/>
        <w:ind w:left="690" w:right="101" w:hanging="116"/>
        <w:jc w:val="left"/>
      </w:pPr>
      <w:r>
        <w:rPr/>
        <w:t>（</w:t>
      </w:r>
      <w:r>
        <w:rPr>
          <w:rFonts w:ascii="Times New Roman" w:hAnsi="Times New Roman" w:cs="Times New Roman" w:eastAsia="Times New Roman" w:hint="default"/>
        </w:rPr>
        <w:t>4</w:t>
      </w:r>
      <w:r>
        <w:rPr/>
        <w:t>）减值测试方法及减值准备计提方法</w:t>
      </w:r>
      <w:r>
        <w:rPr>
          <w:spacing w:val="-100"/>
        </w:rPr>
        <w:t> </w:t>
      </w:r>
      <w:r>
        <w:rPr>
          <w:spacing w:val="-100"/>
        </w:rPr>
      </w:r>
      <w:r>
        <w:rPr>
          <w:spacing w:val="-2"/>
        </w:rPr>
        <w:t>对子公司、合营企业和联营企业的长期股权投资，本公司按照附注二、</w:t>
      </w:r>
      <w:r>
        <w:rPr>
          <w:rFonts w:ascii="Times New Roman" w:hAnsi="Times New Roman" w:cs="Times New Roman" w:eastAsia="Times New Roman" w:hint="default"/>
          <w:spacing w:val="-2"/>
        </w:rPr>
        <w:t>26</w:t>
      </w:r>
      <w:r>
        <w:rPr>
          <w:rFonts w:ascii="Times New Roman" w:hAnsi="Times New Roman" w:cs="Times New Roman" w:eastAsia="Times New Roman" w:hint="default"/>
          <w:spacing w:val="14"/>
        </w:rPr>
        <w:t> </w:t>
      </w:r>
      <w:r>
        <w:rPr>
          <w:spacing w:val="-1"/>
        </w:rPr>
        <w:t>所述方法计提减值准备。</w:t>
      </w:r>
      <w:r>
        <w:rPr>
          <w:w w:val="100"/>
        </w:rPr>
        <w:t> </w:t>
      </w:r>
      <w:r>
        <w:rPr>
          <w:spacing w:val="-2"/>
        </w:rPr>
        <w:t>对持有的对被投资单位不具有共同控制或重大影响、在活跃市场中没有报价、公允价值不能可靠计</w:t>
      </w:r>
    </w:p>
    <w:p>
      <w:pPr>
        <w:pStyle w:val="BodyText"/>
        <w:spacing w:line="240" w:lineRule="auto" w:before="73"/>
        <w:ind w:left="267" w:right="0"/>
        <w:jc w:val="both"/>
      </w:pPr>
      <w:r>
        <w:rPr>
          <w:spacing w:val="-1"/>
        </w:rPr>
        <w:t>量的长期股权投资，本公司按照本附注二、</w:t>
      </w:r>
      <w:r>
        <w:rPr>
          <w:rFonts w:ascii="Times New Roman" w:hAnsi="Times New Roman" w:cs="Times New Roman" w:eastAsia="Times New Roman" w:hint="default"/>
          <w:spacing w:val="-1"/>
        </w:rPr>
        <w:t>26</w:t>
      </w:r>
      <w:r>
        <w:rPr>
          <w:rFonts w:ascii="Times New Roman" w:hAnsi="Times New Roman" w:cs="Times New Roman" w:eastAsia="Times New Roman" w:hint="default"/>
          <w:spacing w:val="46"/>
        </w:rPr>
        <w:t> </w:t>
      </w:r>
      <w:r>
        <w:rPr>
          <w:spacing w:val="-2"/>
        </w:rPr>
        <w:t>的方法计提资产减值准备。</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Heading6"/>
        <w:spacing w:line="240" w:lineRule="auto"/>
        <w:ind w:right="101"/>
        <w:jc w:val="left"/>
        <w:rPr>
          <w:b w:val="0"/>
          <w:bCs w:val="0"/>
        </w:rPr>
      </w:pPr>
      <w:r>
        <w:rPr>
          <w:rFonts w:ascii="Times New Roman" w:hAnsi="Times New Roman" w:cs="Times New Roman" w:eastAsia="Times New Roman" w:hint="default"/>
        </w:rPr>
        <w:t>13</w:t>
      </w:r>
      <w:r>
        <w:rPr/>
        <w:t>、投资性房地产</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36" w:lineRule="auto"/>
        <w:ind w:left="267" w:right="101" w:firstLine="412"/>
        <w:jc w:val="left"/>
      </w:pPr>
      <w:r>
        <w:rPr>
          <w:spacing w:val="-2"/>
        </w:rPr>
        <w:t>投资性房地产是指为赚取租金或资本增值，或两者兼有而持有的房地产。本公司投资性房地产包括</w:t>
      </w:r>
      <w:r>
        <w:rPr>
          <w:w w:val="100"/>
        </w:rPr>
        <w:t> </w:t>
      </w:r>
      <w:r>
        <w:rPr/>
        <w:t>已出租的土地使用权、已出租的建筑物。</w:t>
      </w:r>
    </w:p>
    <w:p>
      <w:pPr>
        <w:pStyle w:val="BodyText"/>
        <w:spacing w:line="436" w:lineRule="auto" w:before="52"/>
        <w:ind w:left="267" w:right="101" w:firstLine="412"/>
        <w:jc w:val="left"/>
      </w:pPr>
      <w:r>
        <w:rPr>
          <w:spacing w:val="-2"/>
        </w:rPr>
        <w:t>本公司对投资性房地产按照取得时的成本进行初始计量，并按照固定资产或无形资产的有关规定，</w:t>
      </w:r>
      <w:r>
        <w:rPr>
          <w:w w:val="100"/>
        </w:rPr>
        <w:t> </w:t>
      </w:r>
      <w:r>
        <w:rPr/>
        <w:t>按期计提折旧或摊销。</w:t>
      </w:r>
    </w:p>
    <w:p>
      <w:pPr>
        <w:pStyle w:val="BodyText"/>
        <w:spacing w:line="240" w:lineRule="auto" w:before="57"/>
        <w:ind w:left="680" w:right="101"/>
        <w:jc w:val="left"/>
      </w:pPr>
      <w:r>
        <w:rPr/>
        <w:t>采用成本模式进行后续计量的投资性房地产，计提资产减值方法见本附注二、</w:t>
      </w:r>
      <w:r>
        <w:rPr>
          <w:rFonts w:ascii="Times New Roman" w:hAnsi="Times New Roman" w:cs="Times New Roman" w:eastAsia="Times New Roman" w:hint="default"/>
        </w:rPr>
        <w:t>26</w:t>
      </w:r>
      <w:r>
        <w:rPr/>
        <w:t>。</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101"/>
        <w:jc w:val="left"/>
        <w:rPr>
          <w:b w:val="0"/>
          <w:bCs w:val="0"/>
        </w:rPr>
      </w:pPr>
      <w:r>
        <w:rPr>
          <w:rFonts w:ascii="Times New Roman" w:hAnsi="Times New Roman" w:cs="Times New Roman" w:eastAsia="Times New Roman" w:hint="default"/>
        </w:rPr>
        <w:t>14</w:t>
      </w:r>
      <w:r>
        <w:rPr/>
        <w:t>、固定资产</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690" w:right="101" w:hanging="116"/>
        <w:jc w:val="left"/>
      </w:pPr>
      <w:r>
        <w:rPr/>
        <w:t>（</w:t>
      </w:r>
      <w:r>
        <w:rPr>
          <w:rFonts w:ascii="Times New Roman" w:hAnsi="Times New Roman" w:cs="Times New Roman" w:eastAsia="Times New Roman" w:hint="default"/>
        </w:rPr>
        <w:t>1</w:t>
      </w:r>
      <w:r>
        <w:rPr/>
        <w:t>）固定资产的确认条件</w:t>
      </w:r>
      <w:r>
        <w:rPr>
          <w:spacing w:val="-102"/>
        </w:rPr>
        <w:t> </w:t>
      </w:r>
      <w:r>
        <w:rPr>
          <w:spacing w:val="-102"/>
        </w:rPr>
      </w:r>
      <w:r>
        <w:rPr>
          <w:spacing w:val="-2"/>
        </w:rPr>
        <w:t>固定资产，是指为生产商品、提供劳务、出租或经营管理，使用寿命超过一个会计年度而持有的有</w:t>
      </w:r>
    </w:p>
    <w:p>
      <w:pPr>
        <w:pStyle w:val="BodyText"/>
        <w:spacing w:line="240" w:lineRule="auto" w:before="73"/>
        <w:ind w:left="267" w:right="0"/>
        <w:jc w:val="both"/>
      </w:pPr>
      <w:r>
        <w:rPr/>
        <w:t>形资产。固定资产在满足下列条件时予以确认：</w:t>
      </w:r>
    </w:p>
    <w:p>
      <w:pPr>
        <w:spacing w:line="240" w:lineRule="auto" w:before="7"/>
        <w:rPr>
          <w:rFonts w:ascii="宋体" w:hAnsi="宋体" w:cs="宋体" w:eastAsia="宋体" w:hint="default"/>
          <w:sz w:val="17"/>
          <w:szCs w:val="17"/>
        </w:rPr>
      </w:pPr>
    </w:p>
    <w:p>
      <w:pPr>
        <w:pStyle w:val="BodyText"/>
        <w:spacing w:line="240" w:lineRule="auto"/>
        <w:ind w:left="690" w:right="101"/>
        <w:jc w:val="left"/>
      </w:pPr>
      <w:r>
        <w:rPr/>
        <w:t>①与该固定资产有关的经济利益很可能流入本公司；</w:t>
      </w:r>
    </w:p>
    <w:p>
      <w:pPr>
        <w:spacing w:line="240" w:lineRule="auto" w:before="2"/>
        <w:rPr>
          <w:rFonts w:ascii="宋体" w:hAnsi="宋体" w:cs="宋体" w:eastAsia="宋体" w:hint="default"/>
          <w:sz w:val="17"/>
          <w:szCs w:val="17"/>
        </w:rPr>
      </w:pPr>
    </w:p>
    <w:p>
      <w:pPr>
        <w:pStyle w:val="BodyText"/>
        <w:spacing w:line="240" w:lineRule="auto"/>
        <w:ind w:left="690" w:right="101"/>
        <w:jc w:val="left"/>
      </w:pPr>
      <w:r>
        <w:rPr/>
        <w:t>②该固定资产的成本能够可靠地计量。</w:t>
      </w:r>
    </w:p>
    <w:p>
      <w:pPr>
        <w:spacing w:after="0" w:line="240"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12" w:lineRule="auto" w:before="36"/>
        <w:ind w:left="565" w:right="0" w:firstLine="9"/>
        <w:jc w:val="left"/>
      </w:pPr>
      <w:r>
        <w:rPr/>
        <w:t>（</w:t>
      </w:r>
      <w:r>
        <w:rPr>
          <w:rFonts w:ascii="Times New Roman" w:hAnsi="Times New Roman" w:cs="Times New Roman" w:eastAsia="Times New Roman" w:hint="default"/>
        </w:rPr>
        <w:t>2</w:t>
      </w:r>
      <w:r>
        <w:rPr/>
        <w:t>）各类固定资产的折旧方法</w:t>
      </w:r>
      <w:r>
        <w:rPr>
          <w:w w:val="100"/>
        </w:rPr>
        <w:t> </w:t>
      </w:r>
      <w:r>
        <w:rPr>
          <w:spacing w:val="-1"/>
        </w:rPr>
        <w:t>固定资产折旧采用年限平均法分类计提。按固定资产类别、预计使用寿命和预计残值，本公司确定各</w:t>
      </w:r>
    </w:p>
    <w:p>
      <w:pPr>
        <w:pStyle w:val="BodyText"/>
        <w:spacing w:line="240" w:lineRule="auto" w:before="73"/>
        <w:ind w:right="0"/>
        <w:jc w:val="left"/>
      </w:pPr>
      <w:r>
        <w:rPr/>
        <w:t>类固定资产的年折旧率如下：</w:t>
      </w:r>
    </w:p>
    <w:p>
      <w:pPr>
        <w:spacing w:line="240" w:lineRule="auto" w:before="11"/>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990"/>
        <w:gridCol w:w="2222"/>
        <w:gridCol w:w="2222"/>
        <w:gridCol w:w="2218"/>
      </w:tblGrid>
      <w:tr>
        <w:trPr>
          <w:trHeight w:val="518"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tabs>
                <w:tab w:pos="652" w:val="left" w:leader="none"/>
              </w:tabs>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22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22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86"/>
              <w:ind w:left="3"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残值率</w:t>
            </w:r>
            <w:r>
              <w:rPr>
                <w:rFonts w:ascii="Times New Roman" w:hAnsi="Times New Roman" w:cs="Times New Roman" w:eastAsia="Times New Roman" w:hint="default"/>
                <w:sz w:val="21"/>
                <w:szCs w:val="21"/>
              </w:rPr>
              <w:t>(%)</w:t>
            </w:r>
          </w:p>
        </w:tc>
        <w:tc>
          <w:tcPr>
            <w:tcW w:w="22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86"/>
              <w:ind w:left="8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年折旧率</w:t>
            </w:r>
            <w:r>
              <w:rPr>
                <w:rFonts w:ascii="Times New Roman" w:hAnsi="Times New Roman" w:cs="Times New Roman" w:eastAsia="Times New Roman" w:hint="default"/>
                <w:sz w:val="21"/>
                <w:szCs w:val="21"/>
              </w:rPr>
              <w:t>(%)</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一、房屋及建筑物</w:t>
            </w:r>
          </w:p>
        </w:tc>
        <w:tc>
          <w:tcPr>
            <w:tcW w:w="2222" w:type="dxa"/>
            <w:tcBorders>
              <w:top w:val="single" w:sz="4" w:space="0" w:color="000000"/>
              <w:left w:val="single" w:sz="4" w:space="0" w:color="000000"/>
              <w:bottom w:val="single" w:sz="4" w:space="0" w:color="000000"/>
              <w:right w:val="single" w:sz="4" w:space="0" w:color="000000"/>
            </w:tcBorders>
          </w:tcPr>
          <w:p>
            <w:pPr/>
          </w:p>
        </w:tc>
        <w:tc>
          <w:tcPr>
            <w:tcW w:w="2222" w:type="dxa"/>
            <w:tcBorders>
              <w:top w:val="single" w:sz="4" w:space="0" w:color="000000"/>
              <w:left w:val="single" w:sz="4" w:space="0" w:color="000000"/>
              <w:bottom w:val="single" w:sz="4" w:space="0" w:color="000000"/>
              <w:right w:val="single" w:sz="4" w:space="0" w:color="000000"/>
            </w:tcBorders>
          </w:tcPr>
          <w:p>
            <w:pPr/>
          </w:p>
        </w:tc>
        <w:tc>
          <w:tcPr>
            <w:tcW w:w="2218"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37" w:right="0"/>
              <w:jc w:val="left"/>
              <w:rPr>
                <w:rFonts w:ascii="宋体" w:hAnsi="宋体" w:cs="宋体" w:eastAsia="宋体" w:hint="default"/>
                <w:sz w:val="21"/>
                <w:szCs w:val="21"/>
              </w:rPr>
            </w:pPr>
            <w:r>
              <w:rPr>
                <w:rFonts w:ascii="宋体" w:hAnsi="宋体" w:cs="宋体" w:eastAsia="宋体" w:hint="default"/>
                <w:sz w:val="21"/>
                <w:szCs w:val="21"/>
              </w:rPr>
              <w:t>生产用房</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30—50</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3%—4%</w:t>
            </w:r>
          </w:p>
        </w:tc>
        <w:tc>
          <w:tcPr>
            <w:tcW w:w="2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1.92%—3.23%</w:t>
            </w:r>
          </w:p>
        </w:tc>
      </w:tr>
      <w:tr>
        <w:trPr>
          <w:trHeight w:val="51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47" w:right="0"/>
              <w:jc w:val="left"/>
              <w:rPr>
                <w:rFonts w:ascii="宋体" w:hAnsi="宋体" w:cs="宋体" w:eastAsia="宋体" w:hint="default"/>
                <w:sz w:val="21"/>
                <w:szCs w:val="21"/>
              </w:rPr>
            </w:pPr>
            <w:r>
              <w:rPr>
                <w:rFonts w:ascii="宋体" w:hAnsi="宋体" w:cs="宋体" w:eastAsia="宋体" w:hint="default"/>
                <w:sz w:val="21"/>
                <w:szCs w:val="21"/>
              </w:rPr>
              <w:t>非生产用房</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35—50</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3%—4%</w:t>
            </w:r>
          </w:p>
        </w:tc>
        <w:tc>
          <w:tcPr>
            <w:tcW w:w="2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1.92%—2.77%</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47" w:right="0"/>
              <w:jc w:val="left"/>
              <w:rPr>
                <w:rFonts w:ascii="宋体" w:hAnsi="宋体" w:cs="宋体" w:eastAsia="宋体" w:hint="default"/>
                <w:sz w:val="21"/>
                <w:szCs w:val="21"/>
              </w:rPr>
            </w:pPr>
            <w:r>
              <w:rPr>
                <w:rFonts w:ascii="宋体" w:hAnsi="宋体" w:cs="宋体" w:eastAsia="宋体" w:hint="default"/>
                <w:sz w:val="21"/>
                <w:szCs w:val="21"/>
              </w:rPr>
              <w:t>简易房</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w w:val="100"/>
                <w:sz w:val="21"/>
              </w:rPr>
              <w:t>5</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w:t>
            </w:r>
          </w:p>
        </w:tc>
        <w:tc>
          <w:tcPr>
            <w:tcW w:w="2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19.2%</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37" w:right="0"/>
              <w:jc w:val="left"/>
              <w:rPr>
                <w:rFonts w:ascii="宋体" w:hAnsi="宋体" w:cs="宋体" w:eastAsia="宋体" w:hint="default"/>
                <w:sz w:val="21"/>
                <w:szCs w:val="21"/>
              </w:rPr>
            </w:pPr>
            <w:r>
              <w:rPr>
                <w:rFonts w:ascii="宋体" w:hAnsi="宋体" w:cs="宋体" w:eastAsia="宋体" w:hint="default"/>
                <w:sz w:val="21"/>
                <w:szCs w:val="21"/>
              </w:rPr>
              <w:t>其他建筑物</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10</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4%</w:t>
            </w:r>
          </w:p>
        </w:tc>
        <w:tc>
          <w:tcPr>
            <w:tcW w:w="2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9.6%</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二、机器设备</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10—20</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3%—4%</w:t>
            </w:r>
          </w:p>
        </w:tc>
        <w:tc>
          <w:tcPr>
            <w:tcW w:w="2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4.8%—9.7%</w:t>
            </w:r>
          </w:p>
        </w:tc>
      </w:tr>
      <w:tr>
        <w:trPr>
          <w:trHeight w:val="51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三、运输设备</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w w:val="100"/>
                <w:sz w:val="21"/>
              </w:rPr>
              <w:t>6</w:t>
            </w:r>
          </w:p>
        </w:tc>
        <w:tc>
          <w:tcPr>
            <w:tcW w:w="2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3%</w:t>
            </w:r>
          </w:p>
        </w:tc>
        <w:tc>
          <w:tcPr>
            <w:tcW w:w="22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16.17%</w:t>
            </w:r>
          </w:p>
        </w:tc>
      </w:tr>
      <w:tr>
        <w:trPr>
          <w:trHeight w:val="518"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四、电子设备及其他设备</w:t>
            </w:r>
          </w:p>
        </w:tc>
        <w:tc>
          <w:tcPr>
            <w:tcW w:w="22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w w:val="100"/>
                <w:sz w:val="21"/>
              </w:rPr>
              <w:t>5</w:t>
            </w:r>
          </w:p>
        </w:tc>
        <w:tc>
          <w:tcPr>
            <w:tcW w:w="22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3%</w:t>
            </w:r>
          </w:p>
        </w:tc>
        <w:tc>
          <w:tcPr>
            <w:tcW w:w="221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
              <w:jc w:val="center"/>
              <w:rPr>
                <w:rFonts w:ascii="Times New Roman" w:hAnsi="Times New Roman" w:cs="Times New Roman" w:eastAsia="Times New Roman" w:hint="default"/>
                <w:sz w:val="21"/>
                <w:szCs w:val="21"/>
              </w:rPr>
            </w:pPr>
            <w:r>
              <w:rPr>
                <w:rFonts w:ascii="Times New Roman"/>
                <w:sz w:val="21"/>
              </w:rPr>
              <w:t>19.4%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15" w:lineRule="auto" w:before="167"/>
        <w:ind w:left="690" w:right="0" w:hanging="116"/>
        <w:jc w:val="left"/>
      </w:pPr>
      <w:r>
        <w:rPr/>
        <w:t>（</w:t>
      </w:r>
      <w:r>
        <w:rPr>
          <w:rFonts w:ascii="Times New Roman" w:hAnsi="Times New Roman" w:cs="Times New Roman" w:eastAsia="Times New Roman" w:hint="default"/>
        </w:rPr>
        <w:t>3</w:t>
      </w:r>
      <w:r>
        <w:rPr/>
        <w:t>）固定资产的减值测试方法、减值准备计提方法</w:t>
      </w:r>
      <w:r>
        <w:rPr>
          <w:w w:val="100"/>
        </w:rPr>
        <w:t> </w:t>
      </w:r>
      <w:r>
        <w:rPr>
          <w:spacing w:val="-2"/>
        </w:rPr>
        <w:t>本公司固定资产减值准备的计提方法见本附注二、</w:t>
      </w:r>
      <w:r>
        <w:rPr>
          <w:rFonts w:ascii="Times New Roman" w:hAnsi="Times New Roman" w:cs="Times New Roman" w:eastAsia="Times New Roman" w:hint="default"/>
          <w:spacing w:val="-2"/>
        </w:rPr>
        <w:t>26</w:t>
      </w:r>
      <w:r>
        <w:rPr>
          <w:spacing w:val="-2"/>
        </w:rPr>
        <w:t>。</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9"/>
          <w:szCs w:val="19"/>
        </w:rPr>
      </w:pPr>
    </w:p>
    <w:p>
      <w:pPr>
        <w:pStyle w:val="BodyText"/>
        <w:spacing w:line="412" w:lineRule="auto"/>
        <w:ind w:left="690" w:right="0" w:hanging="116"/>
        <w:jc w:val="left"/>
      </w:pPr>
      <w:r>
        <w:rPr/>
        <w:t>（</w:t>
      </w:r>
      <w:r>
        <w:rPr>
          <w:rFonts w:ascii="Times New Roman" w:hAnsi="Times New Roman" w:cs="Times New Roman" w:eastAsia="Times New Roman" w:hint="default"/>
        </w:rPr>
        <w:t>4</w:t>
      </w:r>
      <w:r>
        <w:rPr/>
        <w:t>）融资租入固定资产的认定依据、计价方法</w:t>
      </w:r>
      <w:r>
        <w:rPr>
          <w:spacing w:val="-102"/>
        </w:rPr>
        <w:t> </w:t>
      </w:r>
      <w:r>
        <w:rPr>
          <w:spacing w:val="-102"/>
        </w:rPr>
      </w:r>
      <w:r>
        <w:rPr>
          <w:spacing w:val="-2"/>
        </w:rPr>
        <w:t>本公司在承租开始日，将租赁资产公允价值与最低租赁付款额现值两者中较低者作为租入资产的入</w:t>
      </w:r>
    </w:p>
    <w:p>
      <w:pPr>
        <w:pStyle w:val="BodyText"/>
        <w:spacing w:line="240" w:lineRule="auto" w:before="73"/>
        <w:ind w:left="267" w:right="0"/>
        <w:jc w:val="left"/>
      </w:pPr>
      <w:r>
        <w:rPr/>
        <w:t>账价值。</w:t>
      </w:r>
    </w:p>
    <w:p>
      <w:pPr>
        <w:spacing w:line="240" w:lineRule="auto" w:before="2"/>
        <w:rPr>
          <w:rFonts w:ascii="宋体" w:hAnsi="宋体" w:cs="宋体" w:eastAsia="宋体" w:hint="default"/>
          <w:sz w:val="17"/>
          <w:szCs w:val="17"/>
        </w:rPr>
      </w:pPr>
    </w:p>
    <w:p>
      <w:pPr>
        <w:pStyle w:val="BodyText"/>
        <w:spacing w:line="439" w:lineRule="auto"/>
        <w:ind w:left="267" w:right="262" w:firstLine="422"/>
        <w:jc w:val="both"/>
      </w:pPr>
      <w:r>
        <w:rPr>
          <w:spacing w:val="-2"/>
        </w:rPr>
        <w:t>融资租赁方式租入的固定资产，能合理确定租赁期届满时将会取得租赁资产所有权的，在租赁资产</w:t>
      </w:r>
      <w:r>
        <w:rPr>
          <w:w w:val="100"/>
        </w:rPr>
        <w:t> </w:t>
      </w:r>
      <w:r>
        <w:rPr>
          <w:spacing w:val="-2"/>
        </w:rPr>
        <w:t>尚可使用年限内计提折旧；无法合理确定租赁期届满时能够取得租赁资产所有权的，在租赁期与租赁资</w:t>
      </w:r>
      <w:r>
        <w:rPr>
          <w:spacing w:val="-48"/>
        </w:rPr>
        <w:t> </w:t>
      </w:r>
      <w:r>
        <w:rPr>
          <w:spacing w:val="-48"/>
        </w:rPr>
      </w:r>
      <w:r>
        <w:rPr/>
        <w:t>产尚可使用年限两者中较短的期间内计提折旧。</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pStyle w:val="BodyText"/>
        <w:spacing w:line="240" w:lineRule="auto"/>
        <w:ind w:left="575" w:right="0"/>
        <w:jc w:val="left"/>
      </w:pPr>
      <w:r>
        <w:rPr/>
        <w:t>（</w:t>
      </w:r>
      <w:r>
        <w:rPr>
          <w:rFonts w:ascii="Times New Roman" w:hAnsi="Times New Roman" w:cs="Times New Roman" w:eastAsia="Times New Roman" w:hint="default"/>
        </w:rPr>
        <w:t>5</w:t>
      </w:r>
      <w:r>
        <w:rPr/>
        <w:t>）其他说明</w:t>
      </w:r>
    </w:p>
    <w:p>
      <w:pPr>
        <w:spacing w:line="240" w:lineRule="auto" w:before="12"/>
        <w:rPr>
          <w:rFonts w:ascii="宋体" w:hAnsi="宋体" w:cs="宋体" w:eastAsia="宋体" w:hint="default"/>
          <w:sz w:val="15"/>
          <w:szCs w:val="15"/>
        </w:rPr>
      </w:pPr>
    </w:p>
    <w:p>
      <w:pPr>
        <w:pStyle w:val="BodyText"/>
        <w:spacing w:line="436" w:lineRule="auto"/>
        <w:ind w:left="267" w:right="267" w:firstLine="422"/>
        <w:jc w:val="both"/>
      </w:pPr>
      <w:r>
        <w:rPr>
          <w:spacing w:val="-2"/>
        </w:rPr>
        <w:t>①无法为本公司产生收益或暂时未使用（季节性停用除外）的固定资产，作为闲置固定资产。闲置</w:t>
      </w:r>
      <w:r>
        <w:rPr>
          <w:w w:val="100"/>
        </w:rPr>
        <w:t> </w:t>
      </w:r>
      <w:r>
        <w:rPr/>
        <w:t>固定资产需重新估计预计使用寿命和折旧率，折旧直接计入当期损益。</w:t>
      </w:r>
    </w:p>
    <w:p>
      <w:pPr>
        <w:pStyle w:val="BodyText"/>
        <w:spacing w:line="240" w:lineRule="auto" w:before="57"/>
        <w:ind w:left="690" w:right="0"/>
        <w:jc w:val="left"/>
      </w:pPr>
      <w:r>
        <w:rPr/>
        <w:t>②本公司至少于每年年度终了，对固定资产使用寿命和折旧进行复核，必要时进行调整。</w:t>
      </w:r>
    </w:p>
    <w:p>
      <w:pPr>
        <w:spacing w:after="0" w:line="240" w:lineRule="auto"/>
        <w:jc w:val="left"/>
        <w:sectPr>
          <w:pgSz w:w="11900" w:h="16840"/>
          <w:pgMar w:header="762" w:footer="840" w:top="1000" w:bottom="1020" w:left="980" w:right="9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right="101"/>
        <w:jc w:val="left"/>
        <w:rPr>
          <w:b w:val="0"/>
          <w:bCs w:val="0"/>
        </w:rPr>
      </w:pPr>
      <w:r>
        <w:rPr>
          <w:rFonts w:ascii="Times New Roman" w:hAnsi="Times New Roman" w:cs="Times New Roman" w:eastAsia="Times New Roman" w:hint="default"/>
        </w:rPr>
        <w:t>15</w:t>
      </w:r>
      <w:r>
        <w:rPr/>
        <w:t>、在建工程</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690" w:right="2730"/>
        <w:jc w:val="left"/>
      </w:pPr>
      <w:r>
        <w:rPr/>
        <w:t>（</w:t>
      </w:r>
      <w:r>
        <w:rPr>
          <w:rFonts w:ascii="Times New Roman" w:hAnsi="Times New Roman" w:cs="Times New Roman" w:eastAsia="Times New Roman" w:hint="default"/>
        </w:rPr>
        <w:t>1</w:t>
      </w:r>
      <w:r>
        <w:rPr/>
        <w:t>）在建工程核算方法</w:t>
      </w:r>
      <w:r>
        <w:rPr>
          <w:spacing w:val="-103"/>
        </w:rPr>
        <w:t> </w:t>
      </w:r>
      <w:r>
        <w:rPr>
          <w:spacing w:val="-103"/>
        </w:rPr>
      </w:r>
      <w:r>
        <w:rPr>
          <w:spacing w:val="-2"/>
        </w:rPr>
        <w:t>本公司在建工程按实际成本计量，按立项项目分类核算。</w:t>
      </w:r>
    </w:p>
    <w:p>
      <w:pPr>
        <w:pStyle w:val="BodyText"/>
        <w:spacing w:line="412" w:lineRule="auto" w:before="78"/>
        <w:ind w:left="690" w:right="101"/>
        <w:jc w:val="left"/>
      </w:pPr>
      <w:r>
        <w:rPr/>
        <w:t>（</w:t>
      </w:r>
      <w:r>
        <w:rPr>
          <w:rFonts w:ascii="Times New Roman" w:hAnsi="Times New Roman" w:cs="Times New Roman" w:eastAsia="Times New Roman" w:hint="default"/>
        </w:rPr>
        <w:t>2</w:t>
      </w:r>
      <w:r>
        <w:rPr/>
        <w:t>）在建工程结转为固定资产的时点</w:t>
      </w:r>
      <w:r>
        <w:rPr>
          <w:spacing w:val="-101"/>
        </w:rPr>
        <w:t> </w:t>
      </w:r>
      <w:r>
        <w:rPr>
          <w:spacing w:val="-101"/>
        </w:rPr>
      </w:r>
      <w:r>
        <w:rPr>
          <w:spacing w:val="-2"/>
        </w:rPr>
        <w:t>在建工程达到预定可使用状态时，按实际发生的全部支出转入固定资产核算。若在建工程已达到预</w:t>
      </w:r>
    </w:p>
    <w:p>
      <w:pPr>
        <w:pStyle w:val="BodyText"/>
        <w:spacing w:line="436" w:lineRule="auto" w:before="73"/>
        <w:ind w:left="267" w:right="207"/>
        <w:jc w:val="both"/>
      </w:pPr>
      <w:r>
        <w:rPr>
          <w:spacing w:val="-2"/>
        </w:rPr>
        <w:t>定可使用状态，但尚未办理竣工决算的，自达到预定可使用状态之日起，根据工程预算、造价或者工程</w:t>
      </w:r>
      <w:r>
        <w:rPr>
          <w:spacing w:val="-49"/>
        </w:rPr>
        <w:t> </w:t>
      </w:r>
      <w:r>
        <w:rPr>
          <w:spacing w:val="-49"/>
        </w:rPr>
      </w:r>
      <w:r>
        <w:rPr>
          <w:spacing w:val="-2"/>
        </w:rPr>
        <w:t>实际成本等，按估计的价值转入固定资产，并按本公司固定资产折旧政策计提固定资产折旧，待办理竣</w:t>
      </w:r>
      <w:r>
        <w:rPr>
          <w:spacing w:val="-48"/>
        </w:rPr>
        <w:t> </w:t>
      </w:r>
      <w:r>
        <w:rPr>
          <w:spacing w:val="-48"/>
        </w:rPr>
      </w:r>
      <w:r>
        <w:rPr/>
        <w:t>工决算后，再按实际成本调整原来的暂估价值，但不调整原已计提的折旧额。</w:t>
      </w:r>
    </w:p>
    <w:p>
      <w:pPr>
        <w:pStyle w:val="BodyText"/>
        <w:spacing w:line="415" w:lineRule="auto" w:before="52"/>
        <w:ind w:left="575" w:right="2730" w:firstLine="115"/>
        <w:jc w:val="left"/>
      </w:pPr>
      <w:r>
        <w:rPr/>
        <w:t>（</w:t>
      </w:r>
      <w:r>
        <w:rPr>
          <w:rFonts w:ascii="Times New Roman" w:hAnsi="Times New Roman" w:cs="Times New Roman" w:eastAsia="Times New Roman" w:hint="default"/>
        </w:rPr>
        <w:t>3</w:t>
      </w:r>
      <w:r>
        <w:rPr/>
        <w:t>）在建工程减值准备</w:t>
      </w:r>
      <w:r>
        <w:rPr>
          <w:w w:val="100"/>
        </w:rPr>
        <w:t> </w:t>
      </w:r>
      <w:r>
        <w:rPr/>
        <w:t>本公司在建工程减值准备的计提方法见本附注二、</w:t>
      </w:r>
      <w:r>
        <w:rPr>
          <w:rFonts w:ascii="Times New Roman" w:hAnsi="Times New Roman" w:cs="Times New Roman" w:eastAsia="Times New Roman" w:hint="default"/>
        </w:rPr>
        <w:t>26</w:t>
      </w:r>
      <w:r>
        <w:rPr/>
        <w:t>。</w:t>
      </w:r>
    </w:p>
    <w:p>
      <w:pPr>
        <w:spacing w:line="240" w:lineRule="auto" w:before="0"/>
        <w:rPr>
          <w:rFonts w:ascii="宋体" w:hAnsi="宋体" w:cs="宋体" w:eastAsia="宋体" w:hint="default"/>
          <w:sz w:val="22"/>
          <w:szCs w:val="22"/>
        </w:rPr>
      </w:pPr>
    </w:p>
    <w:p>
      <w:pPr>
        <w:pStyle w:val="Heading6"/>
        <w:spacing w:line="240" w:lineRule="auto" w:before="183"/>
        <w:ind w:right="101"/>
        <w:jc w:val="left"/>
        <w:rPr>
          <w:b w:val="0"/>
          <w:bCs w:val="0"/>
        </w:rPr>
      </w:pPr>
      <w:r>
        <w:rPr>
          <w:rFonts w:ascii="Times New Roman" w:hAnsi="Times New Roman" w:cs="Times New Roman" w:eastAsia="Times New Roman" w:hint="default"/>
        </w:rPr>
        <w:t>16</w:t>
      </w:r>
      <w:r>
        <w:rPr/>
        <w:t>、借款费用</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690" w:right="101"/>
        <w:jc w:val="left"/>
      </w:pPr>
      <w:r>
        <w:rPr/>
        <w:t>（</w:t>
      </w:r>
      <w:r>
        <w:rPr>
          <w:rFonts w:ascii="Times New Roman" w:hAnsi="Times New Roman" w:cs="Times New Roman" w:eastAsia="Times New Roman" w:hint="default"/>
        </w:rPr>
        <w:t>1</w:t>
      </w:r>
      <w:r>
        <w:rPr/>
        <w:t>）借款费用资本化的确认原则</w:t>
      </w:r>
      <w:r>
        <w:rPr>
          <w:w w:val="100"/>
        </w:rPr>
        <w:t> </w:t>
      </w:r>
      <w:r>
        <w:rPr>
          <w:spacing w:val="-2"/>
        </w:rPr>
        <w:t>符合资本化条件的资产，是指需要经过相当长时间的购建或者生产活动才能达到预定可使用或者可</w:t>
      </w:r>
    </w:p>
    <w:p>
      <w:pPr>
        <w:pStyle w:val="BodyText"/>
        <w:spacing w:line="439" w:lineRule="auto" w:before="73"/>
        <w:ind w:left="267" w:right="207"/>
        <w:jc w:val="both"/>
      </w:pPr>
      <w:r>
        <w:rPr>
          <w:spacing w:val="-2"/>
        </w:rPr>
        <w:t>销售状态的固定资产、投资性房地产和存货等资产。借款费用包括借款利息、折价或者溢价的摊销、辅</w:t>
      </w:r>
      <w:r>
        <w:rPr>
          <w:spacing w:val="-48"/>
        </w:rPr>
        <w:t> </w:t>
      </w:r>
      <w:r>
        <w:rPr>
          <w:spacing w:val="-48"/>
        </w:rPr>
      </w:r>
      <w:r>
        <w:rPr/>
        <w:t>助费用以及因外币借款而发生的汇兑差额等。</w:t>
      </w:r>
    </w:p>
    <w:p>
      <w:pPr>
        <w:pStyle w:val="BodyText"/>
        <w:spacing w:line="436" w:lineRule="auto" w:before="50"/>
        <w:ind w:left="267" w:right="101" w:firstLine="422"/>
        <w:jc w:val="left"/>
      </w:pPr>
      <w:r>
        <w:rPr>
          <w:spacing w:val="-2"/>
        </w:rPr>
        <w:t>本公司发生的借款费用，可直接归属于符合资本化条件的资产的购建或者生产的，予以资本化，计</w:t>
      </w:r>
      <w:r>
        <w:rPr>
          <w:w w:val="100"/>
        </w:rPr>
        <w:t> </w:t>
      </w:r>
      <w:r>
        <w:rPr/>
        <w:t>入相关资产成本；其他借款费用在发生时根据其发生额确认为费用，计入当期损益。</w:t>
      </w:r>
    </w:p>
    <w:p>
      <w:pPr>
        <w:pStyle w:val="BodyText"/>
        <w:spacing w:line="240" w:lineRule="auto" w:before="52"/>
        <w:ind w:left="690" w:right="101"/>
        <w:jc w:val="left"/>
      </w:pPr>
      <w:r>
        <w:rPr/>
        <w:t>借款费用同时满足下列条件时开始资本化：</w:t>
      </w:r>
    </w:p>
    <w:p>
      <w:pPr>
        <w:spacing w:line="240" w:lineRule="auto" w:before="2"/>
        <w:rPr>
          <w:rFonts w:ascii="宋体" w:hAnsi="宋体" w:cs="宋体" w:eastAsia="宋体" w:hint="default"/>
          <w:sz w:val="17"/>
          <w:szCs w:val="17"/>
        </w:rPr>
      </w:pPr>
    </w:p>
    <w:p>
      <w:pPr>
        <w:pStyle w:val="BodyText"/>
        <w:spacing w:line="436" w:lineRule="auto"/>
        <w:ind w:left="267" w:right="101" w:firstLine="422"/>
        <w:jc w:val="left"/>
      </w:pPr>
      <w:r>
        <w:rPr>
          <w:spacing w:val="-2"/>
        </w:rPr>
        <w:t>①资产支出已经发生，资产支出包括为购建或者生产符合资本化条件的资产而以支付现金、转移非</w:t>
      </w:r>
      <w:r>
        <w:rPr>
          <w:w w:val="100"/>
        </w:rPr>
        <w:t> </w:t>
      </w:r>
      <w:r>
        <w:rPr/>
        <w:t>现金资产或者承担带息债务形式发生的支出；</w:t>
      </w:r>
    </w:p>
    <w:p>
      <w:pPr>
        <w:pStyle w:val="BodyText"/>
        <w:spacing w:line="240" w:lineRule="auto" w:before="57"/>
        <w:ind w:left="690" w:right="101"/>
        <w:jc w:val="left"/>
      </w:pPr>
      <w:r>
        <w:rPr/>
        <w:t>②借款费用已经发生；</w:t>
      </w:r>
    </w:p>
    <w:p>
      <w:pPr>
        <w:spacing w:line="240" w:lineRule="auto" w:before="2"/>
        <w:rPr>
          <w:rFonts w:ascii="宋体" w:hAnsi="宋体" w:cs="宋体" w:eastAsia="宋体" w:hint="default"/>
          <w:sz w:val="17"/>
          <w:szCs w:val="17"/>
        </w:rPr>
      </w:pPr>
    </w:p>
    <w:p>
      <w:pPr>
        <w:pStyle w:val="BodyText"/>
        <w:spacing w:line="240" w:lineRule="auto"/>
        <w:ind w:left="690" w:right="101"/>
        <w:jc w:val="left"/>
      </w:pPr>
      <w:r>
        <w:rPr/>
        <w:t>③为使资产达到预定可使用或者可销售状态所必要的购建或者生产活动已经开始。</w:t>
      </w:r>
    </w:p>
    <w:p>
      <w:pPr>
        <w:spacing w:line="240" w:lineRule="auto" w:before="2"/>
        <w:rPr>
          <w:rFonts w:ascii="宋体" w:hAnsi="宋体" w:cs="宋体" w:eastAsia="宋体" w:hint="default"/>
          <w:sz w:val="17"/>
          <w:szCs w:val="17"/>
        </w:rPr>
      </w:pPr>
    </w:p>
    <w:p>
      <w:pPr>
        <w:pStyle w:val="BodyText"/>
        <w:spacing w:line="412" w:lineRule="auto"/>
        <w:ind w:left="690" w:right="101"/>
        <w:jc w:val="left"/>
      </w:pPr>
      <w:r>
        <w:rPr/>
        <w:t>（</w:t>
      </w:r>
      <w:r>
        <w:rPr>
          <w:rFonts w:ascii="Times New Roman" w:hAnsi="Times New Roman" w:cs="Times New Roman" w:eastAsia="Times New Roman" w:hint="default"/>
        </w:rPr>
        <w:t>2</w:t>
      </w:r>
      <w:r>
        <w:rPr/>
        <w:t>）借款费用资本化期间</w:t>
      </w:r>
      <w:r>
        <w:rPr>
          <w:spacing w:val="-102"/>
        </w:rPr>
        <w:t> </w:t>
      </w:r>
      <w:r>
        <w:rPr>
          <w:spacing w:val="-102"/>
        </w:rPr>
      </w:r>
      <w:r>
        <w:rPr>
          <w:spacing w:val="-2"/>
        </w:rPr>
        <w:t>为购建或者生产符合资本化条件的资产发生的借款费用，在该资产达到预定可使用或者可销售状态</w:t>
      </w:r>
    </w:p>
    <w:p>
      <w:pPr>
        <w:pStyle w:val="BodyText"/>
        <w:spacing w:line="436" w:lineRule="auto" w:before="73"/>
        <w:ind w:left="690" w:right="196" w:hanging="423"/>
        <w:jc w:val="left"/>
      </w:pPr>
      <w:r>
        <w:rPr/>
        <w:t>前发生的，计入该资产的成本；在该资产达到预定可使用或者可销售状态后发生的，计入当期损益。</w:t>
      </w:r>
      <w:r>
        <w:rPr>
          <w:w w:val="100"/>
        </w:rPr>
        <w:t> </w:t>
      </w:r>
      <w:r>
        <w:rPr>
          <w:spacing w:val="-3"/>
        </w:rPr>
        <w:t>符合资本化条件的资产在购建或者生产过程中发生非正常中断、且中断时间连续超过 </w:t>
      </w:r>
      <w:r>
        <w:rPr>
          <w:rFonts w:ascii="Times New Roman" w:hAnsi="Times New Roman" w:cs="Times New Roman" w:eastAsia="Times New Roman" w:hint="default"/>
        </w:rPr>
        <w:t>3 </w:t>
      </w:r>
      <w:r>
        <w:rPr>
          <w:rFonts w:ascii="Times New Roman" w:hAnsi="Times New Roman" w:cs="Times New Roman" w:eastAsia="Times New Roman" w:hint="default"/>
          <w:spacing w:val="23"/>
        </w:rPr>
        <w:t> </w:t>
      </w:r>
      <w:r>
        <w:rPr>
          <w:spacing w:val="-10"/>
        </w:rPr>
        <w:t>个月的，借</w:t>
      </w:r>
    </w:p>
    <w:p>
      <w:pPr>
        <w:spacing w:after="0" w:line="436"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36" w:lineRule="auto" w:before="36"/>
        <w:ind w:left="267" w:right="207"/>
        <w:jc w:val="both"/>
      </w:pPr>
      <w:r>
        <w:rPr>
          <w:spacing w:val="-2"/>
        </w:rPr>
        <w:t>款费用暂停资本化。当购建或者生产符合资本化条件的资产中部分项目分别完工且可单独使用时，该部</w:t>
      </w:r>
      <w:r>
        <w:rPr>
          <w:spacing w:val="-48"/>
        </w:rPr>
        <w:t> </w:t>
      </w:r>
      <w:r>
        <w:rPr>
          <w:spacing w:val="-48"/>
        </w:rPr>
      </w:r>
      <w:r>
        <w:rPr/>
        <w:t>分资产借款费用停止资本化。</w:t>
      </w:r>
    </w:p>
    <w:p>
      <w:pPr>
        <w:pStyle w:val="BodyText"/>
        <w:spacing w:line="415" w:lineRule="auto" w:before="52"/>
        <w:ind w:left="690" w:right="4634"/>
        <w:jc w:val="left"/>
      </w:pPr>
      <w:r>
        <w:rPr/>
        <w:t>（</w:t>
      </w:r>
      <w:r>
        <w:rPr>
          <w:rFonts w:ascii="Times New Roman" w:hAnsi="Times New Roman" w:cs="Times New Roman" w:eastAsia="Times New Roman" w:hint="default"/>
        </w:rPr>
        <w:t>3</w:t>
      </w:r>
      <w:r>
        <w:rPr/>
        <w:t>）借款费用资本化金额的确定方法</w:t>
      </w:r>
      <w:r>
        <w:rPr>
          <w:spacing w:val="-101"/>
        </w:rPr>
        <w:t> </w:t>
      </w:r>
      <w:r>
        <w:rPr>
          <w:spacing w:val="-101"/>
        </w:rPr>
      </w:r>
      <w:r>
        <w:rPr>
          <w:spacing w:val="-2"/>
        </w:rPr>
        <w:t>本公司按季度计算借款费用资本化金额。</w:t>
      </w:r>
    </w:p>
    <w:p>
      <w:pPr>
        <w:pStyle w:val="BodyText"/>
        <w:spacing w:line="436" w:lineRule="auto" w:before="71"/>
        <w:ind w:left="267" w:right="207" w:firstLine="422"/>
        <w:jc w:val="both"/>
      </w:pPr>
      <w:r>
        <w:rPr>
          <w:spacing w:val="-2"/>
        </w:rPr>
        <w:t>专门借款的利息费用（扣除尚未动用的借款资金存入银行取得的利息收入或者进行暂时性投资取得</w:t>
      </w:r>
      <w:r>
        <w:rPr>
          <w:w w:val="100"/>
        </w:rPr>
        <w:t> </w:t>
      </w:r>
      <w:r>
        <w:rPr>
          <w:spacing w:val="-2"/>
        </w:rPr>
        <w:t>的投资收益）及其辅助费用在所购建或者生产的符合资本化条件的资产达到预定可使用或者可销售状态</w:t>
      </w:r>
      <w:r>
        <w:rPr>
          <w:spacing w:val="-52"/>
        </w:rPr>
        <w:t> </w:t>
      </w:r>
      <w:r>
        <w:rPr>
          <w:spacing w:val="-52"/>
        </w:rPr>
      </w:r>
      <w:r>
        <w:rPr/>
        <w:t>前，予以资本化。</w:t>
      </w:r>
    </w:p>
    <w:p>
      <w:pPr>
        <w:pStyle w:val="BodyText"/>
        <w:spacing w:line="436" w:lineRule="auto" w:before="52"/>
        <w:ind w:left="267" w:right="207" w:firstLine="422"/>
        <w:jc w:val="both"/>
      </w:pPr>
      <w:r>
        <w:rPr>
          <w:spacing w:val="-2"/>
        </w:rPr>
        <w:t>根据累计资产支出超过专门借款部分的资产支出加权平均数乘以所占用一般借款的资本化率，计算</w:t>
      </w:r>
      <w:r>
        <w:rPr>
          <w:w w:val="100"/>
        </w:rPr>
        <w:t> </w:t>
      </w:r>
      <w:r>
        <w:rPr/>
        <w:t>确定一般借款应予资本化的利息金额。资本化率根据一般借款加权平均利率计算确定。</w:t>
      </w:r>
    </w:p>
    <w:p>
      <w:pPr>
        <w:pStyle w:val="BodyText"/>
        <w:spacing w:line="436" w:lineRule="auto" w:before="57"/>
        <w:ind w:left="267" w:right="202" w:firstLine="422"/>
        <w:jc w:val="both"/>
      </w:pPr>
      <w:r>
        <w:rPr>
          <w:spacing w:val="-2"/>
        </w:rPr>
        <w:t>借款存在折价或者溢价的，按照实际利率法确定每一会计期间应摊销的折价或者溢价金额，调整每</w:t>
      </w:r>
      <w:r>
        <w:rPr>
          <w:w w:val="100"/>
        </w:rPr>
        <w:t> </w:t>
      </w:r>
      <w:r>
        <w:rPr/>
        <w:t>期利息金额。</w:t>
      </w:r>
    </w:p>
    <w:p>
      <w:pPr>
        <w:pStyle w:val="BodyText"/>
        <w:spacing w:line="436" w:lineRule="auto" w:before="52"/>
        <w:ind w:left="267" w:right="207" w:firstLine="422"/>
        <w:jc w:val="both"/>
      </w:pPr>
      <w:r>
        <w:rPr>
          <w:spacing w:val="-2"/>
        </w:rPr>
        <w:t>在资本化期间内，外币专门借款本金及利息的汇兑差额，应当予以资本化，计入符合资本化条件的</w:t>
      </w:r>
      <w:r>
        <w:rPr>
          <w:w w:val="100"/>
        </w:rPr>
        <w:t> </w:t>
      </w:r>
      <w:r>
        <w:rPr/>
        <w:t>资产成本。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7"/>
          <w:szCs w:val="17"/>
        </w:rPr>
      </w:pPr>
    </w:p>
    <w:p>
      <w:pPr>
        <w:pStyle w:val="Heading6"/>
        <w:spacing w:line="240" w:lineRule="auto"/>
        <w:ind w:right="101"/>
        <w:jc w:val="left"/>
        <w:rPr>
          <w:b w:val="0"/>
          <w:bCs w:val="0"/>
        </w:rPr>
      </w:pPr>
      <w:r>
        <w:rPr>
          <w:rFonts w:ascii="Times New Roman" w:hAnsi="Times New Roman" w:cs="Times New Roman" w:eastAsia="Times New Roman" w:hint="default"/>
        </w:rPr>
        <w:t>17</w:t>
      </w:r>
      <w:r>
        <w:rPr/>
        <w:t>、无形资产</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BodyText"/>
        <w:spacing w:line="412" w:lineRule="auto"/>
        <w:ind w:left="680" w:right="101"/>
        <w:jc w:val="left"/>
      </w:pPr>
      <w:r>
        <w:rPr/>
        <w:t>（</w:t>
      </w:r>
      <w:r>
        <w:rPr>
          <w:rFonts w:ascii="Times New Roman" w:hAnsi="Times New Roman" w:cs="Times New Roman" w:eastAsia="Times New Roman" w:hint="default"/>
        </w:rPr>
        <w:t>1</w:t>
      </w:r>
      <w:r>
        <w:rPr/>
        <w:t>）无形资产的初始计量</w:t>
      </w:r>
      <w:r>
        <w:rPr>
          <w:spacing w:val="-102"/>
        </w:rPr>
        <w:t> </w:t>
      </w:r>
      <w:r>
        <w:rPr>
          <w:spacing w:val="-102"/>
        </w:rPr>
      </w:r>
      <w:r>
        <w:rPr>
          <w:spacing w:val="-2"/>
        </w:rPr>
        <w:t>本公司无形资产按照实际成本进行初始计量。购买无形资产的价款超过正常信用条件延期支付，实</w:t>
      </w:r>
    </w:p>
    <w:p>
      <w:pPr>
        <w:pStyle w:val="BodyText"/>
        <w:spacing w:line="436" w:lineRule="auto" w:before="73"/>
        <w:ind w:left="680" w:right="101" w:hanging="413"/>
        <w:jc w:val="left"/>
      </w:pPr>
      <w:r>
        <w:rPr/>
        <w:t>质上具有融资性质的，无形资产的成本为购买价款的现值。</w:t>
      </w:r>
      <w:r>
        <w:rPr>
          <w:w w:val="100"/>
        </w:rPr>
        <w:t> </w:t>
      </w:r>
      <w:r>
        <w:rPr>
          <w:spacing w:val="-2"/>
        </w:rPr>
        <w:t>通过债务重组取得债务人用以抵债的无形资产，以该无形资产的公允价值为基础确定其入账价值；</w:t>
      </w:r>
    </w:p>
    <w:p>
      <w:pPr>
        <w:pStyle w:val="BodyText"/>
        <w:spacing w:line="436" w:lineRule="auto" w:before="52"/>
        <w:ind w:left="267" w:right="207"/>
        <w:jc w:val="both"/>
      </w:pPr>
      <w:r>
        <w:rPr>
          <w:spacing w:val="-2"/>
        </w:rPr>
        <w:t>在非货币性资产交换具备商业实质和换入资产或换出资产的公允价值能够可靠计量的前提下，非货币性</w:t>
      </w:r>
      <w:r>
        <w:rPr>
          <w:spacing w:val="-47"/>
        </w:rPr>
        <w:t> </w:t>
      </w:r>
      <w:r>
        <w:rPr>
          <w:spacing w:val="-47"/>
        </w:rPr>
      </w:r>
      <w:r>
        <w:rPr>
          <w:spacing w:val="-2"/>
        </w:rPr>
        <w:t>资产交换换入的无形资产通常以换出资产的公允价值为基础确定其入账价值，除非有确凿证据表明换入</w:t>
      </w:r>
      <w:r>
        <w:rPr>
          <w:spacing w:val="-47"/>
        </w:rPr>
        <w:t> </w:t>
      </w:r>
      <w:r>
        <w:rPr>
          <w:spacing w:val="-47"/>
        </w:rPr>
      </w:r>
      <w:r>
        <w:rPr>
          <w:spacing w:val="-2"/>
        </w:rPr>
        <w:t>资产的公允价值更加可靠；不满足上述前提的非货币性资产交换，以换出资产的账面价值和应支付的相</w:t>
      </w:r>
      <w:r>
        <w:rPr>
          <w:spacing w:val="-48"/>
        </w:rPr>
        <w:t> </w:t>
      </w:r>
      <w:r>
        <w:rPr>
          <w:spacing w:val="-48"/>
        </w:rPr>
      </w:r>
      <w:r>
        <w:rPr/>
        <w:t>关税费作为换入无形资产的成本，不确认损益。</w:t>
      </w:r>
    </w:p>
    <w:p>
      <w:pPr>
        <w:pStyle w:val="BodyText"/>
        <w:spacing w:line="240" w:lineRule="auto" w:before="52"/>
        <w:ind w:left="680" w:right="101"/>
        <w:jc w:val="left"/>
      </w:pPr>
      <w:r>
        <w:rPr/>
        <w:t>（</w:t>
      </w:r>
      <w:r>
        <w:rPr>
          <w:rFonts w:ascii="Times New Roman" w:hAnsi="Times New Roman" w:cs="Times New Roman" w:eastAsia="Times New Roman" w:hint="default"/>
        </w:rPr>
        <w:t>2</w:t>
      </w:r>
      <w:r>
        <w:rPr/>
        <w:t>）无形资产的后续计量</w:t>
      </w:r>
    </w:p>
    <w:p>
      <w:pPr>
        <w:spacing w:line="240" w:lineRule="auto" w:before="12"/>
        <w:rPr>
          <w:rFonts w:ascii="宋体" w:hAnsi="宋体" w:cs="宋体" w:eastAsia="宋体" w:hint="default"/>
          <w:sz w:val="15"/>
          <w:szCs w:val="15"/>
        </w:rPr>
      </w:pPr>
    </w:p>
    <w:p>
      <w:pPr>
        <w:pStyle w:val="BodyText"/>
        <w:spacing w:line="436" w:lineRule="auto"/>
        <w:ind w:left="690" w:right="101" w:hanging="10"/>
        <w:jc w:val="left"/>
      </w:pPr>
      <w:r>
        <w:rPr/>
        <w:t>①无形资产的使用寿命及摊销</w:t>
      </w:r>
      <w:r>
        <w:rPr>
          <w:spacing w:val="-100"/>
        </w:rPr>
        <w:t> </w:t>
      </w:r>
      <w:r>
        <w:rPr>
          <w:spacing w:val="-100"/>
        </w:rPr>
      </w:r>
      <w:r>
        <w:rPr>
          <w:spacing w:val="-2"/>
        </w:rPr>
        <w:t>无形资产在取得时分析判断其使用寿命。使用寿命有限的无形资产，自无形资产可供使用时起在预</w:t>
      </w:r>
    </w:p>
    <w:p>
      <w:pPr>
        <w:pStyle w:val="BodyText"/>
        <w:spacing w:line="240" w:lineRule="auto" w:before="52"/>
        <w:ind w:left="267" w:right="0"/>
        <w:jc w:val="both"/>
      </w:pPr>
      <w:r>
        <w:rPr/>
        <w:t>计使用年限、合同规定的受益年限和法律规定有效年限三者中最短者分期平均摊销。公司于年度终了对</w:t>
      </w:r>
    </w:p>
    <w:p>
      <w:pPr>
        <w:spacing w:after="0" w:line="240" w:lineRule="auto"/>
        <w:jc w:val="both"/>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36" w:lineRule="auto" w:before="36"/>
        <w:ind w:left="267" w:right="101"/>
        <w:jc w:val="left"/>
      </w:pPr>
      <w:r>
        <w:rPr>
          <w:spacing w:val="-2"/>
        </w:rPr>
        <w:t>无形资产的使用寿命及摊销方法进行复核，使用寿命及摊销方法与以前估计不同的，则改变摊销期限和</w:t>
      </w:r>
      <w:r>
        <w:rPr>
          <w:spacing w:val="-48"/>
        </w:rPr>
        <w:t> </w:t>
      </w:r>
      <w:r>
        <w:rPr>
          <w:spacing w:val="-48"/>
        </w:rPr>
      </w:r>
      <w:r>
        <w:rPr/>
        <w:t>摊销方法。</w:t>
      </w:r>
    </w:p>
    <w:p>
      <w:pPr>
        <w:pStyle w:val="BodyText"/>
        <w:spacing w:line="439" w:lineRule="auto" w:before="52"/>
        <w:ind w:left="267" w:right="101" w:firstLine="422"/>
        <w:jc w:val="left"/>
      </w:pPr>
      <w:r>
        <w:rPr>
          <w:spacing w:val="-2"/>
        </w:rPr>
        <w:t>②本公司期末预计某项无形资产已经不能给企业带来未来经济利益的，将该项无形资产的账面价值</w:t>
      </w:r>
      <w:r>
        <w:rPr>
          <w:w w:val="100"/>
        </w:rPr>
        <w:t> </w:t>
      </w:r>
      <w:r>
        <w:rPr/>
        <w:t>全部转入当期损益。</w:t>
      </w:r>
    </w:p>
    <w:p>
      <w:pPr>
        <w:pStyle w:val="BodyText"/>
        <w:spacing w:line="436" w:lineRule="auto" w:before="50"/>
        <w:ind w:left="575" w:right="2730" w:firstLine="105"/>
        <w:jc w:val="left"/>
      </w:pPr>
      <w:r>
        <w:rPr/>
        <w:t>③无形资产的减值</w:t>
      </w:r>
      <w:r>
        <w:rPr>
          <w:w w:val="100"/>
        </w:rPr>
        <w:t> </w:t>
      </w:r>
      <w:r>
        <w:rPr/>
        <w:t>本公司无形资产的减值准备计提方法见附注二、</w:t>
      </w:r>
      <w:r>
        <w:rPr>
          <w:rFonts w:ascii="Times New Roman" w:hAnsi="Times New Roman" w:cs="Times New Roman" w:eastAsia="Times New Roman" w:hint="default"/>
        </w:rPr>
        <w:t>26</w:t>
      </w:r>
      <w:r>
        <w:rPr/>
        <w:t>。</w:t>
      </w:r>
    </w:p>
    <w:p>
      <w:pPr>
        <w:spacing w:line="240" w:lineRule="auto" w:before="0"/>
        <w:rPr>
          <w:rFonts w:ascii="宋体" w:hAnsi="宋体" w:cs="宋体" w:eastAsia="宋体" w:hint="default"/>
          <w:sz w:val="22"/>
          <w:szCs w:val="22"/>
        </w:rPr>
      </w:pPr>
    </w:p>
    <w:p>
      <w:pPr>
        <w:pStyle w:val="Heading6"/>
        <w:spacing w:line="240" w:lineRule="auto" w:before="162"/>
        <w:ind w:right="101"/>
        <w:jc w:val="left"/>
        <w:rPr>
          <w:b w:val="0"/>
          <w:bCs w:val="0"/>
        </w:rPr>
      </w:pPr>
      <w:r>
        <w:rPr>
          <w:rFonts w:ascii="Times New Roman" w:hAnsi="Times New Roman" w:cs="Times New Roman" w:eastAsia="Times New Roman" w:hint="default"/>
        </w:rPr>
        <w:t>18</w:t>
      </w:r>
      <w:r>
        <w:rPr/>
        <w:t>、长期待摊费用</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39" w:lineRule="auto"/>
        <w:ind w:left="267" w:right="101" w:firstLine="412"/>
        <w:jc w:val="left"/>
      </w:pPr>
      <w:r>
        <w:rPr>
          <w:spacing w:val="-2"/>
        </w:rPr>
        <w:t>长期待摊费用是指本公司已经发生但应由本期和以后各期负担的期限在一年以上的各项费用。长期</w:t>
      </w:r>
      <w:r>
        <w:rPr>
          <w:w w:val="100"/>
        </w:rPr>
        <w:t> </w:t>
      </w:r>
      <w:r>
        <w:rPr/>
        <w:t>待摊费用在受益期内平均摊销，其中：</w:t>
      </w:r>
    </w:p>
    <w:p>
      <w:pPr>
        <w:pStyle w:val="BodyText"/>
        <w:spacing w:line="240" w:lineRule="auto" w:before="50"/>
        <w:ind w:left="680" w:right="101"/>
        <w:jc w:val="left"/>
      </w:pPr>
      <w:r>
        <w:rPr/>
        <w:t>（</w:t>
      </w:r>
      <w:r>
        <w:rPr>
          <w:rFonts w:ascii="Times New Roman" w:hAnsi="Times New Roman" w:cs="Times New Roman" w:eastAsia="Times New Roman" w:hint="default"/>
        </w:rPr>
        <w:t>1</w:t>
      </w:r>
      <w:r>
        <w:rPr/>
        <w:t>）预付经营租入固定资产的租金，按租赁合同规定的期限平均摊销。</w:t>
      </w:r>
    </w:p>
    <w:p>
      <w:pPr>
        <w:spacing w:line="240" w:lineRule="auto" w:before="12"/>
        <w:rPr>
          <w:rFonts w:ascii="宋体" w:hAnsi="宋体" w:cs="宋体" w:eastAsia="宋体" w:hint="default"/>
          <w:sz w:val="15"/>
          <w:szCs w:val="15"/>
        </w:rPr>
      </w:pPr>
    </w:p>
    <w:p>
      <w:pPr>
        <w:pStyle w:val="BodyText"/>
        <w:spacing w:line="412" w:lineRule="auto"/>
        <w:ind w:left="267" w:right="101" w:firstLine="412"/>
        <w:jc w:val="left"/>
      </w:pPr>
      <w:r>
        <w:rPr>
          <w:spacing w:val="-2"/>
        </w:rPr>
        <w:t>（</w:t>
      </w:r>
      <w:r>
        <w:rPr>
          <w:rFonts w:ascii="Times New Roman" w:hAnsi="Times New Roman" w:cs="Times New Roman" w:eastAsia="Times New Roman" w:hint="default"/>
          <w:spacing w:val="-2"/>
        </w:rPr>
        <w:t>2</w:t>
      </w:r>
      <w:r>
        <w:rPr>
          <w:spacing w:val="-2"/>
        </w:rPr>
        <w:t>）经营租赁方式租入的固定资产改良支出，按剩余租赁期与租赁资产尚可使用年限两者中较短</w:t>
      </w:r>
      <w:r>
        <w:rPr>
          <w:w w:val="100"/>
        </w:rPr>
        <w:t> </w:t>
      </w:r>
      <w:r>
        <w:rPr/>
        <w:t>的期限平均摊销。</w:t>
      </w:r>
    </w:p>
    <w:p>
      <w:pPr>
        <w:pStyle w:val="BodyText"/>
        <w:spacing w:line="412" w:lineRule="auto" w:before="73"/>
        <w:ind w:left="680" w:right="101"/>
        <w:jc w:val="left"/>
      </w:pPr>
      <w:r>
        <w:rPr/>
        <w:t>（</w:t>
      </w:r>
      <w:r>
        <w:rPr>
          <w:rFonts w:ascii="Times New Roman" w:hAnsi="Times New Roman" w:cs="Times New Roman" w:eastAsia="Times New Roman" w:hint="default"/>
        </w:rPr>
        <w:t>3</w:t>
      </w:r>
      <w:r>
        <w:rPr/>
        <w:t>）其他长期待摊费用按项目的受益期平均摊销。</w:t>
      </w:r>
      <w:r>
        <w:rPr>
          <w:w w:val="100"/>
        </w:rPr>
        <w:t> </w:t>
      </w:r>
      <w:r>
        <w:rPr>
          <w:spacing w:val="-2"/>
        </w:rPr>
        <w:t>对于在以后会计期间已无法带来预期经济利益的长期待摊费用，本公司对其尚未摊销的摊余价值全</w:t>
      </w:r>
    </w:p>
    <w:p>
      <w:pPr>
        <w:pStyle w:val="BodyText"/>
        <w:spacing w:line="240" w:lineRule="auto" w:before="78"/>
        <w:ind w:left="267" w:right="101"/>
        <w:jc w:val="left"/>
      </w:pPr>
      <w:r>
        <w:rPr/>
        <w:t>部转入当期损益。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3"/>
        <w:ind w:right="101"/>
        <w:jc w:val="left"/>
        <w:rPr>
          <w:b w:val="0"/>
          <w:bCs w:val="0"/>
        </w:rPr>
      </w:pPr>
      <w:r>
        <w:rPr>
          <w:rFonts w:ascii="Times New Roman" w:hAnsi="Times New Roman" w:cs="Times New Roman" w:eastAsia="Times New Roman" w:hint="default"/>
        </w:rPr>
        <w:t>19</w:t>
      </w:r>
      <w:r>
        <w:rPr/>
        <w:t>、预计负债</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267" w:right="101" w:firstLine="422"/>
        <w:jc w:val="left"/>
      </w:pPr>
      <w:r>
        <w:rPr/>
        <w:t>（</w:t>
      </w:r>
      <w:r>
        <w:rPr>
          <w:rFonts w:ascii="Times New Roman" w:hAnsi="Times New Roman" w:cs="Times New Roman" w:eastAsia="Times New Roman" w:hint="default"/>
        </w:rPr>
        <w:t>1</w:t>
      </w:r>
      <w:r>
        <w:rPr/>
        <w:t>）与或有事项相关的义务同时符合以下条件，本公司将其确认为预计负债：该义务是本公司承</w:t>
      </w:r>
      <w:r>
        <w:rPr>
          <w:w w:val="100"/>
        </w:rPr>
        <w:t> </w:t>
      </w:r>
      <w:r>
        <w:rPr/>
        <w:t>担的现时义务；该义务的履行很可能导致经济利益流出企业；该义务的金额能够可靠的计量。</w:t>
      </w:r>
    </w:p>
    <w:p>
      <w:pPr>
        <w:pStyle w:val="BodyText"/>
        <w:spacing w:line="427" w:lineRule="auto" w:before="73"/>
        <w:ind w:left="267" w:right="101" w:firstLine="412"/>
        <w:jc w:val="left"/>
      </w:pPr>
      <w:r>
        <w:rPr/>
        <w:t>（</w:t>
      </w:r>
      <w:r>
        <w:rPr>
          <w:rFonts w:ascii="Times New Roman" w:hAnsi="Times New Roman" w:cs="Times New Roman" w:eastAsia="Times New Roman" w:hint="default"/>
        </w:rPr>
        <w:t>2</w:t>
      </w:r>
      <w:r>
        <w:rPr/>
        <w:t>）清偿预计负债所需支出全部或部分预期由第三方补偿的，补偿金额只有在基本确定能够收到</w:t>
      </w:r>
      <w:r>
        <w:rPr>
          <w:w w:val="100"/>
        </w:rPr>
        <w:t> </w:t>
      </w:r>
      <w:r>
        <w:rPr>
          <w:spacing w:val="-2"/>
        </w:rPr>
        <w:t>时，才能作为资产单独确认，同时对该项单独核算的资产确认的补偿金额不超过对应的预计负债的账面</w:t>
      </w:r>
      <w:r>
        <w:rPr>
          <w:spacing w:val="-53"/>
        </w:rPr>
        <w:t> </w:t>
      </w:r>
      <w:r>
        <w:rPr>
          <w:spacing w:val="-53"/>
        </w:rPr>
      </w:r>
      <w:r>
        <w:rPr/>
        <w:t>金额。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6"/>
        <w:spacing w:line="240" w:lineRule="auto"/>
        <w:ind w:right="101"/>
        <w:jc w:val="left"/>
        <w:rPr>
          <w:b w:val="0"/>
          <w:bCs w:val="0"/>
        </w:rPr>
      </w:pPr>
      <w:r>
        <w:rPr>
          <w:rFonts w:ascii="Times New Roman" w:hAnsi="Times New Roman" w:cs="Times New Roman" w:eastAsia="Times New Roman" w:hint="default"/>
        </w:rPr>
        <w:t>20</w:t>
      </w:r>
      <w:r>
        <w:rPr/>
        <w:t>、股份支付及权益工具</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690" w:right="1007" w:hanging="10"/>
        <w:jc w:val="left"/>
      </w:pPr>
      <w:r>
        <w:rPr/>
        <w:t>（</w:t>
      </w:r>
      <w:r>
        <w:rPr>
          <w:rFonts w:ascii="Times New Roman" w:hAnsi="Times New Roman" w:cs="Times New Roman" w:eastAsia="Times New Roman" w:hint="default"/>
        </w:rPr>
        <w:t>1</w:t>
      </w:r>
      <w:r>
        <w:rPr/>
        <w:t>）股份支付种类</w:t>
      </w:r>
      <w:r>
        <w:rPr>
          <w:spacing w:val="-101"/>
        </w:rPr>
        <w:t> </w:t>
      </w:r>
      <w:r>
        <w:rPr>
          <w:spacing w:val="-101"/>
        </w:rPr>
      </w:r>
      <w:r>
        <w:rPr>
          <w:spacing w:val="-2"/>
        </w:rPr>
        <w:t>本公司股份支付分为以权益结算的股份支付和以现金结算的股份支付。</w:t>
      </w:r>
    </w:p>
    <w:p>
      <w:pPr>
        <w:spacing w:after="0" w:line="412"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12" w:lineRule="auto" w:before="36"/>
        <w:ind w:left="690" w:right="101"/>
        <w:jc w:val="left"/>
      </w:pPr>
      <w:r>
        <w:rPr/>
        <w:t>（</w:t>
      </w:r>
      <w:r>
        <w:rPr>
          <w:rFonts w:ascii="Times New Roman" w:hAnsi="Times New Roman" w:cs="Times New Roman" w:eastAsia="Times New Roman" w:hint="default"/>
        </w:rPr>
        <w:t>2</w:t>
      </w:r>
      <w:r>
        <w:rPr/>
        <w:t>）股份支付的会计处理</w:t>
      </w:r>
      <w:r>
        <w:rPr>
          <w:spacing w:val="-102"/>
        </w:rPr>
        <w:t> </w:t>
      </w:r>
      <w:r>
        <w:rPr>
          <w:spacing w:val="-102"/>
        </w:rPr>
      </w:r>
      <w:r>
        <w:rPr>
          <w:spacing w:val="-2"/>
        </w:rPr>
        <w:t>对于权益结算的涉及职工的股份支付，按照授予日权益工具的公允价值计入成本费用和资本公积</w:t>
      </w:r>
    </w:p>
    <w:p>
      <w:pPr>
        <w:pStyle w:val="BodyText"/>
        <w:spacing w:line="439" w:lineRule="auto" w:before="73"/>
        <w:ind w:left="267" w:right="101"/>
        <w:jc w:val="left"/>
      </w:pPr>
      <w:r>
        <w:rPr>
          <w:spacing w:val="-4"/>
          <w:w w:val="100"/>
        </w:rPr>
        <w:t>（其他资本公积），不确认其后续公允价值变动；对于现金结算的涉及职工的股份支付，按照每个资产</w:t>
      </w:r>
      <w:r>
        <w:rPr>
          <w:spacing w:val="-88"/>
          <w:w w:val="100"/>
        </w:rPr>
        <w:t> </w:t>
      </w:r>
      <w:r>
        <w:rPr>
          <w:spacing w:val="-88"/>
          <w:w w:val="100"/>
        </w:rPr>
      </w:r>
      <w:r>
        <w:rPr/>
        <w:t>负债表日权益工具的公允价值重新计量，确定成本费用和应付职工薪酬。</w:t>
      </w:r>
    </w:p>
    <w:p>
      <w:pPr>
        <w:pStyle w:val="BodyText"/>
        <w:spacing w:line="412" w:lineRule="auto" w:before="50"/>
        <w:ind w:left="690" w:right="101"/>
        <w:jc w:val="left"/>
      </w:pPr>
      <w:r>
        <w:rPr/>
        <w:t>（</w:t>
      </w:r>
      <w:r>
        <w:rPr>
          <w:rFonts w:ascii="Times New Roman" w:hAnsi="Times New Roman" w:cs="Times New Roman" w:eastAsia="Times New Roman" w:hint="default"/>
        </w:rPr>
        <w:t>3</w:t>
      </w:r>
      <w:r>
        <w:rPr/>
        <w:t>）权益工具公允价值的确定方法</w:t>
      </w:r>
      <w:r>
        <w:rPr>
          <w:spacing w:val="-103"/>
        </w:rPr>
        <w:t> </w:t>
      </w:r>
      <w:r>
        <w:rPr>
          <w:spacing w:val="-103"/>
        </w:rPr>
      </w:r>
      <w:r>
        <w:rPr>
          <w:spacing w:val="-2"/>
        </w:rPr>
        <w:t>对于授予的期权等权益工具存在活跃市场的，按照活跃市场中的报价确定其公允价值。对于授予的</w:t>
      </w:r>
    </w:p>
    <w:p>
      <w:pPr>
        <w:pStyle w:val="BodyText"/>
        <w:spacing w:line="240" w:lineRule="auto" w:before="73"/>
        <w:ind w:left="267" w:right="101"/>
        <w:jc w:val="left"/>
      </w:pPr>
      <w:r>
        <w:rPr/>
        <w:t>期权等权益工具不存在活跃市场的，采用期权定价模型等确定其公允价值。</w:t>
      </w:r>
    </w:p>
    <w:p>
      <w:pPr>
        <w:spacing w:line="240" w:lineRule="auto" w:before="2"/>
        <w:rPr>
          <w:rFonts w:ascii="宋体" w:hAnsi="宋体" w:cs="宋体" w:eastAsia="宋体" w:hint="default"/>
          <w:sz w:val="17"/>
          <w:szCs w:val="17"/>
        </w:rPr>
      </w:pPr>
    </w:p>
    <w:p>
      <w:pPr>
        <w:pStyle w:val="BodyText"/>
        <w:spacing w:line="412" w:lineRule="auto"/>
        <w:ind w:left="690" w:right="101"/>
        <w:jc w:val="left"/>
      </w:pPr>
      <w:r>
        <w:rPr/>
        <w:t>（</w:t>
      </w:r>
      <w:r>
        <w:rPr>
          <w:rFonts w:ascii="Times New Roman" w:hAnsi="Times New Roman" w:cs="Times New Roman" w:eastAsia="Times New Roman" w:hint="default"/>
        </w:rPr>
        <w:t>4</w:t>
      </w:r>
      <w:r>
        <w:rPr/>
        <w:t>）确认可行权权益工具最佳估计的依据</w:t>
      </w:r>
      <w:r>
        <w:rPr>
          <w:w w:val="100"/>
        </w:rPr>
        <w:t> </w:t>
      </w:r>
      <w:r>
        <w:rPr>
          <w:spacing w:val="-2"/>
        </w:rPr>
        <w:t>等待期内每个资产负债表日，本公司根据最新取得的可行权职工人数变动等后续信息作出最佳估</w:t>
      </w:r>
    </w:p>
    <w:p>
      <w:pPr>
        <w:pStyle w:val="BodyText"/>
        <w:spacing w:line="436" w:lineRule="auto" w:before="78"/>
        <w:ind w:left="267" w:right="101"/>
        <w:jc w:val="left"/>
      </w:pPr>
      <w:r>
        <w:rPr>
          <w:spacing w:val="-2"/>
        </w:rPr>
        <w:t>计，修正预计可行权的权益工具数量。在可行权日，最终预计可行权权益工具的数量应当与实际可行权</w:t>
      </w:r>
      <w:r>
        <w:rPr>
          <w:spacing w:val="-53"/>
        </w:rPr>
        <w:t> </w:t>
      </w:r>
      <w:r>
        <w:rPr>
          <w:spacing w:val="-53"/>
        </w:rPr>
      </w:r>
      <w:r>
        <w:rPr/>
        <w:t>数量一致。</w:t>
      </w:r>
    </w:p>
    <w:p>
      <w:pPr>
        <w:pStyle w:val="BodyText"/>
        <w:spacing w:line="412" w:lineRule="auto" w:before="52"/>
        <w:ind w:left="690" w:right="101"/>
        <w:jc w:val="left"/>
      </w:pPr>
      <w:r>
        <w:rPr/>
        <w:t>（</w:t>
      </w:r>
      <w:r>
        <w:rPr>
          <w:rFonts w:ascii="Times New Roman" w:hAnsi="Times New Roman" w:cs="Times New Roman" w:eastAsia="Times New Roman" w:hint="default"/>
        </w:rPr>
        <w:t>5</w:t>
      </w:r>
      <w:r>
        <w:rPr/>
        <w:t>）实施、修改、终止股份支付计划的相关会计处理</w:t>
      </w:r>
      <w:r>
        <w:rPr>
          <w:w w:val="100"/>
        </w:rPr>
        <w:t> </w:t>
      </w:r>
      <w:r>
        <w:rPr>
          <w:spacing w:val="-2"/>
        </w:rPr>
        <w:t>根据上述权益工具的公允价值和预计可行权的权益工具数量，计算截至当期累计应确认的成本费用</w:t>
      </w:r>
    </w:p>
    <w:p>
      <w:pPr>
        <w:pStyle w:val="BodyText"/>
        <w:spacing w:line="240" w:lineRule="auto" w:before="73"/>
        <w:ind w:left="267" w:right="101"/>
        <w:jc w:val="left"/>
      </w:pPr>
      <w:r>
        <w:rPr/>
        <w:t>金额，再减去前期累计已确认金额，作为当期应确认的成本费用金额。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8"/>
        <w:ind w:right="101"/>
        <w:jc w:val="left"/>
        <w:rPr>
          <w:b w:val="0"/>
          <w:bCs w:val="0"/>
        </w:rPr>
      </w:pPr>
      <w:r>
        <w:rPr>
          <w:rFonts w:ascii="Times New Roman" w:hAnsi="Times New Roman" w:cs="Times New Roman" w:eastAsia="Times New Roman" w:hint="default"/>
        </w:rPr>
        <w:t>21</w:t>
      </w:r>
      <w:r>
        <w:rPr/>
        <w:t>、收入</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690" w:right="101" w:hanging="10"/>
        <w:jc w:val="left"/>
      </w:pPr>
      <w:r>
        <w:rPr/>
        <w:t>（</w:t>
      </w:r>
      <w:r>
        <w:rPr>
          <w:rFonts w:ascii="Times New Roman" w:hAnsi="Times New Roman" w:cs="Times New Roman" w:eastAsia="Times New Roman" w:hint="default"/>
        </w:rPr>
        <w:t>1</w:t>
      </w:r>
      <w:r>
        <w:rPr/>
        <w:t>）销售商品</w:t>
      </w:r>
      <w:r>
        <w:rPr>
          <w:spacing w:val="-103"/>
        </w:rPr>
        <w:t> </w:t>
      </w:r>
      <w:r>
        <w:rPr>
          <w:spacing w:val="-103"/>
        </w:rPr>
      </w:r>
      <w:r>
        <w:rPr>
          <w:spacing w:val="-5"/>
        </w:rPr>
        <w:t>销售商品收入，同时满足下列条件时予以确认：已将商品所有权上的主要风险和报酬转移给购买方；</w:t>
      </w:r>
    </w:p>
    <w:p>
      <w:pPr>
        <w:pStyle w:val="BodyText"/>
        <w:spacing w:line="436" w:lineRule="auto" w:before="73"/>
        <w:ind w:left="267" w:right="101"/>
        <w:jc w:val="left"/>
      </w:pPr>
      <w:r>
        <w:rPr>
          <w:spacing w:val="-2"/>
        </w:rPr>
        <w:t>既没有保留通常与所有权相联系的继续管理权，也没有对已售出的商品实施有效控制；相关的经济利益</w:t>
      </w:r>
      <w:r>
        <w:rPr>
          <w:spacing w:val="-48"/>
        </w:rPr>
        <w:t> </w:t>
      </w:r>
      <w:r>
        <w:rPr>
          <w:spacing w:val="-48"/>
        </w:rPr>
      </w:r>
      <w:r>
        <w:rPr/>
        <w:t>很可能流入本公司；相关的收入和成本能够可靠的计量。</w:t>
      </w:r>
    </w:p>
    <w:p>
      <w:pPr>
        <w:pStyle w:val="BodyText"/>
        <w:spacing w:line="439" w:lineRule="auto" w:before="52"/>
        <w:ind w:left="267" w:right="207" w:firstLine="422"/>
        <w:jc w:val="both"/>
      </w:pPr>
      <w:r>
        <w:rPr>
          <w:spacing w:val="-2"/>
        </w:rPr>
        <w:t>房地产销售收入确认原则：销售合同已经签订；收取首期款项并已办理银行按揭手续或取得收取购</w:t>
      </w:r>
      <w:r>
        <w:rPr>
          <w:w w:val="100"/>
        </w:rPr>
        <w:t> </w:t>
      </w:r>
      <w:r>
        <w:rPr>
          <w:spacing w:val="-2"/>
        </w:rPr>
        <w:t>房款权利；房屋主体完工并验收合格；该项销售的成本能够可靠地计量。上述条件同时满足时，确认为</w:t>
      </w:r>
      <w:r>
        <w:rPr>
          <w:spacing w:val="-48"/>
        </w:rPr>
        <w:t> </w:t>
      </w:r>
      <w:r>
        <w:rPr>
          <w:spacing w:val="-48"/>
        </w:rPr>
      </w:r>
      <w:r>
        <w:rPr/>
        <w:t>当期收入。</w:t>
      </w:r>
    </w:p>
    <w:p>
      <w:pPr>
        <w:pStyle w:val="BodyText"/>
        <w:spacing w:line="412" w:lineRule="auto" w:before="50"/>
        <w:ind w:left="690" w:right="101" w:hanging="10"/>
        <w:jc w:val="left"/>
      </w:pPr>
      <w:r>
        <w:rPr/>
        <w:t>（</w:t>
      </w:r>
      <w:r>
        <w:rPr>
          <w:rFonts w:ascii="Times New Roman" w:hAnsi="Times New Roman" w:cs="Times New Roman" w:eastAsia="Times New Roman" w:hint="default"/>
        </w:rPr>
        <w:t>2</w:t>
      </w:r>
      <w:r>
        <w:rPr/>
        <w:t>）提供劳务</w:t>
      </w:r>
      <w:r>
        <w:rPr>
          <w:spacing w:val="-103"/>
        </w:rPr>
        <w:t> </w:t>
      </w:r>
      <w:r>
        <w:rPr>
          <w:spacing w:val="-103"/>
        </w:rPr>
      </w:r>
      <w:r>
        <w:rPr>
          <w:spacing w:val="-2"/>
        </w:rPr>
        <w:t>资产负债表日，本公司对提供的劳务交易或建造合同的结果能够可靠估计的，采用完工百分比法确</w:t>
      </w:r>
    </w:p>
    <w:p>
      <w:pPr>
        <w:pStyle w:val="BodyText"/>
        <w:spacing w:line="436" w:lineRule="auto" w:before="73"/>
        <w:ind w:left="267" w:right="101"/>
        <w:jc w:val="left"/>
      </w:pPr>
      <w:r>
        <w:rPr>
          <w:spacing w:val="-2"/>
        </w:rPr>
        <w:t>认收入实现，完工进度采用已完工作的测量确定。提供的劳务交易或建造合同的结果能够可靠估计，是</w:t>
      </w:r>
      <w:r>
        <w:rPr>
          <w:spacing w:val="-48"/>
        </w:rPr>
        <w:t> </w:t>
      </w:r>
      <w:r>
        <w:rPr>
          <w:spacing w:val="-48"/>
        </w:rPr>
      </w:r>
      <w:r>
        <w:rPr>
          <w:spacing w:val="-2"/>
        </w:rPr>
        <w:t>指相关的合同总收入和实际发生以及将发生的成本能够可靠计量，与合同相关的经济利益很可能流入。</w:t>
      </w:r>
    </w:p>
    <w:p>
      <w:pPr>
        <w:spacing w:after="0" w:line="436"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left="680" w:right="101"/>
        <w:jc w:val="left"/>
      </w:pPr>
      <w:r>
        <w:rPr/>
        <w:t>在资产负债表日提供劳务交易结果不能够可靠估计的，分别下列情况处理：</w:t>
      </w:r>
    </w:p>
    <w:p>
      <w:pPr>
        <w:spacing w:line="240" w:lineRule="auto" w:before="2"/>
        <w:rPr>
          <w:rFonts w:ascii="宋体" w:hAnsi="宋体" w:cs="宋体" w:eastAsia="宋体" w:hint="default"/>
          <w:sz w:val="17"/>
          <w:szCs w:val="17"/>
        </w:rPr>
      </w:pPr>
    </w:p>
    <w:p>
      <w:pPr>
        <w:pStyle w:val="BodyText"/>
        <w:spacing w:line="436" w:lineRule="auto"/>
        <w:ind w:left="267" w:right="101" w:firstLine="412"/>
        <w:jc w:val="left"/>
      </w:pPr>
      <w:r>
        <w:rPr>
          <w:spacing w:val="-2"/>
        </w:rPr>
        <w:t>①已发生的劳务成本预计能够得到补偿的，按照已经发生的劳务成本金额确认提供劳务收入，并按</w:t>
      </w:r>
      <w:r>
        <w:rPr>
          <w:w w:val="100"/>
        </w:rPr>
        <w:t> </w:t>
      </w:r>
      <w:r>
        <w:rPr/>
        <w:t>相同金额结转劳务成本。</w:t>
      </w:r>
    </w:p>
    <w:p>
      <w:pPr>
        <w:pStyle w:val="BodyText"/>
        <w:spacing w:line="436" w:lineRule="auto" w:before="57"/>
        <w:ind w:left="267" w:right="101" w:firstLine="412"/>
        <w:jc w:val="left"/>
      </w:pPr>
      <w:r>
        <w:rPr>
          <w:spacing w:val="-2"/>
        </w:rPr>
        <w:t>②已发生的劳务成本预计不能够得到补偿的，将已经发生的劳务成本计入当期损益，不确认提供劳</w:t>
      </w:r>
      <w:r>
        <w:rPr>
          <w:w w:val="100"/>
        </w:rPr>
        <w:t> </w:t>
      </w:r>
      <w:r>
        <w:rPr/>
        <w:t>务收入。</w:t>
      </w:r>
    </w:p>
    <w:p>
      <w:pPr>
        <w:pStyle w:val="BodyText"/>
        <w:spacing w:line="412" w:lineRule="auto" w:before="52"/>
        <w:ind w:left="680" w:right="101"/>
        <w:jc w:val="left"/>
      </w:pPr>
      <w:r>
        <w:rPr/>
        <w:t>（</w:t>
      </w:r>
      <w:r>
        <w:rPr>
          <w:rFonts w:ascii="Times New Roman" w:hAnsi="Times New Roman" w:cs="Times New Roman" w:eastAsia="Times New Roman" w:hint="default"/>
        </w:rPr>
        <w:t>3</w:t>
      </w:r>
      <w:r>
        <w:rPr/>
        <w:t>）让渡资产使用权</w:t>
      </w:r>
      <w:r>
        <w:rPr>
          <w:spacing w:val="-99"/>
        </w:rPr>
        <w:t> </w:t>
      </w:r>
      <w:r>
        <w:rPr>
          <w:spacing w:val="-99"/>
        </w:rPr>
      </w:r>
      <w:r>
        <w:rPr>
          <w:spacing w:val="-2"/>
        </w:rPr>
        <w:t>与交易相关的经济利益很可能流入本公司，收入的金额能够可靠地计量时，分别下列情况确定让渡</w:t>
      </w:r>
    </w:p>
    <w:p>
      <w:pPr>
        <w:pStyle w:val="BodyText"/>
        <w:spacing w:line="240" w:lineRule="auto" w:before="73"/>
        <w:ind w:left="267" w:right="101"/>
        <w:jc w:val="left"/>
      </w:pPr>
      <w:r>
        <w:rPr/>
        <w:t>资产使用权收入金额：</w:t>
      </w:r>
    </w:p>
    <w:p>
      <w:pPr>
        <w:spacing w:line="240" w:lineRule="auto" w:before="2"/>
        <w:rPr>
          <w:rFonts w:ascii="宋体" w:hAnsi="宋体" w:cs="宋体" w:eastAsia="宋体" w:hint="default"/>
          <w:sz w:val="17"/>
          <w:szCs w:val="17"/>
        </w:rPr>
      </w:pPr>
    </w:p>
    <w:p>
      <w:pPr>
        <w:pStyle w:val="BodyText"/>
        <w:spacing w:line="240" w:lineRule="auto"/>
        <w:ind w:left="680" w:right="101"/>
        <w:jc w:val="left"/>
      </w:pPr>
      <w:r>
        <w:rPr/>
        <w:t>①利息收入金额，按照他人使用本公司货币资金的时间和实际利率计算确定。</w:t>
      </w:r>
    </w:p>
    <w:p>
      <w:pPr>
        <w:spacing w:line="240" w:lineRule="auto" w:before="7"/>
        <w:rPr>
          <w:rFonts w:ascii="宋体" w:hAnsi="宋体" w:cs="宋体" w:eastAsia="宋体" w:hint="default"/>
          <w:sz w:val="17"/>
          <w:szCs w:val="17"/>
        </w:rPr>
      </w:pPr>
    </w:p>
    <w:p>
      <w:pPr>
        <w:pStyle w:val="BodyText"/>
        <w:spacing w:line="240" w:lineRule="auto"/>
        <w:ind w:left="680" w:right="101"/>
        <w:jc w:val="left"/>
      </w:pPr>
      <w:r>
        <w:rPr/>
        <w:t>②使用费收入金额，按照有关合同或协议约定的收费时间和方法计算确定。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3"/>
        <w:ind w:right="101"/>
        <w:jc w:val="left"/>
        <w:rPr>
          <w:b w:val="0"/>
          <w:bCs w:val="0"/>
        </w:rPr>
      </w:pPr>
      <w:r>
        <w:rPr>
          <w:rFonts w:ascii="Times New Roman" w:hAnsi="Times New Roman" w:cs="Times New Roman" w:eastAsia="Times New Roman" w:hint="default"/>
        </w:rPr>
        <w:t>22</w:t>
      </w:r>
      <w:r>
        <w:rPr/>
        <w:t>、政府补助</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80" w:right="101"/>
        <w:jc w:val="left"/>
      </w:pPr>
      <w:r>
        <w:rPr/>
        <w:t>政府补助分为与资产相关的政府补助和与收益相关的政府补助。</w:t>
      </w:r>
    </w:p>
    <w:p>
      <w:pPr>
        <w:spacing w:line="240" w:lineRule="auto" w:before="2"/>
        <w:rPr>
          <w:rFonts w:ascii="宋体" w:hAnsi="宋体" w:cs="宋体" w:eastAsia="宋体" w:hint="default"/>
          <w:sz w:val="17"/>
          <w:szCs w:val="17"/>
        </w:rPr>
      </w:pPr>
    </w:p>
    <w:p>
      <w:pPr>
        <w:pStyle w:val="BodyText"/>
        <w:spacing w:line="412" w:lineRule="auto"/>
        <w:ind w:left="680" w:right="2730"/>
        <w:jc w:val="left"/>
      </w:pPr>
      <w:r>
        <w:rPr/>
        <w:t>（</w:t>
      </w:r>
      <w:r>
        <w:rPr>
          <w:rFonts w:ascii="Times New Roman" w:hAnsi="Times New Roman" w:cs="Times New Roman" w:eastAsia="Times New Roman" w:hint="default"/>
        </w:rPr>
        <w:t>1</w:t>
      </w:r>
      <w:r>
        <w:rPr/>
        <w:t>）政府补助的确认与计量</w:t>
      </w:r>
      <w:r>
        <w:rPr>
          <w:spacing w:val="-101"/>
        </w:rPr>
        <w:t> </w:t>
      </w:r>
      <w:r>
        <w:rPr>
          <w:spacing w:val="-101"/>
        </w:rPr>
      </w:r>
      <w:r>
        <w:rPr>
          <w:spacing w:val="-2"/>
        </w:rPr>
        <w:t>政府补助在满足政府补助所附条件并能够收到时确认。</w:t>
      </w:r>
    </w:p>
    <w:p>
      <w:pPr>
        <w:pStyle w:val="BodyText"/>
        <w:spacing w:line="436" w:lineRule="auto" w:before="78"/>
        <w:ind w:left="267" w:right="101" w:firstLine="412"/>
        <w:jc w:val="left"/>
      </w:pPr>
      <w:r>
        <w:rPr>
          <w:spacing w:val="-2"/>
        </w:rPr>
        <w:t>政府补助为货币性资产的，按照收到或应收的金额计量；政府补助为非货币性资产的，按照公允价</w:t>
      </w:r>
      <w:r>
        <w:rPr>
          <w:w w:val="100"/>
        </w:rPr>
        <w:t> </w:t>
      </w:r>
      <w:r>
        <w:rPr/>
        <w:t>值计量；公允价值不能可靠取得的，按照名义金额计量。</w:t>
      </w:r>
    </w:p>
    <w:p>
      <w:pPr>
        <w:pStyle w:val="BodyText"/>
        <w:spacing w:line="427" w:lineRule="auto" w:before="52"/>
        <w:ind w:left="680" w:right="101"/>
        <w:jc w:val="left"/>
      </w:pPr>
      <w:r>
        <w:rPr/>
        <w:t>（</w:t>
      </w:r>
      <w:r>
        <w:rPr>
          <w:rFonts w:ascii="Times New Roman" w:hAnsi="Times New Roman" w:cs="Times New Roman" w:eastAsia="Times New Roman" w:hint="default"/>
        </w:rPr>
        <w:t>2</w:t>
      </w:r>
      <w:r>
        <w:rPr/>
        <w:t>）政府补助的会计处理</w:t>
      </w:r>
      <w:r>
        <w:rPr>
          <w:spacing w:val="-102"/>
        </w:rPr>
        <w:t> </w:t>
      </w:r>
      <w:r>
        <w:rPr>
          <w:spacing w:val="-102"/>
        </w:rPr>
      </w:r>
      <w:r>
        <w:rPr/>
        <w:t>与资产相关的政府补助，确认为递延收益，并在相关资产适用寿命内平均分配，计入当期损益。</w:t>
      </w:r>
      <w:r>
        <w:rPr>
          <w:w w:val="100"/>
        </w:rPr>
        <w:t> </w:t>
      </w:r>
      <w:r>
        <w:rPr/>
        <w:t>按照名义金额计量的政府补助，直接计入当期损益。</w:t>
      </w:r>
      <w:r>
        <w:rPr>
          <w:w w:val="100"/>
        </w:rPr>
        <w:t> </w:t>
      </w:r>
      <w:r>
        <w:rPr>
          <w:spacing w:val="-2"/>
        </w:rPr>
        <w:t>与收益相关的政府补助，用于补偿企业以后期间的相关费用或损失的，确认为递延收益，并在确认</w:t>
      </w:r>
    </w:p>
    <w:p>
      <w:pPr>
        <w:pStyle w:val="BodyText"/>
        <w:spacing w:line="240" w:lineRule="auto" w:before="65"/>
        <w:ind w:left="267" w:right="101"/>
        <w:jc w:val="left"/>
      </w:pPr>
      <w:r>
        <w:rPr/>
        <w:t>相关费用的期间，计入当期损益；用于补偿企业已发生的相关费用或损失的，直接计入当期损益。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3"/>
        <w:ind w:right="101"/>
        <w:jc w:val="left"/>
        <w:rPr>
          <w:b w:val="0"/>
          <w:bCs w:val="0"/>
        </w:rPr>
      </w:pPr>
      <w:r>
        <w:rPr>
          <w:rFonts w:ascii="Times New Roman" w:hAnsi="Times New Roman" w:cs="Times New Roman" w:eastAsia="Times New Roman" w:hint="default"/>
        </w:rPr>
        <w:t>23</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36" w:lineRule="auto"/>
        <w:ind w:left="267" w:right="207" w:firstLine="412"/>
        <w:jc w:val="both"/>
      </w:pPr>
      <w:r>
        <w:rPr>
          <w:spacing w:val="-2"/>
        </w:rPr>
        <w:t>本公司根据资产、负债于资产负债表日的账面价值与计税基础之间的暂时性差异，采用资产负债表</w:t>
      </w:r>
      <w:r>
        <w:rPr>
          <w:w w:val="100"/>
        </w:rPr>
        <w:t> </w:t>
      </w:r>
      <w:r>
        <w:rPr>
          <w:spacing w:val="-2"/>
        </w:rPr>
        <w:t>债务法确认递延所得税。除由于企业合并产生的调整商誉，或与直接计入所有者权益的交易或者事项相</w:t>
      </w:r>
      <w:r>
        <w:rPr>
          <w:spacing w:val="-48"/>
        </w:rPr>
        <w:t> </w:t>
      </w:r>
      <w:r>
        <w:rPr>
          <w:spacing w:val="-48"/>
        </w:rPr>
      </w:r>
      <w:r>
        <w:rPr/>
        <w:t>关的递延所得税计入所有者权益外，递延所得税均作为所得税费用计入当期损益。</w:t>
      </w:r>
    </w:p>
    <w:p>
      <w:pPr>
        <w:spacing w:after="0" w:line="436" w:lineRule="auto"/>
        <w:jc w:val="both"/>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36" w:lineRule="auto" w:before="36"/>
        <w:ind w:left="267" w:right="207" w:firstLine="422"/>
        <w:jc w:val="both"/>
      </w:pPr>
      <w:r>
        <w:rPr>
          <w:spacing w:val="-2"/>
        </w:rPr>
        <w:t>各项应纳税暂时性差异均确认相关的递延所得税负债，除非该应纳税暂时性差异是在以下交易中产</w:t>
      </w:r>
      <w:r>
        <w:rPr>
          <w:w w:val="100"/>
        </w:rPr>
        <w:t> </w:t>
      </w:r>
      <w:r>
        <w:rPr/>
        <w:t>生的：</w:t>
      </w:r>
    </w:p>
    <w:p>
      <w:pPr>
        <w:pStyle w:val="BodyText"/>
        <w:spacing w:line="403" w:lineRule="auto" w:before="42"/>
        <w:ind w:left="267" w:right="212" w:firstLine="422"/>
        <w:jc w:val="both"/>
      </w:pPr>
      <w:r>
        <w:rPr/>
        <w:t>（</w:t>
      </w:r>
      <w:r>
        <w:rPr>
          <w:rFonts w:ascii="Times New Roman" w:hAnsi="Times New Roman" w:cs="Times New Roman" w:eastAsia="Times New Roman" w:hint="default"/>
        </w:rPr>
        <w:t>1</w:t>
      </w:r>
      <w:r>
        <w:rPr/>
        <w:t>）商誉的初始确认，或者具有以下特征的交易中产生的资产或负债的初始确认：该交易不是企</w:t>
      </w:r>
      <w:r>
        <w:rPr>
          <w:w w:val="100"/>
        </w:rPr>
        <w:t> </w:t>
      </w:r>
      <w:r>
        <w:rPr/>
        <w:t>业合并，并且交易发生时既不影响会计利润也不影响应纳税所得额；</w:t>
      </w:r>
    </w:p>
    <w:p>
      <w:pPr>
        <w:pStyle w:val="BodyText"/>
        <w:spacing w:line="403" w:lineRule="auto" w:before="76"/>
        <w:ind w:left="267" w:right="212" w:firstLine="422"/>
        <w:jc w:val="both"/>
      </w:pPr>
      <w:r>
        <w:rPr/>
        <w:t>（</w:t>
      </w:r>
      <w:r>
        <w:rPr>
          <w:rFonts w:ascii="Times New Roman" w:hAnsi="Times New Roman" w:cs="Times New Roman" w:eastAsia="Times New Roman" w:hint="default"/>
        </w:rPr>
        <w:t>2</w:t>
      </w:r>
      <w:r>
        <w:rPr/>
        <w:t>）具有以下特征的交易中产生的资产或负债的初始确认：该交易不是企业合并，并且交易发生</w:t>
      </w:r>
      <w:r>
        <w:rPr>
          <w:w w:val="100"/>
        </w:rPr>
        <w:t> </w:t>
      </w:r>
      <w:r>
        <w:rPr/>
        <w:t>时既不影响会计利润也不影响应纳税所得额；</w:t>
      </w:r>
    </w:p>
    <w:p>
      <w:pPr>
        <w:pStyle w:val="BodyText"/>
        <w:spacing w:line="403" w:lineRule="auto" w:before="72"/>
        <w:ind w:left="267" w:right="212" w:firstLine="422"/>
        <w:jc w:val="both"/>
      </w:pPr>
      <w:r>
        <w:rPr/>
        <w:t>（</w:t>
      </w:r>
      <w:r>
        <w:rPr>
          <w:rFonts w:ascii="Times New Roman" w:hAnsi="Times New Roman" w:cs="Times New Roman" w:eastAsia="Times New Roman" w:hint="default"/>
        </w:rPr>
        <w:t>3</w:t>
      </w:r>
      <w:r>
        <w:rPr/>
        <w:t>）对于与子公司、合营企业及联营企业投资相关的应纳税暂时性差异，该暂时性差异转回的时</w:t>
      </w:r>
      <w:r>
        <w:rPr>
          <w:w w:val="100"/>
        </w:rPr>
        <w:t> </w:t>
      </w:r>
      <w:r>
        <w:rPr/>
        <w:t>间能够控制并且该暂时性差异在可预见的未来很可能不会转回。</w:t>
      </w:r>
    </w:p>
    <w:p>
      <w:pPr>
        <w:pStyle w:val="BodyText"/>
        <w:spacing w:line="427" w:lineRule="auto" w:before="72"/>
        <w:ind w:left="267" w:right="204" w:firstLine="422"/>
        <w:jc w:val="both"/>
      </w:pPr>
      <w:r>
        <w:rPr>
          <w:spacing w:val="-2"/>
        </w:rPr>
        <w:t>对于可抵扣暂时性差异、能够结转以后年度的可抵扣亏损和税款抵减，本公司以很可能取得用来抵</w:t>
      </w:r>
      <w:r>
        <w:rPr>
          <w:w w:val="100"/>
        </w:rPr>
        <w:t> </w:t>
      </w:r>
      <w:r>
        <w:rPr>
          <w:spacing w:val="-2"/>
        </w:rPr>
        <w:t>扣可抵扣暂时性差异、可抵扣亏损和税款抵减的未来应纳税所得额为限，确认由此产生的递延所得税资</w:t>
      </w:r>
      <w:r>
        <w:rPr>
          <w:spacing w:val="-48"/>
        </w:rPr>
        <w:t> </w:t>
      </w:r>
      <w:r>
        <w:rPr>
          <w:spacing w:val="-48"/>
        </w:rPr>
      </w:r>
      <w:r>
        <w:rPr/>
        <w:t>产，除非该可抵扣暂时性差异是在以下交易中产生的：</w:t>
      </w:r>
    </w:p>
    <w:p>
      <w:pPr>
        <w:pStyle w:val="BodyText"/>
        <w:spacing w:line="240" w:lineRule="auto" w:before="51"/>
        <w:ind w:left="690" w:right="101"/>
        <w:jc w:val="left"/>
      </w:pPr>
      <w:r>
        <w:rPr/>
        <w:t>（</w:t>
      </w:r>
      <w:r>
        <w:rPr>
          <w:rFonts w:ascii="Times New Roman" w:hAnsi="Times New Roman" w:cs="Times New Roman" w:eastAsia="Times New Roman" w:hint="default"/>
        </w:rPr>
        <w:t>1</w:t>
      </w:r>
      <w:r>
        <w:rPr/>
        <w:t>）该交易不是企业合并，并且交易发生时既不影响会计利润也不影响应纳税所得额；</w:t>
      </w:r>
    </w:p>
    <w:p>
      <w:pPr>
        <w:spacing w:line="240" w:lineRule="auto" w:before="3"/>
        <w:rPr>
          <w:rFonts w:ascii="宋体" w:hAnsi="宋体" w:cs="宋体" w:eastAsia="宋体" w:hint="default"/>
          <w:sz w:val="15"/>
          <w:szCs w:val="15"/>
        </w:rPr>
      </w:pPr>
    </w:p>
    <w:p>
      <w:pPr>
        <w:pStyle w:val="BodyText"/>
        <w:spacing w:line="415" w:lineRule="auto"/>
        <w:ind w:left="267" w:right="207" w:firstLine="422"/>
        <w:jc w:val="both"/>
      </w:pPr>
      <w:r>
        <w:rPr/>
        <w:t>（</w:t>
      </w:r>
      <w:r>
        <w:rPr>
          <w:rFonts w:ascii="Times New Roman" w:hAnsi="Times New Roman" w:cs="Times New Roman" w:eastAsia="Times New Roman" w:hint="default"/>
        </w:rPr>
        <w:t>2</w:t>
      </w:r>
      <w:r>
        <w:rPr/>
        <w:t>）对于与子公司、合营企业及联营企业投资相关的可抵扣暂时性差异，同时满足下列条件的，</w:t>
      </w:r>
      <w:r>
        <w:rPr>
          <w:w w:val="100"/>
        </w:rPr>
        <w:t> </w:t>
      </w:r>
      <w:r>
        <w:rPr>
          <w:spacing w:val="-2"/>
        </w:rPr>
        <w:t>确认相应的递延所得税资产：暂时性差异在可预见的未来很可能转回，且未来很可能获得用来抵扣可抵</w:t>
      </w:r>
      <w:r>
        <w:rPr>
          <w:spacing w:val="-48"/>
        </w:rPr>
        <w:t> </w:t>
      </w:r>
      <w:r>
        <w:rPr>
          <w:spacing w:val="-48"/>
        </w:rPr>
      </w:r>
      <w:r>
        <w:rPr/>
        <w:t>扣暂时性差异的应纳税所得额。</w:t>
      </w:r>
    </w:p>
    <w:p>
      <w:pPr>
        <w:pStyle w:val="BodyText"/>
        <w:spacing w:line="432" w:lineRule="auto" w:before="61"/>
        <w:ind w:left="267" w:right="207" w:firstLine="412"/>
        <w:jc w:val="both"/>
      </w:pPr>
      <w:r>
        <w:rPr>
          <w:spacing w:val="-2"/>
        </w:rPr>
        <w:t>资产负债表日，本公司对递延所得税资产和递延所得税负债，按照预期收回该资产或清偿该负债期</w:t>
      </w:r>
      <w:r>
        <w:rPr>
          <w:w w:val="100"/>
        </w:rPr>
        <w:t> </w:t>
      </w:r>
      <w:r>
        <w:rPr/>
        <w:t>间的适用税率计量，并反映资产负债表日预期收回资产或清偿负债方式的所得税影响。</w:t>
      </w:r>
    </w:p>
    <w:p>
      <w:pPr>
        <w:pStyle w:val="BodyText"/>
        <w:spacing w:line="427" w:lineRule="auto" w:before="46"/>
        <w:ind w:left="267" w:right="101" w:firstLine="412"/>
        <w:jc w:val="left"/>
      </w:pPr>
      <w:r>
        <w:rPr/>
        <w:t>本公司在资产负债表日对递延所得税资产的账面价值进行复核。如果未来期间很可能无法取得足够</w:t>
      </w:r>
      <w:r>
        <w:rPr>
          <w:w w:val="100"/>
        </w:rPr>
        <w:t> </w:t>
      </w:r>
      <w:r>
        <w:rPr>
          <w:spacing w:val="-2"/>
        </w:rPr>
        <w:t>的应纳税所得额用以抵扣递延所得税资产的利益，则减记递延所得税资产的账面价值，减记的金额计入</w:t>
      </w:r>
      <w:r>
        <w:rPr>
          <w:spacing w:val="-48"/>
        </w:rPr>
        <w:t> </w:t>
      </w:r>
      <w:r>
        <w:rPr>
          <w:spacing w:val="-48"/>
        </w:rPr>
      </w:r>
      <w:r>
        <w:rPr>
          <w:spacing w:val="-5"/>
        </w:rPr>
        <w:t>当期的所得税费用。原确认时计入所有者权益的递延所得税资产部分，其减记金额也应计入所有者权益。</w:t>
      </w:r>
      <w:r>
        <w:rPr>
          <w:spacing w:val="-12"/>
        </w:rPr>
        <w:t> </w:t>
      </w:r>
      <w:r>
        <w:rPr>
          <w:spacing w:val="-12"/>
        </w:rPr>
      </w:r>
      <w:r>
        <w:rPr/>
        <w:t>在很可能取得足够的应纳税所得额时，减记的递延所得税资产账面价值可以恢复。</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6"/>
        <w:spacing w:line="240" w:lineRule="auto"/>
        <w:ind w:right="101"/>
        <w:jc w:val="left"/>
        <w:rPr>
          <w:b w:val="0"/>
          <w:bCs w:val="0"/>
        </w:rPr>
      </w:pPr>
      <w:r>
        <w:rPr>
          <w:rFonts w:ascii="Times New Roman" w:hAnsi="Times New Roman" w:cs="Times New Roman" w:eastAsia="Times New Roman" w:hint="default"/>
        </w:rPr>
        <w:t>24</w:t>
      </w:r>
      <w:r>
        <w:rPr/>
        <w:t>、经营租赁、融资租赁</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36" w:lineRule="auto"/>
        <w:ind w:left="267" w:right="207" w:firstLine="412"/>
        <w:jc w:val="both"/>
      </w:pPr>
      <w:r>
        <w:rPr>
          <w:spacing w:val="-2"/>
        </w:rPr>
        <w:t>本公司将实质上转移了与资产所有权有关的全部风险和报酬的租赁为融资租赁，除此之外的均为经</w:t>
      </w:r>
      <w:r>
        <w:rPr>
          <w:w w:val="100"/>
        </w:rPr>
        <w:t> </w:t>
      </w:r>
      <w:r>
        <w:rPr/>
        <w:t>营租赁。</w:t>
      </w:r>
    </w:p>
    <w:p>
      <w:pPr>
        <w:pStyle w:val="BodyText"/>
        <w:spacing w:line="240" w:lineRule="auto" w:before="57"/>
        <w:ind w:left="680" w:right="101"/>
        <w:jc w:val="left"/>
      </w:pPr>
      <w:r>
        <w:rPr/>
        <w:t>（</w:t>
      </w:r>
      <w:r>
        <w:rPr>
          <w:rFonts w:ascii="Times New Roman" w:hAnsi="Times New Roman" w:cs="Times New Roman" w:eastAsia="Times New Roman" w:hint="default"/>
        </w:rPr>
        <w:t>1</w:t>
      </w:r>
      <w:r>
        <w:rPr/>
        <w:t>）经营租赁</w:t>
      </w:r>
    </w:p>
    <w:p>
      <w:pPr>
        <w:spacing w:line="240" w:lineRule="auto" w:before="12"/>
        <w:rPr>
          <w:rFonts w:ascii="宋体" w:hAnsi="宋体" w:cs="宋体" w:eastAsia="宋体" w:hint="default"/>
          <w:sz w:val="15"/>
          <w:szCs w:val="15"/>
        </w:rPr>
      </w:pPr>
    </w:p>
    <w:p>
      <w:pPr>
        <w:pStyle w:val="BodyText"/>
        <w:spacing w:line="436" w:lineRule="auto"/>
        <w:ind w:left="267" w:right="207" w:firstLine="422"/>
        <w:jc w:val="both"/>
      </w:pPr>
      <w:r>
        <w:rPr>
          <w:spacing w:val="-2"/>
        </w:rPr>
        <w:t>①本公司租入资产所支付的租赁费，在不扣除免租期的整个租赁期内，按直线法进行分摊，计入当</w:t>
      </w:r>
      <w:r>
        <w:rPr>
          <w:w w:val="100"/>
        </w:rPr>
        <w:t> </w:t>
      </w:r>
      <w:r>
        <w:rPr/>
        <w:t>期费用。本公司支付的与租赁交易相关的初始直接费用，计入当期费用。</w:t>
      </w:r>
    </w:p>
    <w:p>
      <w:pPr>
        <w:spacing w:after="0" w:line="436" w:lineRule="auto"/>
        <w:jc w:val="both"/>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36" w:lineRule="auto" w:before="36"/>
        <w:ind w:left="267" w:right="114" w:firstLine="422"/>
        <w:jc w:val="left"/>
      </w:pPr>
      <w:r>
        <w:rPr>
          <w:spacing w:val="-2"/>
        </w:rPr>
        <w:t>资产出租方承担了应由本公司承担的与租赁相关的费用时，本公司将该部分费用从租金总额中扣</w:t>
      </w:r>
      <w:r>
        <w:rPr>
          <w:w w:val="100"/>
        </w:rPr>
        <w:t> </w:t>
      </w:r>
      <w:r>
        <w:rPr/>
        <w:t>除，按扣除后的租金费用在租赁期内分摊，计入当期费用。</w:t>
      </w:r>
    </w:p>
    <w:p>
      <w:pPr>
        <w:pStyle w:val="BodyText"/>
        <w:spacing w:line="439" w:lineRule="auto" w:before="52"/>
        <w:ind w:left="267" w:right="327" w:firstLine="422"/>
        <w:jc w:val="both"/>
      </w:pPr>
      <w:r>
        <w:rPr>
          <w:spacing w:val="-2"/>
        </w:rPr>
        <w:t>②本公司出租资产所收取的租赁费，在不扣除免租期的整个租赁期内，按直线法进行分摊，确认为</w:t>
      </w:r>
      <w:r>
        <w:rPr>
          <w:w w:val="100"/>
        </w:rPr>
        <w:t> </w:t>
      </w:r>
      <w:r>
        <w:rPr>
          <w:spacing w:val="-3"/>
        </w:rPr>
        <w:t>租赁收入。本公司支付的与租赁交易相关的初始直接费用，计入当期费用；如金额较大的，则予以资本</w:t>
      </w:r>
      <w:r>
        <w:rPr>
          <w:spacing w:val="-9"/>
        </w:rPr>
        <w:t> </w:t>
      </w:r>
      <w:r>
        <w:rPr>
          <w:spacing w:val="-9"/>
        </w:rPr>
      </w:r>
      <w:r>
        <w:rPr/>
        <w:t>化，在整个租赁期间内按照与租赁收入确认相同的基础分期计入当期收益。</w:t>
      </w:r>
    </w:p>
    <w:p>
      <w:pPr>
        <w:pStyle w:val="BodyText"/>
        <w:spacing w:line="436" w:lineRule="auto" w:before="50"/>
        <w:ind w:left="267" w:right="114" w:firstLine="422"/>
        <w:jc w:val="left"/>
      </w:pPr>
      <w:r>
        <w:rPr>
          <w:spacing w:val="-2"/>
        </w:rPr>
        <w:t>本公司承担了应由承租方承担的与租赁相关的费用时，本公司将该部分费用从租金收入总额中扣</w:t>
      </w:r>
      <w:r>
        <w:rPr>
          <w:w w:val="100"/>
        </w:rPr>
        <w:t> </w:t>
      </w:r>
      <w:r>
        <w:rPr/>
        <w:t>除，按扣除后的租金费用在租赁期内分配。</w:t>
      </w:r>
    </w:p>
    <w:p>
      <w:pPr>
        <w:pStyle w:val="BodyText"/>
        <w:spacing w:line="240" w:lineRule="auto" w:before="52"/>
        <w:ind w:left="690" w:right="114"/>
        <w:jc w:val="left"/>
      </w:pPr>
      <w:r>
        <w:rPr/>
        <w:t>（</w:t>
      </w:r>
      <w:r>
        <w:rPr>
          <w:rFonts w:ascii="Times New Roman" w:hAnsi="Times New Roman" w:cs="Times New Roman" w:eastAsia="Times New Roman" w:hint="default"/>
        </w:rPr>
        <w:t>2</w:t>
      </w:r>
      <w:r>
        <w:rPr/>
        <w:t>）融资租赁会计处理</w:t>
      </w:r>
    </w:p>
    <w:p>
      <w:pPr>
        <w:spacing w:line="240" w:lineRule="auto" w:before="12"/>
        <w:rPr>
          <w:rFonts w:ascii="宋体" w:hAnsi="宋体" w:cs="宋体" w:eastAsia="宋体" w:hint="default"/>
          <w:sz w:val="15"/>
          <w:szCs w:val="15"/>
        </w:rPr>
      </w:pPr>
    </w:p>
    <w:p>
      <w:pPr>
        <w:pStyle w:val="BodyText"/>
        <w:spacing w:line="439" w:lineRule="auto"/>
        <w:ind w:left="267" w:right="327" w:firstLine="422"/>
        <w:jc w:val="both"/>
      </w:pPr>
      <w:r>
        <w:rPr>
          <w:spacing w:val="-2"/>
        </w:rPr>
        <w:t>①融资租入资产：本公司在承租开始日，将租赁资产公允价值与最低租赁付款额现值两者中较低者</w:t>
      </w:r>
      <w:r>
        <w:rPr>
          <w:w w:val="100"/>
        </w:rPr>
        <w:t> </w:t>
      </w:r>
      <w:r>
        <w:rPr>
          <w:spacing w:val="-2"/>
        </w:rPr>
        <w:t>作为租入资产的入账价值，将最低租赁付款额作为长期应付款的入账价值，其差额作为未确认的融资费</w:t>
      </w:r>
      <w:r>
        <w:rPr>
          <w:spacing w:val="-48"/>
        </w:rPr>
        <w:t> </w:t>
      </w:r>
      <w:r>
        <w:rPr>
          <w:spacing w:val="-48"/>
        </w:rPr>
      </w:r>
      <w:r>
        <w:rPr/>
        <w:t>用。</w:t>
      </w:r>
    </w:p>
    <w:p>
      <w:pPr>
        <w:pStyle w:val="BodyText"/>
        <w:spacing w:line="240" w:lineRule="auto" w:before="50"/>
        <w:ind w:left="690" w:right="114"/>
        <w:jc w:val="left"/>
      </w:pPr>
      <w:r>
        <w:rPr/>
        <w:t>本公司采用实际利率法对未确认的融资费用，在资产租赁期间内摊销，计入财务费用。</w:t>
      </w:r>
    </w:p>
    <w:p>
      <w:pPr>
        <w:spacing w:line="240" w:lineRule="auto" w:before="2"/>
        <w:rPr>
          <w:rFonts w:ascii="宋体" w:hAnsi="宋体" w:cs="宋体" w:eastAsia="宋体" w:hint="default"/>
          <w:sz w:val="17"/>
          <w:szCs w:val="17"/>
        </w:rPr>
      </w:pPr>
    </w:p>
    <w:p>
      <w:pPr>
        <w:pStyle w:val="BodyText"/>
        <w:spacing w:line="436" w:lineRule="auto"/>
        <w:ind w:left="267" w:right="327" w:firstLine="412"/>
        <w:jc w:val="both"/>
      </w:pPr>
      <w:r>
        <w:rPr>
          <w:spacing w:val="-2"/>
        </w:rPr>
        <w:t>②融资租出资产：本公司在租赁开始日，将应收融资租赁款，未担保余值之和与其现值的差额确认</w:t>
      </w:r>
      <w:r>
        <w:rPr>
          <w:w w:val="100"/>
        </w:rPr>
        <w:t> </w:t>
      </w:r>
      <w:r>
        <w:rPr>
          <w:spacing w:val="-2"/>
        </w:rPr>
        <w:t>为未实现融资收益，在将来受到租赁的各期间内确认为租赁收入，本公司发生的与出租交易相关的初始</w:t>
      </w:r>
      <w:r>
        <w:rPr>
          <w:spacing w:val="-48"/>
        </w:rPr>
        <w:t> </w:t>
      </w:r>
      <w:r>
        <w:rPr>
          <w:spacing w:val="-48"/>
        </w:rPr>
      </w:r>
      <w:r>
        <w:rPr/>
        <w:t>直接费用，计入应收融资租赁款的初始计量中，并减少租赁期内确认的收益金额。</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Heading6"/>
        <w:spacing w:line="240" w:lineRule="auto"/>
        <w:ind w:right="114"/>
        <w:jc w:val="left"/>
        <w:rPr>
          <w:b w:val="0"/>
          <w:bCs w:val="0"/>
        </w:rPr>
      </w:pPr>
      <w:r>
        <w:rPr>
          <w:rFonts w:ascii="Times New Roman" w:hAnsi="Times New Roman" w:cs="Times New Roman" w:eastAsia="Times New Roman" w:hint="default"/>
        </w:rPr>
        <w:t>25</w:t>
      </w:r>
      <w:r>
        <w:rPr/>
        <w:t>、持有待售资产</w:t>
      </w:r>
      <w:r>
        <w:rPr>
          <w:b w:val="0"/>
          <w:bCs w:val="0"/>
        </w:rPr>
      </w:r>
    </w:p>
    <w:p>
      <w:pPr>
        <w:pStyle w:val="BodyText"/>
        <w:spacing w:line="427" w:lineRule="auto" w:before="191"/>
        <w:ind w:left="267" w:right="327" w:firstLine="412"/>
        <w:jc w:val="both"/>
      </w:pPr>
      <w:r>
        <w:rPr>
          <w:spacing w:val="-2"/>
        </w:rPr>
        <w:t>本公司将同时满足下列条件的非流动资产划分为持有待售资产：一是本公司已经就处置该非流动资</w:t>
      </w:r>
      <w:r>
        <w:rPr>
          <w:w w:val="100"/>
        </w:rPr>
        <w:t> </w:t>
      </w:r>
      <w:r>
        <w:rPr/>
        <w:t>产作出决议；二是本公司已经与受让方签订了不可撤销的转让协议；三是该项转让将在一年内完成。</w:t>
      </w:r>
    </w:p>
    <w:p>
      <w:pPr>
        <w:pStyle w:val="BodyText"/>
        <w:spacing w:line="427" w:lineRule="auto" w:before="51"/>
        <w:ind w:left="267" w:right="327" w:firstLine="412"/>
        <w:jc w:val="both"/>
      </w:pPr>
      <w:r>
        <w:rPr>
          <w:spacing w:val="-2"/>
        </w:rPr>
        <w:t>对于持有待售的固定资产，调整该项固定资产的预计净残值，使该固定资产的预计净残值反映其公</w:t>
      </w:r>
      <w:r>
        <w:rPr>
          <w:w w:val="100"/>
        </w:rPr>
        <w:t> </w:t>
      </w:r>
      <w:r>
        <w:rPr>
          <w:spacing w:val="-2"/>
        </w:rPr>
        <w:t>允价值减去处置费用后的金额，但不得超过符合持有待售条件时该项固定资产的原账面价值，原账面价</w:t>
      </w:r>
      <w:r>
        <w:rPr>
          <w:spacing w:val="-48"/>
        </w:rPr>
        <w:t> </w:t>
      </w:r>
      <w:r>
        <w:rPr>
          <w:spacing w:val="-48"/>
        </w:rPr>
      </w:r>
      <w:r>
        <w:rPr/>
        <w:t>值高于调整后预计净残值的差额，应作为资产减值损失计入当期损益。</w:t>
      </w:r>
    </w:p>
    <w:p>
      <w:pPr>
        <w:pStyle w:val="BodyText"/>
        <w:spacing w:line="240" w:lineRule="auto" w:before="51"/>
        <w:ind w:left="680" w:right="114"/>
        <w:jc w:val="left"/>
      </w:pPr>
      <w:r>
        <w:rPr/>
        <w:t>符合持有待售条件的无形资产等其他非流动资产，比照上述原则处理。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pStyle w:val="Heading6"/>
        <w:spacing w:line="240" w:lineRule="auto"/>
        <w:ind w:right="114"/>
        <w:jc w:val="left"/>
        <w:rPr>
          <w:b w:val="0"/>
          <w:bCs w:val="0"/>
        </w:rPr>
      </w:pPr>
      <w:r>
        <w:rPr>
          <w:rFonts w:ascii="Times New Roman" w:hAnsi="Times New Roman" w:cs="Times New Roman" w:eastAsia="Times New Roman" w:hint="default"/>
        </w:rPr>
        <w:t>26</w:t>
      </w:r>
      <w:r>
        <w:rPr/>
        <w:t>、资产减值</w:t>
      </w:r>
      <w:r>
        <w:rPr>
          <w:b w:val="0"/>
          <w:bCs w:val="0"/>
        </w:rPr>
      </w:r>
    </w:p>
    <w:p>
      <w:pPr>
        <w:pStyle w:val="BodyText"/>
        <w:spacing w:line="429" w:lineRule="auto" w:before="191"/>
        <w:ind w:right="116" w:firstLine="422"/>
        <w:jc w:val="both"/>
      </w:pPr>
      <w:r>
        <w:rPr>
          <w:spacing w:val="-5"/>
        </w:rPr>
        <w:t>本公司对子公司、联营企业和合营企业的长期股权投资、采用成本模式进行后续计量的投资性房地产、</w:t>
      </w:r>
      <w:r>
        <w:rPr>
          <w:w w:val="100"/>
        </w:rPr>
        <w:t> </w:t>
      </w:r>
      <w:r>
        <w:rPr>
          <w:spacing w:val="-5"/>
          <w:w w:val="100"/>
        </w:rPr>
        <w:t>固定资产、在建工程、无形资产、商誉、（存货、按公允价值模式计量的投资性房地产、递延所得税资产、</w:t>
      </w:r>
      <w:r>
        <w:rPr>
          <w:spacing w:val="-63"/>
          <w:w w:val="100"/>
        </w:rPr>
        <w:t> </w:t>
      </w:r>
      <w:r>
        <w:rPr>
          <w:spacing w:val="-63"/>
          <w:w w:val="100"/>
        </w:rPr>
      </w:r>
      <w:r>
        <w:rPr/>
        <w:t>金融资产除外）的资产减值，按以下方法确定：</w:t>
      </w:r>
    </w:p>
    <w:p>
      <w:pPr>
        <w:spacing w:after="0" w:line="429" w:lineRule="auto"/>
        <w:jc w:val="both"/>
        <w:sectPr>
          <w:pgSz w:w="11900" w:h="16840"/>
          <w:pgMar w:header="762" w:footer="840" w:top="1000" w:bottom="1020" w:left="980" w:right="9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422" w:lineRule="auto" w:before="36"/>
        <w:ind w:right="222" w:firstLine="422"/>
        <w:jc w:val="both"/>
      </w:pPr>
      <w:r>
        <w:rPr/>
        <w:t>（</w:t>
      </w:r>
      <w:r>
        <w:rPr>
          <w:rFonts w:ascii="Times New Roman" w:hAnsi="Times New Roman" w:cs="Times New Roman" w:eastAsia="Times New Roman" w:hint="default"/>
        </w:rPr>
        <w:t>1</w:t>
      </w:r>
      <w:r>
        <w:rPr/>
        <w:t>）本公司于资产负债表日判断资产是否存在可能发生减值的迹象，存在减值迹象的，本公司将估</w:t>
      </w:r>
      <w:r>
        <w:rPr>
          <w:w w:val="100"/>
        </w:rPr>
        <w:t> </w:t>
      </w:r>
      <w:r>
        <w:rPr>
          <w:spacing w:val="-2"/>
        </w:rPr>
        <w:t>计其可收回金额，进行减值测试。对因企业合并所形成的商誉、使用寿命不确定的无形资产和尚未达到可</w:t>
      </w:r>
      <w:r>
        <w:rPr>
          <w:spacing w:val="-35"/>
        </w:rPr>
        <w:t> </w:t>
      </w:r>
      <w:r>
        <w:rPr>
          <w:spacing w:val="-35"/>
        </w:rPr>
      </w:r>
      <w:r>
        <w:rPr/>
        <w:t>使用状态的无形资产无论是否存在减值迹象，每年都进行减值测试。</w:t>
      </w:r>
    </w:p>
    <w:p>
      <w:pPr>
        <w:pStyle w:val="BodyText"/>
        <w:spacing w:line="422" w:lineRule="auto" w:before="60"/>
        <w:ind w:right="202" w:firstLine="422"/>
        <w:jc w:val="both"/>
      </w:pPr>
      <w:r>
        <w:rPr/>
        <w:t>（</w:t>
      </w:r>
      <w:r>
        <w:rPr>
          <w:rFonts w:ascii="Times New Roman" w:hAnsi="Times New Roman" w:cs="Times New Roman" w:eastAsia="Times New Roman" w:hint="default"/>
        </w:rPr>
        <w:t>2</w:t>
      </w:r>
      <w:r>
        <w:rPr/>
        <w:t>）可收回金额根据资产的公允价值减去处置费用后的净额与资产预计未来现金流量的现值两者之</w:t>
      </w:r>
      <w:r>
        <w:rPr>
          <w:w w:val="100"/>
        </w:rPr>
        <w:t> </w:t>
      </w:r>
      <w:r>
        <w:rPr>
          <w:spacing w:val="-2"/>
        </w:rPr>
        <w:t>间较高者确定。本公司以单项资产为基础估计其可收回金额；难以对单项资产的可收回金额进行估计的，</w:t>
      </w:r>
      <w:r>
        <w:rPr>
          <w:spacing w:val="-15"/>
        </w:rPr>
        <w:t> </w:t>
      </w:r>
      <w:r>
        <w:rPr>
          <w:spacing w:val="-15"/>
        </w:rPr>
      </w:r>
      <w:r>
        <w:rPr/>
        <w:t>以该资产所属的资产组为基础确定资产组的可收回金额。</w:t>
      </w:r>
    </w:p>
    <w:p>
      <w:pPr>
        <w:pStyle w:val="BodyText"/>
        <w:spacing w:line="422" w:lineRule="auto" w:before="60"/>
        <w:ind w:right="222" w:firstLine="422"/>
        <w:jc w:val="both"/>
      </w:pPr>
      <w:r>
        <w:rPr/>
        <w:t>（</w:t>
      </w:r>
      <w:r>
        <w:rPr>
          <w:rFonts w:ascii="Times New Roman" w:hAnsi="Times New Roman" w:cs="Times New Roman" w:eastAsia="Times New Roman" w:hint="default"/>
        </w:rPr>
        <w:t>3</w:t>
      </w:r>
      <w:r>
        <w:rPr/>
        <w:t>）资产组的认定，以资产组产生的主要现金流入是否独立于其他资产或者资产组的现金流入为依</w:t>
      </w:r>
      <w:r>
        <w:rPr>
          <w:w w:val="100"/>
        </w:rPr>
        <w:t> </w:t>
      </w:r>
      <w:r>
        <w:rPr>
          <w:spacing w:val="-2"/>
        </w:rPr>
        <w:t>据。当资产或资产组的可收回金额低于其账面价值时，本公司将其账面价值减记至可收回金额，减记的金</w:t>
      </w:r>
      <w:r>
        <w:rPr>
          <w:spacing w:val="-35"/>
        </w:rPr>
        <w:t> </w:t>
      </w:r>
      <w:r>
        <w:rPr>
          <w:spacing w:val="-35"/>
        </w:rPr>
      </w:r>
      <w:r>
        <w:rPr/>
        <w:t>额计入当期损益，同时计提相应的资产减值准备。</w:t>
      </w:r>
    </w:p>
    <w:p>
      <w:pPr>
        <w:pStyle w:val="BodyText"/>
        <w:spacing w:line="422" w:lineRule="auto" w:before="60"/>
        <w:ind w:right="116" w:firstLine="422"/>
        <w:jc w:val="both"/>
      </w:pPr>
      <w:r>
        <w:rPr/>
        <w:t>（</w:t>
      </w:r>
      <w:r>
        <w:rPr>
          <w:rFonts w:ascii="Times New Roman" w:hAnsi="Times New Roman" w:cs="Times New Roman" w:eastAsia="Times New Roman" w:hint="default"/>
        </w:rPr>
        <w:t>4</w:t>
      </w:r>
      <w:r>
        <w:rPr/>
        <w:t>）就商誉的减值测试而言，对于因企业合并形成的商誉的账面价值，自购买日起按照合理的方法</w:t>
      </w:r>
      <w:r>
        <w:rPr>
          <w:w w:val="100"/>
        </w:rPr>
        <w:t> </w:t>
      </w:r>
      <w:r>
        <w:rPr/>
        <w:t>分摊至相关的资产组；难以分摊至相关的资产组的，将其分摊至相关的资产组组合。相关的资产组或资产</w:t>
      </w:r>
      <w:r>
        <w:rPr>
          <w:w w:val="100"/>
        </w:rPr>
        <w:t> </w:t>
      </w:r>
      <w:r>
        <w:rPr>
          <w:spacing w:val="-4"/>
        </w:rPr>
        <w:t>组组合，是能够从企业合并的协同效应中受益的资产组或者资产组组合，且不大于本公司确定的报告分部。</w:t>
      </w:r>
    </w:p>
    <w:p>
      <w:pPr>
        <w:pStyle w:val="BodyText"/>
        <w:spacing w:line="432" w:lineRule="auto" w:before="60"/>
        <w:ind w:right="222" w:firstLine="422"/>
        <w:jc w:val="both"/>
      </w:pPr>
      <w:r>
        <w:rPr>
          <w:spacing w:val="-2"/>
        </w:rPr>
        <w:t>减值测试时，如与商誉相关的资产组或者资产组组合存在减值迹象的，首先对不包含商誉的资产组或</w:t>
      </w:r>
      <w:r>
        <w:rPr>
          <w:w w:val="100"/>
        </w:rPr>
        <w:t> </w:t>
      </w:r>
      <w:r>
        <w:rPr>
          <w:spacing w:val="-2"/>
        </w:rPr>
        <w:t>者资产组组合进行减值测试，计算可收回金额，确认相应的减值损失。然后对包含商誉的资产组或者资产</w:t>
      </w:r>
      <w:r>
        <w:rPr>
          <w:spacing w:val="-35"/>
        </w:rPr>
        <w:t> </w:t>
      </w:r>
      <w:r>
        <w:rPr>
          <w:spacing w:val="-35"/>
        </w:rPr>
      </w:r>
      <w:r>
        <w:rPr>
          <w:spacing w:val="-2"/>
        </w:rPr>
        <w:t>组组合进行减值测试，比较其账面价值与可收回金额，如可收回金额低于账面价值的，确认商誉的减值损</w:t>
      </w:r>
      <w:r>
        <w:rPr>
          <w:spacing w:val="-35"/>
        </w:rPr>
        <w:t> </w:t>
      </w:r>
      <w:r>
        <w:rPr>
          <w:spacing w:val="-35"/>
        </w:rPr>
      </w:r>
      <w:r>
        <w:rPr/>
        <w:t>失。</w:t>
      </w:r>
    </w:p>
    <w:p>
      <w:pPr>
        <w:pStyle w:val="BodyText"/>
        <w:spacing w:line="240" w:lineRule="auto" w:before="51"/>
        <w:ind w:left="575" w:right="114"/>
        <w:jc w:val="left"/>
      </w:pPr>
      <w:r>
        <w:rPr/>
        <w:t>（</w:t>
      </w:r>
      <w:r>
        <w:rPr>
          <w:rFonts w:ascii="Times New Roman" w:hAnsi="Times New Roman" w:cs="Times New Roman" w:eastAsia="Times New Roman" w:hint="default"/>
        </w:rPr>
        <w:t>5</w:t>
      </w:r>
      <w:r>
        <w:rPr/>
        <w:t>）资产减值损失一经确认，在以后会计期间不再转回。</w:t>
      </w: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6"/>
          <w:szCs w:val="26"/>
        </w:rPr>
      </w:pPr>
    </w:p>
    <w:p>
      <w:pPr>
        <w:pStyle w:val="Heading6"/>
        <w:spacing w:line="240" w:lineRule="auto"/>
        <w:ind w:right="114"/>
        <w:jc w:val="left"/>
        <w:rPr>
          <w:b w:val="0"/>
          <w:bCs w:val="0"/>
        </w:rPr>
      </w:pPr>
      <w:r>
        <w:rPr>
          <w:rFonts w:ascii="Times New Roman" w:hAnsi="Times New Roman" w:cs="Times New Roman" w:eastAsia="Times New Roman" w:hint="default"/>
        </w:rPr>
        <w:t>27</w:t>
      </w:r>
      <w:r>
        <w:rPr/>
        <w:t>、职工薪酬</w:t>
      </w:r>
      <w:r>
        <w:rPr>
          <w:b w:val="0"/>
          <w:bCs w:val="0"/>
        </w:rPr>
      </w:r>
    </w:p>
    <w:p>
      <w:pPr>
        <w:pStyle w:val="BodyText"/>
        <w:spacing w:line="436" w:lineRule="auto" w:before="195"/>
        <w:ind w:right="222" w:firstLine="422"/>
        <w:jc w:val="both"/>
      </w:pPr>
      <w:r>
        <w:rPr>
          <w:spacing w:val="-2"/>
        </w:rPr>
        <w:t>职工工资、奖金、津贴、补贴、福利费、社会保险、住房公积金等，在职工提供服务的会计期间内确</w:t>
      </w:r>
      <w:r>
        <w:rPr>
          <w:w w:val="100"/>
        </w:rPr>
        <w:t> </w:t>
      </w:r>
      <w:r>
        <w:rPr/>
        <w:t>认。对于资产负债表日后</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年以上到期的，如果折现的影响金额重大，则以其现值列示。</w:t>
      </w:r>
    </w:p>
    <w:p>
      <w:pPr>
        <w:spacing w:line="240" w:lineRule="auto" w:before="0"/>
        <w:rPr>
          <w:rFonts w:ascii="宋体" w:hAnsi="宋体" w:cs="宋体" w:eastAsia="宋体" w:hint="default"/>
          <w:sz w:val="22"/>
          <w:szCs w:val="22"/>
        </w:rPr>
      </w:pPr>
    </w:p>
    <w:p>
      <w:pPr>
        <w:pStyle w:val="Heading6"/>
        <w:spacing w:line="240" w:lineRule="auto" w:before="152"/>
        <w:ind w:right="114"/>
        <w:jc w:val="left"/>
        <w:rPr>
          <w:b w:val="0"/>
          <w:bCs w:val="0"/>
        </w:rPr>
      </w:pPr>
      <w:r>
        <w:rPr>
          <w:rFonts w:ascii="Times New Roman" w:hAnsi="Times New Roman" w:cs="Times New Roman" w:eastAsia="Times New Roman" w:hint="default"/>
        </w:rPr>
        <w:t>28</w:t>
      </w:r>
      <w:r>
        <w:rPr/>
        <w:t>、主要会计政策、会计估计的变更</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08" w:lineRule="auto"/>
        <w:ind w:left="575" w:right="5362"/>
        <w:jc w:val="left"/>
      </w:pPr>
      <w:r>
        <w:rPr/>
        <w:t>（</w:t>
      </w:r>
      <w:r>
        <w:rPr>
          <w:rFonts w:ascii="Times New Roman" w:hAnsi="Times New Roman" w:cs="Times New Roman" w:eastAsia="Times New Roman" w:hint="default"/>
        </w:rPr>
        <w:t>1</w:t>
      </w:r>
      <w:r>
        <w:rPr/>
        <w:t>）会计政策变更</w:t>
      </w:r>
      <w:r>
        <w:rPr>
          <w:spacing w:val="-101"/>
        </w:rPr>
        <w:t> </w:t>
      </w:r>
      <w:r>
        <w:rPr>
          <w:spacing w:val="-101"/>
        </w:rPr>
      </w:r>
      <w:r>
        <w:rPr>
          <w:spacing w:val="-1"/>
        </w:rPr>
        <w:t>本公司本期无会计政策变更事项。</w:t>
      </w:r>
    </w:p>
    <w:p>
      <w:pPr>
        <w:spacing w:line="396" w:lineRule="auto" w:before="72"/>
        <w:ind w:left="575" w:right="5362" w:firstLine="0"/>
        <w:jc w:val="left"/>
        <w:rPr>
          <w:rFonts w:ascii="Microsoft JhengHei" w:hAnsi="Microsoft JhengHei" w:cs="Microsoft JhengHei" w:eastAsia="Microsoft JhengHei"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）会计估计变更</w:t>
      </w:r>
      <w:r>
        <w:rPr>
          <w:rFonts w:ascii="宋体" w:hAnsi="宋体" w:cs="宋体" w:eastAsia="宋体" w:hint="default"/>
          <w:w w:val="100"/>
          <w:sz w:val="21"/>
          <w:szCs w:val="21"/>
        </w:rPr>
        <w:t> </w:t>
      </w:r>
      <w:r>
        <w:rPr>
          <w:rFonts w:ascii="宋体" w:hAnsi="宋体" w:cs="宋体" w:eastAsia="宋体" w:hint="default"/>
          <w:spacing w:val="-1"/>
          <w:sz w:val="21"/>
          <w:szCs w:val="21"/>
        </w:rPr>
        <w:t>本公司本期无会计估计变更事项。</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Times New Roman" w:hAnsi="Times New Roman" w:cs="Times New Roman" w:eastAsia="Times New Roman" w:hint="default"/>
          <w:b/>
          <w:bCs/>
          <w:sz w:val="21"/>
          <w:szCs w:val="21"/>
        </w:rPr>
        <w:t>29</w:t>
      </w:r>
      <w:r>
        <w:rPr>
          <w:rFonts w:ascii="Microsoft JhengHei" w:hAnsi="Microsoft JhengHei" w:cs="Microsoft JhengHei" w:eastAsia="Microsoft JhengHei" w:hint="default"/>
          <w:b/>
          <w:bCs/>
          <w:sz w:val="21"/>
          <w:szCs w:val="21"/>
        </w:rPr>
        <w:t>、前期差错更正</w:t>
      </w:r>
      <w:r>
        <w:rPr>
          <w:rFonts w:ascii="Microsoft JhengHei" w:hAnsi="Microsoft JhengHei" w:cs="Microsoft JhengHei" w:eastAsia="Microsoft JhengHei" w:hint="default"/>
          <w:sz w:val="21"/>
          <w:szCs w:val="21"/>
        </w:rPr>
      </w:r>
    </w:p>
    <w:p>
      <w:pPr>
        <w:spacing w:after="0" w:line="396" w:lineRule="auto"/>
        <w:jc w:val="left"/>
        <w:rPr>
          <w:rFonts w:ascii="Microsoft JhengHei" w:hAnsi="Microsoft JhengHei" w:cs="Microsoft JhengHei" w:eastAsia="Microsoft JhengHei" w:hint="default"/>
          <w:sz w:val="21"/>
          <w:szCs w:val="21"/>
        </w:rPr>
        <w:sectPr>
          <w:pgSz w:w="11900" w:h="16840"/>
          <w:pgMar w:header="762" w:footer="840" w:top="1000" w:bottom="1020" w:left="980" w:right="90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before="36"/>
        <w:ind w:left="575" w:right="3657"/>
        <w:jc w:val="left"/>
      </w:pPr>
      <w:r>
        <w:rPr/>
        <w:t>本公司本期无会计差错更正事项。</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pStyle w:val="Heading6"/>
        <w:spacing w:line="240" w:lineRule="auto"/>
        <w:ind w:right="3657"/>
        <w:jc w:val="left"/>
        <w:rPr>
          <w:b w:val="0"/>
          <w:bCs w:val="0"/>
        </w:rPr>
      </w:pPr>
      <w:r>
        <w:rPr>
          <w:rFonts w:ascii="Times New Roman" w:hAnsi="Times New Roman" w:cs="Times New Roman" w:eastAsia="Times New Roman" w:hint="default"/>
        </w:rPr>
        <w:t>30</w:t>
      </w:r>
      <w:r>
        <w:rPr/>
        <w:t>、其他主要会计政策、会计估计和财务报表编制方法</w:t>
      </w:r>
      <w:r>
        <w:rPr>
          <w:b w:val="0"/>
          <w:bCs w:val="0"/>
        </w:rPr>
      </w:r>
    </w:p>
    <w:p>
      <w:pPr>
        <w:pStyle w:val="BodyText"/>
        <w:spacing w:line="388" w:lineRule="auto" w:before="162"/>
        <w:ind w:left="267" w:right="179" w:firstLine="422"/>
        <w:jc w:val="both"/>
      </w:pPr>
      <w:r>
        <w:rPr>
          <w:spacing w:val="-3"/>
          <w:w w:val="100"/>
        </w:rPr>
        <w:t>根据《中华人民共和国公司法》，本公司税后净利润在弥补以前年度未弥补亏损后，提取法定盈余</w:t>
      </w:r>
      <w:r>
        <w:rPr>
          <w:w w:val="100"/>
        </w:rPr>
        <w:t> </w:t>
      </w:r>
      <w:r>
        <w:rPr/>
        <w:t>公积 </w:t>
      </w:r>
      <w:r>
        <w:rPr>
          <w:rFonts w:ascii="Times New Roman" w:hAnsi="Times New Roman" w:cs="Times New Roman" w:eastAsia="Times New Roman" w:hint="default"/>
          <w:spacing w:val="-2"/>
        </w:rPr>
        <w:t>10%</w:t>
      </w:r>
      <w:r>
        <w:rPr>
          <w:spacing w:val="-2"/>
        </w:rPr>
        <w:t>，计入当期利润分配；剩余未分配的利润由董事会提出利润分配预案报股东大会批准后实施，</w:t>
      </w:r>
      <w:r>
        <w:rPr>
          <w:spacing w:val="-73"/>
        </w:rPr>
        <w:t> </w:t>
      </w:r>
      <w:r>
        <w:rPr>
          <w:spacing w:val="-73"/>
        </w:rPr>
      </w:r>
      <w:r>
        <w:rPr/>
        <w:t>计入实施当期的利润分配。</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6"/>
        <w:spacing w:line="240" w:lineRule="auto"/>
        <w:ind w:right="3657"/>
        <w:jc w:val="left"/>
        <w:rPr>
          <w:b w:val="0"/>
          <w:bCs w:val="0"/>
        </w:rPr>
      </w:pPr>
      <w:r>
        <w:rPr/>
        <w:t>三、税项</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7"/>
        <w:rPr>
          <w:rFonts w:ascii="Microsoft JhengHei" w:hAnsi="Microsoft JhengHei" w:cs="Microsoft JhengHei" w:eastAsia="Microsoft JhengHei" w:hint="default"/>
          <w:b/>
          <w:bCs/>
          <w:sz w:val="11"/>
          <w:szCs w:val="11"/>
        </w:rPr>
      </w:pPr>
    </w:p>
    <w:p>
      <w:pPr>
        <w:pStyle w:val="Heading6"/>
        <w:spacing w:line="240" w:lineRule="auto"/>
        <w:ind w:right="3657"/>
        <w:jc w:val="left"/>
        <w:rPr>
          <w:b w:val="0"/>
          <w:bCs w:val="0"/>
        </w:rPr>
      </w:pPr>
      <w:r>
        <w:rPr>
          <w:rFonts w:ascii="Times New Roman" w:hAnsi="Times New Roman" w:cs="Times New Roman" w:eastAsia="Times New Roman" w:hint="default"/>
        </w:rPr>
        <w:t>1</w:t>
      </w:r>
      <w:r>
        <w:rPr/>
        <w:t>、主要税种及税率</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2707"/>
        <w:gridCol w:w="4258"/>
        <w:gridCol w:w="2688"/>
      </w:tblGrid>
      <w:tr>
        <w:trPr>
          <w:trHeight w:val="480" w:hRule="exact"/>
        </w:trPr>
        <w:tc>
          <w:tcPr>
            <w:tcW w:w="270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48"/>
              <w:ind w:left="23"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425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68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48"/>
              <w:ind w:right="2"/>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470"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8"/>
              <w:ind w:left="124"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5"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6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25%</w:t>
            </w:r>
          </w:p>
        </w:tc>
      </w:tr>
      <w:tr>
        <w:trPr>
          <w:trHeight w:val="470"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8"/>
              <w:ind w:left="124"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5" w:right="0"/>
              <w:jc w:val="left"/>
              <w:rPr>
                <w:rFonts w:ascii="宋体" w:hAnsi="宋体" w:cs="宋体" w:eastAsia="宋体" w:hint="default"/>
                <w:sz w:val="21"/>
                <w:szCs w:val="21"/>
              </w:rPr>
            </w:pPr>
            <w:r>
              <w:rPr>
                <w:rFonts w:ascii="宋体" w:hAnsi="宋体" w:cs="宋体" w:eastAsia="宋体" w:hint="default"/>
                <w:sz w:val="21"/>
                <w:szCs w:val="21"/>
              </w:rPr>
              <w:t>物业代收水电费</w:t>
            </w:r>
          </w:p>
        </w:tc>
        <w:tc>
          <w:tcPr>
            <w:tcW w:w="26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8"/>
              <w:ind w:right="9"/>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17%</w:t>
            </w:r>
          </w:p>
        </w:tc>
      </w:tr>
      <w:tr>
        <w:trPr>
          <w:trHeight w:val="470"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8"/>
              <w:ind w:left="124"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5" w:right="0"/>
              <w:jc w:val="left"/>
              <w:rPr>
                <w:rFonts w:ascii="宋体" w:hAnsi="宋体" w:cs="宋体" w:eastAsia="宋体" w:hint="default"/>
                <w:sz w:val="21"/>
                <w:szCs w:val="21"/>
              </w:rPr>
            </w:pPr>
            <w:r>
              <w:rPr>
                <w:rFonts w:ascii="宋体" w:hAnsi="宋体" w:cs="宋体" w:eastAsia="宋体" w:hint="default"/>
                <w:sz w:val="21"/>
                <w:szCs w:val="21"/>
              </w:rPr>
              <w:t>房地产销售收入、出租收入、劳务收入</w:t>
            </w:r>
          </w:p>
        </w:tc>
        <w:tc>
          <w:tcPr>
            <w:tcW w:w="26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5%</w:t>
            </w:r>
          </w:p>
        </w:tc>
      </w:tr>
      <w:tr>
        <w:trPr>
          <w:trHeight w:val="470"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8"/>
              <w:ind w:left="124"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42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left="10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房屋原值的</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70%</w:t>
            </w:r>
          </w:p>
        </w:tc>
        <w:tc>
          <w:tcPr>
            <w:tcW w:w="26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1.2%</w:t>
            </w:r>
          </w:p>
        </w:tc>
      </w:tr>
      <w:tr>
        <w:trPr>
          <w:trHeight w:val="480" w:hRule="exact"/>
        </w:trPr>
        <w:tc>
          <w:tcPr>
            <w:tcW w:w="270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8"/>
              <w:ind w:left="124" w:right="0"/>
              <w:jc w:val="left"/>
              <w:rPr>
                <w:rFonts w:ascii="宋体" w:hAnsi="宋体" w:cs="宋体" w:eastAsia="宋体" w:hint="default"/>
                <w:sz w:val="21"/>
                <w:szCs w:val="21"/>
              </w:rPr>
            </w:pPr>
            <w:r>
              <w:rPr>
                <w:rFonts w:ascii="宋体" w:hAnsi="宋体" w:cs="宋体" w:eastAsia="宋体" w:hint="default"/>
                <w:sz w:val="21"/>
                <w:szCs w:val="21"/>
              </w:rPr>
              <w:t>土地增值税</w:t>
            </w:r>
          </w:p>
        </w:tc>
        <w:tc>
          <w:tcPr>
            <w:tcW w:w="42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8"/>
              <w:ind w:left="105" w:right="0"/>
              <w:jc w:val="left"/>
              <w:rPr>
                <w:rFonts w:ascii="宋体" w:hAnsi="宋体" w:cs="宋体" w:eastAsia="宋体" w:hint="default"/>
                <w:sz w:val="21"/>
                <w:szCs w:val="21"/>
              </w:rPr>
            </w:pPr>
            <w:r>
              <w:rPr>
                <w:rFonts w:ascii="宋体" w:hAnsi="宋体" w:cs="宋体" w:eastAsia="宋体" w:hint="default"/>
                <w:sz w:val="21"/>
                <w:szCs w:val="21"/>
              </w:rPr>
              <w:t>房地产销售增值额</w:t>
            </w:r>
          </w:p>
        </w:tc>
        <w:tc>
          <w:tcPr>
            <w:tcW w:w="268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8"/>
              <w:ind w:right="7"/>
              <w:jc w:val="center"/>
              <w:rPr>
                <w:rFonts w:ascii="宋体" w:hAnsi="宋体" w:cs="宋体" w:eastAsia="宋体" w:hint="default"/>
                <w:sz w:val="21"/>
                <w:szCs w:val="21"/>
              </w:rPr>
            </w:pPr>
            <w:r>
              <w:rPr>
                <w:rFonts w:ascii="宋体" w:hAnsi="宋体" w:cs="宋体" w:eastAsia="宋体" w:hint="default"/>
                <w:sz w:val="21"/>
                <w:szCs w:val="21"/>
              </w:rPr>
              <w:t>超率累进税率</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8"/>
        <w:rPr>
          <w:rFonts w:ascii="Microsoft JhengHei" w:hAnsi="Microsoft JhengHei" w:cs="Microsoft JhengHei" w:eastAsia="Microsoft JhengHei" w:hint="default"/>
          <w:b/>
          <w:bCs/>
          <w:sz w:val="13"/>
          <w:szCs w:val="13"/>
        </w:rPr>
      </w:pPr>
    </w:p>
    <w:p>
      <w:pPr>
        <w:pStyle w:val="Heading6"/>
        <w:spacing w:line="335" w:lineRule="exact"/>
        <w:ind w:right="3657"/>
        <w:jc w:val="left"/>
        <w:rPr>
          <w:b w:val="0"/>
          <w:bCs w:val="0"/>
        </w:rPr>
      </w:pPr>
      <w:r>
        <w:rPr>
          <w:rFonts w:ascii="Times New Roman" w:hAnsi="Times New Roman" w:cs="Times New Roman" w:eastAsia="Times New Roman" w:hint="default"/>
        </w:rPr>
        <w:t>2</w:t>
      </w:r>
      <w:r>
        <w:rPr/>
        <w:t>、其他说明</w:t>
      </w:r>
      <w:r>
        <w:rPr>
          <w:b w:val="0"/>
          <w:bCs w:val="0"/>
        </w:rPr>
      </w:r>
    </w:p>
    <w:p>
      <w:pPr>
        <w:pStyle w:val="BodyText"/>
        <w:spacing w:line="381" w:lineRule="auto" w:before="162"/>
        <w:ind w:left="267" w:right="222" w:firstLine="422"/>
        <w:jc w:val="both"/>
      </w:pPr>
      <w:r>
        <w:rPr>
          <w:spacing w:val="-3"/>
          <w:w w:val="100"/>
        </w:rPr>
        <w:t>根据陕西省地方税务局《陕西省土地增值税预征暂行办法》（陕地税发</w:t>
      </w:r>
      <w:r>
        <w:rPr>
          <w:rFonts w:ascii="Times New Roman" w:hAnsi="Times New Roman" w:cs="Times New Roman" w:eastAsia="Times New Roman" w:hint="default"/>
          <w:spacing w:val="-3"/>
          <w:w w:val="100"/>
        </w:rPr>
        <w:t>[2005]46</w:t>
      </w:r>
      <w:r>
        <w:rPr>
          <w:rFonts w:ascii="Times New Roman" w:hAnsi="Times New Roman" w:cs="Times New Roman" w:eastAsia="Times New Roman" w:hint="default"/>
          <w:spacing w:val="1"/>
          <w:w w:val="100"/>
        </w:rPr>
        <w:t> </w:t>
      </w:r>
      <w:r>
        <w:rPr>
          <w:w w:val="100"/>
        </w:rPr>
        <w:t>号）和《陕西省地 </w:t>
      </w:r>
      <w:r>
        <w:rPr>
          <w:spacing w:val="-3"/>
          <w:w w:val="100"/>
        </w:rPr>
        <w:t>方税务局关于调整陕西省土地增值税预征率有关问题的通知》（陕地税发</w:t>
      </w:r>
      <w:r>
        <w:rPr>
          <w:rFonts w:ascii="Times New Roman" w:hAnsi="Times New Roman" w:cs="Times New Roman" w:eastAsia="Times New Roman" w:hint="default"/>
          <w:spacing w:val="-3"/>
          <w:w w:val="100"/>
        </w:rPr>
        <w:t>[2008]87</w:t>
      </w:r>
      <w:r>
        <w:rPr>
          <w:rFonts w:ascii="Times New Roman" w:hAnsi="Times New Roman" w:cs="Times New Roman" w:eastAsia="Times New Roman" w:hint="default"/>
          <w:spacing w:val="8"/>
          <w:w w:val="100"/>
        </w:rPr>
        <w:t> </w:t>
      </w:r>
      <w:r>
        <w:rPr>
          <w:spacing w:val="-1"/>
          <w:w w:val="100"/>
        </w:rPr>
        <w:t>号）文件的规定，自</w:t>
      </w:r>
      <w:r>
        <w:rPr>
          <w:w w:val="100"/>
        </w:rPr>
        <w:t> </w:t>
      </w:r>
      <w:r>
        <w:rPr>
          <w:rFonts w:ascii="Times New Roman" w:hAnsi="Times New Roman" w:cs="Times New Roman" w:eastAsia="Times New Roman" w:hint="default"/>
        </w:rPr>
        <w:t>2005</w:t>
      </w:r>
      <w:r>
        <w:rPr>
          <w:rFonts w:ascii="Times New Roman" w:hAnsi="Times New Roman" w:cs="Times New Roman" w:eastAsia="Times New Roman" w:hint="default"/>
          <w:spacing w:val="6"/>
        </w:rPr>
        <w:t> </w:t>
      </w:r>
      <w:r>
        <w:rPr/>
        <w:t>年</w:t>
      </w:r>
      <w:r>
        <w:rPr>
          <w:spacing w:val="-47"/>
        </w:rPr>
        <w:t> </w:t>
      </w:r>
      <w:r>
        <w:rPr>
          <w:rFonts w:ascii="Times New Roman" w:hAnsi="Times New Roman" w:cs="Times New Roman" w:eastAsia="Times New Roman" w:hint="default"/>
        </w:rPr>
        <w:t>5</w:t>
      </w:r>
      <w:r>
        <w:rPr>
          <w:rFonts w:ascii="Times New Roman" w:hAnsi="Times New Roman" w:cs="Times New Roman" w:eastAsia="Times New Roman" w:hint="default"/>
          <w:spacing w:val="6"/>
        </w:rPr>
        <w:t> </w:t>
      </w:r>
      <w:r>
        <w:rPr/>
        <w:t>月</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6"/>
        </w:rPr>
        <w:t> </w:t>
      </w:r>
      <w:r>
        <w:rPr/>
        <w:t>日起，凡在陕西省从事房地产开发的纳税人，土地增值税征收采取</w:t>
      </w:r>
      <w:r>
        <w:rPr>
          <w:rFonts w:ascii="Times New Roman" w:hAnsi="Times New Roman" w:cs="Times New Roman" w:eastAsia="Times New Roman" w:hint="default"/>
        </w:rPr>
        <w:t>“</w:t>
      </w:r>
      <w:r>
        <w:rPr/>
        <w:t>先预征、后清算、多</w:t>
      </w:r>
    </w:p>
    <w:p>
      <w:pPr>
        <w:pStyle w:val="BodyText"/>
        <w:spacing w:line="381" w:lineRule="auto" w:before="28"/>
        <w:ind w:left="267" w:right="227"/>
        <w:jc w:val="both"/>
      </w:pPr>
      <w:r>
        <w:rPr/>
        <w:t>退少补</w:t>
      </w:r>
      <w:r>
        <w:rPr>
          <w:rFonts w:ascii="Times New Roman" w:hAnsi="Times New Roman" w:cs="Times New Roman" w:eastAsia="Times New Roman" w:hint="default"/>
        </w:rPr>
        <w:t>”</w:t>
      </w:r>
      <w:r>
        <w:rPr/>
        <w:t>的方式。从</w:t>
      </w:r>
      <w:r>
        <w:rPr>
          <w:spacing w:val="-5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日土地增值税预征率如下：项目所在地位于设（区）市的市区，普通</w:t>
      </w:r>
      <w:r>
        <w:rPr>
          <w:w w:val="100"/>
        </w:rPr>
        <w:t> </w:t>
      </w:r>
      <w:r>
        <w:rPr/>
        <w:t>标准住宅按销售收入</w:t>
      </w:r>
      <w:r>
        <w:rPr>
          <w:spacing w:val="-63"/>
        </w:rPr>
        <w:t> </w:t>
      </w:r>
      <w:r>
        <w:rPr>
          <w:rFonts w:ascii="Times New Roman" w:hAnsi="Times New Roman" w:cs="Times New Roman" w:eastAsia="Times New Roman" w:hint="default"/>
        </w:rPr>
        <w:t>1%</w:t>
      </w:r>
      <w:r>
        <w:rPr/>
        <w:t>预征，非普通住宅（除别墅外）按销售收入</w:t>
      </w:r>
      <w:r>
        <w:rPr>
          <w:spacing w:val="-60"/>
        </w:rPr>
        <w:t> </w:t>
      </w:r>
      <w:r>
        <w:rPr>
          <w:rFonts w:ascii="Times New Roman" w:hAnsi="Times New Roman" w:cs="Times New Roman" w:eastAsia="Times New Roman" w:hint="default"/>
        </w:rPr>
        <w:t>1.5%</w:t>
      </w:r>
      <w:r>
        <w:rPr/>
        <w:t>预征，别墅、写字楼、营业用</w:t>
      </w:r>
      <w:r>
        <w:rPr>
          <w:w w:val="100"/>
        </w:rPr>
        <w:t> </w:t>
      </w:r>
      <w:r>
        <w:rPr/>
        <w:t>房为 </w:t>
      </w:r>
      <w:r>
        <w:rPr>
          <w:rFonts w:ascii="Times New Roman" w:hAnsi="Times New Roman" w:cs="Times New Roman" w:eastAsia="Times New Roman" w:hint="default"/>
          <w:spacing w:val="-4"/>
        </w:rPr>
        <w:t>2.5%</w:t>
      </w:r>
      <w:r>
        <w:rPr>
          <w:spacing w:val="-4"/>
        </w:rPr>
        <w:t>。据《西安市房屋管理局、西安财政局、西安市地方税务局关于公布西安市享受优惠政策普通</w:t>
      </w:r>
      <w:r>
        <w:rPr>
          <w:spacing w:val="-86"/>
        </w:rPr>
        <w:t> </w:t>
      </w:r>
      <w:r>
        <w:rPr>
          <w:spacing w:val="-86"/>
        </w:rPr>
      </w:r>
      <w:r>
        <w:rPr>
          <w:spacing w:val="-4"/>
        </w:rPr>
        <w:t>住房标准的通知》</w:t>
      </w:r>
      <w:r>
        <w:rPr>
          <w:rFonts w:ascii="Times New Roman" w:hAnsi="Times New Roman" w:cs="Times New Roman" w:eastAsia="Times New Roman" w:hint="default"/>
          <w:spacing w:val="-4"/>
        </w:rPr>
        <w:t>(</w:t>
      </w:r>
      <w:r>
        <w:rPr>
          <w:spacing w:val="-4"/>
        </w:rPr>
        <w:t>市房发【</w:t>
      </w:r>
      <w:r>
        <w:rPr>
          <w:rFonts w:ascii="Times New Roman" w:hAnsi="Times New Roman" w:cs="Times New Roman" w:eastAsia="Times New Roman" w:hint="default"/>
          <w:spacing w:val="-4"/>
        </w:rPr>
        <w:t>2005</w:t>
      </w:r>
      <w:r>
        <w:rPr>
          <w:spacing w:val="-4"/>
        </w:rPr>
        <w:t>】</w:t>
      </w:r>
      <w:r>
        <w:rPr>
          <w:rFonts w:ascii="Times New Roman" w:hAnsi="Times New Roman" w:cs="Times New Roman" w:eastAsia="Times New Roman" w:hint="default"/>
          <w:spacing w:val="-4"/>
        </w:rPr>
        <w:t>109 </w:t>
      </w:r>
      <w:r>
        <w:rPr>
          <w:spacing w:val="-3"/>
        </w:rPr>
        <w:t>号</w:t>
      </w:r>
      <w:r>
        <w:rPr>
          <w:rFonts w:ascii="Times New Roman" w:hAnsi="Times New Roman" w:cs="Times New Roman" w:eastAsia="Times New Roman" w:hint="default"/>
          <w:spacing w:val="-3"/>
        </w:rPr>
        <w:t>)</w:t>
      </w:r>
      <w:r>
        <w:rPr>
          <w:spacing w:val="-3"/>
        </w:rPr>
        <w:t>规定，土地增值税</w:t>
      </w:r>
      <w:r>
        <w:rPr>
          <w:rFonts w:ascii="Times New Roman" w:hAnsi="Times New Roman" w:cs="Times New Roman" w:eastAsia="Times New Roman" w:hint="default"/>
          <w:spacing w:val="-3"/>
        </w:rPr>
        <w:t>“</w:t>
      </w:r>
      <w:r>
        <w:rPr>
          <w:spacing w:val="-3"/>
        </w:rPr>
        <w:t>普通标准住宅</w:t>
      </w:r>
      <w:r>
        <w:rPr>
          <w:rFonts w:ascii="Times New Roman" w:hAnsi="Times New Roman" w:cs="Times New Roman" w:eastAsia="Times New Roman" w:hint="default"/>
          <w:spacing w:val="-3"/>
        </w:rPr>
        <w:t>”</w:t>
      </w:r>
      <w:r>
        <w:rPr>
          <w:spacing w:val="-3"/>
        </w:rPr>
        <w:t>执行标准为：住宅小区建筑</w:t>
      </w:r>
      <w:r>
        <w:rPr>
          <w:spacing w:val="-83"/>
        </w:rPr>
        <w:t> </w:t>
      </w:r>
      <w:r>
        <w:rPr>
          <w:spacing w:val="-83"/>
        </w:rPr>
      </w:r>
      <w:r>
        <w:rPr/>
        <w:t>容积率在</w:t>
      </w:r>
      <w:r>
        <w:rPr>
          <w:spacing w:val="-48"/>
        </w:rPr>
        <w:t> </w:t>
      </w:r>
      <w:r>
        <w:rPr>
          <w:rFonts w:ascii="Times New Roman" w:hAnsi="Times New Roman" w:cs="Times New Roman" w:eastAsia="Times New Roman" w:hint="default"/>
        </w:rPr>
        <w:t>1.2 </w:t>
      </w:r>
      <w:r>
        <w:rPr/>
        <w:t>以上、单套建筑面积</w:t>
      </w:r>
      <w:r>
        <w:rPr>
          <w:spacing w:val="-48"/>
        </w:rPr>
        <w:t> </w:t>
      </w:r>
      <w:r>
        <w:rPr>
          <w:rFonts w:ascii="Times New Roman" w:hAnsi="Times New Roman" w:cs="Times New Roman" w:eastAsia="Times New Roman" w:hint="default"/>
        </w:rPr>
        <w:t>144</w:t>
      </w:r>
      <w:r>
        <w:rPr>
          <w:rFonts w:ascii="Times New Roman" w:hAnsi="Times New Roman" w:cs="Times New Roman" w:eastAsia="Times New Roman" w:hint="default"/>
          <w:spacing w:val="5"/>
        </w:rPr>
        <w:t> </w:t>
      </w:r>
      <w:r>
        <w:rPr/>
        <w:t>平方米以下、实际成交价格低于同级别土地上住房平均交易价格</w:t>
      </w:r>
    </w:p>
    <w:p>
      <w:pPr>
        <w:pStyle w:val="BodyText"/>
        <w:spacing w:line="376" w:lineRule="auto" w:before="33"/>
        <w:ind w:left="690" w:right="0" w:hanging="423"/>
        <w:jc w:val="left"/>
      </w:pPr>
      <w:r>
        <w:rPr/>
        <w:t>的</w:t>
      </w:r>
      <w:r>
        <w:rPr>
          <w:spacing w:val="-53"/>
        </w:rPr>
        <w:t> </w:t>
      </w:r>
      <w:r>
        <w:rPr>
          <w:rFonts w:ascii="Times New Roman" w:hAnsi="Times New Roman" w:cs="Times New Roman" w:eastAsia="Times New Roman" w:hint="default"/>
        </w:rPr>
        <w:t>1.44 </w:t>
      </w:r>
      <w:r>
        <w:rPr/>
        <w:t>倍以下。</w:t>
      </w:r>
      <w:r>
        <w:rPr>
          <w:w w:val="100"/>
        </w:rPr>
        <w:t> </w:t>
      </w:r>
      <w:r>
        <w:rPr>
          <w:spacing w:val="-2"/>
        </w:rPr>
        <w:t>本公司西安所开发楼盘</w:t>
      </w:r>
      <w:r>
        <w:rPr>
          <w:rFonts w:ascii="Times New Roman" w:hAnsi="Times New Roman" w:cs="Times New Roman" w:eastAsia="Times New Roman" w:hint="default"/>
          <w:spacing w:val="-2"/>
        </w:rPr>
        <w:t>“</w:t>
      </w:r>
      <w:r>
        <w:rPr>
          <w:spacing w:val="-2"/>
        </w:rPr>
        <w:t>鸿基</w:t>
      </w:r>
      <w:r>
        <w:rPr>
          <w:rFonts w:ascii="Times New Roman" w:hAnsi="Times New Roman" w:cs="Times New Roman" w:eastAsia="Times New Roman" w:hint="default"/>
          <w:spacing w:val="-2"/>
        </w:rPr>
        <w:t>·</w:t>
      </w:r>
      <w:r>
        <w:rPr>
          <w:spacing w:val="-2"/>
        </w:rPr>
        <w:t>紫韵</w:t>
      </w:r>
      <w:r>
        <w:rPr>
          <w:rFonts w:ascii="Times New Roman" w:hAnsi="Times New Roman" w:cs="Times New Roman" w:eastAsia="Times New Roman" w:hint="default"/>
          <w:spacing w:val="-2"/>
        </w:rPr>
        <w:t>”</w:t>
      </w:r>
      <w:r>
        <w:rPr>
          <w:spacing w:val="-2"/>
        </w:rPr>
        <w:t>不符合以上</w:t>
      </w:r>
      <w:r>
        <w:rPr>
          <w:rFonts w:ascii="Times New Roman" w:hAnsi="Times New Roman" w:cs="Times New Roman" w:eastAsia="Times New Roman" w:hint="default"/>
          <w:spacing w:val="-2"/>
        </w:rPr>
        <w:t>“</w:t>
      </w:r>
      <w:r>
        <w:rPr>
          <w:spacing w:val="-2"/>
        </w:rPr>
        <w:t>普通标准住宅</w:t>
      </w:r>
      <w:r>
        <w:rPr>
          <w:rFonts w:ascii="Times New Roman" w:hAnsi="Times New Roman" w:cs="Times New Roman" w:eastAsia="Times New Roman" w:hint="default"/>
          <w:spacing w:val="-2"/>
        </w:rPr>
        <w:t>”</w:t>
      </w:r>
      <w:r>
        <w:rPr>
          <w:spacing w:val="-2"/>
        </w:rPr>
        <w:t>的标准，为非普通住宅，土地增值税</w:t>
      </w:r>
    </w:p>
    <w:p>
      <w:pPr>
        <w:pStyle w:val="BodyText"/>
        <w:spacing w:line="240" w:lineRule="auto" w:before="37"/>
        <w:ind w:left="267" w:right="0"/>
        <w:jc w:val="both"/>
      </w:pPr>
      <w:r>
        <w:rPr/>
        <w:t>预征率按销售收入</w:t>
      </w:r>
      <w:r>
        <w:rPr>
          <w:spacing w:val="-52"/>
        </w:rPr>
        <w:t> </w:t>
      </w:r>
      <w:r>
        <w:rPr>
          <w:rFonts w:ascii="Times New Roman" w:hAnsi="Times New Roman" w:cs="Times New Roman" w:eastAsia="Times New Roman" w:hint="default"/>
        </w:rPr>
        <w:t>1.5%</w:t>
      </w:r>
      <w:r>
        <w:rPr/>
        <w:t>预征。</w:t>
      </w:r>
    </w:p>
    <w:p>
      <w:pPr>
        <w:spacing w:after="0" w:line="240" w:lineRule="auto"/>
        <w:jc w:val="both"/>
        <w:sectPr>
          <w:pgSz w:w="11900" w:h="16840"/>
          <w:pgMar w:header="762" w:footer="840" w:top="1000" w:bottom="1020" w:left="980" w:right="1000"/>
        </w:sectPr>
      </w:pPr>
    </w:p>
    <w:p>
      <w:pPr>
        <w:spacing w:line="240" w:lineRule="auto" w:before="10"/>
        <w:rPr>
          <w:rFonts w:ascii="宋体" w:hAnsi="宋体" w:cs="宋体" w:eastAsia="宋体" w:hint="default"/>
          <w:sz w:val="21"/>
          <w:szCs w:val="21"/>
        </w:rPr>
      </w:pPr>
    </w:p>
    <w:p>
      <w:pPr>
        <w:pStyle w:val="Heading6"/>
        <w:spacing w:line="335" w:lineRule="exact"/>
        <w:ind w:left="140" w:right="0"/>
        <w:jc w:val="left"/>
        <w:rPr>
          <w:b w:val="0"/>
          <w:bCs w:val="0"/>
        </w:rPr>
      </w:pPr>
      <w:r>
        <w:rPr/>
        <w:t>四、企业合并及合并财务报表</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16"/>
          <w:szCs w:val="16"/>
        </w:rPr>
      </w:pPr>
    </w:p>
    <w:p>
      <w:pPr>
        <w:pStyle w:val="Heading6"/>
        <w:spacing w:line="240" w:lineRule="auto"/>
        <w:ind w:left="140" w:right="0"/>
        <w:jc w:val="left"/>
        <w:rPr>
          <w:b w:val="0"/>
          <w:bCs w:val="0"/>
        </w:rPr>
      </w:pPr>
      <w:r>
        <w:rPr>
          <w:rFonts w:ascii="Times New Roman" w:hAnsi="Times New Roman" w:cs="Times New Roman" w:eastAsia="Times New Roman" w:hint="default"/>
        </w:rPr>
        <w:t>1</w:t>
      </w:r>
      <w:r>
        <w:rPr/>
        <w:t>、子公司情况</w:t>
      </w:r>
      <w:r>
        <w:rPr>
          <w:b w:val="0"/>
          <w:bCs w:val="0"/>
        </w:rPr>
      </w:r>
    </w:p>
    <w:tbl>
      <w:tblPr>
        <w:tblW w:w="0" w:type="auto"/>
        <w:jc w:val="left"/>
        <w:tblInd w:w="111" w:type="dxa"/>
        <w:tblLayout w:type="fixed"/>
        <w:tblCellMar>
          <w:top w:w="0" w:type="dxa"/>
          <w:left w:w="0" w:type="dxa"/>
          <w:bottom w:w="0" w:type="dxa"/>
          <w:right w:w="0" w:type="dxa"/>
        </w:tblCellMar>
        <w:tblLook w:val="01E0"/>
      </w:tblPr>
      <w:tblGrid>
        <w:gridCol w:w="2707"/>
        <w:gridCol w:w="994"/>
        <w:gridCol w:w="994"/>
        <w:gridCol w:w="1555"/>
        <w:gridCol w:w="994"/>
        <w:gridCol w:w="994"/>
        <w:gridCol w:w="1277"/>
        <w:gridCol w:w="850"/>
        <w:gridCol w:w="850"/>
        <w:gridCol w:w="994"/>
        <w:gridCol w:w="989"/>
        <w:gridCol w:w="1421"/>
      </w:tblGrid>
      <w:tr>
        <w:trPr>
          <w:trHeight w:val="917" w:hRule="exact"/>
        </w:trPr>
        <w:tc>
          <w:tcPr>
            <w:tcW w:w="270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1"/>
              <w:ind w:right="0"/>
              <w:jc w:val="left"/>
              <w:rPr>
                <w:rFonts w:ascii="Microsoft JhengHei" w:hAnsi="Microsoft JhengHei" w:cs="Microsoft JhengHei" w:eastAsia="Microsoft JhengHei" w:hint="default"/>
                <w:b/>
                <w:bCs/>
                <w:sz w:val="7"/>
                <w:szCs w:val="7"/>
              </w:rPr>
            </w:pPr>
          </w:p>
          <w:p>
            <w:pPr>
              <w:pStyle w:val="TableParagraph"/>
              <w:spacing w:line="240" w:lineRule="auto"/>
              <w:ind w:left="19" w:right="0"/>
              <w:jc w:val="center"/>
              <w:rPr>
                <w:rFonts w:ascii="宋体" w:hAnsi="宋体" w:cs="宋体" w:eastAsia="宋体" w:hint="default"/>
                <w:sz w:val="15"/>
                <w:szCs w:val="15"/>
              </w:rPr>
            </w:pPr>
            <w:r>
              <w:rPr>
                <w:rFonts w:ascii="宋体" w:hAnsi="宋体" w:cs="宋体" w:eastAsia="宋体" w:hint="default"/>
                <w:sz w:val="15"/>
                <w:szCs w:val="15"/>
              </w:rPr>
              <w:t>子公司全称</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1"/>
              <w:ind w:right="0"/>
              <w:jc w:val="left"/>
              <w:rPr>
                <w:rFonts w:ascii="Microsoft JhengHei" w:hAnsi="Microsoft JhengHei" w:cs="Microsoft JhengHei" w:eastAsia="Microsoft JhengHei" w:hint="default"/>
                <w:b/>
                <w:bCs/>
                <w:sz w:val="7"/>
                <w:szCs w:val="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子公司类型</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1"/>
              <w:ind w:right="0"/>
              <w:jc w:val="left"/>
              <w:rPr>
                <w:rFonts w:ascii="Microsoft JhengHei" w:hAnsi="Microsoft JhengHei" w:cs="Microsoft JhengHei" w:eastAsia="Microsoft JhengHei" w:hint="default"/>
                <w:b/>
                <w:bCs/>
                <w:sz w:val="7"/>
                <w:szCs w:val="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注册地</w:t>
            </w:r>
          </w:p>
        </w:tc>
        <w:tc>
          <w:tcPr>
            <w:tcW w:w="155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3"/>
                <w:szCs w:val="13"/>
              </w:rPr>
            </w:pPr>
          </w:p>
          <w:p>
            <w:pPr>
              <w:pStyle w:val="TableParagraph"/>
              <w:spacing w:line="364" w:lineRule="auto"/>
              <w:ind w:left="470" w:right="401" w:hanging="72"/>
              <w:jc w:val="left"/>
              <w:rPr>
                <w:rFonts w:ascii="宋体" w:hAnsi="宋体" w:cs="宋体" w:eastAsia="宋体" w:hint="default"/>
                <w:sz w:val="15"/>
                <w:szCs w:val="15"/>
              </w:rPr>
            </w:pPr>
            <w:r>
              <w:rPr>
                <w:rFonts w:ascii="宋体" w:hAnsi="宋体" w:cs="宋体" w:eastAsia="宋体" w:hint="default"/>
                <w:sz w:val="15"/>
                <w:szCs w:val="15"/>
              </w:rPr>
              <w:t>业务性质及</w:t>
            </w:r>
            <w:r>
              <w:rPr>
                <w:rFonts w:ascii="宋体" w:hAnsi="宋体" w:cs="宋体" w:eastAsia="宋体" w:hint="default"/>
                <w:w w:val="99"/>
                <w:sz w:val="15"/>
                <w:szCs w:val="15"/>
              </w:rPr>
              <w:t> </w:t>
            </w:r>
            <w:r>
              <w:rPr>
                <w:rFonts w:ascii="宋体" w:hAnsi="宋体" w:cs="宋体" w:eastAsia="宋体" w:hint="default"/>
                <w:sz w:val="15"/>
                <w:szCs w:val="15"/>
              </w:rPr>
              <w:t>经营范围</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3"/>
                <w:szCs w:val="13"/>
              </w:rPr>
            </w:pPr>
          </w:p>
          <w:p>
            <w:pPr>
              <w:pStyle w:val="TableParagraph"/>
              <w:spacing w:line="240" w:lineRule="auto"/>
              <w:ind w:left="192" w:right="0"/>
              <w:jc w:val="left"/>
              <w:rPr>
                <w:rFonts w:ascii="宋体" w:hAnsi="宋体" w:cs="宋体" w:eastAsia="宋体" w:hint="default"/>
                <w:sz w:val="15"/>
                <w:szCs w:val="15"/>
              </w:rPr>
            </w:pPr>
            <w:r>
              <w:rPr>
                <w:rFonts w:ascii="宋体" w:hAnsi="宋体" w:cs="宋体" w:eastAsia="宋体" w:hint="default"/>
                <w:sz w:val="15"/>
                <w:szCs w:val="15"/>
              </w:rPr>
              <w:t>注册资本</w:t>
            </w:r>
          </w:p>
          <w:p>
            <w:pPr>
              <w:pStyle w:val="TableParagraph"/>
              <w:spacing w:line="240" w:lineRule="auto" w:before="101"/>
              <w:ind w:left="192"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364" w:lineRule="auto" w:before="79"/>
              <w:ind w:left="268" w:right="194" w:hanging="77"/>
              <w:jc w:val="left"/>
              <w:rPr>
                <w:rFonts w:ascii="宋体" w:hAnsi="宋体" w:cs="宋体" w:eastAsia="宋体" w:hint="default"/>
                <w:sz w:val="15"/>
                <w:szCs w:val="15"/>
              </w:rPr>
            </w:pPr>
            <w:r>
              <w:rPr>
                <w:rFonts w:ascii="宋体" w:hAnsi="宋体" w:cs="宋体" w:eastAsia="宋体" w:hint="default"/>
                <w:sz w:val="15"/>
                <w:szCs w:val="15"/>
              </w:rPr>
              <w:t>期末实际</w:t>
            </w:r>
            <w:r>
              <w:rPr>
                <w:rFonts w:ascii="宋体" w:hAnsi="宋体" w:cs="宋体" w:eastAsia="宋体" w:hint="default"/>
                <w:w w:val="99"/>
                <w:sz w:val="15"/>
                <w:szCs w:val="15"/>
              </w:rPr>
              <w:t> </w:t>
            </w:r>
            <w:r>
              <w:rPr>
                <w:rFonts w:ascii="宋体" w:hAnsi="宋体" w:cs="宋体" w:eastAsia="宋体" w:hint="default"/>
                <w:sz w:val="15"/>
                <w:szCs w:val="15"/>
              </w:rPr>
              <w:t>出资额</w:t>
            </w:r>
          </w:p>
          <w:p>
            <w:pPr>
              <w:pStyle w:val="TableParagraph"/>
              <w:spacing w:line="240" w:lineRule="auto" w:before="28"/>
              <w:ind w:left="191"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1277" w:type="dxa"/>
            <w:tcBorders>
              <w:top w:val="single" w:sz="12" w:space="0" w:color="000000"/>
              <w:left w:val="single" w:sz="4" w:space="0" w:color="000000"/>
              <w:bottom w:val="single" w:sz="4" w:space="0" w:color="000000"/>
              <w:right w:val="single" w:sz="4" w:space="0" w:color="000000"/>
            </w:tcBorders>
          </w:tcPr>
          <w:p>
            <w:pPr>
              <w:pStyle w:val="TableParagraph"/>
              <w:spacing w:line="364" w:lineRule="auto" w:before="79"/>
              <w:ind w:left="187" w:right="108" w:hanging="77"/>
              <w:jc w:val="left"/>
              <w:rPr>
                <w:rFonts w:ascii="宋体" w:hAnsi="宋体" w:cs="宋体" w:eastAsia="宋体" w:hint="default"/>
                <w:sz w:val="15"/>
                <w:szCs w:val="15"/>
              </w:rPr>
            </w:pPr>
            <w:r>
              <w:rPr>
                <w:rFonts w:ascii="宋体" w:hAnsi="宋体" w:cs="宋体" w:eastAsia="宋体" w:hint="default"/>
                <w:sz w:val="15"/>
                <w:szCs w:val="15"/>
              </w:rPr>
              <w:t>实质上构成对子</w:t>
            </w:r>
            <w:r>
              <w:rPr>
                <w:rFonts w:ascii="宋体" w:hAnsi="宋体" w:cs="宋体" w:eastAsia="宋体" w:hint="default"/>
                <w:w w:val="99"/>
                <w:sz w:val="15"/>
                <w:szCs w:val="15"/>
              </w:rPr>
              <w:t> </w:t>
            </w:r>
            <w:r>
              <w:rPr>
                <w:rFonts w:ascii="宋体" w:hAnsi="宋体" w:cs="宋体" w:eastAsia="宋体" w:hint="default"/>
                <w:sz w:val="15"/>
                <w:szCs w:val="15"/>
              </w:rPr>
              <w:t>公司净投资的</w:t>
            </w:r>
          </w:p>
          <w:p>
            <w:pPr>
              <w:pStyle w:val="TableParagraph"/>
              <w:spacing w:line="240" w:lineRule="auto" w:before="28"/>
              <w:ind w:left="187" w:right="0"/>
              <w:jc w:val="left"/>
              <w:rPr>
                <w:rFonts w:ascii="宋体" w:hAnsi="宋体" w:cs="宋体" w:eastAsia="宋体" w:hint="default"/>
                <w:sz w:val="15"/>
                <w:szCs w:val="15"/>
              </w:rPr>
            </w:pPr>
            <w:r>
              <w:rPr>
                <w:rFonts w:ascii="宋体" w:hAnsi="宋体" w:cs="宋体" w:eastAsia="宋体" w:hint="default"/>
                <w:sz w:val="15"/>
                <w:szCs w:val="15"/>
              </w:rPr>
              <w:t>其他项目余额</w:t>
            </w:r>
          </w:p>
        </w:tc>
        <w:tc>
          <w:tcPr>
            <w:tcW w:w="85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持股比例</w:t>
            </w:r>
          </w:p>
          <w:p>
            <w:pPr>
              <w:pStyle w:val="TableParagraph"/>
              <w:spacing w:line="240" w:lineRule="auto" w:before="7"/>
              <w:ind w:right="0"/>
              <w:jc w:val="left"/>
              <w:rPr>
                <w:rFonts w:ascii="Microsoft JhengHei" w:hAnsi="Microsoft JhengHei" w:cs="Microsoft JhengHei" w:eastAsia="Microsoft JhengHei" w:hint="default"/>
                <w:b/>
                <w:bCs/>
                <w:sz w:val="8"/>
                <w:szCs w:val="8"/>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w:t>
            </w:r>
          </w:p>
        </w:tc>
        <w:tc>
          <w:tcPr>
            <w:tcW w:w="85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3"/>
                <w:szCs w:val="13"/>
              </w:rPr>
            </w:pPr>
          </w:p>
          <w:p>
            <w:pPr>
              <w:pStyle w:val="TableParagraph"/>
              <w:spacing w:line="364" w:lineRule="auto"/>
              <w:ind w:left="163" w:right="154" w:firstLine="33"/>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w:t>
            </w:r>
            <w:r>
              <w:rPr>
                <w:rFonts w:ascii="宋体" w:hAnsi="宋体" w:cs="宋体" w:eastAsia="宋体" w:hint="default"/>
                <w:w w:val="99"/>
                <w:sz w:val="15"/>
                <w:szCs w:val="15"/>
              </w:rPr>
              <w:t> </w:t>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4"/>
                <w:szCs w:val="14"/>
              </w:rPr>
            </w:pPr>
          </w:p>
          <w:p>
            <w:pPr>
              <w:pStyle w:val="TableParagraph"/>
              <w:spacing w:line="240" w:lineRule="auto" w:before="11"/>
              <w:ind w:right="0"/>
              <w:jc w:val="left"/>
              <w:rPr>
                <w:rFonts w:ascii="Microsoft JhengHei" w:hAnsi="Microsoft JhengHei" w:cs="Microsoft JhengHei" w:eastAsia="Microsoft JhengHei" w:hint="default"/>
                <w:b/>
                <w:bCs/>
                <w:sz w:val="7"/>
                <w:szCs w:val="7"/>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是否合并报表</w:t>
            </w:r>
          </w:p>
        </w:tc>
        <w:tc>
          <w:tcPr>
            <w:tcW w:w="9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3"/>
                <w:szCs w:val="13"/>
              </w:rPr>
            </w:pPr>
          </w:p>
          <w:p>
            <w:pPr>
              <w:pStyle w:val="TableParagraph"/>
              <w:spacing w:line="364" w:lineRule="auto"/>
              <w:ind w:left="340" w:right="189" w:hanging="149"/>
              <w:jc w:val="left"/>
              <w:rPr>
                <w:rFonts w:ascii="宋体" w:hAnsi="宋体" w:cs="宋体" w:eastAsia="宋体" w:hint="default"/>
                <w:sz w:val="15"/>
                <w:szCs w:val="15"/>
              </w:rPr>
            </w:pPr>
            <w:r>
              <w:rPr>
                <w:rFonts w:ascii="宋体" w:hAnsi="宋体" w:cs="宋体" w:eastAsia="宋体" w:hint="default"/>
                <w:sz w:val="15"/>
                <w:szCs w:val="15"/>
              </w:rPr>
              <w:t>少数股东</w:t>
            </w:r>
            <w:r>
              <w:rPr>
                <w:rFonts w:ascii="宋体" w:hAnsi="宋体" w:cs="宋体" w:eastAsia="宋体" w:hint="default"/>
                <w:w w:val="99"/>
                <w:sz w:val="15"/>
                <w:szCs w:val="15"/>
              </w:rPr>
              <w:t> </w:t>
            </w:r>
            <w:r>
              <w:rPr>
                <w:rFonts w:ascii="宋体" w:hAnsi="宋体" w:cs="宋体" w:eastAsia="宋体" w:hint="default"/>
                <w:sz w:val="15"/>
                <w:szCs w:val="15"/>
              </w:rPr>
              <w:t>权益</w:t>
            </w:r>
          </w:p>
        </w:tc>
        <w:tc>
          <w:tcPr>
            <w:tcW w:w="1421" w:type="dxa"/>
            <w:tcBorders>
              <w:top w:val="single" w:sz="12" w:space="0" w:color="000000"/>
              <w:left w:val="single" w:sz="4" w:space="0" w:color="000000"/>
              <w:bottom w:val="single" w:sz="4" w:space="0" w:color="000000"/>
              <w:right w:val="nil" w:sz="6" w:space="0" w:color="auto"/>
            </w:tcBorders>
          </w:tcPr>
          <w:p>
            <w:pPr>
              <w:pStyle w:val="TableParagraph"/>
              <w:spacing w:line="364" w:lineRule="auto" w:before="79"/>
              <w:ind w:left="28" w:right="41"/>
              <w:jc w:val="center"/>
              <w:rPr>
                <w:rFonts w:ascii="宋体" w:hAnsi="宋体" w:cs="宋体" w:eastAsia="宋体" w:hint="default"/>
                <w:sz w:val="15"/>
                <w:szCs w:val="15"/>
              </w:rPr>
            </w:pPr>
            <w:r>
              <w:rPr>
                <w:rFonts w:ascii="宋体" w:hAnsi="宋体" w:cs="宋体" w:eastAsia="宋体" w:hint="default"/>
                <w:w w:val="95"/>
                <w:sz w:val="15"/>
                <w:szCs w:val="15"/>
              </w:rPr>
              <w:t>少数股东权益中用于</w:t>
            </w:r>
            <w:r>
              <w:rPr>
                <w:rFonts w:ascii="宋体" w:hAnsi="宋体" w:cs="宋体" w:eastAsia="宋体" w:hint="default"/>
                <w:spacing w:val="-15"/>
                <w:w w:val="95"/>
                <w:sz w:val="15"/>
                <w:szCs w:val="15"/>
              </w:rPr>
              <w:t> </w:t>
            </w:r>
            <w:r>
              <w:rPr>
                <w:rFonts w:ascii="宋体" w:hAnsi="宋体" w:cs="宋体" w:eastAsia="宋体" w:hint="default"/>
                <w:spacing w:val="-15"/>
                <w:w w:val="95"/>
                <w:sz w:val="15"/>
                <w:szCs w:val="15"/>
              </w:rPr>
            </w:r>
            <w:r>
              <w:rPr>
                <w:rFonts w:ascii="宋体" w:hAnsi="宋体" w:cs="宋体" w:eastAsia="宋体" w:hint="default"/>
                <w:w w:val="95"/>
                <w:sz w:val="15"/>
                <w:szCs w:val="15"/>
              </w:rPr>
              <w:t>冲减少数股东损益的</w:t>
            </w:r>
            <w:r>
              <w:rPr>
                <w:rFonts w:ascii="宋体" w:hAnsi="宋体" w:cs="宋体" w:eastAsia="宋体" w:hint="default"/>
                <w:sz w:val="15"/>
                <w:szCs w:val="15"/>
              </w:rPr>
            </w:r>
          </w:p>
          <w:p>
            <w:pPr>
              <w:pStyle w:val="TableParagraph"/>
              <w:spacing w:line="240" w:lineRule="auto" w:before="28"/>
              <w:ind w:right="2"/>
              <w:jc w:val="center"/>
              <w:rPr>
                <w:rFonts w:ascii="宋体" w:hAnsi="宋体" w:cs="宋体" w:eastAsia="宋体" w:hint="default"/>
                <w:sz w:val="15"/>
                <w:szCs w:val="15"/>
              </w:rPr>
            </w:pPr>
            <w:r>
              <w:rPr>
                <w:rFonts w:ascii="宋体" w:hAnsi="宋体" w:cs="宋体" w:eastAsia="宋体" w:hint="default"/>
                <w:sz w:val="15"/>
                <w:szCs w:val="15"/>
              </w:rPr>
              <w:t>金额</w:t>
            </w:r>
          </w:p>
        </w:tc>
      </w:tr>
      <w:tr>
        <w:trPr>
          <w:trHeight w:val="514"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3"/>
                <w:szCs w:val="13"/>
              </w:rPr>
            </w:pPr>
          </w:p>
          <w:p>
            <w:pPr>
              <w:pStyle w:val="TableParagraph"/>
              <w:spacing w:line="240" w:lineRule="auto"/>
              <w:ind w:left="71" w:right="0"/>
              <w:jc w:val="left"/>
              <w:rPr>
                <w:rFonts w:ascii="Times New Roman" w:hAnsi="Times New Roman" w:cs="Times New Roman" w:eastAsia="Times New Roman" w:hint="default"/>
                <w:sz w:val="15"/>
                <w:szCs w:val="15"/>
              </w:rPr>
            </w:pPr>
            <w:r>
              <w:rPr>
                <w:rFonts w:ascii="Microsoft JhengHei" w:hAnsi="Microsoft JhengHei" w:cs="Microsoft JhengHei" w:eastAsia="Microsoft JhengHei" w:hint="default"/>
                <w:b/>
                <w:bCs/>
                <w:sz w:val="15"/>
                <w:szCs w:val="15"/>
              </w:rPr>
              <w:t>房地产开发、物业管理行业</w:t>
            </w:r>
            <w:r>
              <w:rPr>
                <w:rFonts w:ascii="Times New Roman" w:hAnsi="Times New Roman" w:cs="Times New Roman" w:eastAsia="Times New Roman" w:hint="default"/>
                <w:b/>
                <w:bCs/>
                <w:sz w:val="15"/>
                <w:szCs w:val="15"/>
              </w:rPr>
              <w:t>:</w:t>
            </w:r>
            <w:r>
              <w:rPr>
                <w:rFonts w:ascii="Times New Roman" w:hAnsi="Times New Roman" w:cs="Times New Roman" w:eastAsia="Times New Roman"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深圳市鸿基房地产有限公司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房地产开发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5,000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6,080.02</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6"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深圳市凯方实业发展有限公司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控股子公司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物资供销、兴办实业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1,500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1,050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70%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left="283" w:right="0"/>
              <w:jc w:val="left"/>
              <w:rPr>
                <w:rFonts w:ascii="Times New Roman" w:hAnsi="Times New Roman" w:cs="Times New Roman" w:eastAsia="Times New Roman" w:hint="default"/>
                <w:sz w:val="15"/>
                <w:szCs w:val="15"/>
              </w:rPr>
            </w:pPr>
            <w:r>
              <w:rPr>
                <w:rFonts w:ascii="Times New Roman"/>
                <w:sz w:val="15"/>
              </w:rPr>
              <w:t>70%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95"/>
                <w:sz w:val="15"/>
              </w:rPr>
              <w:t>-9,795,263.87</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136,279.09</w:t>
            </w:r>
          </w:p>
        </w:tc>
      </w:tr>
      <w:tr>
        <w:trPr>
          <w:trHeight w:val="442"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深圳市凯方房地产开发有限公司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控股子公司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pacing w:val="-6"/>
                <w:sz w:val="15"/>
                <w:szCs w:val="15"/>
              </w:rPr>
              <w:t>房地产开发、物业管理</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3,000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2,850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95%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left="283" w:right="0"/>
              <w:jc w:val="left"/>
              <w:rPr>
                <w:rFonts w:ascii="Times New Roman" w:hAnsi="Times New Roman" w:cs="Times New Roman" w:eastAsia="Times New Roman" w:hint="default"/>
                <w:sz w:val="15"/>
                <w:szCs w:val="15"/>
              </w:rPr>
            </w:pPr>
            <w:r>
              <w:rPr>
                <w:rFonts w:ascii="Times New Roman"/>
                <w:sz w:val="15"/>
              </w:rPr>
              <w:t>95%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4"/>
              <w:jc w:val="right"/>
              <w:rPr>
                <w:rFonts w:ascii="Times New Roman" w:hAnsi="Times New Roman" w:cs="Times New Roman" w:eastAsia="Times New Roman" w:hint="default"/>
                <w:sz w:val="15"/>
                <w:szCs w:val="15"/>
              </w:rPr>
            </w:pPr>
            <w:r>
              <w:rPr>
                <w:rFonts w:ascii="Times New Roman"/>
                <w:sz w:val="15"/>
              </w:rPr>
              <w:t>945,586.57</w:t>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9"/>
              <w:jc w:val="right"/>
              <w:rPr>
                <w:rFonts w:ascii="Times New Roman" w:hAnsi="Times New Roman" w:cs="Times New Roman" w:eastAsia="Times New Roman" w:hint="default"/>
                <w:sz w:val="15"/>
                <w:szCs w:val="15"/>
              </w:rPr>
            </w:pPr>
            <w:r>
              <w:rPr>
                <w:rFonts w:ascii="Times New Roman"/>
                <w:w w:val="95"/>
                <w:sz w:val="15"/>
              </w:rPr>
              <w:t>58,043.06</w:t>
            </w:r>
            <w:r>
              <w:rPr>
                <w:rFonts w:ascii="Times New Roman"/>
                <w:sz w:val="15"/>
              </w:rPr>
            </w: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深圳市鸿基物业管理有限公司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物业管理</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1,000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1,026.76</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4"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深圳市龙岗鸿基房地产开发有限公司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房地产开发</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3,168</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3,096.77</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Microsoft JhengHei" w:hAnsi="Microsoft JhengHei" w:cs="Microsoft JhengHei" w:eastAsia="Microsoft JhengHei" w:hint="default"/>
                <w:b/>
                <w:bCs/>
                <w:sz w:val="18"/>
                <w:szCs w:val="18"/>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2"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深圳市龙岗鸿基发展有限公司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物业出租及管理</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870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z w:val="15"/>
              </w:rPr>
              <w:t>886.57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6"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西安深鸿基房地产开发有限公司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西安</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15,000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z w:val="15"/>
              </w:rPr>
              <w:t>29,594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6"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陕西宝安鸿基房地产开发有限公司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西安</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5,000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5,000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2"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安徽宝安鸿基房地产开发有限公司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池洲</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z w:val="15"/>
              </w:rPr>
              <w:t>10,000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6"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东莞市宜久房地产开发有限公司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东莞</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z w:val="15"/>
              </w:rPr>
              <w:t>100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2"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东莞宝安鸿基房地产开发有限公司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东莞</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2,000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2,000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6"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湖南宝安鸿基房地产开发有限公司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湘潭</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5,000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5,000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46"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惠东县宝安鸿基房地产开发有限公司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惠东</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1,000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1,000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51" w:hRule="exact"/>
        </w:trPr>
        <w:tc>
          <w:tcPr>
            <w:tcW w:w="270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left="71" w:right="0"/>
              <w:jc w:val="left"/>
              <w:rPr>
                <w:rFonts w:ascii="宋体" w:hAnsi="宋体" w:cs="宋体" w:eastAsia="宋体" w:hint="default"/>
                <w:sz w:val="15"/>
                <w:szCs w:val="15"/>
              </w:rPr>
            </w:pPr>
            <w:r>
              <w:rPr>
                <w:rFonts w:ascii="宋体" w:hAnsi="宋体" w:cs="宋体" w:eastAsia="宋体" w:hint="default"/>
                <w:sz w:val="15"/>
                <w:szCs w:val="15"/>
              </w:rPr>
              <w:t>惠州市宝安房地产开发有限公司</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惠州</w:t>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房地产开发销售</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10,000</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z w:val="15"/>
              </w:rPr>
              <w:t>17,000</w:t>
            </w:r>
          </w:p>
        </w:tc>
        <w:tc>
          <w:tcPr>
            <w:tcW w:w="1277" w:type="dxa"/>
            <w:tcBorders>
              <w:top w:val="single" w:sz="4" w:space="0" w:color="000000"/>
              <w:left w:val="single" w:sz="4" w:space="0" w:color="000000"/>
              <w:bottom w:val="single" w:sz="12" w:space="0" w:color="000000"/>
              <w:right w:val="single" w:sz="4" w:space="0" w:color="000000"/>
            </w:tcBorders>
          </w:tcPr>
          <w:p>
            <w:pPr/>
          </w:p>
        </w:tc>
        <w:tc>
          <w:tcPr>
            <w:tcW w:w="8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
              <w:ind w:right="0"/>
              <w:jc w:val="left"/>
              <w:rPr>
                <w:rFonts w:ascii="Microsoft JhengHei" w:hAnsi="Microsoft JhengHei" w:cs="Microsoft JhengHei" w:eastAsia="Microsoft JhengHei" w:hint="default"/>
                <w:b/>
                <w:bCs/>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0"/>
              <w:ind w:right="0"/>
              <w:jc w:val="left"/>
              <w:rPr>
                <w:rFonts w:ascii="Microsoft JhengHei" w:hAnsi="Microsoft JhengHei" w:cs="Microsoft JhengHei" w:eastAsia="Microsoft JhengHei" w:hint="default"/>
                <w:b/>
                <w:bCs/>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bl>
    <w:p>
      <w:pPr>
        <w:spacing w:after="0" w:line="240" w:lineRule="auto"/>
        <w:jc w:val="right"/>
        <w:rPr>
          <w:rFonts w:ascii="Times New Roman" w:hAnsi="Times New Roman" w:cs="Times New Roman" w:eastAsia="Times New Roman" w:hint="default"/>
          <w:sz w:val="15"/>
          <w:szCs w:val="15"/>
        </w:rPr>
        <w:sectPr>
          <w:headerReference w:type="default" r:id="rId30"/>
          <w:footerReference w:type="default" r:id="rId31"/>
          <w:pgSz w:w="16840" w:h="11900" w:orient="landscape"/>
          <w:pgMar w:header="756" w:footer="840" w:top="980" w:bottom="1020" w:left="1300" w:right="660"/>
          <w:pgNumType w:start="76"/>
        </w:sectPr>
      </w:pPr>
    </w:p>
    <w:p>
      <w:pPr>
        <w:spacing w:line="240" w:lineRule="auto" w:before="3"/>
        <w:rPr>
          <w:rFonts w:ascii="Times New Roman" w:hAnsi="Times New Roman" w:cs="Times New Roman" w:eastAsia="Times New Roman"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2707"/>
        <w:gridCol w:w="994"/>
        <w:gridCol w:w="994"/>
        <w:gridCol w:w="1555"/>
        <w:gridCol w:w="994"/>
        <w:gridCol w:w="994"/>
        <w:gridCol w:w="1277"/>
        <w:gridCol w:w="850"/>
        <w:gridCol w:w="850"/>
        <w:gridCol w:w="994"/>
        <w:gridCol w:w="989"/>
        <w:gridCol w:w="1421"/>
      </w:tblGrid>
      <w:tr>
        <w:trPr>
          <w:trHeight w:val="922" w:hRule="exact"/>
        </w:trPr>
        <w:tc>
          <w:tcPr>
            <w:tcW w:w="270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9" w:right="0"/>
              <w:jc w:val="center"/>
              <w:rPr>
                <w:rFonts w:ascii="宋体" w:hAnsi="宋体" w:cs="宋体" w:eastAsia="宋体" w:hint="default"/>
                <w:sz w:val="15"/>
                <w:szCs w:val="15"/>
              </w:rPr>
            </w:pPr>
            <w:r>
              <w:rPr>
                <w:rFonts w:ascii="宋体" w:hAnsi="宋体" w:cs="宋体" w:eastAsia="宋体" w:hint="default"/>
                <w:sz w:val="15"/>
                <w:szCs w:val="15"/>
              </w:rPr>
              <w:t>子公司全称</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117"/>
              <w:jc w:val="right"/>
              <w:rPr>
                <w:rFonts w:ascii="宋体" w:hAnsi="宋体" w:cs="宋体" w:eastAsia="宋体" w:hint="default"/>
                <w:sz w:val="15"/>
                <w:szCs w:val="15"/>
              </w:rPr>
            </w:pPr>
            <w:r>
              <w:rPr>
                <w:rFonts w:ascii="宋体" w:hAnsi="宋体" w:cs="宋体" w:eastAsia="宋体" w:hint="default"/>
                <w:w w:val="95"/>
                <w:sz w:val="15"/>
                <w:szCs w:val="15"/>
              </w:rPr>
              <w:t>子公司类型</w:t>
            </w:r>
            <w:r>
              <w:rPr>
                <w:rFonts w:ascii="宋体" w:hAnsi="宋体" w:cs="宋体" w:eastAsia="宋体" w:hint="default"/>
                <w:sz w:val="15"/>
                <w:szCs w:val="15"/>
              </w:rPr>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注册地</w:t>
            </w:r>
          </w:p>
        </w:tc>
        <w:tc>
          <w:tcPr>
            <w:tcW w:w="155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369" w:lineRule="auto"/>
              <w:ind w:left="470" w:right="401" w:hanging="72"/>
              <w:jc w:val="left"/>
              <w:rPr>
                <w:rFonts w:ascii="宋体" w:hAnsi="宋体" w:cs="宋体" w:eastAsia="宋体" w:hint="default"/>
                <w:sz w:val="15"/>
                <w:szCs w:val="15"/>
              </w:rPr>
            </w:pPr>
            <w:r>
              <w:rPr>
                <w:rFonts w:ascii="宋体" w:hAnsi="宋体" w:cs="宋体" w:eastAsia="宋体" w:hint="default"/>
                <w:sz w:val="15"/>
                <w:szCs w:val="15"/>
              </w:rPr>
              <w:t>业务性质及</w:t>
            </w:r>
            <w:r>
              <w:rPr>
                <w:rFonts w:ascii="宋体" w:hAnsi="宋体" w:cs="宋体" w:eastAsia="宋体" w:hint="default"/>
                <w:w w:val="99"/>
                <w:sz w:val="15"/>
                <w:szCs w:val="15"/>
              </w:rPr>
              <w:t> </w:t>
            </w:r>
            <w:r>
              <w:rPr>
                <w:rFonts w:ascii="宋体" w:hAnsi="宋体" w:cs="宋体" w:eastAsia="宋体" w:hint="default"/>
                <w:sz w:val="15"/>
                <w:szCs w:val="15"/>
              </w:rPr>
              <w:t>经营范围</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92" w:right="0"/>
              <w:jc w:val="left"/>
              <w:rPr>
                <w:rFonts w:ascii="宋体" w:hAnsi="宋体" w:cs="宋体" w:eastAsia="宋体" w:hint="default"/>
                <w:sz w:val="15"/>
                <w:szCs w:val="15"/>
              </w:rPr>
            </w:pPr>
            <w:r>
              <w:rPr>
                <w:rFonts w:ascii="宋体" w:hAnsi="宋体" w:cs="宋体" w:eastAsia="宋体" w:hint="default"/>
                <w:sz w:val="15"/>
                <w:szCs w:val="15"/>
              </w:rPr>
              <w:t>注册资本</w:t>
            </w:r>
          </w:p>
          <w:p>
            <w:pPr>
              <w:pStyle w:val="TableParagraph"/>
              <w:spacing w:line="240" w:lineRule="auto" w:before="106"/>
              <w:ind w:left="192"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369" w:lineRule="auto" w:before="79"/>
              <w:ind w:left="268" w:right="194" w:hanging="77"/>
              <w:jc w:val="left"/>
              <w:rPr>
                <w:rFonts w:ascii="宋体" w:hAnsi="宋体" w:cs="宋体" w:eastAsia="宋体" w:hint="default"/>
                <w:sz w:val="15"/>
                <w:szCs w:val="15"/>
              </w:rPr>
            </w:pPr>
            <w:r>
              <w:rPr>
                <w:rFonts w:ascii="宋体" w:hAnsi="宋体" w:cs="宋体" w:eastAsia="宋体" w:hint="default"/>
                <w:sz w:val="15"/>
                <w:szCs w:val="15"/>
              </w:rPr>
              <w:t>期末实际</w:t>
            </w:r>
            <w:r>
              <w:rPr>
                <w:rFonts w:ascii="宋体" w:hAnsi="宋体" w:cs="宋体" w:eastAsia="宋体" w:hint="default"/>
                <w:w w:val="99"/>
                <w:sz w:val="15"/>
                <w:szCs w:val="15"/>
              </w:rPr>
              <w:t> </w:t>
            </w:r>
            <w:r>
              <w:rPr>
                <w:rFonts w:ascii="宋体" w:hAnsi="宋体" w:cs="宋体" w:eastAsia="宋体" w:hint="default"/>
                <w:sz w:val="15"/>
                <w:szCs w:val="15"/>
              </w:rPr>
              <w:t>出资额</w:t>
            </w:r>
          </w:p>
          <w:p>
            <w:pPr>
              <w:pStyle w:val="TableParagraph"/>
              <w:spacing w:line="240" w:lineRule="auto" w:before="20"/>
              <w:ind w:left="191"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127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79"/>
              <w:ind w:left="187" w:right="0" w:hanging="77"/>
              <w:jc w:val="left"/>
              <w:rPr>
                <w:rFonts w:ascii="宋体" w:hAnsi="宋体" w:cs="宋体" w:eastAsia="宋体" w:hint="default"/>
                <w:sz w:val="15"/>
                <w:szCs w:val="15"/>
              </w:rPr>
            </w:pPr>
            <w:r>
              <w:rPr>
                <w:rFonts w:ascii="宋体" w:hAnsi="宋体" w:cs="宋体" w:eastAsia="宋体" w:hint="default"/>
                <w:sz w:val="15"/>
                <w:szCs w:val="15"/>
              </w:rPr>
              <w:t>实质上构成对子</w:t>
            </w:r>
          </w:p>
          <w:p>
            <w:pPr>
              <w:pStyle w:val="TableParagraph"/>
              <w:spacing w:line="290" w:lineRule="atLeast" w:before="12"/>
              <w:ind w:left="187" w:right="185"/>
              <w:jc w:val="left"/>
              <w:rPr>
                <w:rFonts w:ascii="宋体" w:hAnsi="宋体" w:cs="宋体" w:eastAsia="宋体" w:hint="default"/>
                <w:sz w:val="15"/>
                <w:szCs w:val="15"/>
              </w:rPr>
            </w:pPr>
            <w:r>
              <w:rPr>
                <w:rFonts w:ascii="宋体" w:hAnsi="宋体" w:cs="宋体" w:eastAsia="宋体" w:hint="default"/>
                <w:sz w:val="15"/>
                <w:szCs w:val="15"/>
              </w:rPr>
              <w:t>公司净投资的</w:t>
            </w:r>
            <w:r>
              <w:rPr>
                <w:rFonts w:ascii="宋体" w:hAnsi="宋体" w:cs="宋体" w:eastAsia="宋体" w:hint="default"/>
                <w:w w:val="99"/>
                <w:sz w:val="15"/>
                <w:szCs w:val="15"/>
              </w:rPr>
              <w:t> </w:t>
            </w:r>
            <w:r>
              <w:rPr>
                <w:rFonts w:ascii="宋体" w:hAnsi="宋体" w:cs="宋体" w:eastAsia="宋体" w:hint="default"/>
                <w:sz w:val="15"/>
                <w:szCs w:val="15"/>
              </w:rPr>
              <w:t>其他项目余额</w:t>
            </w:r>
          </w:p>
        </w:tc>
        <w:tc>
          <w:tcPr>
            <w:tcW w:w="85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持股比例</w:t>
            </w:r>
          </w:p>
          <w:p>
            <w:pPr>
              <w:pStyle w:val="TableParagraph"/>
              <w:spacing w:line="240" w:lineRule="auto" w:before="1"/>
              <w:ind w:right="0"/>
              <w:jc w:val="left"/>
              <w:rPr>
                <w:rFonts w:ascii="Times New Roman" w:hAnsi="Times New Roman" w:cs="Times New Roman" w:eastAsia="Times New Roman" w:hint="default"/>
                <w:sz w:val="13"/>
                <w:szCs w:val="13"/>
              </w:rPr>
            </w:pPr>
          </w:p>
          <w:p>
            <w:pPr>
              <w:pStyle w:val="TableParagraph"/>
              <w:spacing w:line="240" w:lineRule="auto"/>
              <w:ind w:right="1"/>
              <w:jc w:val="center"/>
              <w:rPr>
                <w:rFonts w:ascii="Times New Roman" w:hAnsi="Times New Roman" w:cs="Times New Roman" w:eastAsia="Times New Roman" w:hint="default"/>
                <w:sz w:val="15"/>
                <w:szCs w:val="15"/>
              </w:rPr>
            </w:pPr>
            <w:r>
              <w:rPr>
                <w:rFonts w:ascii="Times New Roman"/>
                <w:sz w:val="15"/>
              </w:rPr>
              <w:t>(%)</w:t>
            </w:r>
          </w:p>
        </w:tc>
        <w:tc>
          <w:tcPr>
            <w:tcW w:w="85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369" w:lineRule="auto"/>
              <w:ind w:left="163" w:right="154" w:firstLine="33"/>
              <w:jc w:val="left"/>
              <w:rPr>
                <w:rFonts w:ascii="Times New Roman" w:hAnsi="Times New Roman" w:cs="Times New Roman" w:eastAsia="Times New Roman" w:hint="default"/>
                <w:sz w:val="15"/>
                <w:szCs w:val="15"/>
              </w:rPr>
            </w:pPr>
            <w:r>
              <w:rPr>
                <w:rFonts w:ascii="宋体" w:hAnsi="宋体" w:cs="宋体" w:eastAsia="宋体" w:hint="default"/>
                <w:sz w:val="15"/>
                <w:szCs w:val="15"/>
              </w:rPr>
              <w:t>表决权</w:t>
            </w:r>
            <w:r>
              <w:rPr>
                <w:rFonts w:ascii="宋体" w:hAnsi="宋体" w:cs="宋体" w:eastAsia="宋体" w:hint="default"/>
                <w:w w:val="99"/>
                <w:sz w:val="15"/>
                <w:szCs w:val="15"/>
              </w:rPr>
              <w:t> </w:t>
            </w:r>
            <w:r>
              <w:rPr>
                <w:rFonts w:ascii="宋体" w:hAnsi="宋体" w:cs="宋体" w:eastAsia="宋体" w:hint="default"/>
                <w:sz w:val="15"/>
                <w:szCs w:val="15"/>
              </w:rPr>
              <w:t>比例</w:t>
            </w:r>
            <w:r>
              <w:rPr>
                <w:rFonts w:ascii="Times New Roman" w:hAnsi="Times New Roman" w:cs="Times New Roman" w:eastAsia="Times New Roman" w:hint="default"/>
                <w:sz w:val="15"/>
                <w:szCs w:val="15"/>
              </w:rPr>
              <w:t>(%)</w:t>
            </w:r>
          </w:p>
        </w:tc>
        <w:tc>
          <w:tcPr>
            <w:tcW w:w="9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5"/>
                <w:szCs w:val="15"/>
              </w:rPr>
            </w:pPr>
            <w:r>
              <w:rPr>
                <w:rFonts w:ascii="宋体" w:hAnsi="宋体" w:cs="宋体" w:eastAsia="宋体" w:hint="default"/>
                <w:sz w:val="15"/>
                <w:szCs w:val="15"/>
              </w:rPr>
              <w:t>是否合并报表</w:t>
            </w:r>
          </w:p>
        </w:tc>
        <w:tc>
          <w:tcPr>
            <w:tcW w:w="9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369" w:lineRule="auto"/>
              <w:ind w:left="340" w:right="189" w:hanging="149"/>
              <w:jc w:val="left"/>
              <w:rPr>
                <w:rFonts w:ascii="宋体" w:hAnsi="宋体" w:cs="宋体" w:eastAsia="宋体" w:hint="default"/>
                <w:sz w:val="15"/>
                <w:szCs w:val="15"/>
              </w:rPr>
            </w:pPr>
            <w:r>
              <w:rPr>
                <w:rFonts w:ascii="宋体" w:hAnsi="宋体" w:cs="宋体" w:eastAsia="宋体" w:hint="default"/>
                <w:sz w:val="15"/>
                <w:szCs w:val="15"/>
              </w:rPr>
              <w:t>少数股东</w:t>
            </w:r>
            <w:r>
              <w:rPr>
                <w:rFonts w:ascii="宋体" w:hAnsi="宋体" w:cs="宋体" w:eastAsia="宋体" w:hint="default"/>
                <w:w w:val="99"/>
                <w:sz w:val="15"/>
                <w:szCs w:val="15"/>
              </w:rPr>
              <w:t> </w:t>
            </w:r>
            <w:r>
              <w:rPr>
                <w:rFonts w:ascii="宋体" w:hAnsi="宋体" w:cs="宋体" w:eastAsia="宋体" w:hint="default"/>
                <w:sz w:val="15"/>
                <w:szCs w:val="15"/>
              </w:rPr>
              <w:t>权益</w:t>
            </w:r>
          </w:p>
        </w:tc>
        <w:tc>
          <w:tcPr>
            <w:tcW w:w="142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79"/>
              <w:ind w:right="12"/>
              <w:jc w:val="center"/>
              <w:rPr>
                <w:rFonts w:ascii="宋体" w:hAnsi="宋体" w:cs="宋体" w:eastAsia="宋体" w:hint="default"/>
                <w:sz w:val="15"/>
                <w:szCs w:val="15"/>
              </w:rPr>
            </w:pPr>
            <w:r>
              <w:rPr>
                <w:rFonts w:ascii="宋体" w:hAnsi="宋体" w:cs="宋体" w:eastAsia="宋体" w:hint="default"/>
                <w:sz w:val="15"/>
                <w:szCs w:val="15"/>
              </w:rPr>
              <w:t>少数股东权益中用于</w:t>
            </w:r>
          </w:p>
          <w:p>
            <w:pPr>
              <w:pStyle w:val="TableParagraph"/>
              <w:spacing w:line="290" w:lineRule="atLeast" w:before="12"/>
              <w:ind w:left="28" w:right="41"/>
              <w:jc w:val="center"/>
              <w:rPr>
                <w:rFonts w:ascii="宋体" w:hAnsi="宋体" w:cs="宋体" w:eastAsia="宋体" w:hint="default"/>
                <w:sz w:val="15"/>
                <w:szCs w:val="15"/>
              </w:rPr>
            </w:pPr>
            <w:r>
              <w:rPr>
                <w:rFonts w:ascii="宋体" w:hAnsi="宋体" w:cs="宋体" w:eastAsia="宋体" w:hint="default"/>
                <w:w w:val="95"/>
                <w:sz w:val="15"/>
                <w:szCs w:val="15"/>
              </w:rPr>
              <w:t>冲减少数股东损益的</w:t>
            </w:r>
            <w:r>
              <w:rPr>
                <w:rFonts w:ascii="宋体" w:hAnsi="宋体" w:cs="宋体" w:eastAsia="宋体" w:hint="default"/>
                <w:spacing w:val="-15"/>
                <w:w w:val="95"/>
                <w:sz w:val="15"/>
                <w:szCs w:val="15"/>
              </w:rPr>
              <w:t> </w:t>
            </w:r>
            <w:r>
              <w:rPr>
                <w:rFonts w:ascii="宋体" w:hAnsi="宋体" w:cs="宋体" w:eastAsia="宋体" w:hint="default"/>
                <w:spacing w:val="-15"/>
                <w:w w:val="95"/>
                <w:sz w:val="15"/>
                <w:szCs w:val="15"/>
              </w:rPr>
            </w:r>
            <w:r>
              <w:rPr>
                <w:rFonts w:ascii="宋体" w:hAnsi="宋体" w:cs="宋体" w:eastAsia="宋体" w:hint="default"/>
                <w:sz w:val="15"/>
                <w:szCs w:val="15"/>
              </w:rPr>
              <w:t>金额</w:t>
            </w: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71"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sz w:val="15"/>
                <w:szCs w:val="15"/>
              </w:rPr>
              <w:t>物流及运输行业：</w:t>
            </w:r>
            <w:r>
              <w:rPr>
                <w:rFonts w:ascii="Microsoft JhengHei" w:hAnsi="Microsoft JhengHei" w:cs="Microsoft JhengHei" w:eastAsia="Microsoft JhengHei"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深圳市宝鹏物流有限公司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52"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物流</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sz w:val="15"/>
              </w:rPr>
              <w:t>100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4"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深圳市鸿基物流有限公司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52" w:right="0"/>
              <w:jc w:val="left"/>
              <w:rPr>
                <w:rFonts w:ascii="宋体" w:hAnsi="宋体" w:cs="宋体" w:eastAsia="宋体" w:hint="default"/>
                <w:sz w:val="15"/>
                <w:szCs w:val="15"/>
              </w:rPr>
            </w:pPr>
            <w:r>
              <w:rPr>
                <w:rFonts w:ascii="宋体" w:hAnsi="宋体" w:cs="宋体" w:eastAsia="宋体" w:hint="default"/>
                <w:sz w:val="15"/>
                <w:szCs w:val="15"/>
              </w:rPr>
              <w:t>全资子公司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物流</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11,250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11,822.63</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71"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sz w:val="15"/>
                <w:szCs w:val="15"/>
              </w:rPr>
              <w:t>物流下属公司：</w:t>
            </w:r>
            <w:r>
              <w:rPr>
                <w:rFonts w:ascii="Microsoft JhengHei" w:hAnsi="Microsoft JhengHei" w:cs="Microsoft JhengHei" w:eastAsia="Microsoft JhengHei"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深圳市鸿基集装箱运输有限公司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117"/>
              <w:jc w:val="right"/>
              <w:rPr>
                <w:rFonts w:ascii="宋体" w:hAnsi="宋体" w:cs="宋体" w:eastAsia="宋体" w:hint="default"/>
                <w:sz w:val="15"/>
                <w:szCs w:val="15"/>
              </w:rPr>
            </w:pPr>
            <w:r>
              <w:rPr>
                <w:rFonts w:ascii="宋体" w:hAnsi="宋体" w:cs="宋体" w:eastAsia="宋体" w:hint="default"/>
                <w:w w:val="95"/>
                <w:sz w:val="15"/>
                <w:szCs w:val="15"/>
              </w:rPr>
              <w:t>控股子公司</w:t>
            </w:r>
            <w:r>
              <w:rPr>
                <w:rFonts w:ascii="宋体" w:hAnsi="宋体" w:cs="宋体" w:eastAsia="宋体"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集装箱运输</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90%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Times New Roman" w:hAnsi="Times New Roman" w:cs="Times New Roman" w:eastAsia="Times New Roman" w:hint="default"/>
                <w:sz w:val="15"/>
                <w:szCs w:val="15"/>
              </w:rPr>
            </w:pPr>
            <w:r>
              <w:rPr>
                <w:rFonts w:ascii="Times New Roman"/>
                <w:sz w:val="15"/>
              </w:rPr>
              <w:t>90%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w w:val="95"/>
                <w:sz w:val="15"/>
              </w:rPr>
              <w:t>-1,390,048.84</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9"/>
              <w:jc w:val="right"/>
              <w:rPr>
                <w:rFonts w:ascii="Times New Roman" w:hAnsi="Times New Roman" w:cs="Times New Roman" w:eastAsia="Times New Roman" w:hint="default"/>
                <w:sz w:val="15"/>
                <w:szCs w:val="15"/>
              </w:rPr>
            </w:pPr>
            <w:r>
              <w:rPr>
                <w:rFonts w:ascii="Times New Roman"/>
                <w:spacing w:val="-1"/>
                <w:w w:val="95"/>
                <w:sz w:val="15"/>
              </w:rPr>
              <w:t>-27,111.74</w:t>
            </w:r>
            <w:r>
              <w:rPr>
                <w:rFonts w:ascii="Times New Roman"/>
                <w:spacing w:val="-1"/>
                <w:sz w:val="15"/>
              </w:rPr>
            </w: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深圳市鸿永通国际货运代理有限公司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117"/>
              <w:jc w:val="right"/>
              <w:rPr>
                <w:rFonts w:ascii="宋体" w:hAnsi="宋体" w:cs="宋体" w:eastAsia="宋体" w:hint="default"/>
                <w:sz w:val="15"/>
                <w:szCs w:val="15"/>
              </w:rPr>
            </w:pPr>
            <w:r>
              <w:rPr>
                <w:rFonts w:ascii="宋体" w:hAnsi="宋体" w:cs="宋体" w:eastAsia="宋体" w:hint="default"/>
                <w:w w:val="95"/>
                <w:sz w:val="15"/>
                <w:szCs w:val="15"/>
              </w:rPr>
              <w:t>全资子公司</w:t>
            </w:r>
            <w:r>
              <w:rPr>
                <w:rFonts w:ascii="宋体" w:hAnsi="宋体" w:cs="宋体" w:eastAsia="宋体"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货运代理</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500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32.90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4"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left="71" w:right="0"/>
              <w:jc w:val="left"/>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sz w:val="15"/>
                <w:szCs w:val="15"/>
              </w:rPr>
              <w:t>其它</w:t>
            </w:r>
            <w:r>
              <w:rPr>
                <w:rFonts w:ascii="Microsoft JhengHei" w:hAnsi="Microsoft JhengHei" w:cs="Microsoft JhengHei" w:eastAsia="Microsoft JhengHei"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香港鸿业发展有限公司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52" w:right="0"/>
              <w:jc w:val="left"/>
              <w:rPr>
                <w:rFonts w:ascii="宋体" w:hAnsi="宋体" w:cs="宋体" w:eastAsia="宋体" w:hint="default"/>
                <w:sz w:val="15"/>
                <w:szCs w:val="15"/>
              </w:rPr>
            </w:pPr>
            <w:r>
              <w:rPr>
                <w:rFonts w:ascii="宋体" w:hAnsi="宋体" w:cs="宋体" w:eastAsia="宋体" w:hint="default"/>
                <w:sz w:val="15"/>
                <w:szCs w:val="15"/>
              </w:rPr>
              <w:t>控股子公司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香港</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运输、贸易</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7"/>
              <w:ind w:left="148"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港币</w:t>
            </w:r>
            <w:r>
              <w:rPr>
                <w:rFonts w:ascii="宋体" w:hAnsi="宋体" w:cs="宋体" w:eastAsia="宋体" w:hint="default"/>
                <w:spacing w:val="-36"/>
                <w:sz w:val="15"/>
                <w:szCs w:val="15"/>
              </w:rPr>
              <w:t> </w:t>
            </w:r>
            <w:r>
              <w:rPr>
                <w:rFonts w:ascii="Times New Roman" w:hAnsi="Times New Roman" w:cs="Times New Roman" w:eastAsia="Times New Roman" w:hint="default"/>
                <w:sz w:val="15"/>
                <w:szCs w:val="15"/>
              </w:rPr>
              <w:t>1,000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97"/>
              <w:ind w:left="206" w:right="0"/>
              <w:jc w:val="left"/>
              <w:rPr>
                <w:rFonts w:ascii="Times New Roman" w:hAnsi="Times New Roman" w:cs="Times New Roman" w:eastAsia="Times New Roman" w:hint="default"/>
                <w:sz w:val="15"/>
                <w:szCs w:val="15"/>
              </w:rPr>
            </w:pPr>
            <w:r>
              <w:rPr>
                <w:rFonts w:ascii="宋体" w:hAnsi="宋体" w:cs="宋体" w:eastAsia="宋体" w:hint="default"/>
                <w:sz w:val="15"/>
                <w:szCs w:val="15"/>
              </w:rPr>
              <w:t>港币</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950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3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95%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83" w:right="0"/>
              <w:jc w:val="left"/>
              <w:rPr>
                <w:rFonts w:ascii="Times New Roman" w:hAnsi="Times New Roman" w:cs="Times New Roman" w:eastAsia="Times New Roman" w:hint="default"/>
                <w:sz w:val="15"/>
                <w:szCs w:val="15"/>
              </w:rPr>
            </w:pPr>
            <w:r>
              <w:rPr>
                <w:rFonts w:ascii="Times New Roman"/>
                <w:sz w:val="15"/>
              </w:rPr>
              <w:t>95%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5"/>
                <w:szCs w:val="15"/>
              </w:rPr>
            </w:pPr>
            <w:r>
              <w:rPr>
                <w:rFonts w:ascii="Times New Roman"/>
                <w:sz w:val="15"/>
              </w:rPr>
              <w:t>232,753.46</w:t>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9"/>
              <w:jc w:val="right"/>
              <w:rPr>
                <w:rFonts w:ascii="Times New Roman" w:hAnsi="Times New Roman" w:cs="Times New Roman" w:eastAsia="Times New Roman" w:hint="default"/>
                <w:sz w:val="15"/>
                <w:szCs w:val="15"/>
              </w:rPr>
            </w:pPr>
            <w:r>
              <w:rPr>
                <w:rFonts w:ascii="Times New Roman"/>
                <w:sz w:val="15"/>
              </w:rPr>
              <w:t>-31.10</w:t>
            </w: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福建升通网络传媒有限公司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117"/>
              <w:jc w:val="right"/>
              <w:rPr>
                <w:rFonts w:ascii="宋体" w:hAnsi="宋体" w:cs="宋体" w:eastAsia="宋体" w:hint="default"/>
                <w:sz w:val="15"/>
                <w:szCs w:val="15"/>
              </w:rPr>
            </w:pPr>
            <w:r>
              <w:rPr>
                <w:rFonts w:ascii="宋体" w:hAnsi="宋体" w:cs="宋体" w:eastAsia="宋体" w:hint="default"/>
                <w:w w:val="95"/>
                <w:sz w:val="15"/>
                <w:szCs w:val="15"/>
              </w:rPr>
              <w:t>控股子公司</w:t>
            </w:r>
            <w:r>
              <w:rPr>
                <w:rFonts w:ascii="宋体" w:hAnsi="宋体" w:cs="宋体" w:eastAsia="宋体"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福州</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增值电信服务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w w:val="95"/>
                <w:sz w:val="15"/>
              </w:rPr>
              <w:t>1,600</w:t>
            </w:r>
            <w:r>
              <w:rPr>
                <w:rFonts w:ascii="Times New Roman"/>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53"/>
              <w:jc w:val="right"/>
              <w:rPr>
                <w:rFonts w:ascii="Times New Roman" w:hAnsi="Times New Roman" w:cs="Times New Roman" w:eastAsia="Times New Roman" w:hint="default"/>
                <w:sz w:val="15"/>
                <w:szCs w:val="15"/>
              </w:rPr>
            </w:pPr>
            <w:r>
              <w:rPr>
                <w:rFonts w:ascii="Times New Roman"/>
                <w:w w:val="95"/>
                <w:sz w:val="15"/>
              </w:rPr>
              <w:t>1,600</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深圳市宝地投资发展有限公司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117"/>
              <w:jc w:val="right"/>
              <w:rPr>
                <w:rFonts w:ascii="宋体" w:hAnsi="宋体" w:cs="宋体" w:eastAsia="宋体" w:hint="default"/>
                <w:sz w:val="15"/>
                <w:szCs w:val="15"/>
              </w:rPr>
            </w:pPr>
            <w:r>
              <w:rPr>
                <w:rFonts w:ascii="宋体" w:hAnsi="宋体" w:cs="宋体" w:eastAsia="宋体" w:hint="default"/>
                <w:w w:val="95"/>
                <w:sz w:val="15"/>
                <w:szCs w:val="15"/>
              </w:rPr>
              <w:t>全资子公司</w:t>
            </w:r>
            <w:r>
              <w:rPr>
                <w:rFonts w:ascii="宋体" w:hAnsi="宋体" w:cs="宋体" w:eastAsia="宋体" w:hint="default"/>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投资兴办实业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4" w:hRule="exact"/>
        </w:trPr>
        <w:tc>
          <w:tcPr>
            <w:tcW w:w="270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深圳市宝永发投资发展有限公司</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117"/>
              <w:jc w:val="right"/>
              <w:rPr>
                <w:rFonts w:ascii="宋体" w:hAnsi="宋体" w:cs="宋体" w:eastAsia="宋体" w:hint="default"/>
                <w:sz w:val="15"/>
                <w:szCs w:val="15"/>
              </w:rPr>
            </w:pPr>
            <w:r>
              <w:rPr>
                <w:rFonts w:ascii="宋体" w:hAnsi="宋体" w:cs="宋体" w:eastAsia="宋体" w:hint="default"/>
                <w:spacing w:val="-1"/>
                <w:w w:val="95"/>
                <w:sz w:val="15"/>
                <w:szCs w:val="15"/>
              </w:rPr>
              <w:t>全资子公司</w:t>
            </w:r>
            <w:r>
              <w:rPr>
                <w:rFonts w:ascii="宋体" w:hAnsi="宋体" w:cs="宋体" w:eastAsia="宋体" w:hint="default"/>
                <w:spacing w:val="-1"/>
                <w:sz w:val="15"/>
                <w:szCs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投资兴办实业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60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8" w:hRule="exact"/>
        </w:trPr>
        <w:tc>
          <w:tcPr>
            <w:tcW w:w="2707"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left="71" w:right="0"/>
              <w:jc w:val="left"/>
              <w:rPr>
                <w:rFonts w:ascii="宋体" w:hAnsi="宋体" w:cs="宋体" w:eastAsia="宋体" w:hint="default"/>
                <w:sz w:val="15"/>
                <w:szCs w:val="15"/>
              </w:rPr>
            </w:pPr>
            <w:r>
              <w:rPr>
                <w:rFonts w:ascii="宋体" w:hAnsi="宋体" w:cs="宋体" w:eastAsia="宋体" w:hint="default"/>
                <w:sz w:val="15"/>
                <w:szCs w:val="15"/>
              </w:rPr>
              <w:t>深圳市宝鹏投资发展有限公司</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117"/>
              <w:jc w:val="right"/>
              <w:rPr>
                <w:rFonts w:ascii="宋体" w:hAnsi="宋体" w:cs="宋体" w:eastAsia="宋体" w:hint="default"/>
                <w:sz w:val="15"/>
                <w:szCs w:val="15"/>
              </w:rPr>
            </w:pPr>
            <w:r>
              <w:rPr>
                <w:rFonts w:ascii="宋体" w:hAnsi="宋体" w:cs="宋体" w:eastAsia="宋体" w:hint="default"/>
                <w:w w:val="95"/>
                <w:sz w:val="15"/>
                <w:szCs w:val="15"/>
              </w:rPr>
              <w:t>全资子公司</w:t>
            </w:r>
            <w:r>
              <w:rPr>
                <w:rFonts w:ascii="宋体" w:hAnsi="宋体" w:cs="宋体" w:eastAsia="宋体" w:hint="default"/>
                <w:sz w:val="15"/>
                <w:szCs w:val="15"/>
              </w:rPr>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2"/>
              <w:jc w:val="center"/>
              <w:rPr>
                <w:rFonts w:ascii="宋体" w:hAnsi="宋体" w:cs="宋体" w:eastAsia="宋体" w:hint="default"/>
                <w:sz w:val="15"/>
                <w:szCs w:val="15"/>
              </w:rPr>
            </w:pPr>
            <w:r>
              <w:rPr>
                <w:rFonts w:ascii="宋体" w:hAnsi="宋体" w:cs="宋体" w:eastAsia="宋体" w:hint="default"/>
                <w:sz w:val="15"/>
                <w:szCs w:val="15"/>
              </w:rPr>
              <w:t>深圳</w:t>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7"/>
              <w:jc w:val="center"/>
              <w:rPr>
                <w:rFonts w:ascii="宋体" w:hAnsi="宋体" w:cs="宋体" w:eastAsia="宋体" w:hint="default"/>
                <w:sz w:val="15"/>
                <w:szCs w:val="15"/>
              </w:rPr>
            </w:pPr>
            <w:r>
              <w:rPr>
                <w:rFonts w:ascii="宋体" w:hAnsi="宋体" w:cs="宋体" w:eastAsia="宋体" w:hint="default"/>
                <w:sz w:val="15"/>
                <w:szCs w:val="15"/>
              </w:rPr>
              <w:t>投资兴办实业</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4"/>
              <w:jc w:val="right"/>
              <w:rPr>
                <w:rFonts w:ascii="Times New Roman" w:hAnsi="Times New Roman" w:cs="Times New Roman" w:eastAsia="Times New Roman" w:hint="default"/>
                <w:sz w:val="15"/>
                <w:szCs w:val="15"/>
              </w:rPr>
            </w:pPr>
            <w:r>
              <w:rPr>
                <w:rFonts w:ascii="Times New Roman"/>
                <w:sz w:val="15"/>
              </w:rPr>
              <w:t>60</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49"/>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7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8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3"/>
              <w:jc w:val="center"/>
              <w:rPr>
                <w:rFonts w:ascii="Times New Roman" w:hAnsi="Times New Roman" w:cs="Times New Roman" w:eastAsia="Times New Roman" w:hint="default"/>
                <w:sz w:val="15"/>
                <w:szCs w:val="15"/>
              </w:rPr>
            </w:pPr>
            <w:r>
              <w:rPr>
                <w:rFonts w:ascii="Times New Roman"/>
                <w:sz w:val="15"/>
              </w:rPr>
              <w:t>100%</w:t>
            </w:r>
          </w:p>
        </w:tc>
        <w:tc>
          <w:tcPr>
            <w:tcW w:w="8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left="244" w:right="0"/>
              <w:jc w:val="left"/>
              <w:rPr>
                <w:rFonts w:ascii="Times New Roman" w:hAnsi="Times New Roman" w:cs="Times New Roman" w:eastAsia="Times New Roman" w:hint="default"/>
                <w:sz w:val="15"/>
                <w:szCs w:val="15"/>
              </w:rPr>
            </w:pPr>
            <w:r>
              <w:rPr>
                <w:rFonts w:ascii="Times New Roman"/>
                <w:sz w:val="15"/>
              </w:rPr>
              <w:t>100%</w:t>
            </w: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20"/>
              <w:ind w:right="0"/>
              <w:jc w:val="center"/>
              <w:rPr>
                <w:rFonts w:ascii="宋体" w:hAnsi="宋体" w:cs="宋体" w:eastAsia="宋体" w:hint="default"/>
                <w:sz w:val="15"/>
                <w:szCs w:val="15"/>
              </w:rPr>
            </w:pPr>
            <w:r>
              <w:rPr>
                <w:rFonts w:ascii="宋体" w:hAnsi="宋体" w:cs="宋体" w:eastAsia="宋体" w:hint="default"/>
                <w:w w:val="99"/>
                <w:sz w:val="15"/>
                <w:szCs w:val="15"/>
              </w:rPr>
              <w:t>是</w:t>
            </w:r>
            <w:r>
              <w:rPr>
                <w:rFonts w:ascii="宋体" w:hAnsi="宋体" w:cs="宋体" w:eastAsia="宋体" w:hint="default"/>
                <w:sz w:val="15"/>
                <w:szCs w:val="15"/>
              </w:rPr>
            </w:r>
          </w:p>
        </w:tc>
        <w:tc>
          <w:tcPr>
            <w:tcW w:w="9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1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421"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4"/>
                <w:szCs w:val="14"/>
              </w:rPr>
            </w:pPr>
          </w:p>
          <w:p>
            <w:pPr>
              <w:pStyle w:val="TableParagraph"/>
              <w:spacing w:line="240" w:lineRule="auto"/>
              <w:ind w:right="25"/>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bl>
    <w:p>
      <w:pPr>
        <w:spacing w:after="0" w:line="240" w:lineRule="auto"/>
        <w:jc w:val="right"/>
        <w:rPr>
          <w:rFonts w:ascii="Times New Roman" w:hAnsi="Times New Roman" w:cs="Times New Roman" w:eastAsia="Times New Roman" w:hint="default"/>
          <w:sz w:val="15"/>
          <w:szCs w:val="15"/>
        </w:rPr>
        <w:sectPr>
          <w:pgSz w:w="16840" w:h="11900" w:orient="landscape"/>
          <w:pgMar w:header="756" w:footer="840" w:top="980" w:bottom="1020" w:left="1300" w:right="6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BodyText"/>
        <w:spacing w:line="364" w:lineRule="auto" w:before="92"/>
        <w:ind w:right="137"/>
        <w:jc w:val="left"/>
      </w:pPr>
      <w:r>
        <w:rPr>
          <w:rFonts w:ascii="Times New Roman" w:hAnsi="Times New Roman" w:cs="Times New Roman" w:eastAsia="Times New Roman" w:hint="default"/>
          <w:b/>
          <w:bCs/>
        </w:rPr>
        <w:t>2</w:t>
      </w:r>
      <w:r>
        <w:rPr>
          <w:rFonts w:ascii="Microsoft JhengHei" w:hAnsi="Microsoft JhengHei" w:cs="Microsoft JhengHei" w:eastAsia="Microsoft JhengHei" w:hint="default"/>
          <w:b/>
          <w:bCs/>
        </w:rPr>
        <w:t>、</w:t>
      </w:r>
      <w:r>
        <w:rPr/>
        <w:t>本公司间接持有福建升通网络传媒有限公司</w:t>
      </w:r>
      <w:r>
        <w:rPr>
          <w:spacing w:val="6"/>
        </w:rPr>
        <w:t> </w:t>
      </w:r>
      <w:r>
        <w:rPr>
          <w:rFonts w:ascii="Times New Roman" w:hAnsi="Times New Roman" w:cs="Times New Roman" w:eastAsia="Times New Roman" w:hint="default"/>
        </w:rPr>
        <w:t>10%</w:t>
      </w:r>
      <w:r>
        <w:rPr/>
        <w:t>股权目前为其他单位名义持有，本公司通过股权协议</w:t>
      </w:r>
      <w:r>
        <w:rPr>
          <w:w w:val="100"/>
        </w:rPr>
        <w:t> </w:t>
      </w:r>
      <w:r>
        <w:rPr/>
        <w:t>实质持有。</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pStyle w:val="Heading6"/>
        <w:spacing w:line="240" w:lineRule="auto"/>
        <w:ind w:right="0"/>
        <w:jc w:val="left"/>
        <w:rPr>
          <w:b w:val="0"/>
          <w:bCs w:val="0"/>
        </w:rPr>
      </w:pPr>
      <w:r>
        <w:rPr>
          <w:rFonts w:ascii="Times New Roman" w:hAnsi="Times New Roman" w:cs="Times New Roman" w:eastAsia="Times New Roman" w:hint="default"/>
        </w:rPr>
        <w:t>3</w:t>
      </w:r>
      <w:r>
        <w:rPr/>
        <w:t>、合并范围发生变更的说明</w:t>
      </w:r>
      <w:r>
        <w:rPr>
          <w:b w:val="0"/>
          <w:bCs w:val="0"/>
        </w:rPr>
      </w:r>
    </w:p>
    <w:p>
      <w:pPr>
        <w:pStyle w:val="BodyText"/>
        <w:spacing w:line="403" w:lineRule="auto" w:before="191"/>
        <w:ind w:left="575" w:right="0"/>
        <w:jc w:val="left"/>
      </w:pPr>
      <w:r>
        <w:rPr/>
        <w:t>（</w:t>
      </w:r>
      <w:r>
        <w:rPr>
          <w:rFonts w:ascii="Times New Roman" w:hAnsi="Times New Roman" w:cs="Times New Roman" w:eastAsia="Times New Roman" w:hint="default"/>
        </w:rPr>
        <w:t>1</w:t>
      </w:r>
      <w:r>
        <w:rPr/>
        <w:t>）持有半数及半数以上表决权比例，但未纳入合并范围的公司</w:t>
      </w:r>
      <w:r>
        <w:rPr>
          <w:w w:val="100"/>
        </w:rPr>
        <w:t> </w:t>
      </w:r>
      <w:r>
        <w:rPr>
          <w:spacing w:val="-2"/>
        </w:rPr>
        <w:t>以下公司经本公司董事会决议，处于依法清算阶段，本公司已对该等公司无实质控制权，未纳入财务</w:t>
      </w:r>
    </w:p>
    <w:p>
      <w:pPr>
        <w:pStyle w:val="BodyText"/>
        <w:spacing w:line="240" w:lineRule="auto" w:before="76"/>
        <w:ind w:right="0"/>
        <w:jc w:val="left"/>
      </w:pPr>
      <w:r>
        <w:rPr/>
        <w:t>报表合并范围。</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3475"/>
        <w:gridCol w:w="763"/>
        <w:gridCol w:w="1085"/>
        <w:gridCol w:w="1090"/>
        <w:gridCol w:w="840"/>
        <w:gridCol w:w="840"/>
        <w:gridCol w:w="1411"/>
      </w:tblGrid>
      <w:tr>
        <w:trPr>
          <w:trHeight w:val="509" w:hRule="exact"/>
        </w:trPr>
        <w:tc>
          <w:tcPr>
            <w:tcW w:w="3475"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left="14" w:right="0"/>
              <w:jc w:val="center"/>
              <w:rPr>
                <w:rFonts w:ascii="宋体" w:hAnsi="宋体" w:cs="宋体" w:eastAsia="宋体" w:hint="default"/>
                <w:sz w:val="21"/>
                <w:szCs w:val="21"/>
              </w:rPr>
            </w:pPr>
            <w:r>
              <w:rPr>
                <w:rFonts w:ascii="宋体" w:hAnsi="宋体" w:cs="宋体" w:eastAsia="宋体" w:hint="default"/>
                <w:sz w:val="21"/>
                <w:szCs w:val="21"/>
              </w:rPr>
              <w:t>子公司名称</w:t>
            </w:r>
          </w:p>
        </w:tc>
        <w:tc>
          <w:tcPr>
            <w:tcW w:w="763"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left="57" w:right="0"/>
              <w:jc w:val="left"/>
              <w:rPr>
                <w:rFonts w:ascii="宋体" w:hAnsi="宋体" w:cs="宋体" w:eastAsia="宋体" w:hint="default"/>
                <w:sz w:val="21"/>
                <w:szCs w:val="21"/>
              </w:rPr>
            </w:pPr>
            <w:r>
              <w:rPr>
                <w:rFonts w:ascii="宋体" w:hAnsi="宋体" w:cs="宋体" w:eastAsia="宋体" w:hint="default"/>
                <w:sz w:val="21"/>
                <w:szCs w:val="21"/>
              </w:rPr>
              <w:t>注册地</w:t>
            </w:r>
          </w:p>
        </w:tc>
        <w:tc>
          <w:tcPr>
            <w:tcW w:w="1085"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p>
        </w:tc>
        <w:tc>
          <w:tcPr>
            <w:tcW w:w="1090"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20" w:right="0"/>
              <w:jc w:val="left"/>
              <w:rPr>
                <w:rFonts w:ascii="宋体" w:hAnsi="宋体" w:cs="宋体" w:eastAsia="宋体" w:hint="default"/>
                <w:sz w:val="21"/>
                <w:szCs w:val="21"/>
              </w:rPr>
            </w:pPr>
            <w:r>
              <w:rPr>
                <w:rFonts w:ascii="宋体" w:hAnsi="宋体" w:cs="宋体" w:eastAsia="宋体" w:hint="default"/>
                <w:sz w:val="21"/>
                <w:szCs w:val="21"/>
              </w:rPr>
              <w:t>投资额</w:t>
            </w: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254"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p>
        </w:tc>
        <w:tc>
          <w:tcPr>
            <w:tcW w:w="1680"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占权益比例</w:t>
            </w:r>
          </w:p>
        </w:tc>
        <w:tc>
          <w:tcPr>
            <w:tcW w:w="1411"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5"/>
              <w:ind w:left="278" w:right="0"/>
              <w:jc w:val="left"/>
              <w:rPr>
                <w:rFonts w:ascii="宋体" w:hAnsi="宋体" w:cs="宋体" w:eastAsia="宋体" w:hint="default"/>
                <w:sz w:val="21"/>
                <w:szCs w:val="21"/>
              </w:rPr>
            </w:pPr>
            <w:r>
              <w:rPr>
                <w:rFonts w:ascii="宋体" w:hAnsi="宋体" w:cs="宋体" w:eastAsia="宋体" w:hint="default"/>
                <w:sz w:val="21"/>
                <w:szCs w:val="21"/>
              </w:rPr>
              <w:t>主营业务</w:t>
            </w:r>
          </w:p>
        </w:tc>
      </w:tr>
      <w:tr>
        <w:trPr>
          <w:trHeight w:val="499" w:hRule="exact"/>
        </w:trPr>
        <w:tc>
          <w:tcPr>
            <w:tcW w:w="3475" w:type="dxa"/>
            <w:vMerge/>
            <w:tcBorders>
              <w:left w:val="nil" w:sz="6" w:space="0" w:color="auto"/>
              <w:bottom w:val="single" w:sz="4" w:space="0" w:color="000000"/>
              <w:right w:val="single" w:sz="4" w:space="0" w:color="000000"/>
            </w:tcBorders>
          </w:tcPr>
          <w:p>
            <w:pPr/>
          </w:p>
        </w:tc>
        <w:tc>
          <w:tcPr>
            <w:tcW w:w="763" w:type="dxa"/>
            <w:vMerge/>
            <w:tcBorders>
              <w:left w:val="single" w:sz="4" w:space="0" w:color="000000"/>
              <w:bottom w:val="single" w:sz="4" w:space="0" w:color="000000"/>
              <w:right w:val="single" w:sz="4" w:space="0" w:color="000000"/>
            </w:tcBorders>
          </w:tcPr>
          <w:p>
            <w:pPr/>
          </w:p>
        </w:tc>
        <w:tc>
          <w:tcPr>
            <w:tcW w:w="1085" w:type="dxa"/>
            <w:vMerge/>
            <w:tcBorders>
              <w:left w:val="single" w:sz="4" w:space="0" w:color="000000"/>
              <w:bottom w:val="single" w:sz="4" w:space="0" w:color="000000"/>
              <w:right w:val="single" w:sz="4" w:space="0" w:color="000000"/>
            </w:tcBorders>
          </w:tcPr>
          <w:p>
            <w:pPr/>
          </w:p>
        </w:tc>
        <w:tc>
          <w:tcPr>
            <w:tcW w:w="1090" w:type="dxa"/>
            <w:vMerge/>
            <w:tcBorders>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06" w:right="0"/>
              <w:jc w:val="left"/>
              <w:rPr>
                <w:rFonts w:ascii="宋体" w:hAnsi="宋体" w:cs="宋体" w:eastAsia="宋体" w:hint="default"/>
                <w:sz w:val="21"/>
                <w:szCs w:val="21"/>
              </w:rPr>
            </w:pPr>
            <w:r>
              <w:rPr>
                <w:rFonts w:ascii="宋体" w:hAnsi="宋体" w:cs="宋体" w:eastAsia="宋体" w:hint="default"/>
                <w:sz w:val="21"/>
                <w:szCs w:val="21"/>
              </w:rPr>
              <w:t>直接</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间接</w:t>
            </w:r>
          </w:p>
        </w:tc>
        <w:tc>
          <w:tcPr>
            <w:tcW w:w="1411" w:type="dxa"/>
            <w:vMerge/>
            <w:tcBorders>
              <w:left w:val="single" w:sz="4" w:space="0" w:color="000000"/>
              <w:bottom w:val="single" w:sz="4" w:space="0" w:color="000000"/>
              <w:right w:val="nil" w:sz="6" w:space="0" w:color="auto"/>
            </w:tcBorders>
          </w:tcPr>
          <w:p>
            <w:pPr/>
          </w:p>
        </w:tc>
      </w:tr>
      <w:tr>
        <w:trPr>
          <w:trHeight w:val="499" w:hRule="exact"/>
        </w:trPr>
        <w:tc>
          <w:tcPr>
            <w:tcW w:w="34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未纳入合并范围的子公司</w:t>
            </w:r>
          </w:p>
        </w:tc>
        <w:tc>
          <w:tcPr>
            <w:tcW w:w="763" w:type="dxa"/>
            <w:tcBorders>
              <w:top w:val="single" w:sz="4" w:space="0" w:color="000000"/>
              <w:left w:val="single" w:sz="4" w:space="0" w:color="000000"/>
              <w:bottom w:val="single" w:sz="4" w:space="0" w:color="000000"/>
              <w:right w:val="single" w:sz="4" w:space="0" w:color="000000"/>
            </w:tcBorders>
          </w:tcPr>
          <w:p>
            <w:pPr/>
          </w:p>
        </w:tc>
        <w:tc>
          <w:tcPr>
            <w:tcW w:w="1085" w:type="dxa"/>
            <w:tcBorders>
              <w:top w:val="single" w:sz="4" w:space="0" w:color="000000"/>
              <w:left w:val="single" w:sz="4" w:space="0" w:color="000000"/>
              <w:bottom w:val="single" w:sz="4" w:space="0" w:color="000000"/>
              <w:right w:val="single" w:sz="4" w:space="0" w:color="000000"/>
            </w:tcBorders>
          </w:tcPr>
          <w:p>
            <w:pPr/>
          </w:p>
        </w:tc>
        <w:tc>
          <w:tcPr>
            <w:tcW w:w="109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
        </w:tc>
        <w:tc>
          <w:tcPr>
            <w:tcW w:w="1411"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34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71"/>
              <w:jc w:val="right"/>
              <w:rPr>
                <w:rFonts w:ascii="宋体" w:hAnsi="宋体" w:cs="宋体" w:eastAsia="宋体" w:hint="default"/>
                <w:sz w:val="21"/>
                <w:szCs w:val="21"/>
              </w:rPr>
            </w:pPr>
            <w:r>
              <w:rPr>
                <w:rFonts w:ascii="宋体" w:hAnsi="宋体" w:cs="宋体" w:eastAsia="宋体" w:hint="default"/>
                <w:spacing w:val="-2"/>
                <w:sz w:val="21"/>
                <w:szCs w:val="21"/>
              </w:rPr>
              <w:t>西安鸿腾生物科技有限责任公司</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西安</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38"/>
              <w:jc w:val="right"/>
              <w:rPr>
                <w:rFonts w:ascii="Times New Roman" w:hAnsi="Times New Roman" w:cs="Times New Roman" w:eastAsia="Times New Roman" w:hint="default"/>
                <w:sz w:val="21"/>
                <w:szCs w:val="21"/>
              </w:rPr>
            </w:pPr>
            <w:r>
              <w:rPr>
                <w:rFonts w:ascii="Times New Roman"/>
                <w:sz w:val="21"/>
              </w:rPr>
              <w:t>200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42"/>
              <w:jc w:val="right"/>
              <w:rPr>
                <w:rFonts w:ascii="Times New Roman" w:hAnsi="Times New Roman" w:cs="Times New Roman" w:eastAsia="Times New Roman" w:hint="default"/>
                <w:sz w:val="21"/>
                <w:szCs w:val="21"/>
              </w:rPr>
            </w:pPr>
            <w:r>
              <w:rPr>
                <w:rFonts w:ascii="Times New Roman"/>
                <w:sz w:val="21"/>
              </w:rPr>
              <w:t>420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21"/>
                <w:szCs w:val="21"/>
              </w:rPr>
            </w:pPr>
            <w:r>
              <w:rPr>
                <w:rFonts w:ascii="Times New Roman"/>
                <w:sz w:val="21"/>
              </w:rPr>
              <w:t>70%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w:t>
            </w:r>
          </w:p>
        </w:tc>
        <w:tc>
          <w:tcPr>
            <w:tcW w:w="1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生物制药</w:t>
            </w:r>
          </w:p>
        </w:tc>
      </w:tr>
      <w:tr>
        <w:trPr>
          <w:trHeight w:val="504" w:hRule="exact"/>
        </w:trPr>
        <w:tc>
          <w:tcPr>
            <w:tcW w:w="34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71"/>
              <w:jc w:val="right"/>
              <w:rPr>
                <w:rFonts w:ascii="宋体" w:hAnsi="宋体" w:cs="宋体" w:eastAsia="宋体" w:hint="default"/>
                <w:sz w:val="21"/>
                <w:szCs w:val="21"/>
              </w:rPr>
            </w:pPr>
            <w:r>
              <w:rPr>
                <w:rFonts w:ascii="宋体" w:hAnsi="宋体" w:cs="宋体" w:eastAsia="宋体" w:hint="default"/>
                <w:spacing w:val="-2"/>
                <w:sz w:val="21"/>
                <w:szCs w:val="21"/>
              </w:rPr>
              <w:t>深圳鸿南建筑机械工程有限公司</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深圳</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38"/>
              <w:jc w:val="right"/>
              <w:rPr>
                <w:rFonts w:ascii="Times New Roman" w:hAnsi="Times New Roman" w:cs="Times New Roman" w:eastAsia="Times New Roman" w:hint="default"/>
                <w:sz w:val="21"/>
                <w:szCs w:val="21"/>
              </w:rPr>
            </w:pPr>
            <w:r>
              <w:rPr>
                <w:rFonts w:ascii="Times New Roman"/>
                <w:sz w:val="21"/>
              </w:rPr>
              <w:t>360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42"/>
              <w:jc w:val="right"/>
              <w:rPr>
                <w:rFonts w:ascii="Times New Roman" w:hAnsi="Times New Roman" w:cs="Times New Roman" w:eastAsia="Times New Roman" w:hint="default"/>
                <w:sz w:val="21"/>
                <w:szCs w:val="21"/>
              </w:rPr>
            </w:pPr>
            <w:r>
              <w:rPr>
                <w:rFonts w:ascii="Times New Roman"/>
                <w:sz w:val="21"/>
              </w:rPr>
              <w:t>324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21"/>
                <w:szCs w:val="21"/>
              </w:rPr>
            </w:pPr>
            <w:r>
              <w:rPr>
                <w:rFonts w:ascii="Times New Roman"/>
                <w:sz w:val="21"/>
              </w:rPr>
              <w:t>90%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w:t>
            </w:r>
          </w:p>
        </w:tc>
        <w:tc>
          <w:tcPr>
            <w:tcW w:w="1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机械生产销售</w:t>
            </w:r>
          </w:p>
        </w:tc>
      </w:tr>
      <w:tr>
        <w:trPr>
          <w:trHeight w:val="499" w:hRule="exact"/>
        </w:trPr>
        <w:tc>
          <w:tcPr>
            <w:tcW w:w="347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深运工贸翠苑旅店</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深圳</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38"/>
              <w:jc w:val="right"/>
              <w:rPr>
                <w:rFonts w:ascii="Times New Roman" w:hAnsi="Times New Roman" w:cs="Times New Roman" w:eastAsia="Times New Roman" w:hint="default"/>
                <w:sz w:val="21"/>
                <w:szCs w:val="21"/>
              </w:rPr>
            </w:pPr>
            <w:r>
              <w:rPr>
                <w:rFonts w:ascii="Times New Roman"/>
                <w:sz w:val="21"/>
              </w:rPr>
              <w:t>50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42"/>
              <w:jc w:val="right"/>
              <w:rPr>
                <w:rFonts w:ascii="Times New Roman" w:hAnsi="Times New Roman" w:cs="Times New Roman" w:eastAsia="Times New Roman" w:hint="default"/>
                <w:sz w:val="21"/>
                <w:szCs w:val="21"/>
              </w:rPr>
            </w:pPr>
            <w:r>
              <w:rPr>
                <w:rFonts w:ascii="Times New Roman"/>
                <w:sz w:val="21"/>
              </w:rPr>
              <w:t>50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21"/>
                <w:szCs w:val="21"/>
              </w:rPr>
            </w:pPr>
            <w:r>
              <w:rPr>
                <w:rFonts w:ascii="Times New Roman"/>
                <w:sz w:val="21"/>
              </w:rPr>
              <w:t>100%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w:t>
            </w:r>
          </w:p>
        </w:tc>
        <w:tc>
          <w:tcPr>
            <w:tcW w:w="14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旅店、服务</w:t>
            </w:r>
          </w:p>
        </w:tc>
      </w:tr>
      <w:tr>
        <w:trPr>
          <w:trHeight w:val="509" w:hRule="exact"/>
        </w:trPr>
        <w:tc>
          <w:tcPr>
            <w:tcW w:w="347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深圳市鸿基广源贸易有限公司</w:t>
            </w:r>
          </w:p>
        </w:tc>
        <w:tc>
          <w:tcPr>
            <w:tcW w:w="7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6"/>
              <w:jc w:val="right"/>
              <w:rPr>
                <w:rFonts w:ascii="宋体" w:hAnsi="宋体" w:cs="宋体" w:eastAsia="宋体" w:hint="default"/>
                <w:sz w:val="21"/>
                <w:szCs w:val="21"/>
              </w:rPr>
            </w:pPr>
            <w:r>
              <w:rPr>
                <w:rFonts w:ascii="宋体" w:hAnsi="宋体" w:cs="宋体" w:eastAsia="宋体" w:hint="default"/>
                <w:sz w:val="21"/>
                <w:szCs w:val="21"/>
              </w:rPr>
              <w:t>深圳</w:t>
            </w:r>
          </w:p>
        </w:tc>
        <w:tc>
          <w:tcPr>
            <w:tcW w:w="108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38"/>
              <w:jc w:val="right"/>
              <w:rPr>
                <w:rFonts w:ascii="Times New Roman" w:hAnsi="Times New Roman" w:cs="Times New Roman" w:eastAsia="Times New Roman" w:hint="default"/>
                <w:sz w:val="21"/>
                <w:szCs w:val="21"/>
              </w:rPr>
            </w:pPr>
            <w:r>
              <w:rPr>
                <w:rFonts w:ascii="Times New Roman"/>
                <w:sz w:val="21"/>
              </w:rPr>
              <w:t>500</w:t>
            </w:r>
          </w:p>
        </w:tc>
        <w:tc>
          <w:tcPr>
            <w:tcW w:w="109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42"/>
              <w:jc w:val="right"/>
              <w:rPr>
                <w:rFonts w:ascii="Times New Roman" w:hAnsi="Times New Roman" w:cs="Times New Roman" w:eastAsia="Times New Roman" w:hint="default"/>
                <w:sz w:val="21"/>
                <w:szCs w:val="21"/>
              </w:rPr>
            </w:pPr>
            <w:r>
              <w:rPr>
                <w:rFonts w:ascii="Times New Roman"/>
                <w:sz w:val="21"/>
              </w:rPr>
              <w:t>400</w:t>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21"/>
                <w:szCs w:val="21"/>
              </w:rPr>
            </w:pPr>
            <w:r>
              <w:rPr>
                <w:rFonts w:ascii="Times New Roman"/>
                <w:sz w:val="21"/>
              </w:rPr>
              <w:t>80%</w:t>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w:t>
            </w:r>
          </w:p>
        </w:tc>
        <w:tc>
          <w:tcPr>
            <w:tcW w:w="14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进出口及代理</w:t>
            </w:r>
          </w:p>
        </w:tc>
      </w:tr>
    </w:tbl>
    <w:p>
      <w:pPr>
        <w:spacing w:line="240" w:lineRule="auto" w:before="2"/>
        <w:rPr>
          <w:rFonts w:ascii="宋体" w:hAnsi="宋体" w:cs="宋体" w:eastAsia="宋体" w:hint="default"/>
          <w:sz w:val="11"/>
          <w:szCs w:val="11"/>
        </w:rPr>
      </w:pPr>
    </w:p>
    <w:p>
      <w:pPr>
        <w:pStyle w:val="BodyText"/>
        <w:spacing w:line="240" w:lineRule="auto" w:before="36"/>
        <w:ind w:left="565" w:right="0"/>
        <w:jc w:val="left"/>
      </w:pPr>
      <w:r>
        <w:rPr/>
        <w:t>（</w:t>
      </w:r>
      <w:r>
        <w:rPr>
          <w:rFonts w:ascii="Times New Roman" w:hAnsi="Times New Roman" w:cs="Times New Roman" w:eastAsia="Times New Roman" w:hint="default"/>
        </w:rPr>
        <w:t>2</w:t>
      </w:r>
      <w:r>
        <w:rPr/>
        <w:t>）本公司无持有半数及半数以下表决权比例，但纳入合并范围的子公司</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5"/>
          <w:szCs w:val="25"/>
        </w:rPr>
      </w:pPr>
    </w:p>
    <w:p>
      <w:pPr>
        <w:pStyle w:val="Heading6"/>
        <w:spacing w:line="240" w:lineRule="auto"/>
        <w:ind w:right="0"/>
        <w:jc w:val="left"/>
        <w:rPr>
          <w:b w:val="0"/>
          <w:bCs w:val="0"/>
        </w:rPr>
      </w:pPr>
      <w:r>
        <w:rPr>
          <w:rFonts w:ascii="Times New Roman" w:hAnsi="Times New Roman" w:cs="Times New Roman" w:eastAsia="Times New Roman" w:hint="default"/>
        </w:rPr>
        <w:t>4</w:t>
      </w:r>
      <w:r>
        <w:rPr/>
        <w:t>、本报告期内新纳入合并范围的主体和本期不再纳入合并范围的主体</w:t>
      </w:r>
      <w:r>
        <w:rPr>
          <w:b w:val="0"/>
          <w:bCs w:val="0"/>
        </w:rPr>
      </w:r>
    </w:p>
    <w:p>
      <w:pPr>
        <w:pStyle w:val="BodyText"/>
        <w:spacing w:line="240" w:lineRule="auto" w:before="191"/>
        <w:ind w:left="575" w:right="0"/>
        <w:jc w:val="left"/>
      </w:pPr>
      <w:r>
        <w:rPr/>
        <w:t>（</w:t>
      </w:r>
      <w:r>
        <w:rPr>
          <w:rFonts w:ascii="Times New Roman" w:hAnsi="Times New Roman" w:cs="Times New Roman" w:eastAsia="Times New Roman" w:hint="default"/>
        </w:rPr>
        <w:t>1</w:t>
      </w:r>
      <w:r>
        <w:rPr/>
        <w:t>）本报告期内新纳入合并范围的子公司</w:t>
      </w:r>
    </w:p>
    <w:tbl>
      <w:tblPr>
        <w:tblW w:w="0" w:type="auto"/>
        <w:jc w:val="left"/>
        <w:tblInd w:w="123" w:type="dxa"/>
        <w:tblLayout w:type="fixed"/>
        <w:tblCellMar>
          <w:top w:w="0" w:type="dxa"/>
          <w:left w:w="0" w:type="dxa"/>
          <w:bottom w:w="0" w:type="dxa"/>
          <w:right w:w="0" w:type="dxa"/>
        </w:tblCellMar>
        <w:tblLook w:val="01E0"/>
      </w:tblPr>
      <w:tblGrid>
        <w:gridCol w:w="3178"/>
        <w:gridCol w:w="3163"/>
        <w:gridCol w:w="3163"/>
      </w:tblGrid>
      <w:tr>
        <w:trPr>
          <w:trHeight w:val="509" w:hRule="exact"/>
        </w:trPr>
        <w:tc>
          <w:tcPr>
            <w:tcW w:w="317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7"/>
              <w:ind w:left="14" w:right="0"/>
              <w:jc w:val="center"/>
              <w:rPr>
                <w:rFonts w:ascii="宋体" w:hAnsi="宋体" w:cs="宋体" w:eastAsia="宋体" w:hint="default"/>
                <w:sz w:val="21"/>
                <w:szCs w:val="21"/>
              </w:rPr>
            </w:pPr>
            <w:r>
              <w:rPr>
                <w:rFonts w:ascii="宋体" w:hAnsi="宋体" w:cs="宋体" w:eastAsia="宋体" w:hint="default"/>
                <w:sz w:val="21"/>
                <w:szCs w:val="21"/>
              </w:rPr>
              <w:t>名称</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7"/>
              <w:ind w:left="417" w:right="0"/>
              <w:jc w:val="left"/>
              <w:rPr>
                <w:rFonts w:ascii="宋体" w:hAnsi="宋体" w:cs="宋体" w:eastAsia="宋体" w:hint="default"/>
                <w:sz w:val="21"/>
                <w:szCs w:val="21"/>
              </w:rPr>
            </w:pPr>
            <w:r>
              <w:rPr>
                <w:rFonts w:ascii="宋体" w:hAnsi="宋体" w:cs="宋体" w:eastAsia="宋体" w:hint="default"/>
                <w:sz w:val="21"/>
                <w:szCs w:val="21"/>
              </w:rPr>
              <w:t>纳入合并当期期末净资产</w:t>
            </w:r>
          </w:p>
        </w:tc>
        <w:tc>
          <w:tcPr>
            <w:tcW w:w="316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7"/>
              <w:ind w:left="105" w:right="0"/>
              <w:jc w:val="left"/>
              <w:rPr>
                <w:rFonts w:ascii="宋体" w:hAnsi="宋体" w:cs="宋体" w:eastAsia="宋体" w:hint="default"/>
                <w:sz w:val="21"/>
                <w:szCs w:val="21"/>
              </w:rPr>
            </w:pPr>
            <w:r>
              <w:rPr>
                <w:rFonts w:ascii="宋体" w:hAnsi="宋体" w:cs="宋体" w:eastAsia="宋体" w:hint="default"/>
                <w:sz w:val="21"/>
                <w:szCs w:val="21"/>
              </w:rPr>
              <w:t>合并当期纳入合并报表的净利润</w:t>
            </w:r>
          </w:p>
        </w:tc>
      </w:tr>
      <w:tr>
        <w:trPr>
          <w:trHeight w:val="509" w:hRule="exact"/>
        </w:trPr>
        <w:tc>
          <w:tcPr>
            <w:tcW w:w="317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惠州市宝安房地产开发有限公司</w:t>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814" w:right="0"/>
              <w:jc w:val="left"/>
              <w:rPr>
                <w:rFonts w:ascii="Times New Roman" w:hAnsi="Times New Roman" w:cs="Times New Roman" w:eastAsia="Times New Roman" w:hint="default"/>
                <w:sz w:val="21"/>
                <w:szCs w:val="21"/>
              </w:rPr>
            </w:pPr>
            <w:r>
              <w:rPr>
                <w:rFonts w:ascii="Times New Roman"/>
                <w:sz w:val="21"/>
              </w:rPr>
              <w:t>162,768,422.70</w:t>
            </w:r>
          </w:p>
        </w:tc>
        <w:tc>
          <w:tcPr>
            <w:tcW w:w="316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953" w:right="0"/>
              <w:jc w:val="left"/>
              <w:rPr>
                <w:rFonts w:ascii="Times New Roman" w:hAnsi="Times New Roman" w:cs="Times New Roman" w:eastAsia="Times New Roman" w:hint="default"/>
                <w:sz w:val="21"/>
                <w:szCs w:val="21"/>
              </w:rPr>
            </w:pPr>
            <w:r>
              <w:rPr>
                <w:rFonts w:ascii="Times New Roman"/>
                <w:sz w:val="21"/>
              </w:rPr>
              <w:t>-7,231,577.30</w:t>
            </w:r>
          </w:p>
        </w:tc>
      </w:tr>
    </w:tbl>
    <w:p>
      <w:pPr>
        <w:spacing w:line="240" w:lineRule="auto" w:before="10"/>
        <w:rPr>
          <w:rFonts w:ascii="宋体" w:hAnsi="宋体" w:cs="宋体" w:eastAsia="宋体" w:hint="default"/>
          <w:sz w:val="12"/>
          <w:szCs w:val="12"/>
        </w:rPr>
      </w:pPr>
    </w:p>
    <w:p>
      <w:pPr>
        <w:pStyle w:val="BodyText"/>
        <w:spacing w:line="240" w:lineRule="auto" w:before="36"/>
        <w:ind w:left="575" w:right="0"/>
        <w:jc w:val="left"/>
      </w:pPr>
      <w:r>
        <w:rPr/>
        <w:t>（</w:t>
      </w:r>
      <w:r>
        <w:rPr>
          <w:rFonts w:ascii="Times New Roman" w:hAnsi="Times New Roman" w:cs="Times New Roman" w:eastAsia="Times New Roman" w:hint="default"/>
        </w:rPr>
        <w:t>2</w:t>
      </w:r>
      <w:r>
        <w:rPr/>
        <w:t>）本报告期内无不再纳入合并范围的子公司</w:t>
      </w: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5"/>
          <w:szCs w:val="25"/>
        </w:rPr>
      </w:pPr>
    </w:p>
    <w:p>
      <w:pPr>
        <w:pStyle w:val="Heading6"/>
        <w:spacing w:line="240" w:lineRule="auto"/>
        <w:ind w:right="0"/>
        <w:jc w:val="left"/>
        <w:rPr>
          <w:b w:val="0"/>
          <w:bCs w:val="0"/>
        </w:rPr>
      </w:pPr>
      <w:r>
        <w:rPr>
          <w:rFonts w:ascii="Times New Roman" w:hAnsi="Times New Roman" w:cs="Times New Roman" w:eastAsia="Times New Roman" w:hint="default"/>
        </w:rPr>
        <w:t>5</w:t>
      </w:r>
      <w:r>
        <w:rPr/>
        <w:t>、本报告期内发生的同一控制下企业合并</w:t>
      </w:r>
      <w:r>
        <w:rPr>
          <w:b w:val="0"/>
          <w:bCs w:val="0"/>
        </w:rPr>
      </w:r>
    </w:p>
    <w:p>
      <w:pPr>
        <w:pStyle w:val="BodyText"/>
        <w:spacing w:line="240" w:lineRule="auto" w:before="195"/>
        <w:ind w:left="575" w:right="0"/>
        <w:jc w:val="left"/>
      </w:pPr>
      <w:r>
        <w:rPr/>
        <w:t>本公司无同一控制下企业合并取得的子公司</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spacing w:line="360" w:lineRule="auto" w:before="0"/>
        <w:ind w:left="575" w:right="0"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6</w:t>
      </w:r>
      <w:r>
        <w:rPr>
          <w:rFonts w:ascii="Microsoft JhengHei" w:hAnsi="Microsoft JhengHei" w:cs="Microsoft JhengHei" w:eastAsia="Microsoft JhengHei" w:hint="default"/>
          <w:b/>
          <w:bCs/>
          <w:sz w:val="21"/>
          <w:szCs w:val="21"/>
        </w:rPr>
        <w:t>、本报告期内发生的非同一控制下企业合并</w:t>
      </w:r>
      <w:r>
        <w:rPr>
          <w:rFonts w:ascii="Microsoft JhengHei" w:hAnsi="Microsoft JhengHei" w:cs="Microsoft JhengHei" w:eastAsia="Microsoft JhengHei" w:hint="default"/>
          <w:b/>
          <w:bCs/>
          <w:spacing w:val="-35"/>
          <w:sz w:val="21"/>
          <w:szCs w:val="21"/>
        </w:rPr>
        <w:t> </w:t>
      </w:r>
      <w:r>
        <w:rPr>
          <w:rFonts w:ascii="Microsoft JhengHei" w:hAnsi="Microsoft JhengHei" w:cs="Microsoft JhengHei" w:eastAsia="Microsoft JhengHei" w:hint="default"/>
          <w:b/>
          <w:bCs/>
          <w:spacing w:val="-35"/>
          <w:sz w:val="21"/>
          <w:szCs w:val="21"/>
        </w:rPr>
      </w:r>
      <w:r>
        <w:rPr>
          <w:rFonts w:ascii="宋体" w:hAnsi="宋体" w:cs="宋体" w:eastAsia="宋体" w:hint="default"/>
          <w:spacing w:val="-2"/>
          <w:sz w:val="21"/>
          <w:szCs w:val="21"/>
        </w:rPr>
        <w:t>本期公司通过购买股权取得全资子公司</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惠州市宝安房地产开发有限公司</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，公司情况见附注四、</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w:t>
      </w:r>
      <w:r>
        <w:rPr>
          <w:rFonts w:ascii="宋体" w:hAnsi="宋体" w:cs="宋体" w:eastAsia="宋体" w:hint="default"/>
          <w:spacing w:val="-14"/>
          <w:sz w:val="21"/>
          <w:szCs w:val="21"/>
        </w:rPr>
        <w:t> </w:t>
      </w:r>
      <w:r>
        <w:rPr>
          <w:rFonts w:ascii="Microsoft JhengHei" w:hAnsi="Microsoft JhengHei" w:cs="Microsoft JhengHei" w:eastAsia="Microsoft JhengHei" w:hint="default"/>
          <w:b/>
          <w:bCs/>
          <w:sz w:val="21"/>
          <w:szCs w:val="21"/>
        </w:rPr>
        <w:t>五、合并财务报表项目注释</w:t>
      </w:r>
      <w:r>
        <w:rPr>
          <w:rFonts w:ascii="Microsoft JhengHei" w:hAnsi="Microsoft JhengHei" w:cs="Microsoft JhengHei" w:eastAsia="Microsoft JhengHei" w:hint="default"/>
          <w:sz w:val="21"/>
          <w:szCs w:val="21"/>
        </w:rPr>
      </w:r>
    </w:p>
    <w:p>
      <w:pPr>
        <w:spacing w:after="0" w:line="360" w:lineRule="auto"/>
        <w:jc w:val="left"/>
        <w:rPr>
          <w:rFonts w:ascii="Microsoft JhengHei" w:hAnsi="Microsoft JhengHei" w:cs="Microsoft JhengHei" w:eastAsia="Microsoft JhengHei" w:hint="default"/>
          <w:sz w:val="21"/>
          <w:szCs w:val="21"/>
        </w:rPr>
        <w:sectPr>
          <w:headerReference w:type="default" r:id="rId32"/>
          <w:footerReference w:type="default" r:id="rId33"/>
          <w:pgSz w:w="11900" w:h="16840"/>
          <w:pgMar w:header="762" w:footer="840" w:top="1000" w:bottom="1020" w:left="980" w:right="980"/>
          <w:pgNumType w:start="78"/>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2"/>
        <w:rPr>
          <w:rFonts w:ascii="Microsoft JhengHei" w:hAnsi="Microsoft JhengHei" w:cs="Microsoft JhengHei" w:eastAsia="Microsoft JhengHei" w:hint="default"/>
          <w:b/>
          <w:bCs/>
          <w:sz w:val="22"/>
          <w:szCs w:val="22"/>
        </w:rPr>
      </w:pPr>
    </w:p>
    <w:p>
      <w:pPr>
        <w:pStyle w:val="Heading6"/>
        <w:spacing w:line="335" w:lineRule="exact"/>
        <w:ind w:right="3657"/>
        <w:jc w:val="left"/>
        <w:rPr>
          <w:b w:val="0"/>
          <w:bCs w:val="0"/>
        </w:rPr>
      </w:pPr>
      <w:r>
        <w:rPr>
          <w:rFonts w:ascii="Times New Roman" w:hAnsi="Times New Roman" w:cs="Times New Roman" w:eastAsia="Times New Roman" w:hint="default"/>
        </w:rPr>
        <w:t>1</w:t>
      </w:r>
      <w:r>
        <w:rPr/>
        <w:t>、货币资金</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1968"/>
        <w:gridCol w:w="1339"/>
        <w:gridCol w:w="917"/>
        <w:gridCol w:w="1502"/>
        <w:gridCol w:w="1339"/>
        <w:gridCol w:w="1080"/>
        <w:gridCol w:w="1507"/>
      </w:tblGrid>
      <w:tr>
        <w:trPr>
          <w:trHeight w:val="523" w:hRule="exact"/>
        </w:trPr>
        <w:tc>
          <w:tcPr>
            <w:tcW w:w="1968"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6"/>
              <w:ind w:right="0"/>
              <w:jc w:val="left"/>
              <w:rPr>
                <w:rFonts w:ascii="Microsoft JhengHei" w:hAnsi="Microsoft JhengHei" w:cs="Microsoft JhengHei" w:eastAsia="Microsoft JhengHei" w:hint="default"/>
                <w:b/>
                <w:bCs/>
                <w:sz w:val="9"/>
                <w:szCs w:val="9"/>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8"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26"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09" w:hRule="exact"/>
        </w:trPr>
        <w:tc>
          <w:tcPr>
            <w:tcW w:w="1968" w:type="dxa"/>
            <w:vMerge/>
            <w:tcBorders>
              <w:left w:val="nil" w:sz="6" w:space="0" w:color="auto"/>
              <w:bottom w:val="single" w:sz="4" w:space="0" w:color="000000"/>
              <w:right w:val="single" w:sz="4" w:space="0" w:color="000000"/>
            </w:tcBorders>
          </w:tcPr>
          <w:p>
            <w:pP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原币金额</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原币金额</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509"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231,497.86</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231,497.86</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212,985.27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212,985.27</w:t>
            </w:r>
          </w:p>
        </w:tc>
      </w:tr>
      <w:tr>
        <w:trPr>
          <w:trHeight w:val="514"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170,645,749.87</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360,084,855.12</w:t>
            </w:r>
          </w:p>
        </w:tc>
      </w:tr>
      <w:tr>
        <w:trPr>
          <w:trHeight w:val="509"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170,626,175.55</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170,626,175.55</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4"/>
              <w:jc w:val="right"/>
              <w:rPr>
                <w:rFonts w:ascii="Times New Roman" w:hAnsi="Times New Roman" w:cs="Times New Roman" w:eastAsia="Times New Roman" w:hint="default"/>
                <w:sz w:val="18"/>
                <w:szCs w:val="18"/>
              </w:rPr>
            </w:pPr>
            <w:r>
              <w:rPr>
                <w:rFonts w:ascii="Times New Roman"/>
                <w:spacing w:val="-1"/>
                <w:sz w:val="18"/>
              </w:rPr>
              <w:t>360,070,236.61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360,070,236.61</w:t>
            </w:r>
          </w:p>
        </w:tc>
      </w:tr>
      <w:tr>
        <w:trPr>
          <w:trHeight w:val="509"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20,768.92</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0.8108</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16,839.44</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13,715.64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0.8509</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11,670.63</w:t>
            </w:r>
          </w:p>
        </w:tc>
      </w:tr>
      <w:tr>
        <w:trPr>
          <w:trHeight w:val="509"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435.11</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6.2855</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2,734.88</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445.12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6.6227</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2,947.88</w:t>
            </w:r>
          </w:p>
        </w:tc>
      </w:tr>
      <w:tr>
        <w:trPr>
          <w:trHeight w:val="514"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其他货币资金：</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5,384,138.03</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2,106,476.17</w:t>
            </w:r>
          </w:p>
        </w:tc>
      </w:tr>
      <w:tr>
        <w:trPr>
          <w:trHeight w:val="509"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按揭保证金</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5,124,345.52</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5,124,345.52</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1,707,193.62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1,707,193.62</w:t>
            </w:r>
          </w:p>
        </w:tc>
      </w:tr>
      <w:tr>
        <w:trPr>
          <w:trHeight w:val="509" w:hRule="exact"/>
        </w:trPr>
        <w:tc>
          <w:tcPr>
            <w:tcW w:w="196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存出投资款</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259,792.51</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259,792.51</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399,282.55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150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399,282.55</w:t>
            </w:r>
          </w:p>
        </w:tc>
      </w:tr>
      <w:tr>
        <w:trPr>
          <w:trHeight w:val="523" w:hRule="exact"/>
        </w:trPr>
        <w:tc>
          <w:tcPr>
            <w:tcW w:w="196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339" w:type="dxa"/>
            <w:tcBorders>
              <w:top w:val="single" w:sz="4" w:space="0" w:color="000000"/>
              <w:left w:val="single" w:sz="4" w:space="0" w:color="000000"/>
              <w:bottom w:val="single" w:sz="12" w:space="0" w:color="000000"/>
              <w:right w:val="single" w:sz="4" w:space="0" w:color="000000"/>
            </w:tcBorders>
          </w:tcPr>
          <w:p>
            <w:pPr/>
          </w:p>
        </w:tc>
        <w:tc>
          <w:tcPr>
            <w:tcW w:w="917" w:type="dxa"/>
            <w:tcBorders>
              <w:top w:val="single" w:sz="4" w:space="0" w:color="000000"/>
              <w:left w:val="single" w:sz="4" w:space="0" w:color="000000"/>
              <w:bottom w:val="single" w:sz="12" w:space="0" w:color="000000"/>
              <w:right w:val="single" w:sz="4" w:space="0" w:color="000000"/>
            </w:tcBorders>
          </w:tcPr>
          <w:p>
            <w:pPr/>
          </w:p>
        </w:tc>
        <w:tc>
          <w:tcPr>
            <w:tcW w:w="15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176,261,385.76</w:t>
            </w:r>
            <w:r>
              <w:rPr>
                <w:rFonts w:ascii="Times New Roman"/>
                <w:spacing w:val="-1"/>
                <w:sz w:val="18"/>
              </w:rPr>
            </w:r>
          </w:p>
        </w:tc>
        <w:tc>
          <w:tcPr>
            <w:tcW w:w="1339" w:type="dxa"/>
            <w:tcBorders>
              <w:top w:val="single" w:sz="4" w:space="0" w:color="000000"/>
              <w:left w:val="single" w:sz="4" w:space="0" w:color="000000"/>
              <w:bottom w:val="single" w:sz="12" w:space="0" w:color="000000"/>
              <w:right w:val="single" w:sz="4" w:space="0" w:color="000000"/>
            </w:tcBorders>
          </w:tcPr>
          <w:p>
            <w:pPr/>
          </w:p>
        </w:tc>
        <w:tc>
          <w:tcPr>
            <w:tcW w:w="1080" w:type="dxa"/>
            <w:tcBorders>
              <w:top w:val="single" w:sz="4" w:space="0" w:color="000000"/>
              <w:left w:val="single" w:sz="4" w:space="0" w:color="000000"/>
              <w:bottom w:val="single" w:sz="12" w:space="0" w:color="000000"/>
              <w:right w:val="single" w:sz="4" w:space="0" w:color="000000"/>
            </w:tcBorders>
          </w:tcPr>
          <w:p>
            <w:pPr/>
          </w:p>
        </w:tc>
        <w:tc>
          <w:tcPr>
            <w:tcW w:w="150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362,404,316.56</w:t>
            </w:r>
            <w:r>
              <w:rPr>
                <w:rFonts w:ascii="Times New Roman"/>
                <w:spacing w:val="-1"/>
                <w:sz w:val="18"/>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8"/>
          <w:szCs w:val="18"/>
        </w:rPr>
      </w:pPr>
    </w:p>
    <w:p>
      <w:pPr>
        <w:pStyle w:val="Heading6"/>
        <w:spacing w:line="335" w:lineRule="exact"/>
        <w:ind w:right="3657"/>
        <w:jc w:val="left"/>
        <w:rPr>
          <w:b w:val="0"/>
          <w:bCs w:val="0"/>
        </w:rPr>
      </w:pPr>
      <w:r>
        <w:rPr>
          <w:rFonts w:ascii="Times New Roman" w:hAnsi="Times New Roman" w:cs="Times New Roman" w:eastAsia="Times New Roman" w:hint="default"/>
        </w:rPr>
        <w:t>2</w:t>
      </w:r>
      <w:r>
        <w:rPr/>
        <w:t>、应收账款</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75" w:right="3657"/>
        <w:jc w:val="left"/>
      </w:pPr>
      <w:r>
        <w:rPr/>
        <w:t>（</w:t>
      </w:r>
      <w:r>
        <w:rPr>
          <w:rFonts w:ascii="Times New Roman" w:hAnsi="Times New Roman" w:cs="Times New Roman" w:eastAsia="Times New Roman" w:hint="default"/>
        </w:rPr>
        <w:t>1</w:t>
      </w:r>
      <w:r>
        <w:rPr/>
        <w:t>）应收账款按种类披露</w:t>
      </w:r>
    </w:p>
    <w:tbl>
      <w:tblPr>
        <w:tblW w:w="0" w:type="auto"/>
        <w:jc w:val="left"/>
        <w:tblInd w:w="123" w:type="dxa"/>
        <w:tblLayout w:type="fixed"/>
        <w:tblCellMar>
          <w:top w:w="0" w:type="dxa"/>
          <w:left w:w="0" w:type="dxa"/>
          <w:bottom w:w="0" w:type="dxa"/>
          <w:right w:w="0" w:type="dxa"/>
        </w:tblCellMar>
        <w:tblLook w:val="01E0"/>
      </w:tblPr>
      <w:tblGrid>
        <w:gridCol w:w="4267"/>
        <w:gridCol w:w="1560"/>
        <w:gridCol w:w="1133"/>
        <w:gridCol w:w="1560"/>
        <w:gridCol w:w="1133"/>
      </w:tblGrid>
      <w:tr>
        <w:trPr>
          <w:trHeight w:val="499" w:hRule="exact"/>
        </w:trPr>
        <w:tc>
          <w:tcPr>
            <w:tcW w:w="426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38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0" w:hRule="exact"/>
        </w:trPr>
        <w:tc>
          <w:tcPr>
            <w:tcW w:w="4267"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9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4267" w:type="dxa"/>
            <w:vMerge/>
            <w:tcBorders>
              <w:left w:val="nil" w:sz="6" w:space="0" w:color="auto"/>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514"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5,012,065.00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39.62%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1,364,721.36</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27.23%</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7,525,086.55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59.48%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1,157,800.19</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15.39%</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2,579,839.00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20.39%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12,899.20</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0.50%</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4,945,247.55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39.09%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1,144,900.99</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23.15%</w:t>
            </w:r>
          </w:p>
        </w:tc>
      </w:tr>
      <w:tr>
        <w:trPr>
          <w:trHeight w:val="514"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113,590.23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0.90%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113,590.23</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518"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12,650,741.78</w:t>
            </w:r>
            <w:r>
              <w:rPr>
                <w:rFonts w:ascii="Times New Roman"/>
                <w:spacing w:val="-1"/>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3"/>
                <w:sz w:val="18"/>
              </w:rPr>
              <w:t>2,636,111.78</w:t>
            </w:r>
            <w:r>
              <w:rPr>
                <w:rFonts w:ascii="Times New Roman"/>
                <w:spacing w:val="-3"/>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right="3657"/>
        <w:jc w:val="left"/>
      </w:pPr>
      <w:r>
        <w:rPr/>
        <w:t>续上表</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4267"/>
        <w:gridCol w:w="1560"/>
        <w:gridCol w:w="1133"/>
        <w:gridCol w:w="1560"/>
        <w:gridCol w:w="1133"/>
      </w:tblGrid>
      <w:tr>
        <w:trPr>
          <w:trHeight w:val="499" w:hRule="exact"/>
        </w:trPr>
        <w:tc>
          <w:tcPr>
            <w:tcW w:w="426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38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67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494" w:hRule="exact"/>
        </w:trPr>
        <w:tc>
          <w:tcPr>
            <w:tcW w:w="4267"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9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4267" w:type="dxa"/>
            <w:vMerge/>
            <w:tcBorders>
              <w:left w:val="nil" w:sz="6" w:space="0" w:color="auto"/>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1,346,393.00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18.94%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1,346,393.00</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5,649,349.05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79.46%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1,039,497.79</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18.40%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5,649,349.05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79.46%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1,039,497.79</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18.40%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113,590.23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1.60%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113,590.23</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499"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9"/>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7,109,332.28</w:t>
            </w:r>
            <w:r>
              <w:rPr>
                <w:rFonts w:ascii="Times New Roman"/>
                <w:spacing w:val="-1"/>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2,499,481.02</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pStyle w:val="BodyText"/>
        <w:spacing w:line="240" w:lineRule="auto" w:before="36"/>
        <w:ind w:left="575" w:right="3657"/>
        <w:jc w:val="left"/>
      </w:pPr>
      <w:r>
        <w:rPr/>
        <w:t>组合中，按账龄分析法计提坏账准备的应收账款：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574"/>
        <w:gridCol w:w="1464"/>
        <w:gridCol w:w="936"/>
        <w:gridCol w:w="1570"/>
        <w:gridCol w:w="1416"/>
        <w:gridCol w:w="1133"/>
        <w:gridCol w:w="1560"/>
      </w:tblGrid>
      <w:tr>
        <w:trPr>
          <w:trHeight w:val="504"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90" w:hRule="exact"/>
        </w:trPr>
        <w:tc>
          <w:tcPr>
            <w:tcW w:w="1574" w:type="dxa"/>
            <w:vMerge/>
            <w:tcBorders>
              <w:left w:val="nil" w:sz="6" w:space="0" w:color="auto"/>
              <w:right w:val="single" w:sz="4" w:space="0" w:color="000000"/>
            </w:tcBorders>
          </w:tcPr>
          <w:p>
            <w:pPr/>
          </w:p>
        </w:tc>
        <w:tc>
          <w:tcPr>
            <w:tcW w:w="2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5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70"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560" w:type="dxa"/>
            <w:vMerge/>
            <w:tcBorders>
              <w:left w:val="single" w:sz="4" w:space="0" w:color="000000"/>
              <w:bottom w:val="single" w:sz="4" w:space="0" w:color="000000"/>
              <w:right w:val="nil" w:sz="6" w:space="0" w:color="auto"/>
            </w:tcBorders>
          </w:tcPr>
          <w:p>
            <w:pPr/>
          </w:p>
        </w:tc>
      </w:tr>
      <w:tr>
        <w:trPr>
          <w:trHeight w:val="49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3,061,962.65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61.91%</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153,098.13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4,721,453.09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83.58%</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236,072.65</w:t>
            </w:r>
          </w:p>
        </w:tc>
      </w:tr>
      <w:tr>
        <w:trPr>
          <w:trHeight w:val="49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576,000.00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3"/>
                <w:sz w:val="18"/>
              </w:rPr>
              <w:t>11.65%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86,400.00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123,226.26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2.18%</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18,483.94</w:t>
            </w:r>
          </w:p>
        </w:tc>
      </w:tr>
      <w:tr>
        <w:trPr>
          <w:trHeight w:val="49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570,615.20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3"/>
                <w:sz w:val="18"/>
              </w:rPr>
              <w:t>11.54%</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171,184.56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12,257.00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0.22%</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6,128.50</w:t>
            </w:r>
          </w:p>
        </w:tc>
      </w:tr>
      <w:tr>
        <w:trPr>
          <w:trHeight w:val="49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12,257.00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9,805.60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9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68,000.00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1.20%</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54,400.00</w:t>
            </w:r>
          </w:p>
        </w:tc>
      </w:tr>
      <w:tr>
        <w:trPr>
          <w:trHeight w:val="490"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724,412.70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14.65%</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724,412.70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724,412.70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12.82%</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724,412.70</w:t>
            </w:r>
          </w:p>
        </w:tc>
      </w:tr>
      <w:tr>
        <w:trPr>
          <w:trHeight w:val="504"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9"/>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4,945,247.55</w:t>
            </w:r>
            <w:r>
              <w:rPr>
                <w:rFonts w:ascii="Times New Roman"/>
                <w:spacing w:val="-1"/>
                <w:sz w:val="18"/>
              </w:rPr>
            </w:r>
          </w:p>
        </w:tc>
        <w:tc>
          <w:tcPr>
            <w:tcW w:w="9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1,144,900.99</w:t>
            </w:r>
            <w:r>
              <w:rPr>
                <w:rFonts w:ascii="Times New Roman"/>
                <w:spacing w:val="-1"/>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5,649,349.05</w:t>
            </w:r>
            <w:r>
              <w:rPr>
                <w:rFonts w:ascii="Times New Roman"/>
                <w:spacing w:val="-1"/>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1,039,497.79</w:t>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pStyle w:val="BodyText"/>
        <w:spacing w:line="240" w:lineRule="auto" w:before="36"/>
        <w:ind w:left="575" w:right="3657"/>
        <w:jc w:val="left"/>
      </w:pPr>
      <w:r>
        <w:rPr/>
        <w:t>组合中，采用余额百分比法计提坏账准备的应收账款：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574"/>
        <w:gridCol w:w="1464"/>
        <w:gridCol w:w="1085"/>
        <w:gridCol w:w="1421"/>
        <w:gridCol w:w="1416"/>
        <w:gridCol w:w="1133"/>
        <w:gridCol w:w="1560"/>
      </w:tblGrid>
      <w:tr>
        <w:trPr>
          <w:trHeight w:val="499"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90"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3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9"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403" w:right="0"/>
              <w:jc w:val="left"/>
              <w:rPr>
                <w:rFonts w:ascii="Times New Roman" w:hAnsi="Times New Roman" w:cs="Times New Roman" w:eastAsia="Times New Roman" w:hint="default"/>
                <w:sz w:val="18"/>
                <w:szCs w:val="18"/>
              </w:rPr>
            </w:pPr>
            <w:r>
              <w:rPr>
                <w:rFonts w:ascii="Times New Roman"/>
                <w:sz w:val="18"/>
              </w:rPr>
              <w:t>2,579,839.00</w:t>
            </w:r>
          </w:p>
        </w:tc>
        <w:tc>
          <w:tcPr>
            <w:tcW w:w="108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504" w:right="0"/>
              <w:jc w:val="left"/>
              <w:rPr>
                <w:rFonts w:ascii="Times New Roman" w:hAnsi="Times New Roman" w:cs="Times New Roman" w:eastAsia="Times New Roman" w:hint="default"/>
                <w:sz w:val="18"/>
                <w:szCs w:val="18"/>
              </w:rPr>
            </w:pPr>
            <w:r>
              <w:rPr>
                <w:rFonts w:ascii="Times New Roman"/>
                <w:sz w:val="18"/>
              </w:rPr>
              <w:t>0.50%</w:t>
            </w:r>
          </w:p>
        </w:tc>
        <w:tc>
          <w:tcPr>
            <w:tcW w:w="14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580" w:right="0"/>
              <w:jc w:val="left"/>
              <w:rPr>
                <w:rFonts w:ascii="Times New Roman" w:hAnsi="Times New Roman" w:cs="Times New Roman" w:eastAsia="Times New Roman" w:hint="default"/>
                <w:sz w:val="18"/>
                <w:szCs w:val="18"/>
              </w:rPr>
            </w:pPr>
            <w:r>
              <w:rPr>
                <w:rFonts w:ascii="Times New Roman"/>
                <w:sz w:val="18"/>
              </w:rPr>
              <w:t>12,899.20</w:t>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left="575" w:right="3657"/>
        <w:jc w:val="left"/>
      </w:pPr>
      <w:r>
        <w:rPr/>
        <w:t>期末单项金额重大，并大额计提坏帐准备应收账款：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424"/>
        <w:gridCol w:w="1699"/>
        <w:gridCol w:w="1704"/>
        <w:gridCol w:w="1699"/>
        <w:gridCol w:w="2126"/>
      </w:tblGrid>
      <w:tr>
        <w:trPr>
          <w:trHeight w:val="523" w:hRule="exact"/>
        </w:trPr>
        <w:tc>
          <w:tcPr>
            <w:tcW w:w="242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应收账款内容</w:t>
            </w:r>
          </w:p>
        </w:tc>
        <w:tc>
          <w:tcPr>
            <w:tcW w:w="169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0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69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212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计提理由</w:t>
            </w:r>
          </w:p>
        </w:tc>
      </w:tr>
      <w:tr>
        <w:trPr>
          <w:trHeight w:val="518"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65"/>
              <w:jc w:val="center"/>
              <w:rPr>
                <w:rFonts w:ascii="宋体" w:hAnsi="宋体" w:cs="宋体" w:eastAsia="宋体" w:hint="default"/>
                <w:sz w:val="21"/>
                <w:szCs w:val="21"/>
              </w:rPr>
            </w:pPr>
            <w:r>
              <w:rPr>
                <w:rFonts w:ascii="宋体" w:hAnsi="宋体" w:cs="宋体" w:eastAsia="宋体" w:hint="default"/>
                <w:sz w:val="21"/>
                <w:szCs w:val="21"/>
              </w:rPr>
              <w:t>深圳昌信实业有限公司</w:t>
            </w:r>
          </w:p>
        </w:tc>
        <w:tc>
          <w:tcPr>
            <w:tcW w:w="16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80" w:right="0"/>
              <w:jc w:val="left"/>
              <w:rPr>
                <w:rFonts w:ascii="Times New Roman" w:hAnsi="Times New Roman" w:cs="Times New Roman" w:eastAsia="Times New Roman" w:hint="default"/>
                <w:sz w:val="21"/>
                <w:szCs w:val="21"/>
              </w:rPr>
            </w:pPr>
            <w:r>
              <w:rPr>
                <w:rFonts w:ascii="Times New Roman"/>
                <w:sz w:val="21"/>
              </w:rPr>
              <w:t>1,346,393.00</w:t>
            </w:r>
          </w:p>
        </w:tc>
        <w:tc>
          <w:tcPr>
            <w:tcW w:w="17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80" w:right="0"/>
              <w:jc w:val="left"/>
              <w:rPr>
                <w:rFonts w:ascii="Times New Roman" w:hAnsi="Times New Roman" w:cs="Times New Roman" w:eastAsia="Times New Roman" w:hint="default"/>
                <w:sz w:val="21"/>
                <w:szCs w:val="21"/>
              </w:rPr>
            </w:pPr>
            <w:r>
              <w:rPr>
                <w:rFonts w:ascii="Times New Roman"/>
                <w:sz w:val="21"/>
              </w:rPr>
              <w:t>1,346,393.00</w:t>
            </w:r>
          </w:p>
        </w:tc>
        <w:tc>
          <w:tcPr>
            <w:tcW w:w="16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825" w:right="0"/>
              <w:jc w:val="left"/>
              <w:rPr>
                <w:rFonts w:ascii="Times New Roman" w:hAnsi="Times New Roman" w:cs="Times New Roman" w:eastAsia="Times New Roman" w:hint="default"/>
                <w:sz w:val="21"/>
                <w:szCs w:val="21"/>
              </w:rPr>
            </w:pPr>
            <w:r>
              <w:rPr>
                <w:rFonts w:ascii="Times New Roman"/>
                <w:sz w:val="21"/>
              </w:rPr>
              <w:t>100.00%</w:t>
            </w:r>
          </w:p>
        </w:tc>
        <w:tc>
          <w:tcPr>
            <w:tcW w:w="212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五年以上，无法收回</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7"/>
        <w:ind w:left="575" w:right="3657"/>
        <w:jc w:val="left"/>
      </w:pPr>
      <w:r>
        <w:rPr/>
        <w:t>期末单项金额虽不重大但单项计提坏帐准备应收账款：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424"/>
        <w:gridCol w:w="1699"/>
        <w:gridCol w:w="1704"/>
        <w:gridCol w:w="1699"/>
        <w:gridCol w:w="2126"/>
      </w:tblGrid>
      <w:tr>
        <w:trPr>
          <w:trHeight w:val="523" w:hRule="exact"/>
        </w:trPr>
        <w:tc>
          <w:tcPr>
            <w:tcW w:w="242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90" w:right="0"/>
              <w:jc w:val="left"/>
              <w:rPr>
                <w:rFonts w:ascii="宋体" w:hAnsi="宋体" w:cs="宋体" w:eastAsia="宋体" w:hint="default"/>
                <w:sz w:val="21"/>
                <w:szCs w:val="21"/>
              </w:rPr>
            </w:pPr>
            <w:r>
              <w:rPr>
                <w:rFonts w:ascii="宋体" w:hAnsi="宋体" w:cs="宋体" w:eastAsia="宋体" w:hint="default"/>
                <w:sz w:val="21"/>
                <w:szCs w:val="21"/>
              </w:rPr>
              <w:t>应收账款内容</w:t>
            </w:r>
          </w:p>
        </w:tc>
        <w:tc>
          <w:tcPr>
            <w:tcW w:w="169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70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69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212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计提理由</w:t>
            </w:r>
          </w:p>
        </w:tc>
      </w:tr>
      <w:tr>
        <w:trPr>
          <w:trHeight w:val="518"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上海曼高涅公司</w:t>
            </w:r>
          </w:p>
        </w:tc>
        <w:tc>
          <w:tcPr>
            <w:tcW w:w="16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647" w:right="0"/>
              <w:jc w:val="left"/>
              <w:rPr>
                <w:rFonts w:ascii="Times New Roman" w:hAnsi="Times New Roman" w:cs="Times New Roman" w:eastAsia="Times New Roman" w:hint="default"/>
                <w:sz w:val="21"/>
                <w:szCs w:val="21"/>
              </w:rPr>
            </w:pPr>
            <w:r>
              <w:rPr>
                <w:rFonts w:ascii="Times New Roman"/>
                <w:sz w:val="21"/>
              </w:rPr>
              <w:t>113,590.23</w:t>
            </w:r>
          </w:p>
        </w:tc>
        <w:tc>
          <w:tcPr>
            <w:tcW w:w="17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648" w:right="0"/>
              <w:jc w:val="left"/>
              <w:rPr>
                <w:rFonts w:ascii="Times New Roman" w:hAnsi="Times New Roman" w:cs="Times New Roman" w:eastAsia="Times New Roman" w:hint="default"/>
                <w:sz w:val="21"/>
                <w:szCs w:val="21"/>
              </w:rPr>
            </w:pPr>
            <w:r>
              <w:rPr>
                <w:rFonts w:ascii="Times New Roman"/>
                <w:sz w:val="21"/>
              </w:rPr>
              <w:t>113,590.23</w:t>
            </w:r>
          </w:p>
        </w:tc>
        <w:tc>
          <w:tcPr>
            <w:tcW w:w="169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825" w:right="0"/>
              <w:jc w:val="left"/>
              <w:rPr>
                <w:rFonts w:ascii="Times New Roman" w:hAnsi="Times New Roman" w:cs="Times New Roman" w:eastAsia="Times New Roman" w:hint="default"/>
                <w:sz w:val="21"/>
                <w:szCs w:val="21"/>
              </w:rPr>
            </w:pPr>
            <w:r>
              <w:rPr>
                <w:rFonts w:ascii="Times New Roman"/>
                <w:sz w:val="21"/>
              </w:rPr>
              <w:t>100.00%</w:t>
            </w:r>
          </w:p>
        </w:tc>
        <w:tc>
          <w:tcPr>
            <w:tcW w:w="212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五年以上，无法收回</w:t>
            </w:r>
          </w:p>
        </w:tc>
      </w:tr>
    </w:tbl>
    <w:p>
      <w:pPr>
        <w:spacing w:line="240" w:lineRule="auto" w:before="11"/>
        <w:rPr>
          <w:rFonts w:ascii="宋体" w:hAnsi="宋体" w:cs="宋体" w:eastAsia="宋体" w:hint="default"/>
          <w:sz w:val="11"/>
          <w:szCs w:val="11"/>
        </w:rPr>
      </w:pPr>
    </w:p>
    <w:p>
      <w:pPr>
        <w:pStyle w:val="BodyText"/>
        <w:spacing w:line="240" w:lineRule="auto" w:before="36"/>
        <w:ind w:left="575" w:right="0"/>
        <w:jc w:val="left"/>
      </w:pPr>
      <w:r>
        <w:rPr/>
        <w:t>（</w:t>
      </w:r>
      <w:r>
        <w:rPr>
          <w:rFonts w:ascii="Times New Roman" w:hAnsi="Times New Roman" w:cs="Times New Roman" w:eastAsia="Times New Roman" w:hint="default"/>
        </w:rPr>
        <w:t>2</w:t>
      </w:r>
      <w:r>
        <w:rPr/>
        <w:t>）本报告期内无已大额计提坏账准备的转回或应收账款收回。</w:t>
      </w:r>
    </w:p>
    <w:p>
      <w:pPr>
        <w:spacing w:line="240" w:lineRule="auto" w:before="4"/>
        <w:rPr>
          <w:rFonts w:ascii="宋体" w:hAnsi="宋体" w:cs="宋体" w:eastAsia="宋体" w:hint="default"/>
          <w:sz w:val="16"/>
          <w:szCs w:val="16"/>
        </w:rPr>
      </w:pPr>
    </w:p>
    <w:p>
      <w:pPr>
        <w:pStyle w:val="BodyText"/>
        <w:spacing w:line="240" w:lineRule="auto"/>
        <w:ind w:left="565" w:right="3657"/>
        <w:jc w:val="left"/>
      </w:pPr>
      <w:r>
        <w:rPr/>
        <w:t>（</w:t>
      </w:r>
      <w:r>
        <w:rPr>
          <w:rFonts w:ascii="Times New Roman" w:hAnsi="Times New Roman" w:cs="Times New Roman" w:eastAsia="Times New Roman" w:hint="default"/>
        </w:rPr>
        <w:t>3</w:t>
      </w:r>
      <w:r>
        <w:rPr/>
        <w:t>）本报告期内无实际核销的应收账款。</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t>（</w:t>
      </w:r>
      <w:r>
        <w:rPr>
          <w:rFonts w:ascii="Times New Roman" w:hAnsi="Times New Roman" w:cs="Times New Roman" w:eastAsia="Times New Roman" w:hint="default"/>
        </w:rPr>
        <w:t>4</w:t>
      </w:r>
      <w:r>
        <w:rPr/>
        <w:t>）截至</w:t>
      </w:r>
      <w:r>
        <w:rPr>
          <w:spacing w:val="-5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日，应收账款中无持有公司</w:t>
      </w:r>
      <w:r>
        <w:rPr>
          <w:spacing w:val="-54"/>
        </w:rPr>
        <w:t> </w:t>
      </w:r>
      <w:r>
        <w:rPr>
          <w:rFonts w:ascii="Times New Roman" w:hAnsi="Times New Roman" w:cs="Times New Roman" w:eastAsia="Times New Roman" w:hint="default"/>
        </w:rPr>
        <w:t>5%</w:t>
      </w:r>
      <w:r>
        <w:rPr/>
        <w:t>（含</w:t>
      </w:r>
      <w:r>
        <w:rPr>
          <w:spacing w:val="-54"/>
        </w:rPr>
        <w:t> </w:t>
      </w:r>
      <w:r>
        <w:rPr>
          <w:rFonts w:ascii="Times New Roman" w:hAnsi="Times New Roman" w:cs="Times New Roman" w:eastAsia="Times New Roman" w:hint="default"/>
        </w:rPr>
        <w:t>5%</w:t>
      </w:r>
      <w:r>
        <w:rPr/>
        <w:t>）以上表决权股份的股东欠款。</w:t>
      </w:r>
    </w:p>
    <w:p>
      <w:pPr>
        <w:spacing w:line="240" w:lineRule="auto" w:before="12"/>
        <w:rPr>
          <w:rFonts w:ascii="宋体" w:hAnsi="宋体" w:cs="宋体" w:eastAsia="宋体" w:hint="default"/>
          <w:sz w:val="15"/>
          <w:szCs w:val="15"/>
        </w:rPr>
      </w:pPr>
    </w:p>
    <w:p>
      <w:pPr>
        <w:pStyle w:val="BodyText"/>
        <w:spacing w:line="240" w:lineRule="auto"/>
        <w:ind w:left="565" w:right="3657"/>
        <w:jc w:val="left"/>
      </w:pPr>
      <w:r>
        <w:rPr/>
        <w:t>（</w:t>
      </w:r>
      <w:r>
        <w:rPr>
          <w:rFonts w:ascii="Times New Roman" w:hAnsi="Times New Roman" w:cs="Times New Roman" w:eastAsia="Times New Roman" w:hint="default"/>
        </w:rPr>
        <w:t>5</w:t>
      </w:r>
      <w:r>
        <w:rPr/>
        <w:t>）应收账款金额前五名单位情况</w:t>
      </w:r>
    </w:p>
    <w:tbl>
      <w:tblPr>
        <w:tblW w:w="0" w:type="auto"/>
        <w:jc w:val="left"/>
        <w:tblInd w:w="123" w:type="dxa"/>
        <w:tblLayout w:type="fixed"/>
        <w:tblCellMar>
          <w:top w:w="0" w:type="dxa"/>
          <w:left w:w="0" w:type="dxa"/>
          <w:bottom w:w="0" w:type="dxa"/>
          <w:right w:w="0" w:type="dxa"/>
        </w:tblCellMar>
        <w:tblLook w:val="01E0"/>
      </w:tblPr>
      <w:tblGrid>
        <w:gridCol w:w="2424"/>
        <w:gridCol w:w="1608"/>
        <w:gridCol w:w="1603"/>
        <w:gridCol w:w="1608"/>
        <w:gridCol w:w="2410"/>
      </w:tblGrid>
      <w:tr>
        <w:trPr>
          <w:trHeight w:val="518" w:hRule="exact"/>
        </w:trPr>
        <w:tc>
          <w:tcPr>
            <w:tcW w:w="242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96"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6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60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6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1"/>
              <w:jc w:val="right"/>
              <w:rPr>
                <w:rFonts w:ascii="宋体" w:hAnsi="宋体" w:cs="宋体" w:eastAsia="宋体" w:hint="default"/>
                <w:sz w:val="21"/>
                <w:szCs w:val="21"/>
              </w:rPr>
            </w:pPr>
            <w:r>
              <w:rPr>
                <w:rFonts w:ascii="宋体" w:hAnsi="宋体" w:cs="宋体" w:eastAsia="宋体" w:hint="default"/>
                <w:spacing w:val="-1"/>
                <w:sz w:val="21"/>
                <w:szCs w:val="21"/>
              </w:rPr>
              <w:t>占应收账款总额的比例</w:t>
            </w:r>
          </w:p>
        </w:tc>
      </w:tr>
      <w:tr>
        <w:trPr>
          <w:trHeight w:val="514"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1,600,000.00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未逾期</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12.65%</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深圳昌信实业有限公司</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1,346,393.00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五年以上</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10.64%</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1,060,000.00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未逾期</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8.38%</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1,005,672.00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未逾期</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7.95%</w:t>
            </w:r>
          </w:p>
        </w:tc>
      </w:tr>
      <w:tr>
        <w:trPr>
          <w:trHeight w:val="514"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990,000.00</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未逾期</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7.82%</w:t>
            </w:r>
          </w:p>
        </w:tc>
      </w:tr>
      <w:tr>
        <w:trPr>
          <w:trHeight w:val="518"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608" w:type="dxa"/>
            <w:tcBorders>
              <w:top w:val="single" w:sz="4" w:space="0" w:color="000000"/>
              <w:left w:val="single" w:sz="4" w:space="0" w:color="000000"/>
              <w:bottom w:val="single" w:sz="12" w:space="0" w:color="000000"/>
              <w:right w:val="single" w:sz="4" w:space="0" w:color="000000"/>
            </w:tcBorders>
          </w:tcPr>
          <w:p>
            <w:pPr/>
          </w:p>
        </w:tc>
        <w:tc>
          <w:tcPr>
            <w:tcW w:w="160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6,002,065.00</w:t>
            </w:r>
            <w:r>
              <w:rPr>
                <w:rFonts w:ascii="Times New Roman"/>
                <w:sz w:val="21"/>
              </w:rPr>
            </w:r>
          </w:p>
        </w:tc>
        <w:tc>
          <w:tcPr>
            <w:tcW w:w="1608" w:type="dxa"/>
            <w:tcBorders>
              <w:top w:val="single" w:sz="4" w:space="0" w:color="000000"/>
              <w:left w:val="single" w:sz="4" w:space="0" w:color="000000"/>
              <w:bottom w:val="single" w:sz="12" w:space="0" w:color="000000"/>
              <w:right w:val="single" w:sz="4" w:space="0" w:color="000000"/>
            </w:tcBorders>
          </w:tcPr>
          <w:p>
            <w:pPr/>
          </w:p>
        </w:tc>
        <w:tc>
          <w:tcPr>
            <w:tcW w:w="24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z w:val="21"/>
              </w:rPr>
              <w:t>47.44%</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0"/>
        <w:jc w:val="left"/>
      </w:pPr>
      <w:r>
        <w:rPr/>
        <w:t>（</w:t>
      </w:r>
      <w:r>
        <w:rPr>
          <w:rFonts w:ascii="Times New Roman" w:hAnsi="Times New Roman" w:cs="Times New Roman" w:eastAsia="Times New Roman" w:hint="default"/>
        </w:rPr>
        <w:t>6</w:t>
      </w:r>
      <w:r>
        <w:rPr/>
        <w:t>）截至</w:t>
      </w:r>
      <w:r>
        <w:rPr>
          <w:spacing w:val="-53"/>
        </w:rPr>
        <w:t> </w:t>
      </w:r>
      <w:r>
        <w:rPr>
          <w:rFonts w:ascii="Times New Roman" w:hAnsi="Times New Roman" w:cs="Times New Roman" w:eastAsia="Times New Roman" w:hint="default"/>
        </w:rPr>
        <w:t>2012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53"/>
        </w:rPr>
        <w:t> </w:t>
      </w:r>
      <w:r>
        <w:rPr>
          <w:rFonts w:ascii="Times New Roman" w:hAnsi="Times New Roman" w:cs="Times New Roman" w:eastAsia="Times New Roman" w:hint="default"/>
        </w:rPr>
        <w:t>31 </w:t>
      </w:r>
      <w:r>
        <w:rPr/>
        <w:t>日，应收账款中无应收关联方欠款。</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Heading6"/>
        <w:spacing w:line="240" w:lineRule="auto"/>
        <w:ind w:right="3657"/>
        <w:jc w:val="left"/>
        <w:rPr>
          <w:b w:val="0"/>
          <w:bCs w:val="0"/>
        </w:rPr>
      </w:pPr>
      <w:r>
        <w:rPr>
          <w:rFonts w:ascii="Times New Roman" w:hAnsi="Times New Roman" w:cs="Times New Roman" w:eastAsia="Times New Roman" w:hint="default"/>
        </w:rPr>
        <w:t>3</w:t>
      </w:r>
      <w:r>
        <w:rPr/>
        <w:t>、其他应收款</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3657"/>
        <w:jc w:val="left"/>
      </w:pPr>
      <w:r>
        <w:rPr/>
        <w:t>（</w:t>
      </w:r>
      <w:r>
        <w:rPr>
          <w:rFonts w:ascii="Times New Roman" w:hAnsi="Times New Roman" w:cs="Times New Roman" w:eastAsia="Times New Roman" w:hint="default"/>
        </w:rPr>
        <w:t>1</w:t>
      </w:r>
      <w:r>
        <w:rPr/>
        <w:t>）其他应收款按种类披露</w:t>
      </w:r>
    </w:p>
    <w:tbl>
      <w:tblPr>
        <w:tblW w:w="0" w:type="auto"/>
        <w:jc w:val="left"/>
        <w:tblInd w:w="123" w:type="dxa"/>
        <w:tblLayout w:type="fixed"/>
        <w:tblCellMar>
          <w:top w:w="0" w:type="dxa"/>
          <w:left w:w="0" w:type="dxa"/>
          <w:bottom w:w="0" w:type="dxa"/>
          <w:right w:w="0" w:type="dxa"/>
        </w:tblCellMar>
        <w:tblLook w:val="01E0"/>
      </w:tblPr>
      <w:tblGrid>
        <w:gridCol w:w="4411"/>
        <w:gridCol w:w="1555"/>
        <w:gridCol w:w="1138"/>
        <w:gridCol w:w="1416"/>
        <w:gridCol w:w="1133"/>
      </w:tblGrid>
      <w:tr>
        <w:trPr>
          <w:trHeight w:val="518" w:hRule="exact"/>
        </w:trPr>
        <w:tc>
          <w:tcPr>
            <w:tcW w:w="441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42"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0" w:hRule="exact"/>
        </w:trPr>
        <w:tc>
          <w:tcPr>
            <w:tcW w:w="441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4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4411" w:type="dxa"/>
            <w:vMerge/>
            <w:tcBorders>
              <w:left w:val="nil" w:sz="6" w:space="0" w:color="auto"/>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514"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单项金额重大并单项计提坏账准备的其他应收款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297,809,830.44</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94.16%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224,173,915.14</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75.27%</w:t>
            </w:r>
          </w:p>
        </w:tc>
      </w:tr>
      <w:tr>
        <w:trPr>
          <w:trHeight w:val="518"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18,409,675.29</w:t>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5.82%</w:t>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9,307,302.76</w:t>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50.56%</w:t>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4411"/>
        <w:gridCol w:w="1555"/>
        <w:gridCol w:w="1138"/>
        <w:gridCol w:w="1416"/>
        <w:gridCol w:w="1133"/>
      </w:tblGrid>
      <w:tr>
        <w:trPr>
          <w:trHeight w:val="518" w:hRule="exact"/>
        </w:trPr>
        <w:tc>
          <w:tcPr>
            <w:tcW w:w="441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42"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4" w:hRule="exact"/>
        </w:trPr>
        <w:tc>
          <w:tcPr>
            <w:tcW w:w="441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4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4411" w:type="dxa"/>
            <w:vMerge/>
            <w:tcBorders>
              <w:left w:val="nil" w:sz="6" w:space="0" w:color="auto"/>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7,153,989.00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2.26%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35,769.82</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0.50%</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11,255,686.29</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3.56%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9,271,532.94</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82.37%</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单项金额虽不重大但单项计提坏账准备的其他应收款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57,000.00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57,000.00</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523"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316,276,505.73</w:t>
            </w:r>
            <w:r>
              <w:rPr>
                <w:rFonts w:ascii="Times New Roman"/>
                <w:spacing w:val="-1"/>
                <w:sz w:val="18"/>
              </w:rPr>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233,538,217.90</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r>
    </w:tbl>
    <w:p>
      <w:pPr>
        <w:spacing w:line="240" w:lineRule="auto" w:before="11"/>
        <w:rPr>
          <w:rFonts w:ascii="宋体" w:hAnsi="宋体" w:cs="宋体" w:eastAsia="宋体" w:hint="default"/>
          <w:sz w:val="11"/>
          <w:szCs w:val="11"/>
        </w:rPr>
      </w:pPr>
    </w:p>
    <w:p>
      <w:pPr>
        <w:pStyle w:val="BodyText"/>
        <w:spacing w:line="240" w:lineRule="auto" w:before="36"/>
        <w:ind w:right="3657"/>
        <w:jc w:val="left"/>
      </w:pPr>
      <w:r>
        <w:rPr/>
        <w:t>续上表</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4411"/>
        <w:gridCol w:w="1555"/>
        <w:gridCol w:w="1138"/>
        <w:gridCol w:w="1416"/>
        <w:gridCol w:w="1133"/>
      </w:tblGrid>
      <w:tr>
        <w:trPr>
          <w:trHeight w:val="518" w:hRule="exact"/>
        </w:trPr>
        <w:tc>
          <w:tcPr>
            <w:tcW w:w="441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42"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94" w:hRule="exact"/>
        </w:trPr>
        <w:tc>
          <w:tcPr>
            <w:tcW w:w="441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4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4411" w:type="dxa"/>
            <w:vMerge/>
            <w:tcBorders>
              <w:left w:val="nil" w:sz="6" w:space="0" w:color="auto"/>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单项金额重大并单项计提坏账准备的其他应收</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259,849,708.89</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95.27%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235,156,505.27</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90.50%</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12,906,504.16</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4.73%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8,651,808.44</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67.03%</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3,515,824.49</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1.29%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17,676.36</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0.50%</w:t>
            </w:r>
          </w:p>
        </w:tc>
      </w:tr>
      <w:tr>
        <w:trPr>
          <w:trHeight w:val="514"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9,390,679.67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3.44%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8,634,132.08</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91.94%</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单项金额虽不重大但单项计提坏账准备的其他应收款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8"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272,756,213.05</w:t>
            </w:r>
            <w:r>
              <w:rPr>
                <w:rFonts w:ascii="Times New Roman"/>
                <w:spacing w:val="-1"/>
                <w:sz w:val="18"/>
              </w:rPr>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243,808,313.71</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b/>
                <w:sz w:val="18"/>
              </w:rPr>
              <w:t>--</w:t>
            </w:r>
            <w:r>
              <w:rPr>
                <w:rFonts w:ascii="Times New Roman"/>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36"/>
        <w:ind w:left="575" w:right="3657"/>
        <w:jc w:val="left"/>
      </w:pPr>
      <w:r>
        <w:rPr/>
        <w:t>组合中，按账龄分析法计提坏账准备的其他应收款：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574"/>
        <w:gridCol w:w="1464"/>
        <w:gridCol w:w="936"/>
        <w:gridCol w:w="1570"/>
        <w:gridCol w:w="1416"/>
        <w:gridCol w:w="1133"/>
        <w:gridCol w:w="1560"/>
      </w:tblGrid>
      <w:tr>
        <w:trPr>
          <w:trHeight w:val="480"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70" w:hRule="exact"/>
        </w:trPr>
        <w:tc>
          <w:tcPr>
            <w:tcW w:w="1574" w:type="dxa"/>
            <w:vMerge/>
            <w:tcBorders>
              <w:left w:val="nil" w:sz="6" w:space="0" w:color="auto"/>
              <w:right w:val="single" w:sz="4" w:space="0" w:color="000000"/>
            </w:tcBorders>
          </w:tcPr>
          <w:p>
            <w:pPr/>
          </w:p>
        </w:tc>
        <w:tc>
          <w:tcPr>
            <w:tcW w:w="2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5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70"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70"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560" w:type="dxa"/>
            <w:vMerge/>
            <w:tcBorders>
              <w:left w:val="single" w:sz="4" w:space="0" w:color="000000"/>
              <w:bottom w:val="single" w:sz="4" w:space="0" w:color="000000"/>
              <w:right w:val="nil" w:sz="6" w:space="0" w:color="auto"/>
            </w:tcBorders>
          </w:tcPr>
          <w:p>
            <w:pP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1,527,599.45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13.57%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76,379.97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500,575.53</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5.33%</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25,028.77</w:t>
            </w: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18,720.00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0.17%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2,808.00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27,123.72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0.29%</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4,668.56</w:t>
            </w:r>
          </w:p>
        </w:tc>
      </w:tr>
      <w:tr>
        <w:trPr>
          <w:trHeight w:val="514"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440,158.72</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3.91%</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132,047.62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369,458.15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3.94%</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150,837.45</w:t>
            </w:r>
          </w:p>
        </w:tc>
      </w:tr>
      <w:tr>
        <w:trPr>
          <w:trHeight w:val="518"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369,458.15</w:t>
            </w:r>
          </w:p>
        </w:tc>
        <w:tc>
          <w:tcPr>
            <w:tcW w:w="9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3.28%</w:t>
            </w:r>
          </w:p>
        </w:tc>
        <w:tc>
          <w:tcPr>
            <w:tcW w:w="15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171,029.08</w:t>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108,408.52</w:t>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w:t>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82,204.26</w:t>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1574"/>
        <w:gridCol w:w="1464"/>
        <w:gridCol w:w="936"/>
        <w:gridCol w:w="1570"/>
        <w:gridCol w:w="1416"/>
        <w:gridCol w:w="1133"/>
        <w:gridCol w:w="1560"/>
      </w:tblGrid>
      <w:tr>
        <w:trPr>
          <w:trHeight w:val="480"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470" w:hRule="exact"/>
        </w:trPr>
        <w:tc>
          <w:tcPr>
            <w:tcW w:w="1574" w:type="dxa"/>
            <w:vMerge/>
            <w:tcBorders>
              <w:left w:val="nil" w:sz="6" w:space="0" w:color="auto"/>
              <w:right w:val="single" w:sz="4" w:space="0" w:color="000000"/>
            </w:tcBorders>
          </w:tcPr>
          <w:p>
            <w:pPr/>
          </w:p>
        </w:tc>
        <w:tc>
          <w:tcPr>
            <w:tcW w:w="2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5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70"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70"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560" w:type="dxa"/>
            <w:vMerge/>
            <w:tcBorders>
              <w:left w:val="single" w:sz="4" w:space="0" w:color="000000"/>
              <w:bottom w:val="single" w:sz="4" w:space="0" w:color="000000"/>
              <w:right w:val="nil" w:sz="6" w:space="0" w:color="auto"/>
            </w:tcBorders>
          </w:tcPr>
          <w:p>
            <w:pP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52,408.52</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0.47%</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41,926.82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68,603.51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0.73%</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54,882.80</w:t>
            </w: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8,847,341.45</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78.60%</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8,847,341.45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8,316,510.24</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88.56%</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8,316,510.24</w:t>
            </w:r>
          </w:p>
        </w:tc>
      </w:tr>
      <w:tr>
        <w:trPr>
          <w:trHeight w:val="523"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2"/>
                <w:sz w:val="18"/>
              </w:rPr>
              <w:t>11,255,686.29</w:t>
            </w:r>
            <w:r>
              <w:rPr>
                <w:rFonts w:ascii="Times New Roman"/>
                <w:spacing w:val="-2"/>
                <w:sz w:val="18"/>
              </w:rPr>
            </w:r>
          </w:p>
        </w:tc>
        <w:tc>
          <w:tcPr>
            <w:tcW w:w="9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9,271,532.94</w:t>
            </w:r>
            <w:r>
              <w:rPr>
                <w:rFonts w:ascii="Times New Roman"/>
                <w:spacing w:val="-1"/>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9,390,679.67</w:t>
            </w:r>
            <w:r>
              <w:rPr>
                <w:rFonts w:ascii="Times New Roman"/>
                <w:spacing w:val="-1"/>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8,634,132.08</w:t>
            </w:r>
            <w:r>
              <w:rPr>
                <w:rFonts w:ascii="Times New Roman"/>
                <w:spacing w:val="-1"/>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7"/>
        <w:ind w:left="575" w:right="0"/>
        <w:jc w:val="left"/>
      </w:pPr>
      <w:r>
        <w:rPr/>
        <w:t>组合中，采用余额百分比法计提坏账准备的其他应收款：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574"/>
        <w:gridCol w:w="1464"/>
        <w:gridCol w:w="1085"/>
        <w:gridCol w:w="1421"/>
        <w:gridCol w:w="1416"/>
        <w:gridCol w:w="1133"/>
        <w:gridCol w:w="1560"/>
      </w:tblGrid>
      <w:tr>
        <w:trPr>
          <w:trHeight w:val="504"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490"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17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33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518"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403" w:right="0"/>
              <w:jc w:val="left"/>
              <w:rPr>
                <w:rFonts w:ascii="Times New Roman" w:hAnsi="Times New Roman" w:cs="Times New Roman" w:eastAsia="Times New Roman" w:hint="default"/>
                <w:sz w:val="18"/>
                <w:szCs w:val="18"/>
              </w:rPr>
            </w:pPr>
            <w:r>
              <w:rPr>
                <w:rFonts w:ascii="Times New Roman"/>
                <w:sz w:val="18"/>
              </w:rPr>
              <w:t>7,153,989.00</w:t>
            </w:r>
          </w:p>
        </w:tc>
        <w:tc>
          <w:tcPr>
            <w:tcW w:w="108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504" w:right="0"/>
              <w:jc w:val="left"/>
              <w:rPr>
                <w:rFonts w:ascii="Times New Roman" w:hAnsi="Times New Roman" w:cs="Times New Roman" w:eastAsia="Times New Roman" w:hint="default"/>
                <w:sz w:val="18"/>
                <w:szCs w:val="18"/>
              </w:rPr>
            </w:pPr>
            <w:r>
              <w:rPr>
                <w:rFonts w:ascii="Times New Roman"/>
                <w:sz w:val="18"/>
              </w:rPr>
              <w:t>0.50%</w:t>
            </w:r>
          </w:p>
        </w:tc>
        <w:tc>
          <w:tcPr>
            <w:tcW w:w="14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580" w:right="0"/>
              <w:jc w:val="left"/>
              <w:rPr>
                <w:rFonts w:ascii="Times New Roman" w:hAnsi="Times New Roman" w:cs="Times New Roman" w:eastAsia="Times New Roman" w:hint="default"/>
                <w:sz w:val="18"/>
                <w:szCs w:val="18"/>
              </w:rPr>
            </w:pPr>
            <w:r>
              <w:rPr>
                <w:rFonts w:ascii="Times New Roman"/>
                <w:sz w:val="18"/>
              </w:rPr>
              <w:t>35,769.82</w:t>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3,515,824.49</w:t>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508" w:right="0"/>
              <w:jc w:val="left"/>
              <w:rPr>
                <w:rFonts w:ascii="Times New Roman" w:hAnsi="Times New Roman" w:cs="Times New Roman" w:eastAsia="Times New Roman" w:hint="default"/>
                <w:sz w:val="18"/>
                <w:szCs w:val="18"/>
              </w:rPr>
            </w:pPr>
            <w:r>
              <w:rPr>
                <w:rFonts w:ascii="Times New Roman"/>
                <w:sz w:val="18"/>
              </w:rPr>
              <w:t>0.</w:t>
            </w:r>
            <w:r>
              <w:rPr>
                <w:rFonts w:ascii="Times New Roman"/>
                <w:spacing w:val="1"/>
                <w:sz w:val="18"/>
              </w:rPr>
              <w:t> </w:t>
            </w:r>
            <w:r>
              <w:rPr>
                <w:rFonts w:ascii="Times New Roman"/>
                <w:sz w:val="18"/>
              </w:rPr>
              <w:t>50%</w:t>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724" w:right="0"/>
              <w:jc w:val="left"/>
              <w:rPr>
                <w:rFonts w:ascii="Times New Roman" w:hAnsi="Times New Roman" w:cs="Times New Roman" w:eastAsia="Times New Roman" w:hint="default"/>
                <w:sz w:val="18"/>
                <w:szCs w:val="18"/>
              </w:rPr>
            </w:pPr>
            <w:r>
              <w:rPr>
                <w:rFonts w:ascii="Times New Roman"/>
                <w:sz w:val="18"/>
              </w:rPr>
              <w:t>17,676.36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7"/>
        <w:ind w:left="575" w:right="0"/>
        <w:jc w:val="left"/>
      </w:pPr>
      <w:r>
        <w:rPr/>
        <w:t>期末单项金额重大，并已大额计提坏帐准备应收账款：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3701"/>
        <w:gridCol w:w="1488"/>
        <w:gridCol w:w="1488"/>
        <w:gridCol w:w="1488"/>
        <w:gridCol w:w="1488"/>
      </w:tblGrid>
      <w:tr>
        <w:trPr>
          <w:trHeight w:val="523" w:hRule="exact"/>
        </w:trPr>
        <w:tc>
          <w:tcPr>
            <w:tcW w:w="37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8" w:right="0"/>
              <w:jc w:val="left"/>
              <w:rPr>
                <w:rFonts w:ascii="宋体" w:hAnsi="宋体" w:cs="宋体" w:eastAsia="宋体" w:hint="default"/>
                <w:sz w:val="18"/>
                <w:szCs w:val="18"/>
              </w:rPr>
            </w:pPr>
            <w:r>
              <w:rPr>
                <w:rFonts w:ascii="宋体" w:hAnsi="宋体" w:cs="宋体" w:eastAsia="宋体" w:hint="default"/>
                <w:spacing w:val="-3"/>
                <w:sz w:val="18"/>
                <w:szCs w:val="18"/>
              </w:rPr>
              <w:t>其他应收款内容</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48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深圳市海龙王房地产开发有限公司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50,119,685.55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50,119,685.55</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应收法人股相关款项</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47,236,627.18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47,236,627.18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深圳市赛德隆投资发展有限公司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31,388,461.73</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25,110,769.38</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按可回收现值</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广州金宇房地产开发公司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24,881,441.50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24,881,441.50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应收代扣代缴的代持股所得税</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22,021,051.60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22,021,051.60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深圳桂兴贸易发展公司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18,588,821.90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18,588,821.90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深圳市泉源实业发展有限公司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3,750,000.00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3,750,000.00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深圳市鸿基广源贸易有限公司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3,260,739.46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3,260,739.46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深圳市韬涛投资发展有限公司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北京广电美讯网络科技有限公司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深圳市冠捷东源投资发展有限公司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2,755,030.00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2,755,030.00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深圳丰华电子公司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2,691,859.01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2,691,859.01</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8" w:hRule="exact"/>
        </w:trPr>
        <w:tc>
          <w:tcPr>
            <w:tcW w:w="37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深圳发中实业有限公司</w:t>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2,500,000.00</w:t>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2,500,000.00</w:t>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bl>
    <w:p>
      <w:pPr>
        <w:spacing w:after="0" w:line="240" w:lineRule="auto"/>
        <w:jc w:val="center"/>
        <w:rPr>
          <w:rFonts w:ascii="宋体" w:hAnsi="宋体" w:cs="宋体" w:eastAsia="宋体" w:hint="default"/>
          <w:sz w:val="18"/>
          <w:szCs w:val="18"/>
        </w:rPr>
        <w:sectPr>
          <w:pgSz w:w="11900" w:h="16840"/>
          <w:pgMar w:header="762" w:footer="840" w:top="1000" w:bottom="1020" w:left="98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3701"/>
        <w:gridCol w:w="1488"/>
        <w:gridCol w:w="1488"/>
        <w:gridCol w:w="1488"/>
        <w:gridCol w:w="1488"/>
      </w:tblGrid>
      <w:tr>
        <w:trPr>
          <w:trHeight w:val="518" w:hRule="exact"/>
        </w:trPr>
        <w:tc>
          <w:tcPr>
            <w:tcW w:w="37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28" w:right="0"/>
              <w:jc w:val="left"/>
              <w:rPr>
                <w:rFonts w:ascii="宋体" w:hAnsi="宋体" w:cs="宋体" w:eastAsia="宋体" w:hint="default"/>
                <w:sz w:val="18"/>
                <w:szCs w:val="18"/>
              </w:rPr>
            </w:pPr>
            <w:r>
              <w:rPr>
                <w:rFonts w:ascii="宋体" w:hAnsi="宋体" w:cs="宋体" w:eastAsia="宋体" w:hint="default"/>
                <w:spacing w:val="-3"/>
                <w:sz w:val="18"/>
                <w:szCs w:val="18"/>
              </w:rPr>
              <w:t>其他应收款内容</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48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南山综合楼消防工程款</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2,401,187.07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2,401,187.07</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玉溪灵照福田服务有限公司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正中置业集团有限公司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2,112,317.20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2,112,317.20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深圳市竣雄投资有限公司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1,530,000.00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1,530,000.00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龙岗五联村将军帽自然村</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1,386,000.00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1,386,000.00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自然人</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1,112,375.26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1,112,375.26</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珠海市鑫大生物工程有限公司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80.00%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按可回收现值</w:t>
            </w:r>
          </w:p>
        </w:tc>
      </w:tr>
      <w:tr>
        <w:trPr>
          <w:trHeight w:val="523" w:hRule="exact"/>
        </w:trPr>
        <w:tc>
          <w:tcPr>
            <w:tcW w:w="37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226,935,597.46</w:t>
            </w:r>
            <w:r>
              <w:rPr>
                <w:rFonts w:ascii="Times New Roman"/>
                <w:spacing w:val="-1"/>
                <w:sz w:val="18"/>
              </w:rPr>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220,457,905.11</w:t>
            </w:r>
            <w:r>
              <w:rPr>
                <w:rFonts w:ascii="Times New Roman"/>
                <w:spacing w:val="-2"/>
                <w:sz w:val="18"/>
              </w:rPr>
            </w:r>
          </w:p>
        </w:tc>
        <w:tc>
          <w:tcPr>
            <w:tcW w:w="1488" w:type="dxa"/>
            <w:tcBorders>
              <w:top w:val="single" w:sz="4" w:space="0" w:color="000000"/>
              <w:left w:val="single" w:sz="4" w:space="0" w:color="000000"/>
              <w:bottom w:val="single" w:sz="12" w:space="0" w:color="000000"/>
              <w:right w:val="single" w:sz="4" w:space="0" w:color="000000"/>
            </w:tcBorders>
          </w:tcPr>
          <w:p>
            <w:pPr/>
          </w:p>
        </w:tc>
        <w:tc>
          <w:tcPr>
            <w:tcW w:w="1488" w:type="dxa"/>
            <w:tcBorders>
              <w:top w:val="single" w:sz="4" w:space="0" w:color="000000"/>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7"/>
        <w:ind w:left="575" w:right="114"/>
        <w:jc w:val="left"/>
      </w:pPr>
      <w:r>
        <w:rPr/>
        <w:t>期末单项金额虽不重大但单项计提坏帐准备应收账款：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3701"/>
        <w:gridCol w:w="1488"/>
        <w:gridCol w:w="1488"/>
        <w:gridCol w:w="1488"/>
        <w:gridCol w:w="1488"/>
      </w:tblGrid>
      <w:tr>
        <w:trPr>
          <w:trHeight w:val="518" w:hRule="exact"/>
        </w:trPr>
        <w:tc>
          <w:tcPr>
            <w:tcW w:w="37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28" w:right="0"/>
              <w:jc w:val="left"/>
              <w:rPr>
                <w:rFonts w:ascii="宋体" w:hAnsi="宋体" w:cs="宋体" w:eastAsia="宋体" w:hint="default"/>
                <w:sz w:val="21"/>
                <w:szCs w:val="21"/>
              </w:rPr>
            </w:pPr>
            <w:r>
              <w:rPr>
                <w:rFonts w:ascii="宋体" w:hAnsi="宋体" w:cs="宋体" w:eastAsia="宋体" w:hint="default"/>
                <w:sz w:val="21"/>
                <w:szCs w:val="21"/>
              </w:rPr>
              <w:t>应收账款内容</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1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1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12"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148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计提理由</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广州市睿明计算机科技有限公司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56,000.00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56,000.00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无法收回</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无法收回</w:t>
            </w:r>
          </w:p>
        </w:tc>
      </w:tr>
      <w:tr>
        <w:trPr>
          <w:trHeight w:val="518" w:hRule="exact"/>
        </w:trPr>
        <w:tc>
          <w:tcPr>
            <w:tcW w:w="37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57,000.00</w:t>
            </w:r>
            <w:r>
              <w:rPr>
                <w:rFonts w:ascii="Times New Roman"/>
                <w:sz w:val="21"/>
              </w:rPr>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57,000.00</w:t>
            </w:r>
            <w:r>
              <w:rPr>
                <w:rFonts w:ascii="Times New Roman"/>
                <w:sz w:val="21"/>
              </w:rPr>
            </w:r>
          </w:p>
        </w:tc>
        <w:tc>
          <w:tcPr>
            <w:tcW w:w="1488" w:type="dxa"/>
            <w:tcBorders>
              <w:top w:val="single" w:sz="4" w:space="0" w:color="000000"/>
              <w:left w:val="single" w:sz="4" w:space="0" w:color="000000"/>
              <w:bottom w:val="single" w:sz="12" w:space="0" w:color="000000"/>
              <w:right w:val="single" w:sz="4" w:space="0" w:color="000000"/>
            </w:tcBorders>
          </w:tcPr>
          <w:p>
            <w:pPr/>
          </w:p>
        </w:tc>
        <w:tc>
          <w:tcPr>
            <w:tcW w:w="1488" w:type="dxa"/>
            <w:tcBorders>
              <w:top w:val="single" w:sz="4" w:space="0" w:color="000000"/>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2"/>
        <w:ind w:left="575" w:right="114"/>
        <w:jc w:val="left"/>
      </w:pPr>
      <w:r>
        <w:rPr/>
        <w:t>（</w:t>
      </w:r>
      <w:r>
        <w:rPr>
          <w:rFonts w:ascii="Times New Roman" w:hAnsi="Times New Roman" w:cs="Times New Roman" w:eastAsia="Times New Roman" w:hint="default"/>
        </w:rPr>
        <w:t>2</w:t>
      </w:r>
      <w:r>
        <w:rPr/>
        <w:t>）本报告期内已大额计提坏账准备的转回或其他应收款收回情况</w:t>
      </w:r>
    </w:p>
    <w:tbl>
      <w:tblPr>
        <w:tblW w:w="0" w:type="auto"/>
        <w:jc w:val="left"/>
        <w:tblInd w:w="123" w:type="dxa"/>
        <w:tblLayout w:type="fixed"/>
        <w:tblCellMar>
          <w:top w:w="0" w:type="dxa"/>
          <w:left w:w="0" w:type="dxa"/>
          <w:bottom w:w="0" w:type="dxa"/>
          <w:right w:w="0" w:type="dxa"/>
        </w:tblCellMar>
        <w:tblLook w:val="01E0"/>
      </w:tblPr>
      <w:tblGrid>
        <w:gridCol w:w="3701"/>
        <w:gridCol w:w="1488"/>
        <w:gridCol w:w="1488"/>
        <w:gridCol w:w="1488"/>
        <w:gridCol w:w="1488"/>
      </w:tblGrid>
      <w:tr>
        <w:trPr>
          <w:trHeight w:val="525" w:hRule="exact"/>
        </w:trPr>
        <w:tc>
          <w:tcPr>
            <w:tcW w:w="3701" w:type="dxa"/>
            <w:tcBorders>
              <w:top w:val="single" w:sz="12" w:space="0" w:color="000000"/>
              <w:left w:val="nil" w:sz="6" w:space="0" w:color="auto"/>
              <w:bottom w:val="nil" w:sz="6" w:space="0" w:color="auto"/>
              <w:right w:val="single" w:sz="4" w:space="0" w:color="000000"/>
            </w:tcBorders>
          </w:tcPr>
          <w:p>
            <w:pPr/>
          </w:p>
        </w:tc>
        <w:tc>
          <w:tcPr>
            <w:tcW w:w="1488" w:type="dxa"/>
            <w:tcBorders>
              <w:top w:val="single" w:sz="12" w:space="0" w:color="000000"/>
              <w:left w:val="single" w:sz="4" w:space="0" w:color="000000"/>
              <w:bottom w:val="nil" w:sz="6" w:space="0" w:color="auto"/>
              <w:right w:val="single" w:sz="4" w:space="0" w:color="000000"/>
            </w:tcBorders>
          </w:tcPr>
          <w:p>
            <w:pPr/>
          </w:p>
        </w:tc>
        <w:tc>
          <w:tcPr>
            <w:tcW w:w="14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pacing w:val="-3"/>
                <w:sz w:val="18"/>
                <w:szCs w:val="18"/>
              </w:rPr>
              <w:t>确定原坏账准备</w:t>
            </w:r>
          </w:p>
        </w:tc>
        <w:tc>
          <w:tcPr>
            <w:tcW w:w="14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left="192" w:right="0"/>
              <w:jc w:val="left"/>
              <w:rPr>
                <w:rFonts w:ascii="宋体" w:hAnsi="宋体" w:cs="宋体" w:eastAsia="宋体" w:hint="default"/>
                <w:sz w:val="18"/>
                <w:szCs w:val="18"/>
              </w:rPr>
            </w:pPr>
            <w:r>
              <w:rPr>
                <w:rFonts w:ascii="宋体" w:hAnsi="宋体" w:cs="宋体" w:eastAsia="宋体" w:hint="default"/>
                <w:sz w:val="18"/>
                <w:szCs w:val="18"/>
              </w:rPr>
              <w:t>转回或收回前</w:t>
            </w:r>
          </w:p>
        </w:tc>
        <w:tc>
          <w:tcPr>
            <w:tcW w:w="1488" w:type="dxa"/>
            <w:tcBorders>
              <w:top w:val="single" w:sz="12" w:space="0" w:color="000000"/>
              <w:left w:val="single" w:sz="4" w:space="0" w:color="000000"/>
              <w:bottom w:val="nil" w:sz="6" w:space="0" w:color="auto"/>
              <w:right w:val="nil" w:sz="6" w:space="0" w:color="auto"/>
            </w:tcBorders>
          </w:tcPr>
          <w:p>
            <w:pPr/>
          </w:p>
        </w:tc>
      </w:tr>
      <w:tr>
        <w:trPr>
          <w:trHeight w:val="360" w:hRule="exact"/>
        </w:trPr>
        <w:tc>
          <w:tcPr>
            <w:tcW w:w="3701" w:type="dxa"/>
            <w:tcBorders>
              <w:top w:val="nil" w:sz="6" w:space="0" w:color="auto"/>
              <w:left w:val="nil" w:sz="6" w:space="0" w:color="auto"/>
              <w:bottom w:val="nil" w:sz="6" w:space="0" w:color="auto"/>
              <w:right w:val="single" w:sz="4" w:space="0" w:color="000000"/>
            </w:tcBorders>
          </w:tcPr>
          <w:p>
            <w:pPr>
              <w:pStyle w:val="TableParagraph"/>
              <w:spacing w:line="182" w:lineRule="exact"/>
              <w:ind w:left="1228" w:right="0"/>
              <w:jc w:val="left"/>
              <w:rPr>
                <w:rFonts w:ascii="宋体" w:hAnsi="宋体" w:cs="宋体" w:eastAsia="宋体" w:hint="default"/>
                <w:sz w:val="18"/>
                <w:szCs w:val="18"/>
              </w:rPr>
            </w:pPr>
            <w:r>
              <w:rPr>
                <w:rFonts w:ascii="宋体" w:hAnsi="宋体" w:cs="宋体" w:eastAsia="宋体" w:hint="default"/>
                <w:spacing w:val="-3"/>
                <w:sz w:val="18"/>
                <w:szCs w:val="18"/>
              </w:rPr>
              <w:t>其他应收款内容</w:t>
            </w:r>
          </w:p>
        </w:tc>
        <w:tc>
          <w:tcPr>
            <w:tcW w:w="1488"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2"/>
              <w:jc w:val="center"/>
              <w:rPr>
                <w:rFonts w:ascii="宋体" w:hAnsi="宋体" w:cs="宋体" w:eastAsia="宋体" w:hint="default"/>
                <w:sz w:val="18"/>
                <w:szCs w:val="18"/>
              </w:rPr>
            </w:pPr>
            <w:r>
              <w:rPr>
                <w:rFonts w:ascii="宋体" w:hAnsi="宋体" w:cs="宋体" w:eastAsia="宋体" w:hint="default"/>
                <w:spacing w:val="-3"/>
                <w:sz w:val="18"/>
                <w:szCs w:val="18"/>
              </w:rPr>
              <w:t>转回或收回原因</w:t>
            </w:r>
          </w:p>
        </w:tc>
        <w:tc>
          <w:tcPr>
            <w:tcW w:w="148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2"/>
              <w:jc w:val="center"/>
              <w:rPr>
                <w:rFonts w:ascii="宋体" w:hAnsi="宋体" w:cs="宋体" w:eastAsia="宋体" w:hint="default"/>
                <w:sz w:val="18"/>
                <w:szCs w:val="18"/>
              </w:rPr>
            </w:pPr>
            <w:r>
              <w:rPr>
                <w:rFonts w:ascii="宋体" w:hAnsi="宋体" w:cs="宋体" w:eastAsia="宋体" w:hint="default"/>
                <w:sz w:val="18"/>
                <w:szCs w:val="18"/>
              </w:rPr>
              <w:t>的依据</w:t>
            </w:r>
          </w:p>
        </w:tc>
        <w:tc>
          <w:tcPr>
            <w:tcW w:w="1488"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108"/>
              <w:jc w:val="right"/>
              <w:rPr>
                <w:rFonts w:ascii="宋体" w:hAnsi="宋体" w:cs="宋体" w:eastAsia="宋体" w:hint="default"/>
                <w:sz w:val="18"/>
                <w:szCs w:val="18"/>
              </w:rPr>
            </w:pPr>
            <w:r>
              <w:rPr>
                <w:rFonts w:ascii="宋体" w:hAnsi="宋体" w:cs="宋体" w:eastAsia="宋体" w:hint="default"/>
                <w:spacing w:val="-3"/>
                <w:sz w:val="18"/>
                <w:szCs w:val="18"/>
              </w:rPr>
              <w:t>累计已计提坏账</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182" w:lineRule="exact"/>
              <w:ind w:right="113"/>
              <w:jc w:val="right"/>
              <w:rPr>
                <w:rFonts w:ascii="宋体" w:hAnsi="宋体" w:cs="宋体" w:eastAsia="宋体" w:hint="default"/>
                <w:sz w:val="18"/>
                <w:szCs w:val="18"/>
              </w:rPr>
            </w:pPr>
            <w:r>
              <w:rPr>
                <w:rFonts w:ascii="宋体" w:hAnsi="宋体" w:cs="宋体" w:eastAsia="宋体" w:hint="default"/>
                <w:spacing w:val="-3"/>
                <w:sz w:val="18"/>
                <w:szCs w:val="18"/>
              </w:rPr>
              <w:t>转回或收回金额</w:t>
            </w:r>
          </w:p>
        </w:tc>
      </w:tr>
      <w:tr>
        <w:trPr>
          <w:trHeight w:val="214" w:hRule="exact"/>
        </w:trPr>
        <w:tc>
          <w:tcPr>
            <w:tcW w:w="3701" w:type="dxa"/>
            <w:tcBorders>
              <w:top w:val="nil" w:sz="6" w:space="0" w:color="auto"/>
              <w:left w:val="nil" w:sz="6" w:space="0" w:color="auto"/>
              <w:bottom w:val="single" w:sz="4" w:space="0" w:color="000000"/>
              <w:right w:val="single" w:sz="4" w:space="0" w:color="000000"/>
            </w:tcBorders>
          </w:tcPr>
          <w:p>
            <w:pPr/>
          </w:p>
        </w:tc>
        <w:tc>
          <w:tcPr>
            <w:tcW w:w="1488" w:type="dxa"/>
            <w:tcBorders>
              <w:top w:val="nil" w:sz="6" w:space="0" w:color="auto"/>
              <w:left w:val="single" w:sz="4" w:space="0" w:color="000000"/>
              <w:bottom w:val="single" w:sz="4" w:space="0" w:color="000000"/>
              <w:right w:val="single" w:sz="4" w:space="0" w:color="000000"/>
            </w:tcBorders>
          </w:tcPr>
          <w:p>
            <w:pPr/>
          </w:p>
        </w:tc>
        <w:tc>
          <w:tcPr>
            <w:tcW w:w="1488" w:type="dxa"/>
            <w:tcBorders>
              <w:top w:val="nil" w:sz="6" w:space="0" w:color="auto"/>
              <w:left w:val="single" w:sz="4" w:space="0" w:color="000000"/>
              <w:bottom w:val="single" w:sz="4" w:space="0" w:color="000000"/>
              <w:right w:val="single" w:sz="4" w:space="0" w:color="000000"/>
            </w:tcBorders>
          </w:tcPr>
          <w:p>
            <w:pPr/>
          </w:p>
        </w:tc>
        <w:tc>
          <w:tcPr>
            <w:tcW w:w="1488"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left="374" w:right="0"/>
              <w:jc w:val="left"/>
              <w:rPr>
                <w:rFonts w:ascii="宋体" w:hAnsi="宋体" w:cs="宋体" w:eastAsia="宋体" w:hint="default"/>
                <w:sz w:val="18"/>
                <w:szCs w:val="18"/>
              </w:rPr>
            </w:pPr>
            <w:r>
              <w:rPr>
                <w:rFonts w:ascii="宋体" w:hAnsi="宋体" w:cs="宋体" w:eastAsia="宋体" w:hint="default"/>
                <w:sz w:val="18"/>
                <w:szCs w:val="18"/>
              </w:rPr>
              <w:t>准备金额</w:t>
            </w:r>
          </w:p>
        </w:tc>
        <w:tc>
          <w:tcPr>
            <w:tcW w:w="1488" w:type="dxa"/>
            <w:tcBorders>
              <w:top w:val="nil" w:sz="6" w:space="0" w:color="auto"/>
              <w:left w:val="single" w:sz="4" w:space="0" w:color="000000"/>
              <w:bottom w:val="single" w:sz="4" w:space="0" w:color="000000"/>
              <w:right w:val="nil" w:sz="6" w:space="0" w:color="auto"/>
            </w:tcBorders>
          </w:tcPr>
          <w:p>
            <w:pP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正中置业集团有限公司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已收回</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15,020,889.67</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12,908,572.47</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深圳市盐田港国际供应链营运有限公司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法院判决</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2,000,000.00</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518" w:hRule="exact"/>
        </w:trPr>
        <w:tc>
          <w:tcPr>
            <w:tcW w:w="37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88" w:type="dxa"/>
            <w:tcBorders>
              <w:top w:val="single" w:sz="4" w:space="0" w:color="000000"/>
              <w:left w:val="single" w:sz="4" w:space="0" w:color="000000"/>
              <w:bottom w:val="single" w:sz="12" w:space="0" w:color="000000"/>
              <w:right w:val="single" w:sz="4" w:space="0" w:color="000000"/>
            </w:tcBorders>
          </w:tcPr>
          <w:p>
            <w:pPr/>
          </w:p>
        </w:tc>
        <w:tc>
          <w:tcPr>
            <w:tcW w:w="1488" w:type="dxa"/>
            <w:tcBorders>
              <w:top w:val="single" w:sz="4" w:space="0" w:color="000000"/>
              <w:left w:val="single" w:sz="4" w:space="0" w:color="000000"/>
              <w:bottom w:val="single" w:sz="12" w:space="0" w:color="000000"/>
              <w:right w:val="single" w:sz="4" w:space="0" w:color="000000"/>
            </w:tcBorders>
          </w:tcPr>
          <w:p>
            <w:pP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z w:val="18"/>
              </w:rPr>
              <w:t>17,020,</w:t>
            </w:r>
            <w:r>
              <w:rPr>
                <w:rFonts w:ascii="Times New Roman"/>
                <w:b/>
                <w:spacing w:val="2"/>
                <w:sz w:val="18"/>
              </w:rPr>
              <w:t> </w:t>
            </w:r>
            <w:r>
              <w:rPr>
                <w:rFonts w:ascii="Times New Roman"/>
                <w:b/>
                <w:sz w:val="18"/>
              </w:rPr>
              <w:t>889.67</w:t>
            </w:r>
            <w:r>
              <w:rPr>
                <w:rFonts w:ascii="Times New Roman"/>
                <w:sz w:val="18"/>
              </w:rPr>
            </w:r>
          </w:p>
        </w:tc>
        <w:tc>
          <w:tcPr>
            <w:tcW w:w="1488"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1"/>
                <w:sz w:val="18"/>
              </w:rPr>
              <w:t>14,408,572.47</w:t>
            </w:r>
            <w:r>
              <w:rPr>
                <w:rFonts w:ascii="Times New Roman"/>
                <w:spacing w:val="-1"/>
                <w:sz w:val="18"/>
              </w:rPr>
            </w:r>
          </w:p>
        </w:tc>
      </w:tr>
    </w:tbl>
    <w:p>
      <w:pPr>
        <w:spacing w:line="240" w:lineRule="auto" w:before="2"/>
        <w:rPr>
          <w:rFonts w:ascii="宋体" w:hAnsi="宋体" w:cs="宋体" w:eastAsia="宋体" w:hint="default"/>
          <w:sz w:val="13"/>
          <w:szCs w:val="13"/>
        </w:rPr>
      </w:pPr>
    </w:p>
    <w:p>
      <w:pPr>
        <w:pStyle w:val="BodyText"/>
        <w:spacing w:line="240" w:lineRule="auto" w:before="36"/>
        <w:ind w:left="575" w:right="114"/>
        <w:jc w:val="left"/>
      </w:pPr>
      <w:r>
        <w:rPr/>
        <w:t>本期转回的正中置业集团有限公司应收回原值为 </w:t>
      </w:r>
      <w:r>
        <w:rPr>
          <w:rFonts w:ascii="Times New Roman" w:hAnsi="Times New Roman" w:cs="Times New Roman" w:eastAsia="Times New Roman" w:hint="default"/>
        </w:rPr>
        <w:t>15,020,889.67</w:t>
      </w:r>
      <w:r>
        <w:rPr>
          <w:rFonts w:ascii="Times New Roman" w:hAnsi="Times New Roman" w:cs="Times New Roman" w:eastAsia="Times New Roman" w:hint="default"/>
          <w:spacing w:val="-28"/>
        </w:rPr>
        <w:t> </w:t>
      </w:r>
      <w:r>
        <w:rPr>
          <w:spacing w:val="-6"/>
        </w:rPr>
        <w:t>元，以前年度已全额计提坏帐，本期收</w:t>
      </w:r>
    </w:p>
    <w:p>
      <w:pPr>
        <w:spacing w:line="240" w:lineRule="auto" w:before="12"/>
        <w:rPr>
          <w:rFonts w:ascii="宋体" w:hAnsi="宋体" w:cs="宋体" w:eastAsia="宋体" w:hint="default"/>
          <w:sz w:val="15"/>
          <w:szCs w:val="15"/>
        </w:rPr>
      </w:pPr>
    </w:p>
    <w:p>
      <w:pPr>
        <w:pStyle w:val="BodyText"/>
        <w:spacing w:line="412" w:lineRule="auto"/>
        <w:ind w:left="575" w:right="114" w:hanging="423"/>
        <w:jc w:val="left"/>
      </w:pPr>
      <w:r>
        <w:rPr/>
        <w:t>回</w:t>
      </w:r>
      <w:r>
        <w:rPr>
          <w:spacing w:val="-53"/>
        </w:rPr>
        <w:t> </w:t>
      </w:r>
      <w:r>
        <w:rPr>
          <w:rFonts w:ascii="Times New Roman" w:hAnsi="Times New Roman" w:cs="Times New Roman" w:eastAsia="Times New Roman" w:hint="default"/>
        </w:rPr>
        <w:t>12,908,572.47 </w:t>
      </w:r>
      <w:r>
        <w:rPr/>
        <w:t>元，相应转回其原计提的坏帐准备。</w:t>
      </w:r>
      <w:r>
        <w:rPr>
          <w:w w:val="100"/>
        </w:rPr>
        <w:t> </w:t>
      </w:r>
      <w:r>
        <w:rPr>
          <w:spacing w:val="-2"/>
        </w:rPr>
        <w:t>深圳市盐田港国际供应链营运有限公司款项为本期通过民事诉讼，达成调解协议收回欠款，应收回原</w:t>
      </w:r>
    </w:p>
    <w:p>
      <w:pPr>
        <w:pStyle w:val="BodyText"/>
        <w:spacing w:line="240" w:lineRule="auto" w:before="78"/>
        <w:ind w:right="114"/>
        <w:jc w:val="left"/>
      </w:pPr>
      <w:r>
        <w:rPr/>
        <w:t>值为 </w:t>
      </w:r>
      <w:r>
        <w:rPr>
          <w:rFonts w:ascii="Times New Roman" w:hAnsi="Times New Roman" w:cs="Times New Roman" w:eastAsia="Times New Roman" w:hint="default"/>
        </w:rPr>
        <w:t>2,000,000.00 </w:t>
      </w:r>
      <w:r>
        <w:rPr/>
        <w:t>元，以前年度已全额计提坏帐，本期收回 </w:t>
      </w:r>
      <w:r>
        <w:rPr>
          <w:rFonts w:ascii="Times New Roman" w:hAnsi="Times New Roman" w:cs="Times New Roman" w:eastAsia="Times New Roman" w:hint="default"/>
        </w:rPr>
        <w:t>1,500,000.00</w:t>
      </w:r>
      <w:r>
        <w:rPr>
          <w:rFonts w:ascii="Times New Roman" w:hAnsi="Times New Roman" w:cs="Times New Roman" w:eastAsia="Times New Roman" w:hint="default"/>
          <w:spacing w:val="-22"/>
        </w:rPr>
        <w:t> </w:t>
      </w:r>
      <w:r>
        <w:rPr/>
        <w:t>元，相应转回其原计提的坏帐准</w:t>
      </w:r>
    </w:p>
    <w:p>
      <w:pPr>
        <w:spacing w:line="240" w:lineRule="auto" w:before="12"/>
        <w:rPr>
          <w:rFonts w:ascii="宋体" w:hAnsi="宋体" w:cs="宋体" w:eastAsia="宋体" w:hint="default"/>
          <w:sz w:val="15"/>
          <w:szCs w:val="15"/>
        </w:rPr>
      </w:pPr>
    </w:p>
    <w:p>
      <w:pPr>
        <w:pStyle w:val="BodyText"/>
        <w:spacing w:line="240" w:lineRule="auto"/>
        <w:ind w:right="0"/>
        <w:jc w:val="left"/>
      </w:pPr>
      <w:r>
        <w:rPr/>
        <w:t>备，本期尚未收回的原值</w:t>
      </w:r>
      <w:r>
        <w:rPr>
          <w:spacing w:val="-58"/>
        </w:rPr>
        <w:t> </w:t>
      </w:r>
      <w:r>
        <w:rPr>
          <w:rFonts w:ascii="Times New Roman" w:hAnsi="Times New Roman" w:cs="Times New Roman" w:eastAsia="Times New Roman" w:hint="default"/>
        </w:rPr>
        <w:t>500,00.00</w:t>
      </w:r>
      <w:r>
        <w:rPr>
          <w:rFonts w:ascii="Times New Roman" w:hAnsi="Times New Roman" w:cs="Times New Roman" w:eastAsia="Times New Roman" w:hint="default"/>
          <w:spacing w:val="-1"/>
        </w:rPr>
        <w:t> </w:t>
      </w:r>
      <w:r>
        <w:rPr>
          <w:spacing w:val="-3"/>
        </w:rPr>
        <w:t>元，已于</w:t>
      </w:r>
      <w:r>
        <w:rPr>
          <w:spacing w:val="-54"/>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58"/>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54"/>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日收回，期末按未逾期款项相应计提了坏帐。</w:t>
      </w:r>
    </w:p>
    <w:p>
      <w:pPr>
        <w:spacing w:after="0" w:line="240" w:lineRule="auto"/>
        <w:jc w:val="left"/>
        <w:sectPr>
          <w:pgSz w:w="11900" w:h="16840"/>
          <w:pgMar w:header="762" w:footer="840" w:top="1000" w:bottom="1020" w:left="980" w:right="9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left="565" w:right="0"/>
        <w:jc w:val="left"/>
      </w:pPr>
      <w:r>
        <w:rPr/>
        <w:t>（</w:t>
      </w:r>
      <w:r>
        <w:rPr>
          <w:rFonts w:ascii="Times New Roman" w:hAnsi="Times New Roman" w:cs="Times New Roman" w:eastAsia="Times New Roman" w:hint="default"/>
        </w:rPr>
        <w:t>3</w:t>
      </w:r>
      <w:r>
        <w:rPr/>
        <w:t>）本报告期内无实际核销的应收账款。</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t>（</w:t>
      </w:r>
      <w:r>
        <w:rPr>
          <w:rFonts w:ascii="Times New Roman" w:hAnsi="Times New Roman" w:cs="Times New Roman" w:eastAsia="Times New Roman" w:hint="default"/>
        </w:rPr>
        <w:t>4</w:t>
      </w:r>
      <w:r>
        <w:rPr/>
        <w:t>）截至</w:t>
      </w:r>
      <w:r>
        <w:rPr>
          <w:spacing w:val="-53"/>
        </w:rPr>
        <w:t> </w:t>
      </w:r>
      <w:r>
        <w:rPr>
          <w:rFonts w:ascii="Times New Roman" w:hAnsi="Times New Roman" w:cs="Times New Roman" w:eastAsia="Times New Roman" w:hint="default"/>
        </w:rPr>
        <w:t>2012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53"/>
        </w:rPr>
        <w:t> </w:t>
      </w:r>
      <w:r>
        <w:rPr>
          <w:rFonts w:ascii="Times New Roman" w:hAnsi="Times New Roman" w:cs="Times New Roman" w:eastAsia="Times New Roman" w:hint="default"/>
        </w:rPr>
        <w:t>31 </w:t>
      </w:r>
      <w:r>
        <w:rPr/>
        <w:t>日，其他应收款中无持有公司</w:t>
      </w:r>
      <w:r>
        <w:rPr>
          <w:spacing w:val="-53"/>
        </w:rPr>
        <w:t> </w:t>
      </w:r>
      <w:r>
        <w:rPr>
          <w:rFonts w:ascii="Times New Roman" w:hAnsi="Times New Roman" w:cs="Times New Roman" w:eastAsia="Times New Roman" w:hint="default"/>
        </w:rPr>
        <w:t>5%</w:t>
      </w:r>
      <w:r>
        <w:rPr/>
        <w:t>（含</w:t>
      </w:r>
      <w:r>
        <w:rPr>
          <w:spacing w:val="-53"/>
        </w:rPr>
        <w:t> </w:t>
      </w:r>
      <w:r>
        <w:rPr>
          <w:rFonts w:ascii="Times New Roman" w:hAnsi="Times New Roman" w:cs="Times New Roman" w:eastAsia="Times New Roman" w:hint="default"/>
        </w:rPr>
        <w:t>5%</w:t>
      </w:r>
      <w:r>
        <w:rPr/>
        <w:t>）以上表决权股份的股东欠款。</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t>（</w:t>
      </w:r>
      <w:r>
        <w:rPr>
          <w:rFonts w:ascii="Times New Roman" w:hAnsi="Times New Roman" w:cs="Times New Roman" w:eastAsia="Times New Roman" w:hint="default"/>
        </w:rPr>
        <w:t>5</w:t>
      </w:r>
      <w:r>
        <w:rPr/>
        <w:t>）其他应收款金额前五名单位情况</w:t>
      </w:r>
    </w:p>
    <w:tbl>
      <w:tblPr>
        <w:tblW w:w="0" w:type="auto"/>
        <w:jc w:val="left"/>
        <w:tblInd w:w="123" w:type="dxa"/>
        <w:tblLayout w:type="fixed"/>
        <w:tblCellMar>
          <w:top w:w="0" w:type="dxa"/>
          <w:left w:w="0" w:type="dxa"/>
          <w:bottom w:w="0" w:type="dxa"/>
          <w:right w:w="0" w:type="dxa"/>
        </w:tblCellMar>
        <w:tblLook w:val="01E0"/>
      </w:tblPr>
      <w:tblGrid>
        <w:gridCol w:w="3134"/>
        <w:gridCol w:w="1627"/>
        <w:gridCol w:w="1632"/>
        <w:gridCol w:w="1632"/>
        <w:gridCol w:w="1627"/>
      </w:tblGrid>
      <w:tr>
        <w:trPr>
          <w:trHeight w:val="739" w:hRule="exact"/>
        </w:trPr>
        <w:tc>
          <w:tcPr>
            <w:tcW w:w="313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2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年限</w:t>
            </w:r>
          </w:p>
        </w:tc>
        <w:tc>
          <w:tcPr>
            <w:tcW w:w="1627" w:type="dxa"/>
            <w:tcBorders>
              <w:top w:val="single" w:sz="12" w:space="0" w:color="000000"/>
              <w:left w:val="single" w:sz="4" w:space="0" w:color="000000"/>
              <w:bottom w:val="single" w:sz="4" w:space="0" w:color="000000"/>
              <w:right w:val="nil" w:sz="6" w:space="0" w:color="auto"/>
            </w:tcBorders>
          </w:tcPr>
          <w:p>
            <w:pPr>
              <w:pStyle w:val="TableParagraph"/>
              <w:spacing w:line="360" w:lineRule="exact" w:before="14"/>
              <w:ind w:left="355" w:right="271" w:hanging="92"/>
              <w:jc w:val="left"/>
              <w:rPr>
                <w:rFonts w:ascii="宋体" w:hAnsi="宋体" w:cs="宋体" w:eastAsia="宋体" w:hint="default"/>
                <w:sz w:val="18"/>
                <w:szCs w:val="18"/>
              </w:rPr>
            </w:pPr>
            <w:r>
              <w:rPr>
                <w:rFonts w:ascii="宋体" w:hAnsi="宋体" w:cs="宋体" w:eastAsia="宋体" w:hint="default"/>
                <w:spacing w:val="-2"/>
                <w:sz w:val="18"/>
                <w:szCs w:val="18"/>
              </w:rPr>
              <w:t>占其他应收款</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总额的比例</w:t>
            </w:r>
          </w:p>
        </w:tc>
      </w:tr>
      <w:tr>
        <w:trPr>
          <w:trHeight w:val="509" w:hRule="exact"/>
        </w:trPr>
        <w:tc>
          <w:tcPr>
            <w:tcW w:w="31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深圳市海龙王房地产开发有限公司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pacing w:val="-2"/>
                <w:sz w:val="18"/>
                <w:szCs w:val="18"/>
              </w:rPr>
              <w:t>非关联方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50,119,685.55</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15.85%</w:t>
            </w:r>
          </w:p>
        </w:tc>
      </w:tr>
      <w:tr>
        <w:trPr>
          <w:trHeight w:val="509" w:hRule="exact"/>
        </w:trPr>
        <w:tc>
          <w:tcPr>
            <w:tcW w:w="31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应收法人股相关款项</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pacing w:val="-2"/>
                <w:sz w:val="18"/>
                <w:szCs w:val="18"/>
              </w:rPr>
              <w:t>非关联方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47,236,627.18</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14.93%</w:t>
            </w:r>
          </w:p>
        </w:tc>
      </w:tr>
      <w:tr>
        <w:trPr>
          <w:trHeight w:val="514" w:hRule="exact"/>
        </w:trPr>
        <w:tc>
          <w:tcPr>
            <w:tcW w:w="31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深圳市赛德隆投资发展有限公司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pacing w:val="-2"/>
                <w:sz w:val="18"/>
                <w:szCs w:val="18"/>
              </w:rPr>
              <w:t>关联方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31,388,461.73</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9.92%</w:t>
            </w:r>
          </w:p>
        </w:tc>
      </w:tr>
      <w:tr>
        <w:trPr>
          <w:trHeight w:val="509" w:hRule="exact"/>
        </w:trPr>
        <w:tc>
          <w:tcPr>
            <w:tcW w:w="31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广州金宇房地产开发公司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pacing w:val="-2"/>
                <w:sz w:val="18"/>
                <w:szCs w:val="18"/>
              </w:rPr>
              <w:t>非关联方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24,881,441.50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7.87%</w:t>
            </w:r>
          </w:p>
        </w:tc>
      </w:tr>
      <w:tr>
        <w:trPr>
          <w:trHeight w:val="509" w:hRule="exact"/>
        </w:trPr>
        <w:tc>
          <w:tcPr>
            <w:tcW w:w="31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应收代扣代缴的代持股所得税</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pacing w:val="-2"/>
                <w:sz w:val="18"/>
                <w:szCs w:val="18"/>
              </w:rPr>
              <w:t>非关联方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22,021,051.60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righ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6.96%</w:t>
            </w:r>
          </w:p>
        </w:tc>
      </w:tr>
      <w:tr>
        <w:trPr>
          <w:trHeight w:val="523" w:hRule="exact"/>
        </w:trPr>
        <w:tc>
          <w:tcPr>
            <w:tcW w:w="313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  计</w:t>
            </w:r>
            <w:r>
              <w:rPr>
                <w:rFonts w:ascii="Microsoft JhengHei" w:hAnsi="Microsoft JhengHei" w:cs="Microsoft JhengHei" w:eastAsia="Microsoft JhengHei" w:hint="default"/>
                <w:sz w:val="18"/>
                <w:szCs w:val="18"/>
              </w:rPr>
            </w:r>
          </w:p>
        </w:tc>
        <w:tc>
          <w:tcPr>
            <w:tcW w:w="1627" w:type="dxa"/>
            <w:tcBorders>
              <w:top w:val="single" w:sz="4" w:space="0" w:color="000000"/>
              <w:left w:val="single" w:sz="4" w:space="0" w:color="000000"/>
              <w:bottom w:val="single" w:sz="12" w:space="0" w:color="000000"/>
              <w:right w:val="single" w:sz="4" w:space="0" w:color="000000"/>
            </w:tcBorders>
          </w:tcPr>
          <w:p>
            <w:pP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175,647,267.56</w:t>
            </w:r>
            <w:r>
              <w:rPr>
                <w:rFonts w:ascii="Times New Roman"/>
                <w:spacing w:val="-1"/>
                <w:sz w:val="18"/>
              </w:rPr>
            </w:r>
          </w:p>
        </w:tc>
        <w:tc>
          <w:tcPr>
            <w:tcW w:w="1632" w:type="dxa"/>
            <w:tcBorders>
              <w:top w:val="single" w:sz="4" w:space="0" w:color="000000"/>
              <w:left w:val="single" w:sz="4" w:space="0" w:color="000000"/>
              <w:bottom w:val="single" w:sz="12" w:space="0" w:color="000000"/>
              <w:right w:val="single" w:sz="4" w:space="0" w:color="000000"/>
            </w:tcBorders>
          </w:tcPr>
          <w:p>
            <w:pPr/>
          </w:p>
        </w:tc>
        <w:tc>
          <w:tcPr>
            <w:tcW w:w="16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55.53%</w:t>
            </w:r>
            <w:r>
              <w:rPr>
                <w:rFonts w:ascii="Times New Roman"/>
                <w:spacing w:val="-2"/>
                <w:sz w:val="18"/>
              </w:rPr>
            </w:r>
          </w:p>
        </w:tc>
      </w:tr>
    </w:tbl>
    <w:p>
      <w:pPr>
        <w:spacing w:line="240" w:lineRule="auto" w:before="7"/>
        <w:rPr>
          <w:rFonts w:ascii="宋体" w:hAnsi="宋体" w:cs="宋体" w:eastAsia="宋体" w:hint="default"/>
          <w:sz w:val="13"/>
          <w:szCs w:val="13"/>
        </w:rPr>
      </w:pPr>
    </w:p>
    <w:p>
      <w:pPr>
        <w:pStyle w:val="BodyText"/>
        <w:spacing w:line="240" w:lineRule="auto" w:before="36"/>
        <w:ind w:left="575" w:right="0"/>
        <w:jc w:val="left"/>
      </w:pPr>
      <w:r>
        <w:rPr/>
        <w:t>（</w:t>
      </w:r>
      <w:r>
        <w:rPr>
          <w:rFonts w:ascii="Times New Roman" w:hAnsi="Times New Roman" w:cs="Times New Roman" w:eastAsia="Times New Roman" w:hint="default"/>
        </w:rPr>
        <w:t>6</w:t>
      </w:r>
      <w:r>
        <w:rPr/>
        <w:t>）金额较大的其他应收款的性质或内容</w:t>
      </w:r>
    </w:p>
    <w:p>
      <w:pPr>
        <w:spacing w:line="240" w:lineRule="auto" w:before="12"/>
        <w:rPr>
          <w:rFonts w:ascii="宋体" w:hAnsi="宋体" w:cs="宋体" w:eastAsia="宋体" w:hint="default"/>
          <w:sz w:val="15"/>
          <w:szCs w:val="15"/>
        </w:rPr>
      </w:pPr>
    </w:p>
    <w:p>
      <w:pPr>
        <w:pStyle w:val="BodyText"/>
        <w:spacing w:line="240" w:lineRule="auto"/>
        <w:ind w:left="575" w:right="0"/>
        <w:jc w:val="left"/>
      </w:pPr>
      <w:r>
        <w:rPr/>
        <w:t>①深圳市海龙王房地产开发有限公司款项：系本公司于 </w:t>
      </w:r>
      <w:r>
        <w:rPr>
          <w:rFonts w:ascii="Times New Roman" w:hAnsi="Times New Roman" w:cs="Times New Roman" w:eastAsia="Times New Roman" w:hint="default"/>
        </w:rPr>
        <w:t>2002 </w:t>
      </w:r>
      <w:r>
        <w:rPr/>
        <w:t>年 </w:t>
      </w:r>
      <w:r>
        <w:rPr>
          <w:rFonts w:ascii="Times New Roman" w:hAnsi="Times New Roman" w:cs="Times New Roman" w:eastAsia="Times New Roman" w:hint="default"/>
        </w:rPr>
        <w:t>4</w:t>
      </w:r>
      <w:r>
        <w:rPr>
          <w:rFonts w:ascii="Times New Roman" w:hAnsi="Times New Roman" w:cs="Times New Roman" w:eastAsia="Times New Roman" w:hint="default"/>
          <w:spacing w:val="-25"/>
        </w:rPr>
        <w:t> </w:t>
      </w:r>
      <w:r>
        <w:rPr/>
        <w:t>月，与深圳市海龙王房地产开发有</w:t>
      </w:r>
    </w:p>
    <w:p>
      <w:pPr>
        <w:spacing w:line="240" w:lineRule="auto" w:before="12"/>
        <w:rPr>
          <w:rFonts w:ascii="宋体" w:hAnsi="宋体" w:cs="宋体" w:eastAsia="宋体" w:hint="default"/>
          <w:sz w:val="15"/>
          <w:szCs w:val="15"/>
        </w:rPr>
      </w:pPr>
    </w:p>
    <w:p>
      <w:pPr>
        <w:pStyle w:val="BodyText"/>
        <w:spacing w:line="240" w:lineRule="auto"/>
        <w:ind w:right="0"/>
        <w:jc w:val="left"/>
        <w:rPr>
          <w:rFonts w:ascii="Times New Roman" w:hAnsi="Times New Roman" w:cs="Times New Roman" w:eastAsia="Times New Roman" w:hint="default"/>
        </w:rPr>
      </w:pPr>
      <w:r>
        <w:rPr>
          <w:spacing w:val="-4"/>
        </w:rPr>
        <w:t>限公司签约合作开发</w:t>
      </w:r>
      <w:r>
        <w:rPr>
          <w:rFonts w:ascii="Times New Roman" w:hAnsi="Times New Roman" w:cs="Times New Roman" w:eastAsia="Times New Roman" w:hint="default"/>
          <w:spacing w:val="-4"/>
        </w:rPr>
        <w:t>“</w:t>
      </w:r>
      <w:r>
        <w:rPr>
          <w:spacing w:val="-4"/>
        </w:rPr>
        <w:t>银湖别墅</w:t>
      </w:r>
      <w:r>
        <w:rPr>
          <w:rFonts w:ascii="Times New Roman" w:hAnsi="Times New Roman" w:cs="Times New Roman" w:eastAsia="Times New Roman" w:hint="default"/>
          <w:spacing w:val="-4"/>
        </w:rPr>
        <w:t>”</w:t>
      </w:r>
      <w:r>
        <w:rPr>
          <w:spacing w:val="-4"/>
        </w:rPr>
        <w:t>形成，本公司于</w:t>
      </w:r>
      <w:r>
        <w:rPr>
          <w:spacing w:val="-34"/>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2"/>
        </w:rPr>
        <w:t> </w:t>
      </w:r>
      <w:r>
        <w:rPr/>
        <w:t>年</w:t>
      </w:r>
      <w:r>
        <w:rPr>
          <w:spacing w:val="-34"/>
        </w:rPr>
        <w:t> </w:t>
      </w:r>
      <w:r>
        <w:rPr>
          <w:rFonts w:ascii="Times New Roman" w:hAnsi="Times New Roman" w:cs="Times New Roman" w:eastAsia="Times New Roman" w:hint="default"/>
        </w:rPr>
        <w:t>6</w:t>
      </w:r>
      <w:r>
        <w:rPr>
          <w:rFonts w:ascii="Times New Roman" w:hAnsi="Times New Roman" w:cs="Times New Roman" w:eastAsia="Times New Roman" w:hint="default"/>
          <w:spacing w:val="19"/>
        </w:rPr>
        <w:t> </w:t>
      </w:r>
      <w:r>
        <w:rPr>
          <w:spacing w:val="-4"/>
        </w:rPr>
        <w:t>月起诉深圳市海龙王房地产开发有限公司，</w:t>
      </w:r>
      <w:r>
        <w:rPr>
          <w:rFonts w:ascii="Times New Roman" w:hAnsi="Times New Roman" w:cs="Times New Roman" w:eastAsia="Times New Roman" w:hint="default"/>
          <w:spacing w:val="-4"/>
        </w:rPr>
        <w:t>2004</w:t>
      </w:r>
    </w:p>
    <w:p>
      <w:pPr>
        <w:spacing w:line="240" w:lineRule="auto" w:before="2"/>
        <w:rPr>
          <w:rFonts w:ascii="Times New Roman" w:hAnsi="Times New Roman" w:cs="Times New Roman" w:eastAsia="Times New Roman" w:hint="default"/>
          <w:sz w:val="18"/>
          <w:szCs w:val="18"/>
        </w:rPr>
      </w:pPr>
    </w:p>
    <w:p>
      <w:pPr>
        <w:pStyle w:val="BodyText"/>
        <w:spacing w:line="412" w:lineRule="auto"/>
        <w:ind w:right="162"/>
        <w:jc w:val="left"/>
      </w:pPr>
      <w:r>
        <w:rPr/>
        <w:t>年</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月</w:t>
      </w:r>
      <w:r>
        <w:rPr>
          <w:spacing w:val="-45"/>
        </w:rPr>
        <w:t> </w:t>
      </w:r>
      <w:r>
        <w:rPr>
          <w:rFonts w:ascii="Times New Roman" w:hAnsi="Times New Roman" w:cs="Times New Roman" w:eastAsia="Times New Roman" w:hint="default"/>
        </w:rPr>
        <w:t>6</w:t>
      </w:r>
      <w:r>
        <w:rPr>
          <w:rFonts w:ascii="Times New Roman" w:hAnsi="Times New Roman" w:cs="Times New Roman" w:eastAsia="Times New Roman" w:hint="default"/>
          <w:spacing w:val="8"/>
        </w:rPr>
        <w:t> </w:t>
      </w:r>
      <w:r>
        <w:rPr>
          <w:spacing w:val="-5"/>
        </w:rPr>
        <w:t>日已由广东省高院作出终审判决，判令该公司还款。</w:t>
      </w:r>
      <w:r>
        <w:rPr>
          <w:rFonts w:ascii="Times New Roman" w:hAnsi="Times New Roman" w:cs="Times New Roman" w:eastAsia="Times New Roman" w:hint="default"/>
          <w:spacing w:val="-5"/>
        </w:rPr>
        <w:t>2005</w:t>
      </w:r>
      <w:r>
        <w:rPr>
          <w:rFonts w:ascii="Times New Roman" w:hAnsi="Times New Roman" w:cs="Times New Roman" w:eastAsia="Times New Roman" w:hint="default"/>
          <w:spacing w:val="2"/>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8"/>
        </w:rPr>
        <w:t> </w:t>
      </w:r>
      <w:r>
        <w:rPr/>
        <w:t>月转由广东省汕尾市中级人民法院</w:t>
      </w:r>
      <w:r>
        <w:rPr>
          <w:spacing w:val="-103"/>
        </w:rPr>
        <w:t> </w:t>
      </w:r>
      <w:r>
        <w:rPr>
          <w:spacing w:val="-103"/>
        </w:rPr>
      </w:r>
      <w:r>
        <w:rPr/>
        <w:t>立案执行，目前已中止执行。</w:t>
      </w:r>
    </w:p>
    <w:p>
      <w:pPr>
        <w:pStyle w:val="BodyText"/>
        <w:spacing w:line="439" w:lineRule="auto" w:before="73"/>
        <w:ind w:right="157" w:firstLine="422"/>
        <w:jc w:val="both"/>
      </w:pPr>
      <w:r>
        <w:rPr>
          <w:spacing w:val="-2"/>
        </w:rPr>
        <w:t>②应收法人股相关款项：系公司对原代持法人股进行清查清收后，已查明的应收回款项，该款项情况</w:t>
      </w:r>
      <w:r>
        <w:rPr>
          <w:w w:val="100"/>
        </w:rPr>
        <w:t> </w:t>
      </w:r>
      <w:r>
        <w:rPr/>
        <w:t>详见附注十一、</w:t>
      </w:r>
      <w:r>
        <w:rPr>
          <w:rFonts w:ascii="Times New Roman" w:hAnsi="Times New Roman" w:cs="Times New Roman" w:eastAsia="Times New Roman" w:hint="default"/>
        </w:rPr>
        <w:t>3</w:t>
      </w:r>
      <w:r>
        <w:rPr/>
        <w:t>。</w:t>
      </w:r>
    </w:p>
    <w:p>
      <w:pPr>
        <w:pStyle w:val="BodyText"/>
        <w:spacing w:line="436" w:lineRule="auto" w:before="15"/>
        <w:ind w:right="157" w:firstLine="422"/>
        <w:jc w:val="both"/>
      </w:pPr>
      <w:r>
        <w:rPr>
          <w:spacing w:val="-2"/>
        </w:rPr>
        <w:t>③深圳市赛德隆投资发展有限公司款项：该公司为持有本公司控股子公司深圳市凯方实业发展有限公</w:t>
      </w:r>
      <w:r>
        <w:rPr>
          <w:w w:val="100"/>
        </w:rPr>
        <w:t> </w:t>
      </w:r>
      <w:r>
        <w:rPr/>
        <w:t>司</w:t>
      </w:r>
      <w:r>
        <w:rPr>
          <w:spacing w:val="27"/>
        </w:rPr>
        <w:t> </w:t>
      </w:r>
      <w:r>
        <w:rPr>
          <w:rFonts w:ascii="Times New Roman" w:hAnsi="Times New Roman" w:cs="Times New Roman" w:eastAsia="Times New Roman" w:hint="default"/>
          <w:spacing w:val="-2"/>
        </w:rPr>
        <w:t>30%</w:t>
      </w:r>
      <w:r>
        <w:rPr>
          <w:spacing w:val="-2"/>
        </w:rPr>
        <w:t>股权的关联单位，该款项为与其以前年度合作开发房地产项目时发生的资金往来款项。</w:t>
      </w:r>
    </w:p>
    <w:p>
      <w:pPr>
        <w:pStyle w:val="BodyText"/>
        <w:spacing w:line="412" w:lineRule="auto" w:before="18"/>
        <w:ind w:right="162" w:firstLine="422"/>
        <w:jc w:val="both"/>
      </w:pPr>
      <w:r>
        <w:rPr/>
        <w:t>④广州金宇房地产开发公司款项：系本公司于 </w:t>
      </w:r>
      <w:r>
        <w:rPr>
          <w:rFonts w:ascii="Times New Roman" w:hAnsi="Times New Roman" w:cs="Times New Roman" w:eastAsia="Times New Roman" w:hint="default"/>
        </w:rPr>
        <w:t>1994 </w:t>
      </w:r>
      <w:r>
        <w:rPr/>
        <w:t>年 </w:t>
      </w:r>
      <w:r>
        <w:rPr>
          <w:rFonts w:ascii="Times New Roman" w:hAnsi="Times New Roman" w:cs="Times New Roman" w:eastAsia="Times New Roman" w:hint="default"/>
        </w:rPr>
        <w:t>2</w:t>
      </w:r>
      <w:r>
        <w:rPr>
          <w:rFonts w:ascii="Times New Roman" w:hAnsi="Times New Roman" w:cs="Times New Roman" w:eastAsia="Times New Roman" w:hint="default"/>
          <w:spacing w:val="-26"/>
        </w:rPr>
        <w:t> </w:t>
      </w:r>
      <w:r>
        <w:rPr/>
        <w:t>月，与广州金宇房地产开发公司签约合作开</w:t>
      </w:r>
      <w:r>
        <w:rPr>
          <w:w w:val="100"/>
        </w:rPr>
        <w:t> </w:t>
      </w:r>
      <w:r>
        <w:rPr/>
        <w:t>发广州东沙经济区 </w:t>
      </w:r>
      <w:r>
        <w:rPr>
          <w:rFonts w:ascii="Times New Roman" w:hAnsi="Times New Roman" w:cs="Times New Roman" w:eastAsia="Times New Roman" w:hint="default"/>
        </w:rPr>
        <w:t>B-07 </w:t>
      </w:r>
      <w:r>
        <w:rPr/>
        <w:t>号地商住楼形成，本公司于 </w:t>
      </w:r>
      <w:r>
        <w:rPr>
          <w:rFonts w:ascii="Times New Roman" w:hAnsi="Times New Roman" w:cs="Times New Roman" w:eastAsia="Times New Roman" w:hint="default"/>
        </w:rPr>
        <w:t>2002 </w:t>
      </w:r>
      <w:r>
        <w:rPr/>
        <w:t>年起诉广州金宇房地产开发公司，</w:t>
      </w:r>
      <w:r>
        <w:rPr>
          <w:rFonts w:ascii="Times New Roman" w:hAnsi="Times New Roman" w:cs="Times New Roman" w:eastAsia="Times New Roman" w:hint="default"/>
        </w:rPr>
        <w:t>2004 </w:t>
      </w:r>
      <w:r>
        <w:rPr/>
        <w:t>年 </w:t>
      </w:r>
      <w:r>
        <w:rPr>
          <w:rFonts w:ascii="Times New Roman" w:hAnsi="Times New Roman" w:cs="Times New Roman" w:eastAsia="Times New Roman" w:hint="default"/>
        </w:rPr>
        <w:t>1</w:t>
      </w:r>
      <w:r>
        <w:rPr>
          <w:rFonts w:ascii="Times New Roman" w:hAnsi="Times New Roman" w:cs="Times New Roman" w:eastAsia="Times New Roman" w:hint="default"/>
          <w:spacing w:val="-29"/>
        </w:rPr>
        <w:t> </w:t>
      </w:r>
      <w:r>
        <w:rPr/>
        <w:t>月</w:t>
      </w:r>
      <w:r>
        <w:rPr>
          <w:w w:val="100"/>
        </w:rPr>
        <w:t> </w:t>
      </w:r>
      <w:r>
        <w:rPr>
          <w:rFonts w:ascii="Times New Roman" w:hAnsi="Times New Roman" w:cs="Times New Roman" w:eastAsia="Times New Roman" w:hint="default"/>
        </w:rPr>
        <w:t>12 </w:t>
      </w:r>
      <w:r>
        <w:rPr/>
        <w:t>日由广东省高院作出终审判决，判令该公司还款。</w:t>
      </w:r>
      <w:r>
        <w:rPr>
          <w:rFonts w:ascii="Times New Roman" w:hAnsi="Times New Roman" w:cs="Times New Roman" w:eastAsia="Times New Roman" w:hint="default"/>
        </w:rPr>
        <w:t>2004 </w:t>
      </w:r>
      <w:r>
        <w:rPr/>
        <w:t>年 </w:t>
      </w:r>
      <w:r>
        <w:rPr>
          <w:rFonts w:ascii="Times New Roman" w:hAnsi="Times New Roman" w:cs="Times New Roman" w:eastAsia="Times New Roman" w:hint="default"/>
        </w:rPr>
        <w:t>5</w:t>
      </w:r>
      <w:r>
        <w:rPr>
          <w:rFonts w:ascii="Times New Roman" w:hAnsi="Times New Roman" w:cs="Times New Roman" w:eastAsia="Times New Roman" w:hint="default"/>
          <w:spacing w:val="25"/>
        </w:rPr>
        <w:t> </w:t>
      </w:r>
      <w:r>
        <w:rPr/>
        <w:t>月在广州市中级人民法院立案执行，但早</w:t>
      </w:r>
      <w:r>
        <w:rPr>
          <w:w w:val="100"/>
        </w:rPr>
        <w:t> </w:t>
      </w:r>
      <w:r>
        <w:rPr/>
        <w:t>已中止执行，</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年公司通过和法院合作继续催收，执行收回</w:t>
      </w:r>
      <w:r>
        <w:rPr>
          <w:spacing w:val="-56"/>
        </w:rPr>
        <w:t> </w:t>
      </w:r>
      <w:r>
        <w:rPr>
          <w:rFonts w:ascii="Times New Roman" w:hAnsi="Times New Roman" w:cs="Times New Roman" w:eastAsia="Times New Roman" w:hint="default"/>
        </w:rPr>
        <w:t>716,247.00</w:t>
      </w:r>
      <w:r>
        <w:rPr>
          <w:rFonts w:ascii="Times New Roman" w:hAnsi="Times New Roman" w:cs="Times New Roman" w:eastAsia="Times New Roman" w:hint="default"/>
          <w:spacing w:val="-7"/>
        </w:rPr>
        <w:t> </w:t>
      </w:r>
      <w:r>
        <w:rPr/>
        <w:t>元。</w:t>
      </w:r>
    </w:p>
    <w:p>
      <w:pPr>
        <w:pStyle w:val="BodyText"/>
        <w:spacing w:line="436" w:lineRule="auto" w:before="41"/>
        <w:ind w:right="161" w:firstLine="422"/>
        <w:jc w:val="both"/>
      </w:pPr>
      <w:r>
        <w:rPr>
          <w:spacing w:val="-2"/>
        </w:rPr>
        <w:t>⑤应收代扣代缴的代持股所得税款项：系公司对原代持法人股的出售期收益，应代扣代缴的所得税款</w:t>
      </w:r>
      <w:r>
        <w:rPr>
          <w:w w:val="100"/>
        </w:rPr>
        <w:t> </w:t>
      </w:r>
      <w:r>
        <w:rPr/>
        <w:t>项，该款项情况详见附注十一、</w:t>
      </w:r>
      <w:r>
        <w:rPr>
          <w:rFonts w:ascii="Times New Roman" w:hAnsi="Times New Roman" w:cs="Times New Roman" w:eastAsia="Times New Roman" w:hint="default"/>
        </w:rPr>
        <w:t>3</w:t>
      </w:r>
      <w:r>
        <w:rPr/>
        <w:t>。</w:t>
      </w:r>
    </w:p>
    <w:p>
      <w:pPr>
        <w:pStyle w:val="BodyText"/>
        <w:spacing w:line="240" w:lineRule="auto" w:before="18"/>
        <w:ind w:left="575" w:right="0"/>
        <w:jc w:val="left"/>
      </w:pPr>
      <w:r>
        <w:rPr/>
        <w:t>（</w:t>
      </w:r>
      <w:r>
        <w:rPr>
          <w:rFonts w:ascii="Times New Roman" w:hAnsi="Times New Roman" w:cs="Times New Roman" w:eastAsia="Times New Roman" w:hint="default"/>
        </w:rPr>
        <w:t>7</w:t>
      </w:r>
      <w:r>
        <w:rPr/>
        <w:t>）应收关联方账款情况</w:t>
      </w:r>
    </w:p>
    <w:p>
      <w:pPr>
        <w:spacing w:line="422" w:lineRule="exact"/>
        <w:ind w:left="12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84.1pt;height:21.15pt;mso-position-horizontal-relative:char;mso-position-vertical-relative:line" coordorigin="0,0" coordsize="9682,423">
            <v:group style="position:absolute;left:29;top:14;width:2832;height:2" coordorigin="29,14" coordsize="2832,2">
              <v:shape style="position:absolute;left:29;top:14;width:2832;height:2" coordorigin="29,14" coordsize="2832,0" path="m29,14l2861,14e" filled="false" stroked="true" strokeweight="1.44pt" strokecolor="#000000">
                <v:path arrowok="t"/>
              </v:shape>
            </v:group>
            <v:group style="position:absolute;left:2861;top:14;width:29;height:2" coordorigin="2861,14" coordsize="29,2">
              <v:shape style="position:absolute;left:2861;top:14;width:29;height:2" coordorigin="2861,14" coordsize="29,0" path="m2861,14l2890,14e" filled="false" stroked="true" strokeweight="1.44pt" strokecolor="#000000">
                <v:path arrowok="t"/>
              </v:shape>
            </v:group>
            <v:group style="position:absolute;left:2890;top:14;width:4080;height:2" coordorigin="2890,14" coordsize="4080,2">
              <v:shape style="position:absolute;left:2890;top:14;width:4080;height:2" coordorigin="2890,14" coordsize="4080,0" path="m2890,14l6970,14e" filled="false" stroked="true" strokeweight="1.44pt" strokecolor="#000000">
                <v:path arrowok="t"/>
              </v:shape>
            </v:group>
            <v:group style="position:absolute;left:6970;top:14;width:29;height:2" coordorigin="6970,14" coordsize="29,2">
              <v:shape style="position:absolute;left:6970;top:14;width:29;height:2" coordorigin="6970,14" coordsize="29,0" path="m6970,14l6998,14e" filled="false" stroked="true" strokeweight="1.44pt" strokecolor="#000000">
                <v:path arrowok="t"/>
              </v:shape>
            </v:group>
            <v:group style="position:absolute;left:6998;top:14;width:1320;height:2" coordorigin="6998,14" coordsize="1320,2">
              <v:shape style="position:absolute;left:6998;top:14;width:1320;height:2" coordorigin="6998,14" coordsize="1320,0" path="m6998,14l8318,14e" filled="false" stroked="true" strokeweight="1.44pt" strokecolor="#000000">
                <v:path arrowok="t"/>
              </v:shape>
            </v:group>
            <v:group style="position:absolute;left:8318;top:14;width:29;height:2" coordorigin="8318,14" coordsize="29,2">
              <v:shape style="position:absolute;left:8318;top:14;width:29;height:2" coordorigin="8318,14" coordsize="29,0" path="m8318,14l8347,14e" filled="false" stroked="true" strokeweight="1.44pt" strokecolor="#000000">
                <v:path arrowok="t"/>
              </v:shape>
            </v:group>
            <v:group style="position:absolute;left:8347;top:14;width:1311;height:2" coordorigin="8347,14" coordsize="1311,2">
              <v:shape style="position:absolute;left:8347;top:14;width:1311;height:2" coordorigin="8347,14" coordsize="1311,0" path="m8347,14l9658,14e" filled="false" stroked="true" strokeweight="1.44pt" strokecolor="#000000">
                <v:path arrowok="t"/>
              </v:shape>
            </v:group>
            <v:group style="position:absolute;left:14;top:408;width:2847;height:2" coordorigin="14,408" coordsize="2847,2">
              <v:shape style="position:absolute;left:14;top:408;width:2847;height:2" coordorigin="14,408" coordsize="2847,0" path="m14,408l2861,408e" filled="false" stroked="true" strokeweight="1.44pt" strokecolor="#000000">
                <v:path arrowok="t"/>
              </v:shape>
            </v:group>
            <v:group style="position:absolute;left:2866;top:29;width:2;height:365" coordorigin="2866,29" coordsize="2,365">
              <v:shape style="position:absolute;left:2866;top:29;width:2;height:365" coordorigin="2866,29" coordsize="0,365" path="m2866,29l2866,394e" filled="false" stroked="true" strokeweight=".48pt" strokecolor="#000000">
                <v:path arrowok="t"/>
              </v:shape>
            </v:group>
            <v:group style="position:absolute;left:2861;top:408;width:29;height:2" coordorigin="2861,408" coordsize="29,2">
              <v:shape style="position:absolute;left:2861;top:408;width:29;height:2" coordorigin="2861,408" coordsize="29,0" path="m2861,408l2890,408e" filled="false" stroked="true" strokeweight="1.44pt" strokecolor="#000000">
                <v:path arrowok="t"/>
              </v:shape>
            </v:group>
            <v:group style="position:absolute;left:2890;top:408;width:4080;height:2" coordorigin="2890,408" coordsize="4080,2">
              <v:shape style="position:absolute;left:2890;top:408;width:4080;height:2" coordorigin="2890,408" coordsize="4080,0" path="m2890,408l6970,408e" filled="false" stroked="true" strokeweight="1.44pt" strokecolor="#000000">
                <v:path arrowok="t"/>
              </v:shape>
            </v:group>
            <v:group style="position:absolute;left:6974;top:29;width:2;height:365" coordorigin="6974,29" coordsize="2,365">
              <v:shape style="position:absolute;left:6974;top:29;width:2;height:365" coordorigin="6974,29" coordsize="0,365" path="m6974,29l6974,394e" filled="false" stroked="true" strokeweight=".48pt" strokecolor="#000000">
                <v:path arrowok="t"/>
              </v:shape>
            </v:group>
            <v:group style="position:absolute;left:6970;top:408;width:29;height:2" coordorigin="6970,408" coordsize="29,2">
              <v:shape style="position:absolute;left:6970;top:408;width:29;height:2" coordorigin="6970,408" coordsize="29,0" path="m6970,408l6998,408e" filled="false" stroked="true" strokeweight="1.44pt" strokecolor="#000000">
                <v:path arrowok="t"/>
              </v:shape>
            </v:group>
            <v:group style="position:absolute;left:6998;top:408;width:1320;height:2" coordorigin="6998,408" coordsize="1320,2">
              <v:shape style="position:absolute;left:6998;top:408;width:1320;height:2" coordorigin="6998,408" coordsize="1320,0" path="m6998,408l8318,408e" filled="false" stroked="true" strokeweight="1.44pt" strokecolor="#000000">
                <v:path arrowok="t"/>
              </v:shape>
            </v:group>
            <v:group style="position:absolute;left:8323;top:29;width:2;height:365" coordorigin="8323,29" coordsize="2,365">
              <v:shape style="position:absolute;left:8323;top:29;width:2;height:365" coordorigin="8323,29" coordsize="0,365" path="m8323,29l8323,394e" filled="false" stroked="true" strokeweight=".48pt" strokecolor="#000000">
                <v:path arrowok="t"/>
              </v:shape>
            </v:group>
            <v:group style="position:absolute;left:8318;top:408;width:29;height:2" coordorigin="8318,408" coordsize="29,2">
              <v:shape style="position:absolute;left:8318;top:408;width:29;height:2" coordorigin="8318,408" coordsize="29,0" path="m8318,408l8347,408e" filled="false" stroked="true" strokeweight="1.44pt" strokecolor="#000000">
                <v:path arrowok="t"/>
              </v:shape>
            </v:group>
            <v:group style="position:absolute;left:8347;top:408;width:1320;height:2" coordorigin="8347,408" coordsize="1320,2">
              <v:shape style="position:absolute;left:8347;top:408;width:1320;height:2" coordorigin="8347,408" coordsize="1320,0" path="m8347,408l9667,408e" filled="false" stroked="true" strokeweight="1.44pt" strokecolor="#000000">
                <v:path arrowok="t"/>
              </v:shape>
              <v:shape style="position:absolute;left:2866;top:14;width:4109;height:394" type="#_x0000_t202" filled="false" stroked="false">
                <v:textbox inset="0,0,0,0">
                  <w:txbxContent>
                    <w:p>
                      <w:pPr>
                        <w:spacing w:before="111"/>
                        <w:ind w:left="0" w:right="7" w:firstLine="0"/>
                        <w:jc w:val="center"/>
                        <w:rPr>
                          <w:rFonts w:ascii="宋体" w:hAnsi="宋体" w:cs="宋体" w:eastAsia="宋体" w:hint="default"/>
                          <w:sz w:val="18"/>
                          <w:szCs w:val="18"/>
                        </w:rPr>
                      </w:pPr>
                      <w:r>
                        <w:rPr>
                          <w:rFonts w:ascii="宋体" w:hAnsi="宋体" w:cs="宋体" w:eastAsia="宋体" w:hint="default"/>
                          <w:sz w:val="18"/>
                          <w:szCs w:val="18"/>
                        </w:rPr>
                        <w:t>与本公司关系</w:t>
                      </w:r>
                    </w:p>
                  </w:txbxContent>
                </v:textbox>
                <w10:wrap type="none"/>
              </v:shape>
              <v:shape style="position:absolute;left:6974;top:14;width:1349;height:394" type="#_x0000_t202" filled="false" stroked="false">
                <v:textbox inset="0,0,0,0">
                  <w:txbxContent>
                    <w:p>
                      <w:pPr>
                        <w:spacing w:before="111"/>
                        <w:ind w:left="0" w:right="2" w:firstLine="0"/>
                        <w:jc w:val="center"/>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085;top:179;width:72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8453;top:179;width:1085;height:183" type="#_x0000_t202" filled="false" stroked="false">
                <v:textbox inset="0,0,0,0">
                  <w:txbxContent>
                    <w:p>
                      <w:pPr>
                        <w:spacing w:line="182"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占其他应收款</w:t>
                      </w:r>
                    </w:p>
                  </w:txbxContent>
                </v:textbox>
                <w10:wrap type="none"/>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pgSz w:w="11900" w:h="16840"/>
          <w:pgMar w:header="762" w:footer="840" w:top="1000" w:bottom="1020" w:left="980" w:right="9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2851"/>
        <w:gridCol w:w="4109"/>
        <w:gridCol w:w="1349"/>
        <w:gridCol w:w="1344"/>
      </w:tblGrid>
      <w:tr>
        <w:trPr>
          <w:trHeight w:val="379" w:hRule="exact"/>
        </w:trPr>
        <w:tc>
          <w:tcPr>
            <w:tcW w:w="2851" w:type="dxa"/>
            <w:tcBorders>
              <w:top w:val="single" w:sz="12" w:space="0" w:color="000000"/>
              <w:left w:val="nil" w:sz="6" w:space="0" w:color="auto"/>
              <w:bottom w:val="single" w:sz="4" w:space="0" w:color="000000"/>
              <w:right w:val="single" w:sz="4" w:space="0" w:color="000000"/>
            </w:tcBorders>
          </w:tcPr>
          <w:p>
            <w:pPr/>
          </w:p>
        </w:tc>
        <w:tc>
          <w:tcPr>
            <w:tcW w:w="4109" w:type="dxa"/>
            <w:tcBorders>
              <w:top w:val="single" w:sz="12" w:space="0" w:color="000000"/>
              <w:left w:val="single" w:sz="4" w:space="0" w:color="000000"/>
              <w:bottom w:val="single" w:sz="4" w:space="0" w:color="000000"/>
              <w:right w:val="single" w:sz="4" w:space="0" w:color="000000"/>
            </w:tcBorders>
          </w:tcPr>
          <w:p>
            <w:pPr/>
          </w:p>
        </w:tc>
        <w:tc>
          <w:tcPr>
            <w:tcW w:w="1349" w:type="dxa"/>
            <w:tcBorders>
              <w:top w:val="single" w:sz="12" w:space="0" w:color="000000"/>
              <w:left w:val="single" w:sz="4" w:space="0" w:color="000000"/>
              <w:bottom w:val="single" w:sz="4" w:space="0" w:color="000000"/>
              <w:right w:val="single" w:sz="4" w:space="0" w:color="000000"/>
            </w:tcBorders>
          </w:tcPr>
          <w:p>
            <w:pPr/>
          </w:p>
        </w:tc>
        <w:tc>
          <w:tcPr>
            <w:tcW w:w="134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97"/>
              <w:ind w:left="215" w:right="0"/>
              <w:jc w:val="left"/>
              <w:rPr>
                <w:rFonts w:ascii="宋体" w:hAnsi="宋体" w:cs="宋体" w:eastAsia="宋体" w:hint="default"/>
                <w:sz w:val="18"/>
                <w:szCs w:val="18"/>
              </w:rPr>
            </w:pPr>
            <w:r>
              <w:rPr>
                <w:rFonts w:ascii="宋体" w:hAnsi="宋体" w:cs="宋体" w:eastAsia="宋体" w:hint="default"/>
                <w:sz w:val="18"/>
                <w:szCs w:val="18"/>
              </w:rPr>
              <w:t>总额的比例</w:t>
            </w:r>
          </w:p>
        </w:tc>
      </w:tr>
      <w:tr>
        <w:trPr>
          <w:trHeight w:val="720"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深圳市赛德隆投资发展有限公司</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0" w:right="100"/>
              <w:jc w:val="left"/>
              <w:rPr>
                <w:rFonts w:ascii="宋体" w:hAnsi="宋体" w:cs="宋体" w:eastAsia="宋体" w:hint="default"/>
                <w:sz w:val="18"/>
                <w:szCs w:val="18"/>
              </w:rPr>
            </w:pPr>
            <w:r>
              <w:rPr>
                <w:rFonts w:ascii="宋体" w:hAnsi="宋体" w:cs="宋体" w:eastAsia="宋体" w:hint="default"/>
                <w:sz w:val="18"/>
                <w:szCs w:val="18"/>
              </w:rPr>
              <w:t>拥有本公司控股子公司深圳市凯方实业发展有限</w:t>
            </w:r>
            <w:r>
              <w:rPr>
                <w:rFonts w:ascii="宋体" w:hAnsi="宋体" w:cs="宋体" w:eastAsia="宋体" w:hint="default"/>
                <w:spacing w:val="15"/>
                <w:sz w:val="18"/>
                <w:szCs w:val="18"/>
              </w:rPr>
              <w:t> </w:t>
            </w:r>
            <w:r>
              <w:rPr>
                <w:rFonts w:ascii="宋体" w:hAnsi="宋体" w:cs="宋体" w:eastAsia="宋体" w:hint="default"/>
                <w:spacing w:val="15"/>
                <w:sz w:val="18"/>
                <w:szCs w:val="18"/>
              </w:rPr>
            </w:r>
            <w:r>
              <w:rPr>
                <w:rFonts w:ascii="宋体" w:hAnsi="宋体" w:cs="宋体" w:eastAsia="宋体" w:hint="default"/>
                <w:sz w:val="18"/>
                <w:szCs w:val="18"/>
              </w:rPr>
              <w:t>公司</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r>
              <w:rPr>
                <w:rFonts w:ascii="宋体" w:hAnsi="宋体" w:cs="宋体" w:eastAsia="宋体" w:hint="default"/>
                <w:sz w:val="18"/>
                <w:szCs w:val="18"/>
              </w:rPr>
              <w:t>股权</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spacing w:val="-1"/>
                <w:sz w:val="18"/>
              </w:rPr>
              <w:t>31,388,461.73</w:t>
            </w:r>
          </w:p>
        </w:tc>
        <w:tc>
          <w:tcPr>
            <w:tcW w:w="134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5"/>
              <w:jc w:val="right"/>
              <w:rPr>
                <w:rFonts w:ascii="Times New Roman" w:hAnsi="Times New Roman" w:cs="Times New Roman" w:eastAsia="Times New Roman" w:hint="default"/>
                <w:sz w:val="18"/>
                <w:szCs w:val="18"/>
              </w:rPr>
            </w:pPr>
            <w:r>
              <w:rPr>
                <w:rFonts w:ascii="Times New Roman"/>
                <w:spacing w:val="-1"/>
                <w:sz w:val="18"/>
              </w:rPr>
              <w:t>9.92%</w:t>
            </w:r>
          </w:p>
        </w:tc>
      </w:tr>
      <w:tr>
        <w:trPr>
          <w:trHeight w:val="509"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深圳市泉源实业发展有限公司</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子公司深圳市凯方实业发展有限公司之联营企业</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3,750,000.00</w:t>
            </w:r>
          </w:p>
        </w:tc>
        <w:tc>
          <w:tcPr>
            <w:tcW w:w="134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1.19%</w:t>
            </w:r>
          </w:p>
        </w:tc>
      </w:tr>
      <w:tr>
        <w:trPr>
          <w:trHeight w:val="509" w:hRule="exact"/>
        </w:trPr>
        <w:tc>
          <w:tcPr>
            <w:tcW w:w="28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深圳市鸿基广源贸易有限公司</w:t>
            </w:r>
          </w:p>
        </w:tc>
        <w:tc>
          <w:tcPr>
            <w:tcW w:w="4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已进行清算程序的子公司</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3,260,739.46</w:t>
            </w:r>
          </w:p>
        </w:tc>
        <w:tc>
          <w:tcPr>
            <w:tcW w:w="134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1.03%</w:t>
            </w:r>
          </w:p>
        </w:tc>
      </w:tr>
      <w:tr>
        <w:trPr>
          <w:trHeight w:val="523" w:hRule="exact"/>
        </w:trPr>
        <w:tc>
          <w:tcPr>
            <w:tcW w:w="285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4109" w:type="dxa"/>
            <w:tcBorders>
              <w:top w:val="single" w:sz="4" w:space="0" w:color="000000"/>
              <w:left w:val="single" w:sz="4" w:space="0" w:color="000000"/>
              <w:bottom w:val="single" w:sz="12" w:space="0" w:color="000000"/>
              <w:right w:val="single" w:sz="4" w:space="0" w:color="000000"/>
            </w:tcBorders>
          </w:tcPr>
          <w:p>
            <w:pPr/>
          </w:p>
        </w:tc>
        <w:tc>
          <w:tcPr>
            <w:tcW w:w="13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38,399,201.19</w:t>
            </w:r>
            <w:r>
              <w:rPr>
                <w:rFonts w:ascii="Times New Roman"/>
                <w:spacing w:val="-1"/>
                <w:sz w:val="18"/>
              </w:rPr>
            </w:r>
          </w:p>
        </w:tc>
        <w:tc>
          <w:tcPr>
            <w:tcW w:w="134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12.14%</w:t>
            </w:r>
            <w:r>
              <w:rPr>
                <w:rFonts w:ascii="Times New Roman"/>
                <w:spacing w:val="-2"/>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00"/>
        <w:ind w:right="3657"/>
        <w:jc w:val="left"/>
        <w:rPr>
          <w:b w:val="0"/>
          <w:bCs w:val="0"/>
        </w:rPr>
      </w:pPr>
      <w:r>
        <w:rPr>
          <w:rFonts w:ascii="Times New Roman" w:hAnsi="Times New Roman" w:cs="Times New Roman" w:eastAsia="Times New Roman" w:hint="default"/>
        </w:rPr>
        <w:t>4</w:t>
      </w:r>
      <w:r>
        <w:rPr/>
        <w:t>、预付款项</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3657"/>
        <w:jc w:val="left"/>
      </w:pPr>
      <w:r>
        <w:rPr/>
        <w:t>（</w:t>
      </w:r>
      <w:r>
        <w:rPr>
          <w:rFonts w:ascii="Times New Roman" w:hAnsi="Times New Roman" w:cs="Times New Roman" w:eastAsia="Times New Roman" w:hint="default"/>
        </w:rPr>
        <w:t>1</w:t>
      </w:r>
      <w:r>
        <w:rPr/>
        <w:t>）预付款项按账龄列示</w:t>
      </w:r>
    </w:p>
    <w:tbl>
      <w:tblPr>
        <w:tblW w:w="0" w:type="auto"/>
        <w:jc w:val="left"/>
        <w:tblInd w:w="123" w:type="dxa"/>
        <w:tblLayout w:type="fixed"/>
        <w:tblCellMar>
          <w:top w:w="0" w:type="dxa"/>
          <w:left w:w="0" w:type="dxa"/>
          <w:bottom w:w="0" w:type="dxa"/>
          <w:right w:w="0" w:type="dxa"/>
        </w:tblCellMar>
        <w:tblLook w:val="01E0"/>
      </w:tblPr>
      <w:tblGrid>
        <w:gridCol w:w="1714"/>
        <w:gridCol w:w="1949"/>
        <w:gridCol w:w="1954"/>
        <w:gridCol w:w="1949"/>
        <w:gridCol w:w="1949"/>
      </w:tblGrid>
      <w:tr>
        <w:trPr>
          <w:trHeight w:val="499" w:hRule="exact"/>
        </w:trPr>
        <w:tc>
          <w:tcPr>
            <w:tcW w:w="171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902"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898"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12"/>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90" w:hRule="exact"/>
        </w:trPr>
        <w:tc>
          <w:tcPr>
            <w:tcW w:w="1714" w:type="dxa"/>
            <w:vMerge/>
            <w:tcBorders>
              <w:left w:val="nil" w:sz="6" w:space="0" w:color="auto"/>
              <w:bottom w:val="single" w:sz="4" w:space="0" w:color="000000"/>
              <w:right w:val="single" w:sz="4" w:space="0" w:color="000000"/>
            </w:tcBorders>
          </w:tcPr>
          <w:p>
            <w:pP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59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right="7"/>
              <w:jc w:val="center"/>
              <w:rPr>
                <w:rFonts w:ascii="宋体" w:hAnsi="宋体" w:cs="宋体" w:eastAsia="宋体" w:hint="default"/>
                <w:sz w:val="21"/>
                <w:szCs w:val="21"/>
              </w:rPr>
            </w:pPr>
            <w:r>
              <w:rPr>
                <w:rFonts w:ascii="宋体" w:hAnsi="宋体" w:cs="宋体" w:eastAsia="宋体" w:hint="default"/>
                <w:sz w:val="21"/>
                <w:szCs w:val="21"/>
              </w:rPr>
              <w:t>金额</w:t>
            </w:r>
          </w:p>
        </w:tc>
        <w:tc>
          <w:tcPr>
            <w:tcW w:w="19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2"/>
              <w:ind w:left="59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比例</w:t>
            </w:r>
            <w:r>
              <w:rPr>
                <w:rFonts w:ascii="Times New Roman" w:hAnsi="Times New Roman" w:cs="Times New Roman" w:eastAsia="Times New Roman" w:hint="default"/>
                <w:sz w:val="21"/>
                <w:szCs w:val="21"/>
              </w:rPr>
              <w:t>(%)</w:t>
            </w:r>
          </w:p>
        </w:tc>
      </w:tr>
      <w:tr>
        <w:trPr>
          <w:trHeight w:val="514" w:hRule="exact"/>
        </w:trPr>
        <w:tc>
          <w:tcPr>
            <w:tcW w:w="17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年以内</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60,800,446.31</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90.69%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6,761,794.50</w:t>
            </w:r>
          </w:p>
        </w:tc>
        <w:tc>
          <w:tcPr>
            <w:tcW w:w="19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sz w:val="21"/>
              </w:rPr>
              <w:t>94.75%</w:t>
            </w:r>
          </w:p>
        </w:tc>
      </w:tr>
      <w:tr>
        <w:trPr>
          <w:trHeight w:val="509" w:hRule="exact"/>
        </w:trPr>
        <w:tc>
          <w:tcPr>
            <w:tcW w:w="17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5,842,165.31</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8.71%</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75,000.00</w:t>
            </w:r>
          </w:p>
        </w:tc>
        <w:tc>
          <w:tcPr>
            <w:tcW w:w="19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sz w:val="21"/>
              </w:rPr>
              <w:t>1.05%</w:t>
            </w:r>
          </w:p>
        </w:tc>
      </w:tr>
      <w:tr>
        <w:trPr>
          <w:trHeight w:val="509" w:hRule="exact"/>
        </w:trPr>
        <w:tc>
          <w:tcPr>
            <w:tcW w:w="17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374,477.75</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0.56%</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9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17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年以上</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24,000.00</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0.04%</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299,590.04</w:t>
            </w:r>
          </w:p>
        </w:tc>
        <w:tc>
          <w:tcPr>
            <w:tcW w:w="19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sz w:val="21"/>
              </w:rPr>
              <w:t>4.20%</w:t>
            </w:r>
          </w:p>
        </w:tc>
      </w:tr>
      <w:tr>
        <w:trPr>
          <w:trHeight w:val="523" w:hRule="exact"/>
        </w:trPr>
        <w:tc>
          <w:tcPr>
            <w:tcW w:w="171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9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67,041,089.37</w:t>
            </w:r>
            <w:r>
              <w:rPr>
                <w:rFonts w:ascii="Times New Roman"/>
                <w:sz w:val="21"/>
              </w:rPr>
            </w:r>
          </w:p>
        </w:tc>
        <w:tc>
          <w:tcPr>
            <w:tcW w:w="19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z w:val="21"/>
              </w:rPr>
              <w:t>100.00%</w:t>
            </w:r>
            <w:r>
              <w:rPr>
                <w:rFonts w:ascii="Times New Roman"/>
                <w:sz w:val="21"/>
              </w:rPr>
            </w:r>
          </w:p>
        </w:tc>
        <w:tc>
          <w:tcPr>
            <w:tcW w:w="194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7,136,384.54</w:t>
            </w:r>
            <w:r>
              <w:rPr>
                <w:rFonts w:ascii="Times New Roman"/>
                <w:sz w:val="21"/>
              </w:rPr>
            </w:r>
          </w:p>
        </w:tc>
        <w:tc>
          <w:tcPr>
            <w:tcW w:w="194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100.00%</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2</w:t>
      </w:r>
      <w:r>
        <w:rPr/>
        <w:t>）预付款项金额前五名单位情况</w:t>
      </w:r>
    </w:p>
    <w:tbl>
      <w:tblPr>
        <w:tblW w:w="0" w:type="auto"/>
        <w:jc w:val="left"/>
        <w:tblInd w:w="123" w:type="dxa"/>
        <w:tblLayout w:type="fixed"/>
        <w:tblCellMar>
          <w:top w:w="0" w:type="dxa"/>
          <w:left w:w="0" w:type="dxa"/>
          <w:bottom w:w="0" w:type="dxa"/>
          <w:right w:w="0" w:type="dxa"/>
        </w:tblCellMar>
        <w:tblLook w:val="01E0"/>
      </w:tblPr>
      <w:tblGrid>
        <w:gridCol w:w="3562"/>
        <w:gridCol w:w="1488"/>
        <w:gridCol w:w="1488"/>
        <w:gridCol w:w="1488"/>
        <w:gridCol w:w="1488"/>
      </w:tblGrid>
      <w:tr>
        <w:trPr>
          <w:trHeight w:val="523" w:hRule="exact"/>
        </w:trPr>
        <w:tc>
          <w:tcPr>
            <w:tcW w:w="356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金额</w:t>
            </w:r>
          </w:p>
        </w:tc>
        <w:tc>
          <w:tcPr>
            <w:tcW w:w="14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时间</w:t>
            </w:r>
          </w:p>
        </w:tc>
        <w:tc>
          <w:tcPr>
            <w:tcW w:w="148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509" w:hRule="exact"/>
        </w:trPr>
        <w:tc>
          <w:tcPr>
            <w:tcW w:w="35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西安市国土资源局阎良分局土地储备中心</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未结算土地款</w:t>
            </w:r>
          </w:p>
        </w:tc>
      </w:tr>
      <w:tr>
        <w:trPr>
          <w:trHeight w:val="509" w:hRule="exact"/>
        </w:trPr>
        <w:tc>
          <w:tcPr>
            <w:tcW w:w="35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惠州市金源发实业有限公司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6,216,244.60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未结算土地款</w:t>
            </w:r>
          </w:p>
        </w:tc>
      </w:tr>
      <w:tr>
        <w:trPr>
          <w:trHeight w:val="509" w:hRule="exact"/>
        </w:trPr>
        <w:tc>
          <w:tcPr>
            <w:tcW w:w="35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惠州市华盛房产开发公司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3,549,028.30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未结算土地款</w:t>
            </w:r>
          </w:p>
        </w:tc>
      </w:tr>
      <w:tr>
        <w:trPr>
          <w:trHeight w:val="514" w:hRule="exact"/>
        </w:trPr>
        <w:tc>
          <w:tcPr>
            <w:tcW w:w="35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深圳市广安智能系统有限公司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1,873,662.00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未结算工程款</w:t>
            </w:r>
          </w:p>
        </w:tc>
      </w:tr>
      <w:tr>
        <w:trPr>
          <w:trHeight w:val="509" w:hRule="exact"/>
        </w:trPr>
        <w:tc>
          <w:tcPr>
            <w:tcW w:w="35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麦科特源发实业公司</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1,298,680.00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年以内</w:t>
            </w:r>
          </w:p>
        </w:tc>
        <w:tc>
          <w:tcPr>
            <w:tcW w:w="148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未结算土地款</w:t>
            </w:r>
          </w:p>
        </w:tc>
      </w:tr>
      <w:tr>
        <w:trPr>
          <w:trHeight w:val="518" w:hRule="exact"/>
        </w:trPr>
        <w:tc>
          <w:tcPr>
            <w:tcW w:w="356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88" w:type="dxa"/>
            <w:tcBorders>
              <w:top w:val="single" w:sz="4" w:space="0" w:color="000000"/>
              <w:left w:val="single" w:sz="4" w:space="0" w:color="000000"/>
              <w:bottom w:val="single" w:sz="12" w:space="0" w:color="000000"/>
              <w:right w:val="single" w:sz="4" w:space="0" w:color="000000"/>
            </w:tcBorders>
          </w:tcPr>
          <w:p>
            <w:pP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62,937,614.90</w:t>
            </w:r>
            <w:r>
              <w:rPr>
                <w:rFonts w:ascii="Times New Roman"/>
                <w:spacing w:val="-1"/>
                <w:sz w:val="18"/>
              </w:rPr>
            </w:r>
          </w:p>
        </w:tc>
        <w:tc>
          <w:tcPr>
            <w:tcW w:w="1488" w:type="dxa"/>
            <w:tcBorders>
              <w:top w:val="single" w:sz="4" w:space="0" w:color="000000"/>
              <w:left w:val="single" w:sz="4" w:space="0" w:color="000000"/>
              <w:bottom w:val="single" w:sz="12" w:space="0" w:color="000000"/>
              <w:right w:val="single" w:sz="4" w:space="0" w:color="000000"/>
            </w:tcBorders>
          </w:tcPr>
          <w:p>
            <w:pPr/>
          </w:p>
        </w:tc>
        <w:tc>
          <w:tcPr>
            <w:tcW w:w="1488" w:type="dxa"/>
            <w:tcBorders>
              <w:top w:val="single" w:sz="4" w:space="0" w:color="000000"/>
              <w:left w:val="single" w:sz="4" w:space="0" w:color="000000"/>
              <w:bottom w:val="single" w:sz="12" w:space="0" w:color="000000"/>
              <w:right w:val="nil" w:sz="6" w:space="0" w:color="auto"/>
            </w:tcBorders>
          </w:tcPr>
          <w:p>
            <w:pPr/>
          </w:p>
        </w:tc>
      </w:tr>
    </w:tbl>
    <w:p>
      <w:pPr>
        <w:spacing w:line="240" w:lineRule="auto" w:before="2"/>
        <w:rPr>
          <w:rFonts w:ascii="宋体" w:hAnsi="宋体" w:cs="宋体" w:eastAsia="宋体" w:hint="default"/>
          <w:sz w:val="13"/>
          <w:szCs w:val="13"/>
        </w:rPr>
      </w:pPr>
    </w:p>
    <w:p>
      <w:pPr>
        <w:pStyle w:val="BodyText"/>
        <w:spacing w:line="240" w:lineRule="auto" w:before="36"/>
        <w:ind w:left="575" w:right="0"/>
        <w:jc w:val="left"/>
      </w:pPr>
      <w:r>
        <w:rPr/>
        <w:t>（</w:t>
      </w:r>
      <w:r>
        <w:rPr>
          <w:rFonts w:ascii="Times New Roman" w:hAnsi="Times New Roman" w:cs="Times New Roman" w:eastAsia="Times New Roman" w:hint="default"/>
        </w:rPr>
        <w:t>3</w:t>
      </w:r>
      <w:r>
        <w:rPr/>
        <w:t>）截至</w:t>
      </w:r>
      <w:r>
        <w:rPr>
          <w:spacing w:val="-5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日，预付款项中无持有公司</w:t>
      </w:r>
      <w:r>
        <w:rPr>
          <w:spacing w:val="-54"/>
        </w:rPr>
        <w:t> </w:t>
      </w:r>
      <w:r>
        <w:rPr>
          <w:rFonts w:ascii="Times New Roman" w:hAnsi="Times New Roman" w:cs="Times New Roman" w:eastAsia="Times New Roman" w:hint="default"/>
        </w:rPr>
        <w:t>5%</w:t>
      </w:r>
      <w:r>
        <w:rPr/>
        <w:t>（含</w:t>
      </w:r>
      <w:r>
        <w:rPr>
          <w:spacing w:val="-54"/>
        </w:rPr>
        <w:t> </w:t>
      </w:r>
      <w:r>
        <w:rPr>
          <w:rFonts w:ascii="Times New Roman" w:hAnsi="Times New Roman" w:cs="Times New Roman" w:eastAsia="Times New Roman" w:hint="default"/>
        </w:rPr>
        <w:t>5%</w:t>
      </w:r>
      <w:r>
        <w:rPr/>
        <w:t>）以上表决权股份的股东欠款。</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Heading6"/>
        <w:spacing w:line="240" w:lineRule="auto"/>
        <w:ind w:right="3657"/>
        <w:jc w:val="left"/>
        <w:rPr>
          <w:b w:val="0"/>
          <w:bCs w:val="0"/>
        </w:rPr>
      </w:pPr>
      <w:r>
        <w:rPr>
          <w:rFonts w:ascii="Times New Roman" w:hAnsi="Times New Roman" w:cs="Times New Roman" w:eastAsia="Times New Roman" w:hint="default"/>
        </w:rPr>
        <w:t>5</w:t>
      </w:r>
      <w:r>
        <w:rPr/>
        <w:t>、存货</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3657"/>
        <w:jc w:val="left"/>
      </w:pPr>
      <w:r>
        <w:rPr/>
        <w:t>（</w:t>
      </w:r>
      <w:r>
        <w:rPr>
          <w:rFonts w:ascii="Times New Roman" w:hAnsi="Times New Roman" w:cs="Times New Roman" w:eastAsia="Times New Roman" w:hint="default"/>
        </w:rPr>
        <w:t>1</w:t>
      </w:r>
      <w:r>
        <w:rPr/>
        <w:t>）存货分类</w:t>
      </w:r>
    </w:p>
    <w:p>
      <w:pPr>
        <w:spacing w:after="0" w:line="240" w:lineRule="auto"/>
        <w:jc w:val="left"/>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2424"/>
        <w:gridCol w:w="2410"/>
        <w:gridCol w:w="2410"/>
        <w:gridCol w:w="2410"/>
      </w:tblGrid>
      <w:tr>
        <w:trPr>
          <w:trHeight w:val="518" w:hRule="exact"/>
        </w:trPr>
        <w:tc>
          <w:tcPr>
            <w:tcW w:w="242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22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514" w:hRule="exact"/>
        </w:trPr>
        <w:tc>
          <w:tcPr>
            <w:tcW w:w="2424" w:type="dxa"/>
            <w:vMerge/>
            <w:tcBorders>
              <w:left w:val="nil" w:sz="6" w:space="0" w:color="auto"/>
              <w:bottom w:val="single" w:sz="4" w:space="0" w:color="000000"/>
              <w:right w:val="single" w:sz="4" w:space="0" w:color="000000"/>
            </w:tcBorders>
          </w:tcPr>
          <w:p>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2"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7"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20,158.50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20,158.50</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93,367,407.50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93,367,407.50</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在建开发成本①</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1,957,638,977.97</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3,847,089.00</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1,953,791,888.97</w:t>
            </w:r>
          </w:p>
        </w:tc>
      </w:tr>
      <w:tr>
        <w:trPr>
          <w:trHeight w:val="514"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其中：利息资本化</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61,327,754.38</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61,327,754.38</w:t>
            </w:r>
          </w:p>
        </w:tc>
      </w:tr>
      <w:tr>
        <w:trPr>
          <w:trHeight w:val="518"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4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2,051,026,543.97</w:t>
            </w:r>
            <w:r>
              <w:rPr>
                <w:rFonts w:ascii="Times New Roman"/>
                <w:spacing w:val="-1"/>
                <w:sz w:val="21"/>
              </w:rPr>
            </w:r>
          </w:p>
        </w:tc>
        <w:tc>
          <w:tcPr>
            <w:tcW w:w="24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3,847,089.00</w:t>
            </w:r>
            <w:r>
              <w:rPr>
                <w:rFonts w:ascii="Times New Roman"/>
                <w:sz w:val="21"/>
              </w:rPr>
            </w:r>
          </w:p>
        </w:tc>
        <w:tc>
          <w:tcPr>
            <w:tcW w:w="24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2,047,179,454.97</w:t>
            </w:r>
            <w:r>
              <w:rPr>
                <w:rFonts w:ascii="Times New Roman"/>
                <w:spacing w:val="-1"/>
                <w:sz w:val="21"/>
              </w:rPr>
            </w:r>
          </w:p>
        </w:tc>
      </w:tr>
    </w:tbl>
    <w:p>
      <w:pPr>
        <w:spacing w:line="240" w:lineRule="auto" w:before="11"/>
        <w:rPr>
          <w:rFonts w:ascii="宋体" w:hAnsi="宋体" w:cs="宋体" w:eastAsia="宋体" w:hint="default"/>
          <w:sz w:val="11"/>
          <w:szCs w:val="11"/>
        </w:rPr>
      </w:pPr>
    </w:p>
    <w:p>
      <w:pPr>
        <w:pStyle w:val="BodyText"/>
        <w:spacing w:line="240" w:lineRule="auto" w:before="36"/>
        <w:ind w:left="565" w:right="0"/>
        <w:jc w:val="left"/>
      </w:pPr>
      <w:r>
        <w:rPr/>
        <w:t>续上表</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2424"/>
        <w:gridCol w:w="2410"/>
        <w:gridCol w:w="2410"/>
        <w:gridCol w:w="2410"/>
      </w:tblGrid>
      <w:tr>
        <w:trPr>
          <w:trHeight w:val="523" w:hRule="exact"/>
        </w:trPr>
        <w:tc>
          <w:tcPr>
            <w:tcW w:w="242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22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2424" w:type="dxa"/>
            <w:vMerge/>
            <w:tcBorders>
              <w:left w:val="nil" w:sz="6" w:space="0" w:color="auto"/>
              <w:bottom w:val="single" w:sz="4" w:space="0" w:color="000000"/>
              <w:right w:val="single" w:sz="4" w:space="0" w:color="000000"/>
            </w:tcBorders>
          </w:tcPr>
          <w:p>
            <w:pP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2"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2"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7" w:right="0"/>
              <w:jc w:val="left"/>
              <w:rPr>
                <w:rFonts w:ascii="宋体" w:hAnsi="宋体" w:cs="宋体" w:eastAsia="宋体" w:hint="default"/>
                <w:sz w:val="21"/>
                <w:szCs w:val="21"/>
              </w:rPr>
            </w:pPr>
            <w:r>
              <w:rPr>
                <w:rFonts w:ascii="宋体" w:hAnsi="宋体" w:cs="宋体" w:eastAsia="宋体" w:hint="default"/>
                <w:sz w:val="21"/>
                <w:szCs w:val="21"/>
              </w:rPr>
              <w:t>账面价值</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20,158.50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20,158.50</w:t>
            </w:r>
          </w:p>
        </w:tc>
      </w:tr>
      <w:tr>
        <w:trPr>
          <w:trHeight w:val="514"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31,541,000.28</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31,541,000.28</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在建开发成本①</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884,527,741.30</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3,847,089.00</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880,680,652.30</w:t>
            </w:r>
          </w:p>
        </w:tc>
      </w:tr>
      <w:tr>
        <w:trPr>
          <w:trHeight w:val="509"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其中：利息资本化</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15,613,613.89</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4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15,613,613.89</w:t>
            </w:r>
          </w:p>
        </w:tc>
      </w:tr>
      <w:tr>
        <w:trPr>
          <w:trHeight w:val="523"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4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916,088,900.08</w:t>
            </w:r>
            <w:r>
              <w:rPr>
                <w:rFonts w:ascii="Times New Roman"/>
                <w:spacing w:val="-1"/>
                <w:sz w:val="21"/>
              </w:rPr>
            </w:r>
          </w:p>
        </w:tc>
        <w:tc>
          <w:tcPr>
            <w:tcW w:w="24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3,847,089.00</w:t>
            </w:r>
            <w:r>
              <w:rPr>
                <w:rFonts w:ascii="Times New Roman"/>
                <w:sz w:val="21"/>
              </w:rPr>
            </w:r>
          </w:p>
        </w:tc>
        <w:tc>
          <w:tcPr>
            <w:tcW w:w="24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2"/>
                <w:sz w:val="21"/>
              </w:rPr>
              <w:t>912,241,811.08</w:t>
            </w:r>
            <w:r>
              <w:rPr>
                <w:rFonts w:ascii="Times New Roman"/>
                <w:spacing w:val="-2"/>
                <w:sz w:val="21"/>
              </w:rPr>
            </w:r>
          </w:p>
        </w:tc>
      </w:tr>
    </w:tbl>
    <w:p>
      <w:pPr>
        <w:spacing w:line="240" w:lineRule="auto" w:before="11"/>
        <w:rPr>
          <w:rFonts w:ascii="宋体" w:hAnsi="宋体" w:cs="宋体" w:eastAsia="宋体" w:hint="default"/>
          <w:sz w:val="11"/>
          <w:szCs w:val="11"/>
        </w:rPr>
      </w:pPr>
    </w:p>
    <w:p>
      <w:pPr>
        <w:pStyle w:val="BodyText"/>
        <w:spacing w:line="240" w:lineRule="auto" w:before="36"/>
        <w:ind w:right="0"/>
        <w:jc w:val="left"/>
      </w:pPr>
      <w:r>
        <w:rPr/>
        <w:t>①在建开发成本</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627"/>
        <w:gridCol w:w="1454"/>
        <w:gridCol w:w="1330"/>
        <w:gridCol w:w="1416"/>
        <w:gridCol w:w="1291"/>
        <w:gridCol w:w="806"/>
        <w:gridCol w:w="802"/>
        <w:gridCol w:w="989"/>
      </w:tblGrid>
      <w:tr>
        <w:trPr>
          <w:trHeight w:val="518" w:hRule="exact"/>
        </w:trPr>
        <w:tc>
          <w:tcPr>
            <w:tcW w:w="162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78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07"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806" w:type="dxa"/>
            <w:vMerge w:val="restart"/>
            <w:tcBorders>
              <w:top w:val="single" w:sz="12" w:space="0" w:color="000000"/>
              <w:left w:val="single" w:sz="4" w:space="0" w:color="000000"/>
              <w:right w:val="single" w:sz="4" w:space="0" w:color="000000"/>
            </w:tcBorders>
          </w:tcPr>
          <w:p>
            <w:pPr>
              <w:pStyle w:val="TableParagraph"/>
              <w:spacing w:line="500" w:lineRule="exact" w:before="46"/>
              <w:ind w:left="215" w:right="214"/>
              <w:jc w:val="left"/>
              <w:rPr>
                <w:rFonts w:ascii="宋体" w:hAnsi="宋体" w:cs="宋体" w:eastAsia="宋体" w:hint="default"/>
                <w:sz w:val="18"/>
                <w:szCs w:val="18"/>
              </w:rPr>
            </w:pPr>
            <w:r>
              <w:rPr>
                <w:rFonts w:ascii="宋体" w:hAnsi="宋体" w:cs="宋体" w:eastAsia="宋体" w:hint="default"/>
                <w:sz w:val="18"/>
                <w:szCs w:val="18"/>
              </w:rPr>
              <w:t>开工</w:t>
            </w:r>
            <w:r>
              <w:rPr>
                <w:rFonts w:ascii="宋体" w:hAnsi="宋体" w:cs="宋体" w:eastAsia="宋体" w:hint="default"/>
                <w:spacing w:val="-86"/>
                <w:sz w:val="18"/>
                <w:szCs w:val="18"/>
              </w:rPr>
              <w:t> </w:t>
            </w:r>
            <w:r>
              <w:rPr>
                <w:rFonts w:ascii="宋体" w:hAnsi="宋体" w:cs="宋体" w:eastAsia="宋体" w:hint="default"/>
                <w:sz w:val="18"/>
                <w:szCs w:val="18"/>
              </w:rPr>
              <w:t>时间</w:t>
            </w:r>
          </w:p>
        </w:tc>
        <w:tc>
          <w:tcPr>
            <w:tcW w:w="802" w:type="dxa"/>
            <w:vMerge w:val="restart"/>
            <w:tcBorders>
              <w:top w:val="single" w:sz="12" w:space="0" w:color="000000"/>
              <w:left w:val="single" w:sz="4" w:space="0" w:color="000000"/>
              <w:right w:val="single" w:sz="4" w:space="0" w:color="000000"/>
            </w:tcBorders>
          </w:tcPr>
          <w:p>
            <w:pPr>
              <w:pStyle w:val="TableParagraph"/>
              <w:spacing w:line="500" w:lineRule="exact" w:before="46"/>
              <w:ind w:left="254" w:right="-5" w:hanging="183"/>
              <w:jc w:val="left"/>
              <w:rPr>
                <w:rFonts w:ascii="宋体" w:hAnsi="宋体" w:cs="宋体" w:eastAsia="宋体" w:hint="default"/>
                <w:sz w:val="18"/>
                <w:szCs w:val="18"/>
              </w:rPr>
            </w:pPr>
            <w:r>
              <w:rPr>
                <w:rFonts w:ascii="宋体" w:hAnsi="宋体" w:cs="宋体" w:eastAsia="宋体" w:hint="default"/>
                <w:sz w:val="18"/>
                <w:szCs w:val="18"/>
              </w:rPr>
              <w:t>预计竣工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时间</w:t>
            </w:r>
          </w:p>
        </w:tc>
        <w:tc>
          <w:tcPr>
            <w:tcW w:w="989" w:type="dxa"/>
            <w:vMerge w:val="restart"/>
            <w:tcBorders>
              <w:top w:val="single" w:sz="12" w:space="0" w:color="000000"/>
              <w:left w:val="single" w:sz="4" w:space="0" w:color="000000"/>
              <w:right w:val="nil" w:sz="6" w:space="0" w:color="auto"/>
            </w:tcBorders>
          </w:tcPr>
          <w:p>
            <w:pPr>
              <w:pStyle w:val="TableParagraph"/>
              <w:spacing w:line="500" w:lineRule="exact" w:before="46"/>
              <w:ind w:left="105" w:right="12" w:firstLine="24"/>
              <w:jc w:val="left"/>
              <w:rPr>
                <w:rFonts w:ascii="宋体" w:hAnsi="宋体" w:cs="宋体" w:eastAsia="宋体" w:hint="default"/>
                <w:sz w:val="18"/>
                <w:szCs w:val="18"/>
              </w:rPr>
            </w:pPr>
            <w:r>
              <w:rPr>
                <w:rFonts w:ascii="宋体" w:hAnsi="宋体" w:cs="宋体" w:eastAsia="宋体" w:hint="default"/>
                <w:sz w:val="18"/>
                <w:szCs w:val="18"/>
              </w:rPr>
              <w:t>预计总投</w:t>
            </w:r>
            <w:r>
              <w:rPr>
                <w:rFonts w:ascii="宋体" w:hAnsi="宋体" w:cs="宋体" w:eastAsia="宋体" w:hint="default"/>
                <w:w w:val="101"/>
                <w:sz w:val="18"/>
                <w:szCs w:val="18"/>
              </w:rPr>
              <w:t> </w:t>
            </w:r>
            <w:r>
              <w:rPr>
                <w:rFonts w:ascii="宋体" w:hAnsi="宋体" w:cs="宋体" w:eastAsia="宋体" w:hint="default"/>
                <w:spacing w:val="-10"/>
                <w:sz w:val="18"/>
                <w:szCs w:val="18"/>
              </w:rPr>
              <w:t>资（万元）</w:t>
            </w:r>
          </w:p>
        </w:tc>
      </w:tr>
      <w:tr>
        <w:trPr>
          <w:trHeight w:val="509" w:hRule="exact"/>
        </w:trPr>
        <w:tc>
          <w:tcPr>
            <w:tcW w:w="1627" w:type="dxa"/>
            <w:vMerge/>
            <w:tcBorders>
              <w:left w:val="nil" w:sz="6" w:space="0" w:color="auto"/>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806"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nil" w:sz="6" w:space="0" w:color="auto"/>
            </w:tcBorders>
          </w:tcPr>
          <w:p>
            <w:pPr/>
          </w:p>
        </w:tc>
      </w:tr>
      <w:tr>
        <w:trPr>
          <w:trHeight w:val="514"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农贸市场</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3,847,089.00</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3,847,089.00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3,847,089.00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3,847,089.00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1996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已停工</w:t>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62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西安鸿基紫韵</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268,875,110.73</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393,706,337.51</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140,000</w:t>
            </w:r>
          </w:p>
        </w:tc>
      </w:tr>
      <w:tr>
        <w:trPr>
          <w:trHeight w:val="62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东莞宝安山水江南</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405,584,798.61</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279,310,407.89</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143,203</w:t>
            </w:r>
          </w:p>
        </w:tc>
      </w:tr>
      <w:tr>
        <w:trPr>
          <w:trHeight w:val="50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湘潭宝安江南城</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299,763,106.96</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204,570,274.90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86,300</w:t>
            </w:r>
          </w:p>
        </w:tc>
      </w:tr>
      <w:tr>
        <w:trPr>
          <w:trHeight w:val="50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宝翠苑</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61,457,503.93</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664,360.00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2" w:right="0"/>
              <w:jc w:val="center"/>
              <w:rPr>
                <w:rFonts w:ascii="宋体" w:hAnsi="宋体" w:cs="宋体" w:eastAsia="宋体" w:hint="default"/>
                <w:sz w:val="18"/>
                <w:szCs w:val="18"/>
              </w:rPr>
            </w:pPr>
            <w:r>
              <w:rPr>
                <w:rFonts w:ascii="宋体" w:hAnsi="宋体" w:cs="宋体" w:eastAsia="宋体" w:hint="default"/>
                <w:sz w:val="18"/>
                <w:szCs w:val="18"/>
              </w:rPr>
              <w:t>未开工</w:t>
            </w:r>
          </w:p>
        </w:tc>
        <w:tc>
          <w:tcPr>
            <w:tcW w:w="802"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惠州山水龙城</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680,454,771.72</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132,490</w:t>
            </w:r>
          </w:p>
        </w:tc>
      </w:tr>
      <w:tr>
        <w:trPr>
          <w:trHeight w:val="514"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惠州坦坡项目</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112,812,003.17</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2" w:right="0"/>
              <w:jc w:val="center"/>
              <w:rPr>
                <w:rFonts w:ascii="宋体" w:hAnsi="宋体" w:cs="宋体" w:eastAsia="宋体" w:hint="default"/>
                <w:sz w:val="18"/>
                <w:szCs w:val="18"/>
              </w:rPr>
            </w:pPr>
            <w:r>
              <w:rPr>
                <w:rFonts w:ascii="宋体" w:hAnsi="宋体" w:cs="宋体" w:eastAsia="宋体" w:hint="default"/>
                <w:sz w:val="18"/>
                <w:szCs w:val="18"/>
              </w:rPr>
              <w:t>未开工</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8" w:hRule="exact"/>
        </w:trPr>
        <w:tc>
          <w:tcPr>
            <w:tcW w:w="162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惠州小金口地块</w:t>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22,068,000.00</w:t>
            </w:r>
          </w:p>
        </w:tc>
        <w:tc>
          <w:tcPr>
            <w:tcW w:w="13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2" w:right="0"/>
              <w:jc w:val="center"/>
              <w:rPr>
                <w:rFonts w:ascii="宋体" w:hAnsi="宋体" w:cs="宋体" w:eastAsia="宋体" w:hint="default"/>
                <w:sz w:val="18"/>
                <w:szCs w:val="18"/>
              </w:rPr>
            </w:pPr>
            <w:r>
              <w:rPr>
                <w:rFonts w:ascii="宋体" w:hAnsi="宋体" w:cs="宋体" w:eastAsia="宋体" w:hint="default"/>
                <w:sz w:val="18"/>
                <w:szCs w:val="18"/>
              </w:rPr>
              <w:t>未开工</w:t>
            </w:r>
          </w:p>
        </w:tc>
        <w:tc>
          <w:tcPr>
            <w:tcW w:w="8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89"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9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1627"/>
        <w:gridCol w:w="1454"/>
        <w:gridCol w:w="1330"/>
        <w:gridCol w:w="1416"/>
        <w:gridCol w:w="1291"/>
        <w:gridCol w:w="806"/>
        <w:gridCol w:w="802"/>
        <w:gridCol w:w="989"/>
      </w:tblGrid>
      <w:tr>
        <w:trPr>
          <w:trHeight w:val="518" w:hRule="exact"/>
        </w:trPr>
        <w:tc>
          <w:tcPr>
            <w:tcW w:w="162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784"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07"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806" w:type="dxa"/>
            <w:vMerge w:val="restart"/>
            <w:tcBorders>
              <w:top w:val="single" w:sz="12" w:space="0" w:color="000000"/>
              <w:left w:val="single" w:sz="4" w:space="0" w:color="000000"/>
              <w:right w:val="single" w:sz="4" w:space="0" w:color="000000"/>
            </w:tcBorders>
          </w:tcPr>
          <w:p>
            <w:pPr>
              <w:pStyle w:val="TableParagraph"/>
              <w:spacing w:line="500" w:lineRule="exact" w:before="46"/>
              <w:ind w:left="215" w:right="214"/>
              <w:jc w:val="left"/>
              <w:rPr>
                <w:rFonts w:ascii="宋体" w:hAnsi="宋体" w:cs="宋体" w:eastAsia="宋体" w:hint="default"/>
                <w:sz w:val="18"/>
                <w:szCs w:val="18"/>
              </w:rPr>
            </w:pPr>
            <w:r>
              <w:rPr>
                <w:rFonts w:ascii="宋体" w:hAnsi="宋体" w:cs="宋体" w:eastAsia="宋体" w:hint="default"/>
                <w:sz w:val="18"/>
                <w:szCs w:val="18"/>
              </w:rPr>
              <w:t>开工</w:t>
            </w:r>
            <w:r>
              <w:rPr>
                <w:rFonts w:ascii="宋体" w:hAnsi="宋体" w:cs="宋体" w:eastAsia="宋体" w:hint="default"/>
                <w:spacing w:val="-86"/>
                <w:sz w:val="18"/>
                <w:szCs w:val="18"/>
              </w:rPr>
              <w:t> </w:t>
            </w:r>
            <w:r>
              <w:rPr>
                <w:rFonts w:ascii="宋体" w:hAnsi="宋体" w:cs="宋体" w:eastAsia="宋体" w:hint="default"/>
                <w:sz w:val="18"/>
                <w:szCs w:val="18"/>
              </w:rPr>
              <w:t>时间</w:t>
            </w:r>
          </w:p>
        </w:tc>
        <w:tc>
          <w:tcPr>
            <w:tcW w:w="802" w:type="dxa"/>
            <w:vMerge w:val="restart"/>
            <w:tcBorders>
              <w:top w:val="single" w:sz="12" w:space="0" w:color="000000"/>
              <w:left w:val="single" w:sz="4" w:space="0" w:color="000000"/>
              <w:right w:val="single" w:sz="4" w:space="0" w:color="000000"/>
            </w:tcBorders>
          </w:tcPr>
          <w:p>
            <w:pPr>
              <w:pStyle w:val="TableParagraph"/>
              <w:spacing w:line="500" w:lineRule="exact" w:before="46"/>
              <w:ind w:left="254" w:right="-5" w:hanging="183"/>
              <w:jc w:val="left"/>
              <w:rPr>
                <w:rFonts w:ascii="宋体" w:hAnsi="宋体" w:cs="宋体" w:eastAsia="宋体" w:hint="default"/>
                <w:sz w:val="18"/>
                <w:szCs w:val="18"/>
              </w:rPr>
            </w:pPr>
            <w:r>
              <w:rPr>
                <w:rFonts w:ascii="宋体" w:hAnsi="宋体" w:cs="宋体" w:eastAsia="宋体" w:hint="default"/>
                <w:sz w:val="18"/>
                <w:szCs w:val="18"/>
              </w:rPr>
              <w:t>预计竣工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时间</w:t>
            </w:r>
          </w:p>
        </w:tc>
        <w:tc>
          <w:tcPr>
            <w:tcW w:w="989" w:type="dxa"/>
            <w:vMerge w:val="restart"/>
            <w:tcBorders>
              <w:top w:val="single" w:sz="12" w:space="0" w:color="000000"/>
              <w:left w:val="single" w:sz="4" w:space="0" w:color="000000"/>
              <w:right w:val="nil" w:sz="6" w:space="0" w:color="auto"/>
            </w:tcBorders>
          </w:tcPr>
          <w:p>
            <w:pPr>
              <w:pStyle w:val="TableParagraph"/>
              <w:spacing w:line="500" w:lineRule="exact" w:before="46"/>
              <w:ind w:left="105" w:right="12" w:firstLine="24"/>
              <w:jc w:val="left"/>
              <w:rPr>
                <w:rFonts w:ascii="宋体" w:hAnsi="宋体" w:cs="宋体" w:eastAsia="宋体" w:hint="default"/>
                <w:sz w:val="18"/>
                <w:szCs w:val="18"/>
              </w:rPr>
            </w:pPr>
            <w:r>
              <w:rPr>
                <w:rFonts w:ascii="宋体" w:hAnsi="宋体" w:cs="宋体" w:eastAsia="宋体" w:hint="default"/>
                <w:sz w:val="18"/>
                <w:szCs w:val="18"/>
              </w:rPr>
              <w:t>预计总投</w:t>
            </w:r>
            <w:r>
              <w:rPr>
                <w:rFonts w:ascii="宋体" w:hAnsi="宋体" w:cs="宋体" w:eastAsia="宋体" w:hint="default"/>
                <w:w w:val="101"/>
                <w:sz w:val="18"/>
                <w:szCs w:val="18"/>
              </w:rPr>
              <w:t> </w:t>
            </w:r>
            <w:r>
              <w:rPr>
                <w:rFonts w:ascii="宋体" w:hAnsi="宋体" w:cs="宋体" w:eastAsia="宋体" w:hint="default"/>
                <w:spacing w:val="-10"/>
                <w:sz w:val="18"/>
                <w:szCs w:val="18"/>
              </w:rPr>
              <w:t>资（万元）</w:t>
            </w:r>
          </w:p>
        </w:tc>
      </w:tr>
      <w:tr>
        <w:trPr>
          <w:trHeight w:val="514" w:hRule="exact"/>
        </w:trPr>
        <w:tc>
          <w:tcPr>
            <w:tcW w:w="1627" w:type="dxa"/>
            <w:vMerge/>
            <w:tcBorders>
              <w:left w:val="nil" w:sz="6" w:space="0" w:color="auto"/>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806" w:type="dxa"/>
            <w:vMerge/>
            <w:tcBorders>
              <w:left w:val="single" w:sz="4" w:space="0" w:color="000000"/>
              <w:bottom w:val="single" w:sz="4" w:space="0" w:color="000000"/>
              <w:right w:val="single" w:sz="4" w:space="0" w:color="000000"/>
            </w:tcBorders>
          </w:tcPr>
          <w:p>
            <w:pPr/>
          </w:p>
        </w:tc>
        <w:tc>
          <w:tcPr>
            <w:tcW w:w="802"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nil" w:sz="6" w:space="0" w:color="auto"/>
            </w:tcBorders>
          </w:tcPr>
          <w:p>
            <w:pPr/>
          </w:p>
        </w:tc>
      </w:tr>
      <w:tr>
        <w:trPr>
          <w:trHeight w:val="50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惠东宝安虹海湾</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98,474,938.20</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62,900</w:t>
            </w:r>
          </w:p>
        </w:tc>
      </w:tr>
      <w:tr>
        <w:trPr>
          <w:trHeight w:val="509" w:hRule="exact"/>
        </w:trPr>
        <w:tc>
          <w:tcPr>
            <w:tcW w:w="16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4,301,655.65</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2,429,272.00</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89"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23" w:hRule="exact"/>
        </w:trPr>
        <w:tc>
          <w:tcPr>
            <w:tcW w:w="162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1,957,638,977.97</w:t>
            </w:r>
            <w:r>
              <w:rPr>
                <w:rFonts w:ascii="Times New Roman"/>
                <w:spacing w:val="-2"/>
                <w:sz w:val="18"/>
              </w:rPr>
            </w:r>
          </w:p>
        </w:tc>
        <w:tc>
          <w:tcPr>
            <w:tcW w:w="13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3,847,089.00</w:t>
            </w:r>
            <w:r>
              <w:rPr>
                <w:rFonts w:ascii="Times New Roman"/>
                <w:spacing w:val="-1"/>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884,527,741.30</w:t>
            </w:r>
            <w:r>
              <w:rPr>
                <w:rFonts w:ascii="Times New Roman"/>
                <w:spacing w:val="-1"/>
                <w:sz w:val="18"/>
              </w:rPr>
            </w:r>
          </w:p>
        </w:tc>
        <w:tc>
          <w:tcPr>
            <w:tcW w:w="129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3,847,089.00</w:t>
            </w:r>
            <w:r>
              <w:rPr>
                <w:rFonts w:ascii="Times New Roman"/>
                <w:spacing w:val="-1"/>
                <w:sz w:val="18"/>
              </w:rPr>
            </w:r>
          </w:p>
        </w:tc>
        <w:tc>
          <w:tcPr>
            <w:tcW w:w="806" w:type="dxa"/>
            <w:tcBorders>
              <w:top w:val="single" w:sz="4" w:space="0" w:color="000000"/>
              <w:left w:val="single" w:sz="4" w:space="0" w:color="000000"/>
              <w:bottom w:val="single" w:sz="12" w:space="0" w:color="000000"/>
              <w:right w:val="single" w:sz="4" w:space="0" w:color="000000"/>
            </w:tcBorders>
          </w:tcPr>
          <w:p>
            <w:pPr/>
          </w:p>
        </w:tc>
        <w:tc>
          <w:tcPr>
            <w:tcW w:w="802" w:type="dxa"/>
            <w:tcBorders>
              <w:top w:val="single" w:sz="4" w:space="0" w:color="000000"/>
              <w:left w:val="single" w:sz="4" w:space="0" w:color="000000"/>
              <w:bottom w:val="single" w:sz="12" w:space="0" w:color="000000"/>
              <w:right w:val="single" w:sz="4" w:space="0" w:color="000000"/>
            </w:tcBorders>
          </w:tcPr>
          <w:p>
            <w:pPr/>
          </w:p>
        </w:tc>
        <w:tc>
          <w:tcPr>
            <w:tcW w:w="989" w:type="dxa"/>
            <w:tcBorders>
              <w:top w:val="single" w:sz="4" w:space="0" w:color="000000"/>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11"/>
          <w:szCs w:val="11"/>
        </w:rPr>
      </w:pPr>
    </w:p>
    <w:p>
      <w:pPr>
        <w:pStyle w:val="BodyText"/>
        <w:spacing w:line="240" w:lineRule="auto" w:before="36"/>
        <w:ind w:left="575" w:right="0"/>
        <w:jc w:val="left"/>
      </w:pPr>
      <w:r>
        <w:rPr/>
        <w:t>（</w:t>
      </w:r>
      <w:r>
        <w:rPr>
          <w:rFonts w:ascii="Times New Roman" w:hAnsi="Times New Roman" w:cs="Times New Roman" w:eastAsia="Times New Roman" w:hint="default"/>
        </w:rPr>
        <w:t>2</w:t>
      </w:r>
      <w:r>
        <w:rPr/>
        <w:t>）存货跌价准备</w:t>
      </w:r>
    </w:p>
    <w:tbl>
      <w:tblPr>
        <w:tblW w:w="0" w:type="auto"/>
        <w:jc w:val="left"/>
        <w:tblInd w:w="123" w:type="dxa"/>
        <w:tblLayout w:type="fixed"/>
        <w:tblCellMar>
          <w:top w:w="0" w:type="dxa"/>
          <w:left w:w="0" w:type="dxa"/>
          <w:bottom w:w="0" w:type="dxa"/>
          <w:right w:w="0" w:type="dxa"/>
        </w:tblCellMar>
        <w:tblLook w:val="01E0"/>
      </w:tblPr>
      <w:tblGrid>
        <w:gridCol w:w="1632"/>
        <w:gridCol w:w="1618"/>
        <w:gridCol w:w="1618"/>
        <w:gridCol w:w="1618"/>
        <w:gridCol w:w="1618"/>
        <w:gridCol w:w="1613"/>
      </w:tblGrid>
      <w:tr>
        <w:trPr>
          <w:trHeight w:val="518" w:hRule="exact"/>
        </w:trPr>
        <w:tc>
          <w:tcPr>
            <w:tcW w:w="1632"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403" w:right="0"/>
              <w:jc w:val="left"/>
              <w:rPr>
                <w:rFonts w:ascii="宋体" w:hAnsi="宋体" w:cs="宋体" w:eastAsia="宋体" w:hint="default"/>
                <w:sz w:val="21"/>
                <w:szCs w:val="21"/>
              </w:rPr>
            </w:pPr>
            <w:r>
              <w:rPr>
                <w:rFonts w:ascii="宋体" w:hAnsi="宋体" w:cs="宋体" w:eastAsia="宋体" w:hint="default"/>
                <w:sz w:val="21"/>
                <w:szCs w:val="21"/>
              </w:rPr>
              <w:t>存货种类</w:t>
            </w:r>
          </w:p>
        </w:tc>
        <w:tc>
          <w:tcPr>
            <w:tcW w:w="1618"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379"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18"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379" w:right="0"/>
              <w:jc w:val="left"/>
              <w:rPr>
                <w:rFonts w:ascii="宋体" w:hAnsi="宋体" w:cs="宋体" w:eastAsia="宋体" w:hint="default"/>
                <w:sz w:val="21"/>
                <w:szCs w:val="21"/>
              </w:rPr>
            </w:pPr>
            <w:r>
              <w:rPr>
                <w:rFonts w:ascii="宋体" w:hAnsi="宋体" w:cs="宋体" w:eastAsia="宋体" w:hint="default"/>
                <w:sz w:val="21"/>
                <w:szCs w:val="21"/>
              </w:rPr>
              <w:t>本期计提</w:t>
            </w:r>
          </w:p>
        </w:tc>
        <w:tc>
          <w:tcPr>
            <w:tcW w:w="3235"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本期减少</w:t>
            </w:r>
          </w:p>
        </w:tc>
        <w:tc>
          <w:tcPr>
            <w:tcW w:w="1613"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37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14" w:hRule="exact"/>
        </w:trPr>
        <w:tc>
          <w:tcPr>
            <w:tcW w:w="1632" w:type="dxa"/>
            <w:vMerge/>
            <w:tcBorders>
              <w:left w:val="nil" w:sz="6" w:space="0" w:color="auto"/>
              <w:bottom w:val="single" w:sz="4" w:space="0" w:color="000000"/>
              <w:right w:val="single" w:sz="4" w:space="0" w:color="000000"/>
            </w:tcBorders>
          </w:tcPr>
          <w:p>
            <w:pPr/>
          </w:p>
        </w:tc>
        <w:tc>
          <w:tcPr>
            <w:tcW w:w="1618" w:type="dxa"/>
            <w:vMerge/>
            <w:tcBorders>
              <w:left w:val="single" w:sz="4" w:space="0" w:color="000000"/>
              <w:bottom w:val="single" w:sz="4" w:space="0" w:color="000000"/>
              <w:right w:val="single" w:sz="4" w:space="0" w:color="000000"/>
            </w:tcBorders>
          </w:tcPr>
          <w:p>
            <w:pPr/>
          </w:p>
        </w:tc>
        <w:tc>
          <w:tcPr>
            <w:tcW w:w="1618" w:type="dxa"/>
            <w:vMerge/>
            <w:tcBorders>
              <w:left w:val="single" w:sz="4" w:space="0" w:color="000000"/>
              <w:bottom w:val="single" w:sz="4" w:space="0" w:color="000000"/>
              <w:right w:val="single" w:sz="4" w:space="0" w:color="000000"/>
            </w:tcBorders>
          </w:tcPr>
          <w:p>
            <w:pP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转回</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转销</w:t>
            </w:r>
          </w:p>
        </w:tc>
        <w:tc>
          <w:tcPr>
            <w:tcW w:w="1613" w:type="dxa"/>
            <w:vMerge/>
            <w:tcBorders>
              <w:left w:val="single" w:sz="4" w:space="0" w:color="000000"/>
              <w:bottom w:val="single" w:sz="4" w:space="0" w:color="000000"/>
              <w:right w:val="nil" w:sz="6" w:space="0" w:color="auto"/>
            </w:tcBorders>
          </w:tcPr>
          <w:p>
            <w:pPr/>
          </w:p>
        </w:tc>
      </w:tr>
      <w:tr>
        <w:trPr>
          <w:trHeight w:val="518" w:hRule="exact"/>
        </w:trPr>
        <w:tc>
          <w:tcPr>
            <w:tcW w:w="163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在建开发成本</w:t>
            </w:r>
          </w:p>
        </w:tc>
        <w:tc>
          <w:tcPr>
            <w:tcW w:w="16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93" w:right="0"/>
              <w:jc w:val="left"/>
              <w:rPr>
                <w:rFonts w:ascii="Times New Roman" w:hAnsi="Times New Roman" w:cs="Times New Roman" w:eastAsia="Times New Roman" w:hint="default"/>
                <w:sz w:val="21"/>
                <w:szCs w:val="21"/>
              </w:rPr>
            </w:pPr>
            <w:r>
              <w:rPr>
                <w:rFonts w:ascii="Times New Roman"/>
                <w:sz w:val="21"/>
              </w:rPr>
              <w:t>3,847,089.00</w:t>
            </w:r>
          </w:p>
        </w:tc>
        <w:tc>
          <w:tcPr>
            <w:tcW w:w="16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6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6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61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88" w:right="0"/>
              <w:jc w:val="left"/>
              <w:rPr>
                <w:rFonts w:ascii="Times New Roman" w:hAnsi="Times New Roman" w:cs="Times New Roman" w:eastAsia="Times New Roman" w:hint="default"/>
                <w:sz w:val="21"/>
                <w:szCs w:val="21"/>
              </w:rPr>
            </w:pPr>
            <w:r>
              <w:rPr>
                <w:rFonts w:ascii="Times New Roman"/>
                <w:sz w:val="21"/>
              </w:rPr>
              <w:t>3,847,089.00</w:t>
            </w:r>
          </w:p>
        </w:tc>
      </w:tr>
    </w:tbl>
    <w:p>
      <w:pPr>
        <w:spacing w:line="240" w:lineRule="auto" w:before="2"/>
        <w:rPr>
          <w:rFonts w:ascii="宋体" w:hAnsi="宋体" w:cs="宋体" w:eastAsia="宋体" w:hint="default"/>
          <w:sz w:val="13"/>
          <w:szCs w:val="13"/>
        </w:rPr>
      </w:pPr>
    </w:p>
    <w:p>
      <w:pPr>
        <w:pStyle w:val="BodyText"/>
        <w:spacing w:line="240" w:lineRule="auto" w:before="36"/>
        <w:ind w:left="575" w:right="0"/>
        <w:jc w:val="left"/>
      </w:pPr>
      <w:r>
        <w:rPr/>
        <w:t>在建开发成本中的农贸市场项目多年前已停工，全额计提存货跌价准备；</w:t>
      </w:r>
    </w:p>
    <w:p>
      <w:pPr>
        <w:spacing w:line="240" w:lineRule="auto" w:before="2"/>
        <w:rPr>
          <w:rFonts w:ascii="宋体" w:hAnsi="宋体" w:cs="宋体" w:eastAsia="宋体" w:hint="default"/>
          <w:sz w:val="17"/>
          <w:szCs w:val="17"/>
        </w:rPr>
      </w:pPr>
    </w:p>
    <w:p>
      <w:pPr>
        <w:pStyle w:val="BodyText"/>
        <w:spacing w:line="415" w:lineRule="auto"/>
        <w:ind w:right="202" w:firstLine="412"/>
        <w:jc w:val="both"/>
      </w:pPr>
      <w:r>
        <w:rPr/>
        <w:t>（</w:t>
      </w:r>
      <w:r>
        <w:rPr>
          <w:rFonts w:ascii="Times New Roman" w:hAnsi="Times New Roman" w:cs="Times New Roman" w:eastAsia="Times New Roman" w:hint="default"/>
        </w:rPr>
        <w:t>3</w:t>
      </w:r>
      <w:r>
        <w:rPr/>
        <w:t>）库存商品的增加为本期新增子公司惠州宝安房地产开发有限公司</w:t>
      </w:r>
      <w:r>
        <w:rPr>
          <w:spacing w:val="-54"/>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
        </w:rPr>
        <w:t> </w:t>
      </w:r>
      <w:r>
        <w:rPr/>
        <w:t>年和</w:t>
      </w:r>
      <w:r>
        <w:rPr>
          <w:spacing w:val="-54"/>
        </w:rPr>
        <w:t> </w:t>
      </w:r>
      <w:r>
        <w:rPr>
          <w:rFonts w:ascii="Times New Roman" w:hAnsi="Times New Roman" w:cs="Times New Roman" w:eastAsia="Times New Roman" w:hint="default"/>
        </w:rPr>
        <w:t>2009</w:t>
      </w:r>
      <w:r>
        <w:rPr>
          <w:rFonts w:ascii="Times New Roman" w:hAnsi="Times New Roman" w:cs="Times New Roman" w:eastAsia="Times New Roman" w:hint="default"/>
          <w:spacing w:val="-2"/>
        </w:rPr>
        <w:t> </w:t>
      </w:r>
      <w:r>
        <w:rPr/>
        <w:t>年开发的</w:t>
      </w:r>
      <w:r>
        <w:rPr>
          <w:rFonts w:ascii="Times New Roman" w:hAnsi="Times New Roman" w:cs="Times New Roman" w:eastAsia="Times New Roman" w:hint="default"/>
        </w:rPr>
        <w:t>“</w:t>
      </w:r>
      <w:r>
        <w:rPr/>
        <w:t>山水</w:t>
      </w:r>
      <w:r>
        <w:rPr>
          <w:w w:val="100"/>
        </w:rPr>
        <w:t> </w:t>
      </w:r>
      <w:r>
        <w:rPr/>
        <w:t>江南一期、二期</w:t>
      </w:r>
      <w:r>
        <w:rPr>
          <w:rFonts w:ascii="Times New Roman" w:hAnsi="Times New Roman" w:cs="Times New Roman" w:eastAsia="Times New Roman" w:hint="default"/>
        </w:rPr>
        <w:t>”</w:t>
      </w:r>
      <w:r>
        <w:rPr/>
        <w:t>楼盘，山水江南一期现主要为尚未出售的车位，山水江南二期现主要为部分尚未出售的</w:t>
      </w:r>
      <w:r>
        <w:rPr>
          <w:spacing w:val="-23"/>
        </w:rPr>
        <w:t> </w:t>
      </w:r>
      <w:r>
        <w:rPr>
          <w:spacing w:val="-23"/>
        </w:rPr>
      </w:r>
      <w:r>
        <w:rPr/>
        <w:t>商品房及车位。</w:t>
      </w:r>
    </w:p>
    <w:p>
      <w:pPr>
        <w:pStyle w:val="BodyText"/>
        <w:spacing w:line="240" w:lineRule="auto" w:before="71"/>
        <w:ind w:left="565" w:right="0"/>
        <w:jc w:val="left"/>
      </w:pPr>
      <w:r>
        <w:rPr/>
        <w:t>（</w:t>
      </w:r>
      <w:r>
        <w:rPr>
          <w:rFonts w:ascii="Times New Roman" w:hAnsi="Times New Roman" w:cs="Times New Roman" w:eastAsia="Times New Roman" w:hint="default"/>
        </w:rPr>
        <w:t>4</w:t>
      </w:r>
      <w:r>
        <w:rPr/>
        <w:t>）所有权受限的存货：</w:t>
      </w:r>
    </w:p>
    <w:p>
      <w:pPr>
        <w:spacing w:line="240" w:lineRule="auto" w:before="12"/>
        <w:rPr>
          <w:rFonts w:ascii="宋体" w:hAnsi="宋体" w:cs="宋体" w:eastAsia="宋体" w:hint="default"/>
          <w:sz w:val="15"/>
          <w:szCs w:val="15"/>
        </w:rPr>
      </w:pPr>
    </w:p>
    <w:p>
      <w:pPr>
        <w:pStyle w:val="BodyText"/>
        <w:spacing w:line="412" w:lineRule="auto"/>
        <w:ind w:right="201" w:firstLine="412"/>
        <w:jc w:val="both"/>
      </w:pPr>
      <w:r>
        <w:rPr>
          <w:w w:val="100"/>
        </w:rPr>
        <w:t>截止</w:t>
      </w:r>
      <w:r>
        <w:rPr>
          <w:spacing w:val="-53"/>
          <w:w w:val="100"/>
        </w:rPr>
        <w:t> </w:t>
      </w:r>
      <w:r>
        <w:rPr>
          <w:rFonts w:ascii="Times New Roman" w:hAnsi="Times New Roman" w:cs="Times New Roman" w:eastAsia="Times New Roman" w:hint="default"/>
          <w:w w:val="100"/>
        </w:rPr>
        <w:t>2012 </w:t>
      </w:r>
      <w:r>
        <w:rPr>
          <w:w w:val="100"/>
        </w:rPr>
        <w:t>年</w:t>
      </w:r>
      <w:r>
        <w:rPr>
          <w:spacing w:val="-57"/>
          <w:w w:val="100"/>
        </w:rPr>
        <w:t> </w:t>
      </w:r>
      <w:r>
        <w:rPr>
          <w:rFonts w:ascii="Times New Roman" w:hAnsi="Times New Roman" w:cs="Times New Roman" w:eastAsia="Times New Roman" w:hint="default"/>
          <w:w w:val="100"/>
        </w:rPr>
        <w:t>12 </w:t>
      </w:r>
      <w:r>
        <w:rPr>
          <w:w w:val="100"/>
        </w:rPr>
        <w:t>月</w:t>
      </w:r>
      <w:r>
        <w:rPr>
          <w:spacing w:val="-53"/>
          <w:w w:val="100"/>
        </w:rPr>
        <w:t> </w:t>
      </w:r>
      <w:r>
        <w:rPr>
          <w:rFonts w:ascii="Times New Roman" w:hAnsi="Times New Roman" w:cs="Times New Roman" w:eastAsia="Times New Roman" w:hint="default"/>
          <w:w w:val="100"/>
        </w:rPr>
        <w:t>31</w:t>
      </w:r>
      <w:r>
        <w:rPr>
          <w:rFonts w:ascii="Times New Roman" w:hAnsi="Times New Roman" w:cs="Times New Roman" w:eastAsia="Times New Roman" w:hint="default"/>
          <w:spacing w:val="-5"/>
          <w:w w:val="100"/>
        </w:rPr>
        <w:t> </w:t>
      </w:r>
      <w:r>
        <w:rPr>
          <w:spacing w:val="-4"/>
          <w:w w:val="100"/>
        </w:rPr>
        <w:t>日，本公司用于银行贷款抵押的存货系在建开发成本中的</w:t>
      </w:r>
      <w:r>
        <w:rPr>
          <w:rFonts w:ascii="Times New Roman" w:hAnsi="Times New Roman" w:cs="Times New Roman" w:eastAsia="Times New Roman" w:hint="default"/>
          <w:spacing w:val="-4"/>
          <w:w w:val="100"/>
        </w:rPr>
        <w:t>“</w:t>
      </w:r>
      <w:r>
        <w:rPr>
          <w:spacing w:val="-4"/>
          <w:w w:val="100"/>
        </w:rPr>
        <w:t>湘潭宝安江南城</w:t>
      </w:r>
      <w:r>
        <w:rPr>
          <w:rFonts w:ascii="Times New Roman" w:hAnsi="Times New Roman" w:cs="Times New Roman" w:eastAsia="Times New Roman" w:hint="default"/>
          <w:spacing w:val="-4"/>
          <w:w w:val="100"/>
        </w:rPr>
        <w:t>”</w:t>
      </w:r>
      <w:r>
        <w:rPr>
          <w:spacing w:val="-4"/>
          <w:w w:val="100"/>
        </w:rPr>
        <w:t>的一</w:t>
      </w:r>
      <w:r>
        <w:rPr>
          <w:w w:val="100"/>
        </w:rPr>
        <w:t> </w:t>
      </w:r>
      <w:r>
        <w:rPr>
          <w:spacing w:val="-3"/>
        </w:rPr>
        <w:t>期低层建筑和</w:t>
      </w:r>
      <w:r>
        <w:rPr>
          <w:rFonts w:ascii="Times New Roman" w:hAnsi="Times New Roman" w:cs="Times New Roman" w:eastAsia="Times New Roman" w:hint="default"/>
          <w:spacing w:val="-3"/>
        </w:rPr>
        <w:t>“</w:t>
      </w:r>
      <w:r>
        <w:rPr>
          <w:spacing w:val="-3"/>
        </w:rPr>
        <w:t>惠州山水龙城</w:t>
      </w:r>
      <w:r>
        <w:rPr>
          <w:rFonts w:ascii="Times New Roman" w:hAnsi="Times New Roman" w:cs="Times New Roman" w:eastAsia="Times New Roman" w:hint="default"/>
          <w:spacing w:val="-3"/>
        </w:rPr>
        <w:t>”</w:t>
      </w:r>
      <w:r>
        <w:rPr>
          <w:spacing w:val="-3"/>
        </w:rPr>
        <w:t>的土地使用权中</w:t>
      </w:r>
      <w:r>
        <w:rPr>
          <w:rFonts w:ascii="Times New Roman" w:hAnsi="Times New Roman" w:cs="Times New Roman" w:eastAsia="Times New Roman" w:hint="default"/>
          <w:spacing w:val="-3"/>
        </w:rPr>
        <w:t>“</w:t>
      </w:r>
      <w:r>
        <w:rPr>
          <w:spacing w:val="-3"/>
        </w:rPr>
        <w:t>惠府国用（</w:t>
      </w:r>
      <w:r>
        <w:rPr>
          <w:rFonts w:ascii="Times New Roman" w:hAnsi="Times New Roman" w:cs="Times New Roman" w:eastAsia="Times New Roman" w:hint="default"/>
          <w:spacing w:val="-3"/>
        </w:rPr>
        <w:t>2011</w:t>
      </w:r>
      <w:r>
        <w:rPr>
          <w:spacing w:val="-3"/>
        </w:rPr>
        <w:t>）第</w:t>
      </w:r>
      <w:r>
        <w:rPr>
          <w:spacing w:val="-15"/>
        </w:rPr>
        <w:t> </w:t>
      </w:r>
      <w:r>
        <w:rPr>
          <w:rFonts w:ascii="Times New Roman" w:hAnsi="Times New Roman" w:cs="Times New Roman" w:eastAsia="Times New Roman" w:hint="default"/>
          <w:spacing w:val="-3"/>
        </w:rPr>
        <w:t>13021700674</w:t>
      </w:r>
      <w:r>
        <w:rPr>
          <w:spacing w:val="-3"/>
        </w:rPr>
        <w:t>、</w:t>
      </w:r>
      <w:r>
        <w:rPr>
          <w:rFonts w:ascii="Times New Roman" w:hAnsi="Times New Roman" w:cs="Times New Roman" w:eastAsia="Times New Roman" w:hint="default"/>
          <w:spacing w:val="-3"/>
        </w:rPr>
        <w:t>656</w:t>
      </w:r>
      <w:r>
        <w:rPr>
          <w:spacing w:val="-3"/>
        </w:rPr>
        <w:t>、</w:t>
      </w:r>
      <w:r>
        <w:rPr>
          <w:rFonts w:ascii="Times New Roman" w:hAnsi="Times New Roman" w:cs="Times New Roman" w:eastAsia="Times New Roman" w:hint="default"/>
          <w:spacing w:val="-3"/>
        </w:rPr>
        <w:t>677</w:t>
      </w:r>
      <w:r>
        <w:rPr>
          <w:rFonts w:ascii="Times New Roman" w:hAnsi="Times New Roman" w:cs="Times New Roman" w:eastAsia="Times New Roman" w:hint="default"/>
          <w:spacing w:val="38"/>
        </w:rPr>
        <w:t> </w:t>
      </w:r>
      <w:r>
        <w:rPr>
          <w:spacing w:val="-5"/>
        </w:rPr>
        <w:t>号地，金额合</w:t>
      </w:r>
      <w:r>
        <w:rPr>
          <w:spacing w:val="-94"/>
        </w:rPr>
        <w:t> </w:t>
      </w:r>
      <w:r>
        <w:rPr>
          <w:spacing w:val="-94"/>
        </w:rPr>
      </w:r>
      <w:r>
        <w:rPr/>
        <w:t>计</w:t>
      </w:r>
      <w:r>
        <w:rPr>
          <w:spacing w:val="-50"/>
        </w:rPr>
        <w:t> </w:t>
      </w:r>
      <w:r>
        <w:rPr>
          <w:rFonts w:ascii="Times New Roman" w:hAnsi="Times New Roman" w:cs="Times New Roman" w:eastAsia="Times New Roman" w:hint="default"/>
        </w:rPr>
        <w:t>389,076,930.48</w:t>
      </w:r>
      <w:r>
        <w:rPr>
          <w:rFonts w:ascii="Times New Roman" w:hAnsi="Times New Roman" w:cs="Times New Roman" w:eastAsia="Times New Roman" w:hint="default"/>
          <w:spacing w:val="3"/>
        </w:rPr>
        <w:t> </w:t>
      </w:r>
      <w:r>
        <w:rPr>
          <w:spacing w:val="-3"/>
        </w:rPr>
        <w:t>元。</w:t>
      </w:r>
    </w:p>
    <w:p>
      <w:pPr>
        <w:spacing w:line="240" w:lineRule="auto" w:before="0"/>
        <w:rPr>
          <w:rFonts w:ascii="宋体" w:hAnsi="宋体" w:cs="宋体" w:eastAsia="宋体" w:hint="default"/>
          <w:sz w:val="22"/>
          <w:szCs w:val="22"/>
        </w:rPr>
      </w:pPr>
    </w:p>
    <w:p>
      <w:pPr>
        <w:pStyle w:val="Heading6"/>
        <w:spacing w:line="240" w:lineRule="auto" w:before="190"/>
        <w:ind w:right="0"/>
        <w:jc w:val="left"/>
        <w:rPr>
          <w:b w:val="0"/>
          <w:bCs w:val="0"/>
        </w:rPr>
      </w:pPr>
      <w:r>
        <w:rPr>
          <w:rFonts w:ascii="Times New Roman" w:hAnsi="Times New Roman" w:cs="Times New Roman" w:eastAsia="Times New Roman" w:hint="default"/>
        </w:rPr>
        <w:t>6</w:t>
      </w:r>
      <w:r>
        <w:rPr/>
        <w:t>、可供出售金融资产</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178"/>
        <w:gridCol w:w="3168"/>
        <w:gridCol w:w="3168"/>
      </w:tblGrid>
      <w:tr>
        <w:trPr>
          <w:trHeight w:val="518" w:hRule="exact"/>
        </w:trPr>
        <w:tc>
          <w:tcPr>
            <w:tcW w:w="3178"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361"/>
              <w:jc w:val="right"/>
              <w:rPr>
                <w:rFonts w:ascii="宋体" w:hAnsi="宋体" w:cs="宋体" w:eastAsia="宋体" w:hint="default"/>
                <w:sz w:val="21"/>
                <w:szCs w:val="21"/>
              </w:rPr>
            </w:pPr>
            <w:r>
              <w:rPr>
                <w:rFonts w:ascii="宋体" w:hAnsi="宋体" w:cs="宋体" w:eastAsia="宋体" w:hint="default"/>
                <w:sz w:val="21"/>
                <w:szCs w:val="21"/>
              </w:rPr>
              <w:t>项目</w:t>
            </w:r>
          </w:p>
        </w:tc>
        <w:tc>
          <w:tcPr>
            <w:tcW w:w="316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2"/>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23" w:hRule="exact"/>
        </w:trPr>
        <w:tc>
          <w:tcPr>
            <w:tcW w:w="3178"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361"/>
              <w:jc w:val="right"/>
              <w:rPr>
                <w:rFonts w:ascii="宋体" w:hAnsi="宋体" w:cs="宋体" w:eastAsia="宋体" w:hint="default"/>
                <w:sz w:val="21"/>
                <w:szCs w:val="21"/>
              </w:rPr>
            </w:pPr>
            <w:r>
              <w:rPr>
                <w:rFonts w:ascii="宋体" w:hAnsi="宋体" w:cs="宋体" w:eastAsia="宋体" w:hint="default"/>
                <w:spacing w:val="-1"/>
                <w:sz w:val="21"/>
                <w:szCs w:val="21"/>
              </w:rPr>
              <w:t>可供出售权益工具</w:t>
            </w:r>
          </w:p>
        </w:tc>
        <w:tc>
          <w:tcPr>
            <w:tcW w:w="316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1843" w:right="0"/>
              <w:jc w:val="left"/>
              <w:rPr>
                <w:rFonts w:ascii="Times New Roman" w:hAnsi="Times New Roman" w:cs="Times New Roman" w:eastAsia="Times New Roman" w:hint="default"/>
                <w:sz w:val="21"/>
                <w:szCs w:val="21"/>
              </w:rPr>
            </w:pPr>
            <w:r>
              <w:rPr>
                <w:rFonts w:ascii="Times New Roman"/>
                <w:sz w:val="21"/>
              </w:rPr>
              <w:t>32,276,398.62</w:t>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1838" w:right="0"/>
              <w:jc w:val="left"/>
              <w:rPr>
                <w:rFonts w:ascii="Times New Roman" w:hAnsi="Times New Roman" w:cs="Times New Roman" w:eastAsia="Times New Roman" w:hint="default"/>
                <w:sz w:val="21"/>
                <w:szCs w:val="21"/>
              </w:rPr>
            </w:pPr>
            <w:r>
              <w:rPr>
                <w:rFonts w:ascii="Times New Roman"/>
                <w:sz w:val="21"/>
              </w:rPr>
              <w:t>33,437,762.52</w:t>
            </w:r>
          </w:p>
        </w:tc>
      </w:tr>
    </w:tbl>
    <w:p>
      <w:pPr>
        <w:spacing w:line="240" w:lineRule="auto" w:before="8"/>
        <w:rPr>
          <w:rFonts w:ascii="Microsoft JhengHei" w:hAnsi="Microsoft JhengHei" w:cs="Microsoft JhengHei" w:eastAsia="Microsoft JhengHei" w:hint="default"/>
          <w:b/>
          <w:bCs/>
          <w:sz w:val="9"/>
          <w:szCs w:val="9"/>
        </w:rPr>
      </w:pPr>
    </w:p>
    <w:p>
      <w:pPr>
        <w:pStyle w:val="BodyText"/>
        <w:spacing w:line="436" w:lineRule="auto" w:before="36"/>
        <w:ind w:right="0" w:firstLine="422"/>
        <w:jc w:val="left"/>
      </w:pPr>
      <w:r>
        <w:rPr>
          <w:spacing w:val="-2"/>
        </w:rPr>
        <w:t>本公司可供出售金融资产均是持有的已经股改上市公司股份，以公允价值入账，按期末收市价确定其</w:t>
      </w:r>
      <w:r>
        <w:rPr>
          <w:w w:val="100"/>
        </w:rPr>
        <w:t> </w:t>
      </w:r>
      <w:r>
        <w:rPr/>
        <w:t>公允价值。</w:t>
      </w:r>
    </w:p>
    <w:p>
      <w:pPr>
        <w:spacing w:after="0" w:line="436" w:lineRule="auto"/>
        <w:jc w:val="left"/>
        <w:sectPr>
          <w:pgSz w:w="11900" w:h="16840"/>
          <w:pgMar w:header="762" w:footer="840" w:top="1000" w:bottom="1020" w:left="980" w:right="920"/>
        </w:sectPr>
      </w:pPr>
    </w:p>
    <w:p>
      <w:pPr>
        <w:spacing w:line="240" w:lineRule="auto" w:before="5"/>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pgSz w:w="11900" w:h="16840"/>
          <w:pgMar w:header="762" w:footer="840" w:top="1000" w:bottom="1020" w:left="980" w:right="1020"/>
        </w:sectPr>
      </w:pPr>
    </w:p>
    <w:p>
      <w:pPr>
        <w:spacing w:line="240" w:lineRule="auto" w:before="9"/>
        <w:rPr>
          <w:rFonts w:ascii="Times New Roman" w:hAnsi="Times New Roman" w:cs="Times New Roman" w:eastAsia="Times New Roman" w:hint="default"/>
          <w:sz w:val="24"/>
          <w:szCs w:val="24"/>
        </w:rPr>
      </w:pPr>
    </w:p>
    <w:p>
      <w:pPr>
        <w:pStyle w:val="Heading6"/>
        <w:spacing w:line="335" w:lineRule="exact"/>
        <w:ind w:left="662" w:right="0"/>
        <w:jc w:val="left"/>
        <w:rPr>
          <w:b w:val="0"/>
          <w:bCs w:val="0"/>
        </w:rPr>
      </w:pPr>
      <w:r>
        <w:rPr>
          <w:rFonts w:ascii="Times New Roman" w:hAnsi="Times New Roman" w:cs="Times New Roman" w:eastAsia="Times New Roman" w:hint="default"/>
        </w:rPr>
        <w:t>7</w:t>
      </w:r>
      <w:r>
        <w:rPr/>
        <w:t>、长期股权投资</w:t>
      </w:r>
      <w:r>
        <w:rPr>
          <w:b w:val="0"/>
          <w:bCs w:val="0"/>
        </w:rPr>
      </w:r>
    </w:p>
    <w:tbl>
      <w:tblPr>
        <w:tblW w:w="0" w:type="auto"/>
        <w:jc w:val="left"/>
        <w:tblInd w:w="100" w:type="dxa"/>
        <w:tblLayout w:type="fixed"/>
        <w:tblCellMar>
          <w:top w:w="0" w:type="dxa"/>
          <w:left w:w="0" w:type="dxa"/>
          <w:bottom w:w="0" w:type="dxa"/>
          <w:right w:w="0" w:type="dxa"/>
        </w:tblCellMar>
        <w:tblLook w:val="01E0"/>
      </w:tblPr>
      <w:tblGrid>
        <w:gridCol w:w="2755"/>
        <w:gridCol w:w="974"/>
        <w:gridCol w:w="1344"/>
        <w:gridCol w:w="1339"/>
        <w:gridCol w:w="1310"/>
        <w:gridCol w:w="1344"/>
        <w:gridCol w:w="1128"/>
        <w:gridCol w:w="1133"/>
        <w:gridCol w:w="1253"/>
        <w:gridCol w:w="1157"/>
        <w:gridCol w:w="1027"/>
      </w:tblGrid>
      <w:tr>
        <w:trPr>
          <w:trHeight w:val="984" w:hRule="exact"/>
        </w:trPr>
        <w:tc>
          <w:tcPr>
            <w:tcW w:w="275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left="936"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核算方法</w:t>
            </w:r>
          </w:p>
        </w:tc>
        <w:tc>
          <w:tcPr>
            <w:tcW w:w="13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3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left="29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left="287"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34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128" w:type="dxa"/>
            <w:tcBorders>
              <w:top w:val="single" w:sz="12" w:space="0" w:color="000000"/>
              <w:left w:val="single" w:sz="4" w:space="0" w:color="000000"/>
              <w:bottom w:val="single" w:sz="4" w:space="0" w:color="000000"/>
              <w:right w:val="single" w:sz="4" w:space="0" w:color="000000"/>
            </w:tcBorders>
          </w:tcPr>
          <w:p>
            <w:pPr>
              <w:pStyle w:val="TableParagraph"/>
              <w:spacing w:line="328" w:lineRule="auto" w:before="53"/>
              <w:ind w:left="196" w:right="194"/>
              <w:jc w:val="center"/>
              <w:rPr>
                <w:rFonts w:ascii="宋体" w:hAnsi="宋体" w:cs="宋体" w:eastAsia="宋体" w:hint="default"/>
                <w:sz w:val="18"/>
                <w:szCs w:val="18"/>
              </w:rPr>
            </w:pPr>
            <w:r>
              <w:rPr>
                <w:rFonts w:ascii="宋体" w:hAnsi="宋体" w:cs="宋体" w:eastAsia="宋体" w:hint="default"/>
                <w:spacing w:val="-2"/>
                <w:sz w:val="18"/>
                <w:szCs w:val="18"/>
              </w:rPr>
              <w:t>在被投资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单位持股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比例</w:t>
            </w:r>
          </w:p>
        </w:tc>
        <w:tc>
          <w:tcPr>
            <w:tcW w:w="1133" w:type="dxa"/>
            <w:tcBorders>
              <w:top w:val="single" w:sz="12" w:space="0" w:color="000000"/>
              <w:left w:val="single" w:sz="4" w:space="0" w:color="000000"/>
              <w:bottom w:val="single" w:sz="4" w:space="0" w:color="000000"/>
              <w:right w:val="single" w:sz="4" w:space="0" w:color="000000"/>
            </w:tcBorders>
          </w:tcPr>
          <w:p>
            <w:pPr>
              <w:pStyle w:val="TableParagraph"/>
              <w:spacing w:line="328" w:lineRule="auto" w:before="53"/>
              <w:ind w:left="110" w:right="108" w:firstLine="4"/>
              <w:jc w:val="center"/>
              <w:rPr>
                <w:rFonts w:ascii="宋体" w:hAnsi="宋体" w:cs="宋体" w:eastAsia="宋体" w:hint="default"/>
                <w:sz w:val="18"/>
                <w:szCs w:val="18"/>
              </w:rPr>
            </w:pPr>
            <w:r>
              <w:rPr>
                <w:rFonts w:ascii="宋体" w:hAnsi="宋体" w:cs="宋体" w:eastAsia="宋体" w:hint="default"/>
                <w:sz w:val="18"/>
                <w:szCs w:val="18"/>
              </w:rPr>
              <w:t>在被投资</w:t>
            </w:r>
            <w:r>
              <w:rPr>
                <w:rFonts w:ascii="宋体" w:hAnsi="宋体" w:cs="宋体" w:eastAsia="宋体" w:hint="default"/>
                <w:w w:val="101"/>
                <w:sz w:val="18"/>
                <w:szCs w:val="18"/>
              </w:rPr>
              <w:t> </w:t>
            </w:r>
            <w:r>
              <w:rPr>
                <w:rFonts w:ascii="宋体" w:hAnsi="宋体" w:cs="宋体" w:eastAsia="宋体" w:hint="default"/>
                <w:spacing w:val="-2"/>
                <w:sz w:val="18"/>
                <w:szCs w:val="18"/>
              </w:rPr>
              <w:t>单位表决权</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比例</w:t>
            </w:r>
          </w:p>
        </w:tc>
        <w:tc>
          <w:tcPr>
            <w:tcW w:w="125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21"/>
                <w:szCs w:val="21"/>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5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328" w:lineRule="auto"/>
              <w:ind w:left="302" w:right="117" w:hanging="178"/>
              <w:jc w:val="left"/>
              <w:rPr>
                <w:rFonts w:ascii="宋体" w:hAnsi="宋体" w:cs="宋体" w:eastAsia="宋体" w:hint="default"/>
                <w:sz w:val="18"/>
                <w:szCs w:val="18"/>
              </w:rPr>
            </w:pPr>
            <w:r>
              <w:rPr>
                <w:rFonts w:ascii="宋体" w:hAnsi="宋体" w:cs="宋体" w:eastAsia="宋体" w:hint="default"/>
                <w:spacing w:val="-2"/>
                <w:sz w:val="18"/>
                <w:szCs w:val="18"/>
              </w:rPr>
              <w:t>本期计提减</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值准备</w:t>
            </w:r>
          </w:p>
        </w:tc>
        <w:tc>
          <w:tcPr>
            <w:tcW w:w="102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328" w:lineRule="auto"/>
              <w:ind w:left="148" w:right="146" w:firstLine="177"/>
              <w:jc w:val="left"/>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w w:val="101"/>
                <w:sz w:val="18"/>
                <w:szCs w:val="18"/>
              </w:rPr>
              <w:t> </w:t>
            </w:r>
            <w:r>
              <w:rPr>
                <w:rFonts w:ascii="宋体" w:hAnsi="宋体" w:cs="宋体" w:eastAsia="宋体" w:hint="default"/>
                <w:sz w:val="18"/>
                <w:szCs w:val="18"/>
              </w:rPr>
              <w:t>现金红利</w:t>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一、联营企业</w:t>
            </w:r>
            <w:r>
              <w:rPr>
                <w:rFonts w:ascii="Microsoft JhengHei" w:hAnsi="Microsoft JhengHei" w:cs="Microsoft JhengHei" w:eastAsia="Microsoft JhengHei" w:hint="default"/>
                <w:sz w:val="18"/>
                <w:szCs w:val="18"/>
              </w:rPr>
            </w:r>
          </w:p>
        </w:tc>
        <w:tc>
          <w:tcPr>
            <w:tcW w:w="97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39"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27"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深圳市深威驳运有限公司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5,400,000.00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5,894,148.01</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7,095.49</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5,901,243.50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45%</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深圳市雅喆电梯有限公司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600,000.00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597,222.58</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24,311.96</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621,534.54</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40%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深圳市泉源实业发展有限公司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23,000,000.00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13,932,727.48</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-279,473.49</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13,653,253.99</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50%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10,733,989.28</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福建东南广播电视网络有限公司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75,290,750.00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42,962,382.80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-4,211,331.13</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38,751,051.67</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38.69%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38.69%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深圳市颂德房地产开发有限公司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权益法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18,224,400.00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49%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49%</w:t>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2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小计</w:t>
            </w:r>
            <w:r>
              <w:rPr>
                <w:rFonts w:ascii="Microsoft JhengHei" w:hAnsi="Microsoft JhengHei" w:cs="Microsoft JhengHei" w:eastAsia="Microsoft JhengHei" w:hint="default"/>
                <w:sz w:val="18"/>
                <w:szCs w:val="18"/>
              </w:rPr>
            </w:r>
          </w:p>
        </w:tc>
        <w:tc>
          <w:tcPr>
            <w:tcW w:w="97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2"/>
                <w:sz w:val="18"/>
              </w:rPr>
              <w:t>122,515,150.00</w:t>
            </w:r>
            <w:r>
              <w:rPr>
                <w:rFonts w:ascii="Times New Roman"/>
                <w:spacing w:val="-2"/>
                <w:sz w:val="18"/>
              </w:rPr>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63,386,480.87</w:t>
            </w:r>
            <w:r>
              <w:rPr>
                <w:rFonts w:ascii="Times New Roman"/>
                <w:spacing w:val="-1"/>
                <w:sz w:val="18"/>
              </w:rPr>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-4,459,397.17</w:t>
            </w:r>
            <w:r>
              <w:rPr>
                <w:rFonts w:ascii="Times New Roman"/>
                <w:spacing w:val="-1"/>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58,927,083.70</w:t>
            </w:r>
            <w:r>
              <w:rPr>
                <w:rFonts w:ascii="Times New Roman"/>
                <w:spacing w:val="-1"/>
                <w:sz w:val="18"/>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10,733,989.28</w:t>
            </w:r>
            <w:r>
              <w:rPr>
                <w:rFonts w:ascii="Times New Roman"/>
                <w:spacing w:val="-1"/>
                <w:sz w:val="18"/>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027" w:type="dxa"/>
            <w:tcBorders>
              <w:top w:val="single" w:sz="4" w:space="0" w:color="000000"/>
              <w:left w:val="single" w:sz="4" w:space="0" w:color="000000"/>
              <w:bottom w:val="single" w:sz="4" w:space="0" w:color="000000"/>
              <w:right w:val="nil" w:sz="6" w:space="0" w:color="auto"/>
            </w:tcBorders>
          </w:tcPr>
          <w:p>
            <w:pPr/>
          </w:p>
        </w:tc>
      </w:tr>
      <w:tr>
        <w:trPr>
          <w:trHeight w:val="514"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二、其他长期股权投资</w:t>
            </w:r>
            <w:r>
              <w:rPr>
                <w:rFonts w:ascii="Microsoft JhengHei" w:hAnsi="Microsoft JhengHei" w:cs="Microsoft JhengHei" w:eastAsia="Microsoft JhengHei" w:hint="default"/>
                <w:sz w:val="18"/>
                <w:szCs w:val="18"/>
              </w:rPr>
            </w:r>
          </w:p>
        </w:tc>
        <w:tc>
          <w:tcPr>
            <w:tcW w:w="97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339" w:type="dxa"/>
            <w:tcBorders>
              <w:top w:val="single" w:sz="4" w:space="0" w:color="000000"/>
              <w:left w:val="single" w:sz="4" w:space="0" w:color="000000"/>
              <w:bottom w:val="single" w:sz="4" w:space="0" w:color="000000"/>
              <w:right w:val="single" w:sz="4" w:space="0" w:color="000000"/>
            </w:tcBorders>
          </w:tcPr>
          <w:p>
            <w:pPr/>
          </w:p>
        </w:tc>
        <w:tc>
          <w:tcPr>
            <w:tcW w:w="1310"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253" w:type="dxa"/>
            <w:tcBorders>
              <w:top w:val="single" w:sz="4" w:space="0" w:color="000000"/>
              <w:left w:val="single" w:sz="4" w:space="0" w:color="000000"/>
              <w:bottom w:val="single" w:sz="4" w:space="0" w:color="000000"/>
              <w:right w:val="single" w:sz="4" w:space="0" w:color="000000"/>
            </w:tcBorders>
          </w:tcPr>
          <w:p>
            <w:pPr/>
          </w:p>
        </w:tc>
        <w:tc>
          <w:tcPr>
            <w:tcW w:w="1157" w:type="dxa"/>
            <w:tcBorders>
              <w:top w:val="single" w:sz="4" w:space="0" w:color="000000"/>
              <w:left w:val="single" w:sz="4" w:space="0" w:color="000000"/>
              <w:bottom w:val="single" w:sz="4" w:space="0" w:color="000000"/>
              <w:right w:val="single" w:sz="4" w:space="0" w:color="000000"/>
            </w:tcBorders>
          </w:tcPr>
          <w:p>
            <w:pPr/>
          </w:p>
        </w:tc>
        <w:tc>
          <w:tcPr>
            <w:tcW w:w="1027"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三九胃泰股份有限公司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832,000.00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832,000.00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832,000.00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832,000.00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四川通产物业股份有限公司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744"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5"/>
                <w:szCs w:val="15"/>
              </w:rPr>
            </w:pPr>
          </w:p>
          <w:p>
            <w:pPr>
              <w:pStyle w:val="TableParagraph"/>
              <w:spacing w:line="230" w:lineRule="exact"/>
              <w:ind w:left="124" w:right="280"/>
              <w:jc w:val="left"/>
              <w:rPr>
                <w:rFonts w:ascii="宋体" w:hAnsi="宋体" w:cs="宋体" w:eastAsia="宋体" w:hint="default"/>
                <w:sz w:val="18"/>
                <w:szCs w:val="18"/>
              </w:rPr>
            </w:pPr>
            <w:r>
              <w:rPr>
                <w:rFonts w:ascii="宋体" w:hAnsi="宋体" w:cs="宋体" w:eastAsia="宋体" w:hint="default"/>
                <w:spacing w:val="-3"/>
                <w:sz w:val="18"/>
                <w:szCs w:val="18"/>
              </w:rPr>
              <w:t>长春高斯达生物科技集团股份</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有限公司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8"/>
              <w:ind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8,724,000.00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8,724,000.00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8,724,000.00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8,724,000.00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深运工贸翠苑旅店</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785,377.30</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785,377.30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785,377.30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27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2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小计</w:t>
            </w:r>
            <w:r>
              <w:rPr>
                <w:rFonts w:ascii="Microsoft JhengHei" w:hAnsi="Microsoft JhengHei" w:cs="Microsoft JhengHei" w:eastAsia="Microsoft JhengHei" w:hint="default"/>
                <w:sz w:val="18"/>
                <w:szCs w:val="18"/>
              </w:rPr>
            </w:r>
          </w:p>
        </w:tc>
        <w:tc>
          <w:tcPr>
            <w:tcW w:w="974"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10,556,000.00</w:t>
            </w:r>
            <w:r>
              <w:rPr>
                <w:rFonts w:ascii="Times New Roman"/>
                <w:spacing w:val="-1"/>
                <w:sz w:val="18"/>
              </w:rPr>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10,841,377.30</w:t>
            </w:r>
            <w:r>
              <w:rPr>
                <w:rFonts w:ascii="Times New Roman"/>
                <w:spacing w:val="-1"/>
                <w:sz w:val="18"/>
              </w:rPr>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10,841,377.30</w:t>
            </w:r>
            <w:r>
              <w:rPr>
                <w:rFonts w:ascii="Times New Roman"/>
                <w:spacing w:val="-1"/>
                <w:sz w:val="18"/>
              </w:rPr>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2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10,841,377.30</w:t>
            </w:r>
            <w:r>
              <w:rPr>
                <w:rFonts w:ascii="Times New Roman"/>
                <w:spacing w:val="-1"/>
                <w:sz w:val="18"/>
              </w:rPr>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0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r>
        <w:trPr>
          <w:trHeight w:val="518" w:hRule="exact"/>
        </w:trPr>
        <w:tc>
          <w:tcPr>
            <w:tcW w:w="275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2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974" w:type="dxa"/>
            <w:tcBorders>
              <w:top w:val="single" w:sz="4" w:space="0" w:color="000000"/>
              <w:left w:val="single" w:sz="4" w:space="0" w:color="000000"/>
              <w:bottom w:val="single" w:sz="12" w:space="0" w:color="000000"/>
              <w:right w:val="single" w:sz="4" w:space="0" w:color="000000"/>
            </w:tcBorders>
          </w:tcPr>
          <w:p>
            <w:pPr/>
          </w:p>
        </w:tc>
        <w:tc>
          <w:tcPr>
            <w:tcW w:w="13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133,071,150.00</w:t>
            </w:r>
            <w:r>
              <w:rPr>
                <w:rFonts w:ascii="Times New Roman"/>
                <w:spacing w:val="-1"/>
                <w:sz w:val="18"/>
              </w:rPr>
            </w:r>
          </w:p>
        </w:tc>
        <w:tc>
          <w:tcPr>
            <w:tcW w:w="133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74,227,858.17</w:t>
            </w:r>
            <w:r>
              <w:rPr>
                <w:rFonts w:ascii="Times New Roman"/>
                <w:spacing w:val="-1"/>
                <w:sz w:val="18"/>
              </w:rPr>
            </w:r>
          </w:p>
        </w:tc>
        <w:tc>
          <w:tcPr>
            <w:tcW w:w="13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-4,459,397.17</w:t>
            </w:r>
            <w:r>
              <w:rPr>
                <w:rFonts w:ascii="Times New Roman"/>
                <w:spacing w:val="-1"/>
                <w:sz w:val="18"/>
              </w:rPr>
            </w:r>
          </w:p>
        </w:tc>
        <w:tc>
          <w:tcPr>
            <w:tcW w:w="134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69,768,461.00</w:t>
            </w:r>
            <w:r>
              <w:rPr>
                <w:rFonts w:ascii="Times New Roman"/>
                <w:spacing w:val="-1"/>
                <w:sz w:val="18"/>
              </w:rPr>
            </w:r>
          </w:p>
        </w:tc>
        <w:tc>
          <w:tcPr>
            <w:tcW w:w="112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25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21,575,366.58</w:t>
            </w:r>
            <w:r>
              <w:rPr>
                <w:rFonts w:ascii="Times New Roman"/>
                <w:spacing w:val="-1"/>
                <w:sz w:val="18"/>
              </w:rPr>
            </w:r>
          </w:p>
        </w:tc>
        <w:tc>
          <w:tcPr>
            <w:tcW w:w="11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0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34"/>
          <w:footerReference w:type="default" r:id="rId35"/>
          <w:pgSz w:w="16840" w:h="11900" w:orient="landscape"/>
          <w:pgMar w:header="756" w:footer="840" w:top="980" w:bottom="1020" w:left="1200" w:right="620"/>
          <w:pgNumType w:start="90"/>
        </w:sectPr>
      </w:pPr>
    </w:p>
    <w:p>
      <w:pPr>
        <w:spacing w:line="240" w:lineRule="auto" w:before="6"/>
        <w:rPr>
          <w:rFonts w:ascii="Microsoft JhengHei" w:hAnsi="Microsoft JhengHei" w:cs="Microsoft JhengHei" w:eastAsia="Microsoft JhengHei" w:hint="default"/>
          <w:b/>
          <w:bCs/>
          <w:sz w:val="16"/>
          <w:szCs w:val="16"/>
        </w:rPr>
      </w:pPr>
    </w:p>
    <w:p>
      <w:pPr>
        <w:pStyle w:val="BodyText"/>
        <w:spacing w:line="415" w:lineRule="auto" w:before="36"/>
        <w:ind w:left="140" w:right="134" w:firstLine="422"/>
        <w:jc w:val="both"/>
      </w:pPr>
      <w:r>
        <w:rPr>
          <w:spacing w:val="-3"/>
        </w:rPr>
        <w:t>深圳市颂德房地产开发有限公司为以前年度与深圳市永浩房地产开发有限公司（以下简称：永浩公司）合作成立的联营企业，本公司以梅林</w:t>
      </w:r>
      <w:r>
        <w:rPr>
          <w:spacing w:val="31"/>
        </w:rPr>
        <w:t> </w:t>
      </w:r>
      <w:r>
        <w:rPr>
          <w:rFonts w:ascii="Times New Roman" w:hAnsi="Times New Roman" w:cs="Times New Roman" w:eastAsia="Times New Roman" w:hint="default"/>
        </w:rPr>
        <w:t>B403-19</w:t>
      </w:r>
      <w:r>
        <w:rPr>
          <w:rFonts w:ascii="Times New Roman" w:hAnsi="Times New Roman" w:cs="Times New Roman" w:eastAsia="Times New Roman" w:hint="default"/>
          <w:w w:val="100"/>
        </w:rPr>
        <w:t> </w:t>
      </w:r>
      <w:r>
        <w:rPr/>
        <w:t>地块出资与永浩公司共同进行保障房项目开发，本期已办理相关法律手续并确认长期股权投资，用于出资的梅林 </w:t>
      </w:r>
      <w:r>
        <w:rPr>
          <w:rFonts w:ascii="Times New Roman" w:hAnsi="Times New Roman" w:cs="Times New Roman" w:eastAsia="Times New Roman" w:hint="default"/>
        </w:rPr>
        <w:t>B403-19</w:t>
      </w:r>
      <w:r>
        <w:rPr>
          <w:rFonts w:ascii="Times New Roman" w:hAnsi="Times New Roman" w:cs="Times New Roman" w:eastAsia="Times New Roman" w:hint="default"/>
          <w:spacing w:val="34"/>
        </w:rPr>
        <w:t> </w:t>
      </w:r>
      <w:r>
        <w:rPr/>
        <w:t>地块以其公允价值与帐面价值</w:t>
      </w:r>
      <w:r>
        <w:rPr>
          <w:w w:val="100"/>
        </w:rPr>
        <w:t> </w:t>
      </w:r>
      <w:r>
        <w:rPr/>
        <w:t>的差额计入当期损益，本期公司已将该股权全部转让予永浩公司。</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Heading6"/>
        <w:spacing w:line="240" w:lineRule="auto"/>
        <w:ind w:left="562" w:right="0"/>
        <w:jc w:val="left"/>
        <w:rPr>
          <w:b w:val="0"/>
          <w:bCs w:val="0"/>
        </w:rPr>
      </w:pPr>
      <w:r>
        <w:rPr>
          <w:rFonts w:ascii="Times New Roman" w:hAnsi="Times New Roman" w:cs="Times New Roman" w:eastAsia="Times New Roman" w:hint="default"/>
        </w:rPr>
        <w:t>8</w:t>
      </w:r>
      <w:r>
        <w:rPr/>
        <w:t>、对联营企业投资</w:t>
      </w:r>
      <w:r>
        <w:rPr>
          <w:b w:val="0"/>
          <w:bCs w:val="0"/>
        </w:rPr>
      </w:r>
    </w:p>
    <w:tbl>
      <w:tblPr>
        <w:tblW w:w="0" w:type="auto"/>
        <w:jc w:val="left"/>
        <w:tblInd w:w="111" w:type="dxa"/>
        <w:tblLayout w:type="fixed"/>
        <w:tblCellMar>
          <w:top w:w="0" w:type="dxa"/>
          <w:left w:w="0" w:type="dxa"/>
          <w:bottom w:w="0" w:type="dxa"/>
          <w:right w:w="0" w:type="dxa"/>
        </w:tblCellMar>
        <w:tblLook w:val="01E0"/>
      </w:tblPr>
      <w:tblGrid>
        <w:gridCol w:w="2597"/>
        <w:gridCol w:w="1498"/>
        <w:gridCol w:w="1949"/>
        <w:gridCol w:w="1584"/>
        <w:gridCol w:w="1589"/>
        <w:gridCol w:w="1584"/>
        <w:gridCol w:w="1589"/>
        <w:gridCol w:w="1584"/>
      </w:tblGrid>
      <w:tr>
        <w:trPr>
          <w:trHeight w:val="1022" w:hRule="exact"/>
        </w:trPr>
        <w:tc>
          <w:tcPr>
            <w:tcW w:w="259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671" w:right="0"/>
              <w:jc w:val="left"/>
              <w:rPr>
                <w:rFonts w:ascii="宋体" w:hAnsi="宋体" w:cs="宋体" w:eastAsia="宋体" w:hint="default"/>
                <w:sz w:val="18"/>
                <w:szCs w:val="18"/>
              </w:rPr>
            </w:pPr>
            <w:r>
              <w:rPr>
                <w:rFonts w:ascii="宋体" w:hAnsi="宋体" w:cs="宋体" w:eastAsia="宋体" w:hint="default"/>
                <w:spacing w:val="-3"/>
                <w:sz w:val="18"/>
                <w:szCs w:val="18"/>
              </w:rPr>
              <w:t>被投资单位名称</w:t>
            </w:r>
          </w:p>
        </w:tc>
        <w:tc>
          <w:tcPr>
            <w:tcW w:w="1498" w:type="dxa"/>
            <w:tcBorders>
              <w:top w:val="single" w:sz="12" w:space="0" w:color="000000"/>
              <w:left w:val="single" w:sz="4" w:space="0" w:color="000000"/>
              <w:bottom w:val="single" w:sz="4" w:space="0" w:color="000000"/>
              <w:right w:val="single" w:sz="4" w:space="0" w:color="000000"/>
            </w:tcBorders>
          </w:tcPr>
          <w:p>
            <w:pPr>
              <w:pStyle w:val="TableParagraph"/>
              <w:spacing w:line="500" w:lineRule="exact" w:before="46"/>
              <w:ind w:left="379" w:right="381" w:firstLine="91"/>
              <w:jc w:val="left"/>
              <w:rPr>
                <w:rFonts w:ascii="宋体" w:hAnsi="宋体" w:cs="宋体" w:eastAsia="宋体" w:hint="default"/>
                <w:sz w:val="18"/>
                <w:szCs w:val="18"/>
              </w:rPr>
            </w:pPr>
            <w:r>
              <w:rPr>
                <w:rFonts w:ascii="宋体" w:hAnsi="宋体" w:cs="宋体" w:eastAsia="宋体" w:hint="default"/>
                <w:sz w:val="18"/>
                <w:szCs w:val="18"/>
              </w:rPr>
              <w:t>本企业</w:t>
            </w:r>
            <w:r>
              <w:rPr>
                <w:rFonts w:ascii="宋体" w:hAnsi="宋体" w:cs="宋体" w:eastAsia="宋体" w:hint="default"/>
                <w:w w:val="101"/>
                <w:sz w:val="18"/>
                <w:szCs w:val="18"/>
              </w:rPr>
              <w:t> </w:t>
            </w:r>
            <w:r>
              <w:rPr>
                <w:rFonts w:ascii="宋体" w:hAnsi="宋体" w:cs="宋体" w:eastAsia="宋体" w:hint="default"/>
                <w:sz w:val="18"/>
                <w:szCs w:val="18"/>
              </w:rPr>
              <w:t>持股比例</w:t>
            </w:r>
          </w:p>
        </w:tc>
        <w:tc>
          <w:tcPr>
            <w:tcW w:w="1949" w:type="dxa"/>
            <w:tcBorders>
              <w:top w:val="single" w:sz="12" w:space="0" w:color="000000"/>
              <w:left w:val="single" w:sz="4" w:space="0" w:color="000000"/>
              <w:bottom w:val="single" w:sz="4" w:space="0" w:color="000000"/>
              <w:right w:val="single" w:sz="4" w:space="0" w:color="000000"/>
            </w:tcBorders>
          </w:tcPr>
          <w:p>
            <w:pPr>
              <w:pStyle w:val="TableParagraph"/>
              <w:spacing w:line="500" w:lineRule="exact" w:before="46"/>
              <w:ind w:left="513" w:right="160" w:hanging="360"/>
              <w:jc w:val="left"/>
              <w:rPr>
                <w:rFonts w:ascii="宋体" w:hAnsi="宋体" w:cs="宋体" w:eastAsia="宋体" w:hint="default"/>
                <w:sz w:val="18"/>
                <w:szCs w:val="18"/>
              </w:rPr>
            </w:pPr>
            <w:r>
              <w:rPr>
                <w:rFonts w:ascii="宋体" w:hAnsi="宋体" w:cs="宋体" w:eastAsia="宋体" w:hint="default"/>
                <w:spacing w:val="-3"/>
                <w:sz w:val="18"/>
                <w:szCs w:val="18"/>
              </w:rPr>
              <w:t>本企业在被投资单位</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表决权比例</w:t>
            </w:r>
          </w:p>
        </w:tc>
        <w:tc>
          <w:tcPr>
            <w:tcW w:w="158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期末资产总额</w:t>
            </w:r>
          </w:p>
        </w:tc>
        <w:tc>
          <w:tcPr>
            <w:tcW w:w="15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期末负债总额</w:t>
            </w:r>
          </w:p>
        </w:tc>
        <w:tc>
          <w:tcPr>
            <w:tcW w:w="158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153" w:right="0"/>
              <w:jc w:val="left"/>
              <w:rPr>
                <w:rFonts w:ascii="宋体" w:hAnsi="宋体" w:cs="宋体" w:eastAsia="宋体" w:hint="default"/>
                <w:sz w:val="18"/>
                <w:szCs w:val="18"/>
              </w:rPr>
            </w:pPr>
            <w:r>
              <w:rPr>
                <w:rFonts w:ascii="宋体" w:hAnsi="宋体" w:cs="宋体" w:eastAsia="宋体" w:hint="default"/>
                <w:spacing w:val="-3"/>
                <w:sz w:val="18"/>
                <w:szCs w:val="18"/>
              </w:rPr>
              <w:t>期末净资产总额</w:t>
            </w:r>
          </w:p>
        </w:tc>
        <w:tc>
          <w:tcPr>
            <w:tcW w:w="158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本期营业收入总额</w:t>
            </w:r>
          </w:p>
        </w:tc>
        <w:tc>
          <w:tcPr>
            <w:tcW w:w="1584"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本期净利润</w:t>
            </w:r>
          </w:p>
        </w:tc>
      </w:tr>
      <w:tr>
        <w:trPr>
          <w:trHeight w:val="509"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深圳市深威驳运有限公司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45%</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
              <w:jc w:val="center"/>
              <w:rPr>
                <w:rFonts w:ascii="Times New Roman" w:hAnsi="Times New Roman" w:cs="Times New Roman" w:eastAsia="Times New Roman" w:hint="default"/>
                <w:sz w:val="18"/>
                <w:szCs w:val="18"/>
              </w:rPr>
            </w:pPr>
            <w:r>
              <w:rPr>
                <w:rFonts w:ascii="Times New Roman"/>
                <w:sz w:val="18"/>
              </w:rPr>
              <w:t>45%</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13,389,771.97</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275,897.52</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2"/>
                <w:sz w:val="18"/>
              </w:rPr>
              <w:t>13,113,874.45</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13,666,798.72</w:t>
            </w:r>
          </w:p>
        </w:tc>
        <w:tc>
          <w:tcPr>
            <w:tcW w:w="15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15,767.76</w:t>
            </w:r>
          </w:p>
        </w:tc>
      </w:tr>
      <w:tr>
        <w:trPr>
          <w:trHeight w:val="509"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深圳市雅喆电梯有限公司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40%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
              <w:jc w:val="center"/>
              <w:rPr>
                <w:rFonts w:ascii="Times New Roman" w:hAnsi="Times New Roman" w:cs="Times New Roman" w:eastAsia="Times New Roman" w:hint="default"/>
                <w:sz w:val="18"/>
                <w:szCs w:val="18"/>
              </w:rPr>
            </w:pPr>
            <w:r>
              <w:rPr>
                <w:rFonts w:ascii="Times New Roman"/>
                <w:sz w:val="18"/>
              </w:rPr>
              <w:t>40%</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1,666,902.90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82,080.38</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1,584,822.52</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2,484,187.63</w:t>
            </w:r>
          </w:p>
        </w:tc>
        <w:tc>
          <w:tcPr>
            <w:tcW w:w="15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60,779.90</w:t>
            </w:r>
          </w:p>
        </w:tc>
      </w:tr>
      <w:tr>
        <w:trPr>
          <w:trHeight w:val="509"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深圳市泉源实业发展有限公司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50%</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
              <w:jc w:val="center"/>
              <w:rPr>
                <w:rFonts w:ascii="Times New Roman" w:hAnsi="Times New Roman" w:cs="Times New Roman" w:eastAsia="Times New Roman" w:hint="default"/>
                <w:sz w:val="18"/>
                <w:szCs w:val="18"/>
              </w:rPr>
            </w:pPr>
            <w:r>
              <w:rPr>
                <w:rFonts w:ascii="Times New Roman"/>
                <w:sz w:val="18"/>
              </w:rPr>
              <w:t>50%</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13,032,536.80</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right"/>
              <w:rPr>
                <w:rFonts w:ascii="Times New Roman" w:hAnsi="Times New Roman" w:cs="Times New Roman" w:eastAsia="Times New Roman" w:hint="default"/>
                <w:sz w:val="18"/>
                <w:szCs w:val="18"/>
              </w:rPr>
            </w:pPr>
            <w:r>
              <w:rPr>
                <w:rFonts w:ascii="Times New Roman"/>
                <w:spacing w:val="-1"/>
                <w:sz w:val="18"/>
              </w:rPr>
              <w:t>6,195,496.76</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6,837,040.04</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-558,946.98</w:t>
            </w:r>
          </w:p>
        </w:tc>
      </w:tr>
      <w:tr>
        <w:trPr>
          <w:trHeight w:val="514" w:hRule="exact"/>
        </w:trPr>
        <w:tc>
          <w:tcPr>
            <w:tcW w:w="259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福建东南广播电视网络有限公司</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38.69%</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center"/>
              <w:rPr>
                <w:rFonts w:ascii="Times New Roman" w:hAnsi="Times New Roman" w:cs="Times New Roman" w:eastAsia="Times New Roman" w:hint="default"/>
                <w:sz w:val="18"/>
                <w:szCs w:val="18"/>
              </w:rPr>
            </w:pPr>
            <w:r>
              <w:rPr>
                <w:rFonts w:ascii="Times New Roman"/>
                <w:sz w:val="18"/>
              </w:rPr>
              <w:t>38.69%</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130,471,393.04</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88,631,539.38</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41,839,853.66</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51,496,048.13</w:t>
            </w:r>
          </w:p>
        </w:tc>
        <w:tc>
          <w:tcPr>
            <w:tcW w:w="15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-4,302,146.50</w:t>
            </w:r>
          </w:p>
        </w:tc>
      </w:tr>
      <w:tr>
        <w:trPr>
          <w:trHeight w:val="518" w:hRule="exact"/>
        </w:trPr>
        <w:tc>
          <w:tcPr>
            <w:tcW w:w="259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98" w:type="dxa"/>
            <w:tcBorders>
              <w:top w:val="single" w:sz="4" w:space="0" w:color="000000"/>
              <w:left w:val="single" w:sz="4" w:space="0" w:color="000000"/>
              <w:bottom w:val="single" w:sz="12" w:space="0" w:color="000000"/>
              <w:right w:val="single" w:sz="4" w:space="0" w:color="000000"/>
            </w:tcBorders>
          </w:tcPr>
          <w:p>
            <w:pPr/>
          </w:p>
        </w:tc>
        <w:tc>
          <w:tcPr>
            <w:tcW w:w="1949" w:type="dxa"/>
            <w:tcBorders>
              <w:top w:val="single" w:sz="4" w:space="0" w:color="000000"/>
              <w:left w:val="single" w:sz="4" w:space="0" w:color="000000"/>
              <w:bottom w:val="single" w:sz="12" w:space="0" w:color="000000"/>
              <w:right w:val="single" w:sz="4" w:space="0" w:color="000000"/>
            </w:tcBorders>
          </w:tcPr>
          <w:p>
            <w:pPr/>
          </w:p>
        </w:tc>
        <w:tc>
          <w:tcPr>
            <w:tcW w:w="158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spacing w:val="-1"/>
                <w:sz w:val="18"/>
              </w:rPr>
              <w:t>158,560,604.71</w:t>
            </w:r>
            <w:r>
              <w:rPr>
                <w:rFonts w:ascii="Times New Roman"/>
                <w:spacing w:val="-1"/>
                <w:sz w:val="18"/>
              </w:rPr>
            </w:r>
          </w:p>
        </w:tc>
        <w:tc>
          <w:tcPr>
            <w:tcW w:w="15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spacing w:val="-1"/>
                <w:sz w:val="18"/>
              </w:rPr>
              <w:t>95,185,014.04</w:t>
            </w:r>
            <w:r>
              <w:rPr>
                <w:rFonts w:ascii="Times New Roman"/>
                <w:spacing w:val="-1"/>
                <w:sz w:val="18"/>
              </w:rPr>
            </w:r>
          </w:p>
        </w:tc>
        <w:tc>
          <w:tcPr>
            <w:tcW w:w="158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b/>
                <w:spacing w:val="-1"/>
                <w:sz w:val="18"/>
              </w:rPr>
              <w:t>63,375,590.67</w:t>
            </w:r>
            <w:r>
              <w:rPr>
                <w:rFonts w:ascii="Times New Roman"/>
                <w:spacing w:val="-1"/>
                <w:sz w:val="18"/>
              </w:rPr>
            </w:r>
          </w:p>
        </w:tc>
        <w:tc>
          <w:tcPr>
            <w:tcW w:w="15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spacing w:val="-1"/>
                <w:sz w:val="18"/>
              </w:rPr>
              <w:t>67,647,034.48</w:t>
            </w:r>
            <w:r>
              <w:rPr>
                <w:rFonts w:ascii="Times New Roman"/>
                <w:spacing w:val="-1"/>
                <w:sz w:val="18"/>
              </w:rPr>
            </w:r>
          </w:p>
        </w:tc>
        <w:tc>
          <w:tcPr>
            <w:tcW w:w="158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spacing w:val="-1"/>
                <w:sz w:val="18"/>
              </w:rPr>
              <w:t>-4,784,545.82</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6840" w:h="11900" w:orient="landscape"/>
          <w:pgMar w:header="756" w:footer="840" w:top="980" w:bottom="1020" w:left="1300" w:right="130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left="152" w:right="0"/>
        <w:jc w:val="left"/>
        <w:rPr>
          <w:b w:val="0"/>
          <w:bCs w:val="0"/>
        </w:rPr>
      </w:pPr>
      <w:r>
        <w:rPr>
          <w:rFonts w:ascii="Times New Roman" w:hAnsi="Times New Roman" w:cs="Times New Roman" w:eastAsia="Times New Roman" w:hint="default"/>
        </w:rPr>
        <w:t>9</w:t>
      </w:r>
      <w:r>
        <w:rPr/>
        <w:t>、投资性房地产</w:t>
      </w:r>
      <w:r>
        <w:rPr>
          <w:b w:val="0"/>
          <w:bCs w:val="0"/>
        </w:rPr>
      </w:r>
    </w:p>
    <w:p>
      <w:pPr>
        <w:pStyle w:val="BodyText"/>
        <w:spacing w:line="240" w:lineRule="auto" w:before="191"/>
        <w:ind w:left="565" w:right="0"/>
        <w:jc w:val="left"/>
      </w:pPr>
      <w:r>
        <w:rPr/>
        <w:t>（</w:t>
      </w:r>
      <w:r>
        <w:rPr>
          <w:rFonts w:ascii="Times New Roman" w:hAnsi="Times New Roman" w:cs="Times New Roman" w:eastAsia="Times New Roman" w:hint="default"/>
        </w:rPr>
        <w:t>1</w:t>
      </w:r>
      <w:r>
        <w:rPr/>
        <w:t>）按成本计量的投资性房地产</w:t>
      </w:r>
    </w:p>
    <w:tbl>
      <w:tblPr>
        <w:tblW w:w="0" w:type="auto"/>
        <w:jc w:val="left"/>
        <w:tblInd w:w="123" w:type="dxa"/>
        <w:tblLayout w:type="fixed"/>
        <w:tblCellMar>
          <w:top w:w="0" w:type="dxa"/>
          <w:left w:w="0" w:type="dxa"/>
          <w:bottom w:w="0" w:type="dxa"/>
          <w:right w:w="0" w:type="dxa"/>
        </w:tblCellMar>
        <w:tblLook w:val="01E0"/>
      </w:tblPr>
      <w:tblGrid>
        <w:gridCol w:w="2990"/>
        <w:gridCol w:w="1666"/>
        <w:gridCol w:w="1666"/>
        <w:gridCol w:w="1666"/>
        <w:gridCol w:w="1666"/>
      </w:tblGrid>
      <w:tr>
        <w:trPr>
          <w:trHeight w:val="514"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一、账面原值合计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508,876,602.82</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14,552,551.72</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127,918,245.07</w:t>
            </w:r>
            <w:r>
              <w:rPr>
                <w:rFonts w:ascii="Times New Roman"/>
                <w:spacing w:val="-1"/>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395,510,909.47</w:t>
            </w:r>
            <w:r>
              <w:rPr>
                <w:rFonts w:ascii="Times New Roman"/>
                <w:spacing w:val="-1"/>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508,876,602.82</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14,552,551.72</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127,918,245.07</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395,510,909.47</w:t>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66" w:type="dxa"/>
            <w:tcBorders>
              <w:top w:val="single" w:sz="4" w:space="0" w:color="000000"/>
              <w:left w:val="single" w:sz="4" w:space="0" w:color="000000"/>
              <w:bottom w:val="single" w:sz="4" w:space="0" w:color="000000"/>
              <w:right w:val="single" w:sz="4" w:space="0" w:color="000000"/>
            </w:tcBorders>
          </w:tcPr>
          <w:p>
            <w:pPr/>
          </w:p>
        </w:tc>
        <w:tc>
          <w:tcPr>
            <w:tcW w:w="1666"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二、累计折旧和累计摊销合计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120,354,663.78</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12,408,052.63</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spacing w:val="-2"/>
                <w:sz w:val="18"/>
              </w:rPr>
              <w:t>44,117,746.35</w:t>
            </w:r>
            <w:r>
              <w:rPr>
                <w:rFonts w:ascii="Times New Roman"/>
                <w:spacing w:val="-2"/>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88,644,970.06</w:t>
            </w:r>
            <w:r>
              <w:rPr>
                <w:rFonts w:ascii="Times New Roman"/>
                <w:spacing w:val="-1"/>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120,354,663.78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12,408,052.63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2"/>
                <w:sz w:val="18"/>
              </w:rPr>
              <w:t>44,117,746.35</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88,644,970.06</w:t>
            </w:r>
          </w:p>
        </w:tc>
      </w:tr>
      <w:tr>
        <w:trPr>
          <w:trHeight w:val="50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三、投资性房地产账面净值合计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388,521,939.04</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2,144,499.09</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83,800,498.72</w:t>
            </w:r>
            <w:r>
              <w:rPr>
                <w:rFonts w:ascii="Times New Roman"/>
                <w:spacing w:val="-1"/>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306,865,939.41</w:t>
            </w:r>
            <w:r>
              <w:rPr>
                <w:rFonts w:ascii="Times New Roman"/>
                <w:spacing w:val="-1"/>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388,521,939.04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2,144,499.09</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83,800,498.72</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306,865,939.41</w:t>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四、投资性房地产减值准备累计金额</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21,480,000.00</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3,480,000.00</w:t>
            </w:r>
            <w:r>
              <w:rPr>
                <w:rFonts w:ascii="Times New Roman"/>
                <w:spacing w:val="-1"/>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18,000,000.00</w:t>
            </w:r>
            <w:r>
              <w:rPr>
                <w:rFonts w:ascii="Times New Roman"/>
                <w:spacing w:val="-1"/>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21,480,000.00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3,480,000.00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18,000,000.00</w:t>
            </w:r>
          </w:p>
        </w:tc>
      </w:tr>
      <w:tr>
        <w:trPr>
          <w:trHeight w:val="50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五、投资性房地产账面价值合计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367,041,939.04</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2,144,499.09</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80,320,498.72</w:t>
            </w:r>
            <w:r>
              <w:rPr>
                <w:rFonts w:ascii="Times New Roman"/>
                <w:spacing w:val="-1"/>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288,865,939.41</w:t>
            </w:r>
            <w:r>
              <w:rPr>
                <w:rFonts w:ascii="Times New Roman"/>
                <w:spacing w:val="-1"/>
                <w:sz w:val="18"/>
              </w:rPr>
            </w:r>
          </w:p>
        </w:tc>
      </w:tr>
      <w:tr>
        <w:trPr>
          <w:trHeight w:val="49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房屋、建筑物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367,041,939.04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2,144,499.09</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80,320,498.72</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288,865,939.41</w:t>
            </w:r>
          </w:p>
        </w:tc>
      </w:tr>
      <w:tr>
        <w:trPr>
          <w:trHeight w:val="509"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7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土地使用权</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spacing w:line="240" w:lineRule="auto" w:before="6"/>
        <w:rPr>
          <w:rFonts w:ascii="宋体" w:hAnsi="宋体" w:cs="宋体" w:eastAsia="宋体" w:hint="default"/>
          <w:sz w:val="12"/>
          <w:szCs w:val="12"/>
        </w:rPr>
      </w:pPr>
    </w:p>
    <w:p>
      <w:pPr>
        <w:pStyle w:val="BodyText"/>
        <w:spacing w:line="403" w:lineRule="auto" w:before="36"/>
        <w:ind w:right="132" w:firstLine="422"/>
        <w:jc w:val="left"/>
      </w:pPr>
      <w:r>
        <w:rPr/>
        <w:t>投资性房地产本期折旧增加 </w:t>
      </w:r>
      <w:r>
        <w:rPr>
          <w:rFonts w:ascii="Times New Roman" w:hAnsi="Times New Roman" w:cs="Times New Roman" w:eastAsia="Times New Roman" w:hint="default"/>
        </w:rPr>
        <w:t>12,408,052.63 </w:t>
      </w:r>
      <w:r>
        <w:rPr/>
        <w:t>元，其中本期计提折旧 </w:t>
      </w:r>
      <w:r>
        <w:rPr>
          <w:rFonts w:ascii="Times New Roman" w:hAnsi="Times New Roman" w:cs="Times New Roman" w:eastAsia="Times New Roman" w:hint="default"/>
        </w:rPr>
        <w:t>11,380,266.61</w:t>
      </w:r>
      <w:r>
        <w:rPr>
          <w:rFonts w:ascii="Times New Roman" w:hAnsi="Times New Roman" w:cs="Times New Roman" w:eastAsia="Times New Roman" w:hint="default"/>
          <w:spacing w:val="-26"/>
        </w:rPr>
        <w:t> </w:t>
      </w:r>
      <w:r>
        <w:rPr/>
        <w:t>元，本期未出现计提</w:t>
      </w:r>
      <w:r>
        <w:rPr>
          <w:w w:val="100"/>
        </w:rPr>
        <w:t> </w:t>
      </w:r>
      <w:r>
        <w:rPr/>
        <w:t>投资性房地产减值准备情况。</w:t>
      </w:r>
    </w:p>
    <w:p>
      <w:pPr>
        <w:pStyle w:val="BodyText"/>
        <w:spacing w:line="427" w:lineRule="auto" w:before="76"/>
        <w:ind w:right="0" w:firstLine="422"/>
        <w:jc w:val="left"/>
      </w:pPr>
      <w:r>
        <w:rPr>
          <w:spacing w:val="2"/>
        </w:rPr>
        <w:t>本期投资性房地产的增加主要为原自用固定资产本期变更为出租，从固定资产转为投资性房地产核</w:t>
      </w:r>
      <w:r>
        <w:rPr>
          <w:w w:val="100"/>
        </w:rPr>
        <w:t> </w:t>
      </w:r>
      <w:r>
        <w:rPr/>
        <w:t>算，其转入原值</w:t>
      </w:r>
      <w:r>
        <w:rPr>
          <w:spacing w:val="-51"/>
        </w:rPr>
        <w:t> </w:t>
      </w:r>
      <w:r>
        <w:rPr>
          <w:rFonts w:ascii="Times New Roman" w:hAnsi="Times New Roman" w:cs="Times New Roman" w:eastAsia="Times New Roman" w:hint="default"/>
        </w:rPr>
        <w:t>11,628,733.00</w:t>
      </w:r>
      <w:r>
        <w:rPr>
          <w:rFonts w:ascii="Times New Roman" w:hAnsi="Times New Roman" w:cs="Times New Roman" w:eastAsia="Times New Roman" w:hint="default"/>
          <w:spacing w:val="-3"/>
        </w:rPr>
        <w:t> </w:t>
      </w:r>
      <w:r>
        <w:rPr/>
        <w:t>元，净值</w:t>
      </w:r>
      <w:r>
        <w:rPr>
          <w:spacing w:val="-55"/>
        </w:rPr>
        <w:t> </w:t>
      </w:r>
      <w:r>
        <w:rPr>
          <w:rFonts w:ascii="Times New Roman" w:hAnsi="Times New Roman" w:cs="Times New Roman" w:eastAsia="Times New Roman" w:hint="default"/>
        </w:rPr>
        <w:t>10,600,946.98</w:t>
      </w:r>
      <w:r>
        <w:rPr>
          <w:rFonts w:ascii="Times New Roman" w:hAnsi="Times New Roman" w:cs="Times New Roman" w:eastAsia="Times New Roman" w:hint="default"/>
          <w:spacing w:val="2"/>
        </w:rPr>
        <w:t> </w:t>
      </w:r>
      <w:r>
        <w:rPr/>
        <w:t>元。</w:t>
      </w:r>
    </w:p>
    <w:p>
      <w:pPr>
        <w:pStyle w:val="BodyText"/>
        <w:spacing w:line="427" w:lineRule="auto" w:before="17"/>
        <w:ind w:right="132" w:firstLine="422"/>
        <w:jc w:val="left"/>
      </w:pPr>
      <w:r>
        <w:rPr>
          <w:spacing w:val="2"/>
        </w:rPr>
        <w:t>本期投资性房地产减少主要为本期出售了部分投资性房地产和本期因变更为自用转入固定资产核算</w:t>
      </w:r>
      <w:r>
        <w:rPr>
          <w:w w:val="100"/>
        </w:rPr>
        <w:t> </w:t>
      </w:r>
      <w:r>
        <w:rPr/>
        <w:t>所致。其中出售投资性房地产原值 </w:t>
      </w:r>
      <w:r>
        <w:rPr>
          <w:rFonts w:ascii="Times New Roman" w:hAnsi="Times New Roman" w:cs="Times New Roman" w:eastAsia="Times New Roman" w:hint="default"/>
        </w:rPr>
        <w:t>100,597,238.71  </w:t>
      </w:r>
      <w:r>
        <w:rPr/>
        <w:t>元，净值 </w:t>
      </w:r>
      <w:r>
        <w:rPr>
          <w:rFonts w:ascii="Times New Roman" w:hAnsi="Times New Roman" w:cs="Times New Roman" w:eastAsia="Times New Roman" w:hint="default"/>
        </w:rPr>
        <w:t>68,512,648.37</w:t>
      </w:r>
      <w:r>
        <w:rPr>
          <w:rFonts w:ascii="Times New Roman" w:hAnsi="Times New Roman" w:cs="Times New Roman" w:eastAsia="Times New Roman" w:hint="default"/>
          <w:spacing w:val="28"/>
        </w:rPr>
        <w:t> </w:t>
      </w:r>
      <w:r>
        <w:rPr/>
        <w:t>元；转入固定资产核算的原值</w:t>
      </w:r>
    </w:p>
    <w:p>
      <w:pPr>
        <w:pStyle w:val="BodyText"/>
        <w:spacing w:line="240" w:lineRule="auto" w:before="17"/>
        <w:ind w:right="0"/>
        <w:jc w:val="left"/>
      </w:pPr>
      <w:r>
        <w:rPr>
          <w:rFonts w:ascii="Times New Roman" w:hAnsi="Times New Roman" w:cs="Times New Roman" w:eastAsia="Times New Roman" w:hint="default"/>
        </w:rPr>
        <w:t>27,321,006.36</w:t>
      </w:r>
      <w:r>
        <w:rPr>
          <w:rFonts w:ascii="Times New Roman" w:hAnsi="Times New Roman" w:cs="Times New Roman" w:eastAsia="Times New Roman" w:hint="default"/>
          <w:spacing w:val="2"/>
        </w:rPr>
        <w:t> </w:t>
      </w:r>
      <w:r>
        <w:rPr/>
        <w:t>元，净值</w:t>
      </w:r>
      <w:r>
        <w:rPr>
          <w:spacing w:val="-51"/>
        </w:rPr>
        <w:t> </w:t>
      </w:r>
      <w:r>
        <w:rPr>
          <w:rFonts w:ascii="Times New Roman" w:hAnsi="Times New Roman" w:cs="Times New Roman" w:eastAsia="Times New Roman" w:hint="default"/>
        </w:rPr>
        <w:t>15,287,850.35</w:t>
      </w:r>
      <w:r>
        <w:rPr>
          <w:rFonts w:ascii="Times New Roman" w:hAnsi="Times New Roman" w:cs="Times New Roman" w:eastAsia="Times New Roman" w:hint="default"/>
          <w:spacing w:val="2"/>
        </w:rPr>
        <w:t> </w:t>
      </w:r>
      <w:r>
        <w:rPr>
          <w:spacing w:val="-3"/>
        </w:rPr>
        <w:t>元。</w:t>
      </w:r>
    </w:p>
    <w:p>
      <w:pPr>
        <w:spacing w:line="240" w:lineRule="auto" w:before="3"/>
        <w:rPr>
          <w:rFonts w:ascii="宋体" w:hAnsi="宋体" w:cs="宋体" w:eastAsia="宋体" w:hint="default"/>
          <w:sz w:val="15"/>
          <w:szCs w:val="15"/>
        </w:rPr>
      </w:pPr>
    </w:p>
    <w:p>
      <w:pPr>
        <w:pStyle w:val="BodyText"/>
        <w:spacing w:line="240" w:lineRule="auto"/>
        <w:ind w:left="575" w:right="0"/>
        <w:jc w:val="left"/>
      </w:pPr>
      <w:r>
        <w:rPr/>
        <w:t>（</w:t>
      </w:r>
      <w:r>
        <w:rPr>
          <w:rFonts w:ascii="Times New Roman" w:hAnsi="Times New Roman" w:cs="Times New Roman" w:eastAsia="Times New Roman" w:hint="default"/>
        </w:rPr>
        <w:t>2</w:t>
      </w:r>
      <w:r>
        <w:rPr/>
        <w:t>）所有权受限的投资性房地产</w:t>
      </w:r>
    </w:p>
    <w:p>
      <w:pPr>
        <w:spacing w:line="240" w:lineRule="auto" w:before="3"/>
        <w:rPr>
          <w:rFonts w:ascii="宋体" w:hAnsi="宋体" w:cs="宋体" w:eastAsia="宋体" w:hint="default"/>
          <w:sz w:val="15"/>
          <w:szCs w:val="15"/>
        </w:rPr>
      </w:pPr>
    </w:p>
    <w:p>
      <w:pPr>
        <w:pStyle w:val="BodyText"/>
        <w:spacing w:line="240" w:lineRule="auto"/>
        <w:ind w:left="575" w:right="0"/>
        <w:jc w:val="left"/>
      </w:pPr>
      <w:r>
        <w:rPr/>
        <w:t>截止</w:t>
      </w:r>
      <w:r>
        <w:rPr>
          <w:spacing w:val="-4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5"/>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spacing w:val="-3"/>
        </w:rPr>
        <w:t>日，本公司用于银行贷款抵押的投资性房地产原值为</w:t>
      </w:r>
      <w:r>
        <w:rPr>
          <w:spacing w:val="-49"/>
        </w:rPr>
        <w:t> </w:t>
      </w:r>
      <w:r>
        <w:rPr>
          <w:rFonts w:ascii="Times New Roman" w:hAnsi="Times New Roman" w:cs="Times New Roman" w:eastAsia="Times New Roman" w:hint="default"/>
        </w:rPr>
        <w:t>116,440,726.89</w:t>
      </w:r>
      <w:r>
        <w:rPr>
          <w:rFonts w:ascii="Times New Roman" w:hAnsi="Times New Roman" w:cs="Times New Roman" w:eastAsia="Times New Roman" w:hint="default"/>
          <w:spacing w:val="5"/>
        </w:rPr>
        <w:t> </w:t>
      </w:r>
      <w:r>
        <w:rPr>
          <w:spacing w:val="-8"/>
        </w:rPr>
        <w:t>元，净值为</w:t>
      </w:r>
    </w:p>
    <w:p>
      <w:pPr>
        <w:spacing w:line="240" w:lineRule="auto" w:before="3"/>
        <w:rPr>
          <w:rFonts w:ascii="宋体" w:hAnsi="宋体" w:cs="宋体" w:eastAsia="宋体" w:hint="default"/>
          <w:sz w:val="15"/>
          <w:szCs w:val="15"/>
        </w:rPr>
      </w:pPr>
    </w:p>
    <w:p>
      <w:pPr>
        <w:pStyle w:val="BodyText"/>
        <w:spacing w:line="240" w:lineRule="auto"/>
        <w:ind w:right="0"/>
        <w:jc w:val="left"/>
      </w:pPr>
      <w:r>
        <w:rPr>
          <w:rFonts w:ascii="Times New Roman" w:hAnsi="Times New Roman" w:cs="Times New Roman" w:eastAsia="Times New Roman" w:hint="default"/>
        </w:rPr>
        <w:t>93,128,199.16</w:t>
      </w:r>
      <w:r>
        <w:rPr>
          <w:rFonts w:ascii="Times New Roman" w:hAnsi="Times New Roman" w:cs="Times New Roman" w:eastAsia="Times New Roman" w:hint="default"/>
          <w:spacing w:val="3"/>
        </w:rPr>
        <w:t> </w:t>
      </w:r>
      <w:r>
        <w:rPr/>
        <w:t>元。</w:t>
      </w:r>
    </w:p>
    <w:p>
      <w:pPr>
        <w:spacing w:after="0" w:line="240" w:lineRule="auto"/>
        <w:jc w:val="left"/>
        <w:sectPr>
          <w:headerReference w:type="default" r:id="rId36"/>
          <w:footerReference w:type="default" r:id="rId37"/>
          <w:pgSz w:w="11900" w:h="16840"/>
          <w:pgMar w:header="762" w:footer="840" w:top="1000" w:bottom="1020" w:left="980" w:right="980"/>
          <w:pgNumType w:start="92"/>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right="0"/>
        <w:jc w:val="left"/>
        <w:rPr>
          <w:b w:val="0"/>
          <w:bCs w:val="0"/>
        </w:rPr>
      </w:pPr>
      <w:r>
        <w:rPr>
          <w:rFonts w:ascii="Times New Roman" w:hAnsi="Times New Roman" w:cs="Times New Roman" w:eastAsia="Times New Roman" w:hint="default"/>
        </w:rPr>
        <w:t>10</w:t>
      </w:r>
      <w:r>
        <w:rPr/>
        <w:t>、固定资产</w:t>
      </w:r>
      <w:r>
        <w:rPr>
          <w:b w:val="0"/>
          <w:bCs w:val="0"/>
        </w:rPr>
      </w:r>
    </w:p>
    <w:p>
      <w:pPr>
        <w:pStyle w:val="BodyText"/>
        <w:spacing w:line="240" w:lineRule="auto" w:before="181"/>
        <w:ind w:left="575" w:right="0"/>
        <w:jc w:val="left"/>
      </w:pPr>
      <w:r>
        <w:rPr/>
        <w:t>（</w:t>
      </w:r>
      <w:r>
        <w:rPr>
          <w:rFonts w:ascii="Times New Roman" w:hAnsi="Times New Roman" w:cs="Times New Roman" w:eastAsia="Times New Roman" w:hint="default"/>
        </w:rPr>
        <w:t>1</w:t>
      </w:r>
      <w:r>
        <w:rPr/>
        <w:t>）固定资产情况</w:t>
      </w:r>
    </w:p>
    <w:tbl>
      <w:tblPr>
        <w:tblW w:w="0" w:type="auto"/>
        <w:jc w:val="left"/>
        <w:tblInd w:w="123" w:type="dxa"/>
        <w:tblLayout w:type="fixed"/>
        <w:tblCellMar>
          <w:top w:w="0" w:type="dxa"/>
          <w:left w:w="0" w:type="dxa"/>
          <w:bottom w:w="0" w:type="dxa"/>
          <w:right w:w="0" w:type="dxa"/>
        </w:tblCellMar>
        <w:tblLook w:val="01E0"/>
      </w:tblPr>
      <w:tblGrid>
        <w:gridCol w:w="2990"/>
        <w:gridCol w:w="1666"/>
        <w:gridCol w:w="1666"/>
        <w:gridCol w:w="1666"/>
        <w:gridCol w:w="1666"/>
      </w:tblGrid>
      <w:tr>
        <w:trPr>
          <w:trHeight w:val="504"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9"/>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一、账面原值合计：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155,037,090.73</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47,145,826.29</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14,285,915.00</w:t>
            </w:r>
            <w:r>
              <w:rPr>
                <w:rFonts w:ascii="Times New Roman"/>
                <w:spacing w:val="-1"/>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187,897,002.02</w:t>
            </w:r>
            <w:r>
              <w:rPr>
                <w:rFonts w:ascii="Times New Roman"/>
                <w:spacing w:val="-1"/>
                <w:sz w:val="18"/>
              </w:rPr>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其中：房屋及建筑物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122,825,861.58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43,088,006.36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2"/>
                <w:sz w:val="18"/>
              </w:rPr>
              <w:t>11,628,733.00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154,285,134.94</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机器设备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2"/>
                <w:sz w:val="18"/>
              </w:rPr>
              <w:t>834,112.50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72,347.00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146,493.00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759,966.50</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运输工具</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13,261,790.35</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2,729,678.62</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2,375,100.00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13,616,368.97</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pacing w:val="-3"/>
                <w:sz w:val="18"/>
                <w:szCs w:val="18"/>
              </w:rPr>
              <w:t>电子及其他设备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2"/>
                <w:sz w:val="18"/>
              </w:rPr>
              <w:t>18,115,326.30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1,255,794.31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135,589.00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19,235,531.61</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9"/>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二、累计折旧合计：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65,217,431.14</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21,080,563.06</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2,839,307.55</w:t>
            </w:r>
            <w:r>
              <w:rPr>
                <w:rFonts w:ascii="Times New Roman"/>
                <w:spacing w:val="-1"/>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83,458,686.65</w:t>
            </w:r>
            <w:r>
              <w:rPr>
                <w:rFonts w:ascii="Times New Roman"/>
                <w:spacing w:val="-1"/>
                <w:sz w:val="18"/>
              </w:rPr>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其中：房屋及建筑物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45,867,020.75</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2"/>
                <w:sz w:val="18"/>
              </w:rPr>
              <w:t>18,535,112.13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1,027,786.02</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63,374,346.86</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机器设备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730,883.93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429.84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8,276.78</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723,036.99</w:t>
            </w:r>
          </w:p>
        </w:tc>
      </w:tr>
      <w:tr>
        <w:trPr>
          <w:trHeight w:val="490"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运输工具</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10,326,047.97</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1,808,544.54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1,691,699.73</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10,442,892.78</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pacing w:val="-3"/>
                <w:sz w:val="18"/>
                <w:szCs w:val="18"/>
              </w:rPr>
              <w:t>电子及其他设备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8,293,478.49</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736,476.55</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3"/>
                <w:sz w:val="18"/>
              </w:rPr>
              <w:t>111,545.02</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8,918,410.02</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9"/>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三、固定资产账面净值合计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89,819,659.59</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26,065,263.23</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2"/>
                <w:sz w:val="18"/>
              </w:rPr>
              <w:t>11,446,607.45</w:t>
            </w:r>
            <w:r>
              <w:rPr>
                <w:rFonts w:ascii="Times New Roman"/>
                <w:spacing w:val="-2"/>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104,438,315.37</w:t>
            </w:r>
            <w:r>
              <w:rPr>
                <w:rFonts w:ascii="Times New Roman"/>
                <w:spacing w:val="-1"/>
                <w:sz w:val="18"/>
              </w:rPr>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其中：房屋及建筑物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76,958,840.83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24,552,894.23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10,600,946.98</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90,910,788.08</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机器设备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103,228.57</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71,917.16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138,216.22</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36,929.51</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运输工具</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2,935,742.38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921,134.08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683,400.27</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3,173,476.19</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pacing w:val="-3"/>
                <w:sz w:val="18"/>
                <w:szCs w:val="18"/>
              </w:rPr>
              <w:t>电子及其他设备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9,821,847.81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519,317.76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24,043.98</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10,317,121.59</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9"/>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四、减值准备合计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14,374,294.93</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14,374,294.93</w:t>
            </w:r>
            <w:r>
              <w:rPr>
                <w:rFonts w:ascii="Times New Roman"/>
                <w:spacing w:val="-1"/>
                <w:sz w:val="18"/>
              </w:rPr>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其中：房屋及建筑物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6,100,000.00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6,100,000.00</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机器设备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运输工具</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274,294.93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274,294.93</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pacing w:val="-3"/>
                <w:sz w:val="18"/>
                <w:szCs w:val="18"/>
              </w:rPr>
              <w:t>电子及其他设备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8,000,000.00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8,000,000.00</w:t>
            </w:r>
          </w:p>
        </w:tc>
      </w:tr>
      <w:tr>
        <w:trPr>
          <w:trHeight w:val="490"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9"/>
              <w:ind w:left="14"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五、固定资产账面价值合计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75,445,364.66</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26,065,263.23</w:t>
            </w:r>
            <w:r>
              <w:rPr>
                <w:rFonts w:ascii="Times New Roman"/>
                <w:spacing w:val="-1"/>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2"/>
                <w:sz w:val="18"/>
              </w:rPr>
              <w:t>11,446,607.45</w:t>
            </w:r>
            <w:r>
              <w:rPr>
                <w:rFonts w:ascii="Times New Roman"/>
                <w:spacing w:val="-2"/>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b/>
                <w:spacing w:val="-1"/>
                <w:sz w:val="18"/>
              </w:rPr>
              <w:t>90,064,020.44</w:t>
            </w:r>
            <w:r>
              <w:rPr>
                <w:rFonts w:ascii="Times New Roman"/>
                <w:spacing w:val="-1"/>
                <w:sz w:val="18"/>
              </w:rPr>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其中：房屋及建筑物</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70,858,840.83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24,552,894.23</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10,600,946.98</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84,810,788.08</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机器设备</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103,228.57</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71,917.16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138,216.22</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36,929.51</w:t>
            </w:r>
          </w:p>
        </w:tc>
      </w:tr>
      <w:tr>
        <w:trPr>
          <w:trHeight w:val="49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pacing w:val="-3"/>
                <w:sz w:val="18"/>
                <w:szCs w:val="18"/>
              </w:rPr>
              <w:t>运输工具</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2,661,447.45</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921,134.08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683,400.27</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2,899,181.26</w:t>
            </w:r>
          </w:p>
        </w:tc>
      </w:tr>
      <w:tr>
        <w:trPr>
          <w:trHeight w:val="504"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pacing w:val="-3"/>
                <w:sz w:val="18"/>
                <w:szCs w:val="18"/>
              </w:rPr>
              <w:t>电子及其他设备</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1,821,847.81</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519,317.76</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24,043.98</w:t>
            </w:r>
          </w:p>
        </w:tc>
        <w:tc>
          <w:tcPr>
            <w:tcW w:w="16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pacing w:val="-1"/>
                <w:sz w:val="18"/>
              </w:rPr>
              <w:t>2,317,121.59</w:t>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9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12" w:lineRule="auto" w:before="36"/>
        <w:ind w:right="139" w:firstLine="422"/>
        <w:jc w:val="left"/>
      </w:pPr>
      <w:r>
        <w:rPr/>
        <w:t>固定资产本期折旧增加</w:t>
      </w:r>
      <w:r>
        <w:rPr>
          <w:spacing w:val="-43"/>
        </w:rPr>
        <w:t> </w:t>
      </w:r>
      <w:r>
        <w:rPr>
          <w:rFonts w:ascii="Times New Roman" w:hAnsi="Times New Roman" w:cs="Times New Roman" w:eastAsia="Times New Roman" w:hint="default"/>
        </w:rPr>
        <w:t>21,080,563.06</w:t>
      </w:r>
      <w:r>
        <w:rPr>
          <w:rFonts w:ascii="Times New Roman" w:hAnsi="Times New Roman" w:cs="Times New Roman" w:eastAsia="Times New Roman" w:hint="default"/>
          <w:spacing w:val="10"/>
        </w:rPr>
        <w:t> </w:t>
      </w:r>
      <w:r>
        <w:rPr>
          <w:spacing w:val="-3"/>
        </w:rPr>
        <w:t>元，其中本期计提折旧</w:t>
      </w:r>
      <w:r>
        <w:rPr>
          <w:spacing w:val="-43"/>
        </w:rPr>
        <w:t> </w:t>
      </w:r>
      <w:r>
        <w:rPr>
          <w:rFonts w:ascii="Times New Roman" w:hAnsi="Times New Roman" w:cs="Times New Roman" w:eastAsia="Times New Roman" w:hint="default"/>
        </w:rPr>
        <w:t>5,567,407.05</w:t>
      </w:r>
      <w:r>
        <w:rPr>
          <w:rFonts w:ascii="Times New Roman" w:hAnsi="Times New Roman" w:cs="Times New Roman" w:eastAsia="Times New Roman" w:hint="default"/>
          <w:spacing w:val="4"/>
        </w:rPr>
        <w:t> </w:t>
      </w:r>
      <w:r>
        <w:rPr>
          <w:spacing w:val="-3"/>
        </w:rPr>
        <w:t>元。本期无在建工程转入固</w:t>
      </w:r>
      <w:r>
        <w:rPr>
          <w:w w:val="100"/>
        </w:rPr>
        <w:t> </w:t>
      </w:r>
      <w:r>
        <w:rPr/>
        <w:t>定资产的情况。</w:t>
      </w:r>
    </w:p>
    <w:p>
      <w:pPr>
        <w:pStyle w:val="BodyText"/>
        <w:spacing w:line="439" w:lineRule="auto" w:before="73"/>
        <w:ind w:right="0" w:firstLine="422"/>
        <w:jc w:val="left"/>
      </w:pPr>
      <w:r>
        <w:rPr>
          <w:spacing w:val="2"/>
        </w:rPr>
        <w:t>本期固定资产的增长主要为本期从投资性房地产转入固定资产核算和本期新增子公司惠州宝安房地</w:t>
      </w:r>
      <w:r>
        <w:rPr>
          <w:w w:val="100"/>
        </w:rPr>
        <w:t> </w:t>
      </w:r>
      <w:r>
        <w:rPr/>
        <w:t>产开发有限公司固定资产转入。从投资性房地产转入固定资产情况，详见附注五、</w:t>
      </w:r>
      <w:r>
        <w:rPr>
          <w:rFonts w:ascii="Times New Roman" w:hAnsi="Times New Roman" w:cs="Times New Roman" w:eastAsia="Times New Roman" w:hint="default"/>
        </w:rPr>
        <w:t>9</w:t>
      </w:r>
      <w:r>
        <w:rPr/>
        <w:t>。</w:t>
      </w:r>
    </w:p>
    <w:p>
      <w:pPr>
        <w:pStyle w:val="BodyText"/>
        <w:spacing w:line="240" w:lineRule="auto" w:before="15"/>
        <w:ind w:left="575" w:right="0"/>
        <w:jc w:val="left"/>
      </w:pPr>
      <w:r>
        <w:rPr/>
        <w:t>本期固定资产减少主要是转入投资性房地产核算所致，转出情况详见附注五、</w:t>
      </w:r>
      <w:r>
        <w:rPr>
          <w:rFonts w:ascii="Times New Roman" w:hAnsi="Times New Roman" w:cs="Times New Roman" w:eastAsia="Times New Roman" w:hint="default"/>
        </w:rPr>
        <w:t>9</w:t>
      </w:r>
      <w:r>
        <w:rPr/>
        <w:t>。</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t>（</w:t>
      </w:r>
      <w:r>
        <w:rPr>
          <w:rFonts w:ascii="Times New Roman" w:hAnsi="Times New Roman" w:cs="Times New Roman" w:eastAsia="Times New Roman" w:hint="default"/>
        </w:rPr>
        <w:t>2</w:t>
      </w:r>
      <w:r>
        <w:rPr/>
        <w:t>）暂时闲置的固定资产情况</w:t>
      </w:r>
    </w:p>
    <w:tbl>
      <w:tblPr>
        <w:tblW w:w="0" w:type="auto"/>
        <w:jc w:val="left"/>
        <w:tblInd w:w="123" w:type="dxa"/>
        <w:tblLayout w:type="fixed"/>
        <w:tblCellMar>
          <w:top w:w="0" w:type="dxa"/>
          <w:left w:w="0" w:type="dxa"/>
          <w:bottom w:w="0" w:type="dxa"/>
          <w:right w:w="0" w:type="dxa"/>
        </w:tblCellMar>
        <w:tblLook w:val="01E0"/>
      </w:tblPr>
      <w:tblGrid>
        <w:gridCol w:w="2990"/>
        <w:gridCol w:w="1666"/>
        <w:gridCol w:w="1666"/>
        <w:gridCol w:w="1666"/>
        <w:gridCol w:w="1666"/>
      </w:tblGrid>
      <w:tr>
        <w:trPr>
          <w:trHeight w:val="518"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账面原值</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累计折旧</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减值准备</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07" w:right="0"/>
              <w:jc w:val="left"/>
              <w:rPr>
                <w:rFonts w:ascii="宋体" w:hAnsi="宋体" w:cs="宋体" w:eastAsia="宋体" w:hint="default"/>
                <w:sz w:val="21"/>
                <w:szCs w:val="21"/>
              </w:rPr>
            </w:pPr>
            <w:r>
              <w:rPr>
                <w:rFonts w:ascii="宋体" w:hAnsi="宋体" w:cs="宋体" w:eastAsia="宋体" w:hint="default"/>
                <w:sz w:val="21"/>
                <w:szCs w:val="21"/>
              </w:rPr>
              <w:t>账面净值</w:t>
            </w:r>
          </w:p>
        </w:tc>
      </w:tr>
      <w:tr>
        <w:trPr>
          <w:trHeight w:val="523"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电子及其他设备</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41" w:right="0"/>
              <w:jc w:val="left"/>
              <w:rPr>
                <w:rFonts w:ascii="Times New Roman" w:hAnsi="Times New Roman" w:cs="Times New Roman" w:eastAsia="Times New Roman" w:hint="default"/>
                <w:sz w:val="21"/>
                <w:szCs w:val="21"/>
              </w:rPr>
            </w:pPr>
            <w:r>
              <w:rPr>
                <w:rFonts w:ascii="Times New Roman"/>
                <w:sz w:val="21"/>
              </w:rPr>
              <w:t>13,047,861.00</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47" w:right="0"/>
              <w:jc w:val="left"/>
              <w:rPr>
                <w:rFonts w:ascii="Times New Roman" w:hAnsi="Times New Roman" w:cs="Times New Roman" w:eastAsia="Times New Roman" w:hint="default"/>
                <w:sz w:val="21"/>
                <w:szCs w:val="21"/>
              </w:rPr>
            </w:pPr>
            <w:r>
              <w:rPr>
                <w:rFonts w:ascii="Times New Roman"/>
                <w:sz w:val="21"/>
              </w:rPr>
              <w:t>4,656,425.17</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47" w:right="0"/>
              <w:jc w:val="left"/>
              <w:rPr>
                <w:rFonts w:ascii="Times New Roman" w:hAnsi="Times New Roman" w:cs="Times New Roman" w:eastAsia="Times New Roman" w:hint="default"/>
                <w:sz w:val="21"/>
                <w:szCs w:val="21"/>
              </w:rPr>
            </w:pPr>
            <w:r>
              <w:rPr>
                <w:rFonts w:ascii="Times New Roman"/>
                <w:sz w:val="21"/>
              </w:rPr>
              <w:t>8,000,000.00</w:t>
            </w:r>
          </w:p>
        </w:tc>
        <w:tc>
          <w:tcPr>
            <w:tcW w:w="16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710" w:right="0"/>
              <w:jc w:val="left"/>
              <w:rPr>
                <w:rFonts w:ascii="Times New Roman" w:hAnsi="Times New Roman" w:cs="Times New Roman" w:eastAsia="Times New Roman" w:hint="default"/>
                <w:sz w:val="21"/>
                <w:szCs w:val="21"/>
              </w:rPr>
            </w:pPr>
            <w:r>
              <w:rPr>
                <w:rFonts w:ascii="Times New Roman"/>
                <w:sz w:val="21"/>
              </w:rPr>
              <w:t>391,435.83</w:t>
            </w:r>
          </w:p>
        </w:tc>
      </w:tr>
    </w:tbl>
    <w:p>
      <w:pPr>
        <w:spacing w:line="240" w:lineRule="auto" w:before="2"/>
        <w:rPr>
          <w:rFonts w:ascii="宋体" w:hAnsi="宋体" w:cs="宋体" w:eastAsia="宋体" w:hint="default"/>
          <w:sz w:val="13"/>
          <w:szCs w:val="13"/>
        </w:rPr>
      </w:pPr>
    </w:p>
    <w:p>
      <w:pPr>
        <w:pStyle w:val="BodyText"/>
        <w:spacing w:line="240" w:lineRule="auto" w:before="36"/>
        <w:ind w:left="575" w:right="0"/>
        <w:jc w:val="left"/>
      </w:pPr>
      <w:r>
        <w:rPr/>
        <w:t>以上闲置的固定资产为子公司福建升通网络传媒有限公司设备资产，长期闲置。</w:t>
      </w:r>
    </w:p>
    <w:p>
      <w:pPr>
        <w:spacing w:line="240" w:lineRule="auto" w:before="2"/>
        <w:rPr>
          <w:rFonts w:ascii="宋体" w:hAnsi="宋体" w:cs="宋体" w:eastAsia="宋体" w:hint="default"/>
          <w:sz w:val="17"/>
          <w:szCs w:val="17"/>
        </w:rPr>
      </w:pPr>
    </w:p>
    <w:p>
      <w:pPr>
        <w:pStyle w:val="BodyText"/>
        <w:spacing w:line="412" w:lineRule="auto"/>
        <w:ind w:left="575" w:right="0"/>
        <w:jc w:val="left"/>
      </w:pPr>
      <w:r>
        <w:rPr/>
        <w:t>（</w:t>
      </w:r>
      <w:r>
        <w:rPr>
          <w:rFonts w:ascii="Times New Roman" w:hAnsi="Times New Roman" w:cs="Times New Roman" w:eastAsia="Times New Roman" w:hint="default"/>
        </w:rPr>
        <w:t>3</w:t>
      </w:r>
      <w:r>
        <w:rPr/>
        <w:t>）未办妥产权证书的固定资产情况</w:t>
      </w:r>
      <w:r>
        <w:rPr>
          <w:spacing w:val="-101"/>
        </w:rPr>
        <w:t> </w:t>
      </w:r>
      <w:r>
        <w:rPr>
          <w:spacing w:val="-101"/>
        </w:rPr>
      </w:r>
      <w:r>
        <w:rPr>
          <w:spacing w:val="-2"/>
        </w:rPr>
        <w:t>本公司之子公司深圳市鸿基物流有限公司在经营租入的土地上所建的房屋建筑物，无法办理房产证；</w:t>
      </w:r>
    </w:p>
    <w:p>
      <w:pPr>
        <w:pStyle w:val="BodyText"/>
        <w:spacing w:line="240" w:lineRule="auto" w:before="73"/>
        <w:ind w:right="0"/>
        <w:jc w:val="left"/>
      </w:pPr>
      <w:r>
        <w:rPr/>
        <w:t>截止</w:t>
      </w:r>
      <w:r>
        <w:rPr>
          <w:spacing w:val="-52"/>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日该等房屋建筑物期末原值为</w:t>
      </w:r>
      <w:r>
        <w:rPr>
          <w:spacing w:val="-52"/>
        </w:rPr>
        <w:t> </w:t>
      </w:r>
      <w:r>
        <w:rPr>
          <w:rFonts w:ascii="Times New Roman" w:hAnsi="Times New Roman" w:cs="Times New Roman" w:eastAsia="Times New Roman" w:hint="default"/>
        </w:rPr>
        <w:t>12,490,940.77</w:t>
      </w:r>
      <w:r>
        <w:rPr>
          <w:rFonts w:ascii="Times New Roman" w:hAnsi="Times New Roman" w:cs="Times New Roman" w:eastAsia="Times New Roman" w:hint="default"/>
          <w:spacing w:val="-4"/>
        </w:rPr>
        <w:t> </w:t>
      </w:r>
      <w:r>
        <w:rPr/>
        <w:t>元，净值为</w:t>
      </w:r>
      <w:r>
        <w:rPr>
          <w:spacing w:val="-52"/>
        </w:rPr>
        <w:t> </w:t>
      </w:r>
      <w:r>
        <w:rPr>
          <w:rFonts w:ascii="Times New Roman" w:hAnsi="Times New Roman" w:cs="Times New Roman" w:eastAsia="Times New Roman" w:hint="default"/>
        </w:rPr>
        <w:t>7,161,472.71</w:t>
      </w:r>
      <w:r>
        <w:rPr>
          <w:rFonts w:ascii="Times New Roman" w:hAnsi="Times New Roman" w:cs="Times New Roman" w:eastAsia="Times New Roman" w:hint="default"/>
          <w:spacing w:val="1"/>
        </w:rPr>
        <w:t> </w:t>
      </w:r>
      <w:r>
        <w:rPr>
          <w:spacing w:val="-3"/>
        </w:rPr>
        <w:t>元。</w:t>
      </w:r>
    </w:p>
    <w:p>
      <w:pPr>
        <w:spacing w:line="240" w:lineRule="auto" w:before="4"/>
        <w:rPr>
          <w:rFonts w:ascii="宋体" w:hAnsi="宋体" w:cs="宋体" w:eastAsia="宋体" w:hint="default"/>
          <w:sz w:val="16"/>
          <w:szCs w:val="16"/>
        </w:rPr>
      </w:pPr>
    </w:p>
    <w:p>
      <w:pPr>
        <w:pStyle w:val="BodyText"/>
        <w:spacing w:line="240" w:lineRule="auto"/>
        <w:ind w:left="575" w:right="0"/>
        <w:jc w:val="left"/>
      </w:pPr>
      <w:r>
        <w:rPr/>
        <w:t>（</w:t>
      </w:r>
      <w:r>
        <w:rPr>
          <w:rFonts w:ascii="Times New Roman" w:hAnsi="Times New Roman" w:cs="Times New Roman" w:eastAsia="Times New Roman" w:hint="default"/>
        </w:rPr>
        <w:t>4</w:t>
      </w:r>
      <w:r>
        <w:rPr/>
        <w:t>）所有权受限的固定资产</w:t>
      </w:r>
    </w:p>
    <w:p>
      <w:pPr>
        <w:spacing w:line="240" w:lineRule="auto" w:before="12"/>
        <w:rPr>
          <w:rFonts w:ascii="宋体" w:hAnsi="宋体" w:cs="宋体" w:eastAsia="宋体" w:hint="default"/>
          <w:sz w:val="15"/>
          <w:szCs w:val="15"/>
        </w:rPr>
      </w:pPr>
    </w:p>
    <w:p>
      <w:pPr>
        <w:pStyle w:val="BodyText"/>
        <w:spacing w:line="240" w:lineRule="auto"/>
        <w:ind w:left="575" w:right="0"/>
        <w:jc w:val="left"/>
      </w:pPr>
      <w:r>
        <w:rPr/>
        <w:t>截止</w:t>
      </w:r>
      <w:r>
        <w:rPr>
          <w:spacing w:val="-53"/>
        </w:rPr>
        <w:t> </w:t>
      </w:r>
      <w:r>
        <w:rPr>
          <w:rFonts w:ascii="Times New Roman" w:hAnsi="Times New Roman" w:cs="Times New Roman" w:eastAsia="Times New Roman" w:hint="default"/>
        </w:rPr>
        <w:t>2012 </w:t>
      </w:r>
      <w:r>
        <w:rPr/>
        <w:t>年</w:t>
      </w:r>
      <w:r>
        <w:rPr>
          <w:spacing w:val="-57"/>
        </w:rPr>
        <w:t> </w:t>
      </w:r>
      <w:r>
        <w:rPr>
          <w:rFonts w:ascii="Times New Roman" w:hAnsi="Times New Roman" w:cs="Times New Roman" w:eastAsia="Times New Roman" w:hint="default"/>
        </w:rPr>
        <w:t>12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日，本公司用于银行贷款抵押的固定资产原值为</w:t>
      </w:r>
      <w:r>
        <w:rPr>
          <w:spacing w:val="-53"/>
        </w:rPr>
        <w:t> </w:t>
      </w:r>
      <w:r>
        <w:rPr>
          <w:rFonts w:ascii="Times New Roman" w:hAnsi="Times New Roman" w:cs="Times New Roman" w:eastAsia="Times New Roman" w:hint="default"/>
        </w:rPr>
        <w:t>35,784,204.66 </w:t>
      </w:r>
      <w:r>
        <w:rPr/>
        <w:t>元，净值为</w:t>
      </w:r>
    </w:p>
    <w:p>
      <w:pPr>
        <w:spacing w:line="240" w:lineRule="auto" w:before="12"/>
        <w:rPr>
          <w:rFonts w:ascii="宋体" w:hAnsi="宋体" w:cs="宋体" w:eastAsia="宋体" w:hint="default"/>
          <w:sz w:val="15"/>
          <w:szCs w:val="15"/>
        </w:rPr>
      </w:pPr>
    </w:p>
    <w:p>
      <w:pPr>
        <w:pStyle w:val="BodyText"/>
        <w:spacing w:line="240" w:lineRule="auto"/>
        <w:ind w:right="0"/>
        <w:jc w:val="left"/>
      </w:pPr>
      <w:r>
        <w:rPr>
          <w:rFonts w:ascii="Times New Roman" w:hAnsi="Times New Roman" w:cs="Times New Roman" w:eastAsia="Times New Roman" w:hint="default"/>
        </w:rPr>
        <w:t>23,815,895.77</w:t>
      </w:r>
      <w:r>
        <w:rPr>
          <w:rFonts w:ascii="Times New Roman" w:hAnsi="Times New Roman" w:cs="Times New Roman" w:eastAsia="Times New Roman" w:hint="default"/>
          <w:spacing w:val="3"/>
        </w:rPr>
        <w:t> </w:t>
      </w:r>
      <w:r>
        <w:rPr/>
        <w:t>元。</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0"/>
        <w:jc w:val="left"/>
        <w:rPr>
          <w:b w:val="0"/>
          <w:bCs w:val="0"/>
        </w:rPr>
      </w:pPr>
      <w:r>
        <w:rPr>
          <w:rFonts w:ascii="Times New Roman" w:hAnsi="Times New Roman" w:cs="Times New Roman" w:eastAsia="Times New Roman" w:hint="default"/>
          <w:spacing w:val="-3"/>
        </w:rPr>
        <w:t>11</w:t>
      </w:r>
      <w:r>
        <w:rPr>
          <w:spacing w:val="-3"/>
        </w:rPr>
        <w:t>、在建工程</w:t>
      </w:r>
      <w:r>
        <w:rPr>
          <w:b w:val="0"/>
          <w:bCs w:val="0"/>
          <w:spacing w:val="-3"/>
        </w:rPr>
      </w:r>
    </w:p>
    <w:tbl>
      <w:tblPr>
        <w:tblW w:w="0" w:type="auto"/>
        <w:jc w:val="left"/>
        <w:tblInd w:w="123" w:type="dxa"/>
        <w:tblLayout w:type="fixed"/>
        <w:tblCellMar>
          <w:top w:w="0" w:type="dxa"/>
          <w:left w:w="0" w:type="dxa"/>
          <w:bottom w:w="0" w:type="dxa"/>
          <w:right w:w="0" w:type="dxa"/>
        </w:tblCellMar>
        <w:tblLook w:val="01E0"/>
      </w:tblPr>
      <w:tblGrid>
        <w:gridCol w:w="1714"/>
        <w:gridCol w:w="1301"/>
        <w:gridCol w:w="1301"/>
        <w:gridCol w:w="1296"/>
        <w:gridCol w:w="1301"/>
        <w:gridCol w:w="1301"/>
        <w:gridCol w:w="1301"/>
      </w:tblGrid>
      <w:tr>
        <w:trPr>
          <w:trHeight w:val="523" w:hRule="exact"/>
        </w:trPr>
        <w:tc>
          <w:tcPr>
            <w:tcW w:w="171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6"/>
              <w:ind w:right="0"/>
              <w:jc w:val="left"/>
              <w:rPr>
                <w:rFonts w:ascii="Microsoft JhengHei" w:hAnsi="Microsoft JhengHei" w:cs="Microsoft JhengHei" w:eastAsia="Microsoft JhengHei" w:hint="default"/>
                <w:b/>
                <w:bCs/>
                <w:sz w:val="9"/>
                <w:szCs w:val="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98"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02"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09" w:hRule="exact"/>
        </w:trPr>
        <w:tc>
          <w:tcPr>
            <w:tcW w:w="1714" w:type="dxa"/>
            <w:vMerge/>
            <w:tcBorders>
              <w:left w:val="nil" w:sz="6" w:space="0" w:color="auto"/>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账面净值</w:t>
            </w:r>
          </w:p>
        </w:tc>
      </w:tr>
      <w:tr>
        <w:trPr>
          <w:trHeight w:val="509" w:hRule="exact"/>
        </w:trPr>
        <w:tc>
          <w:tcPr>
            <w:tcW w:w="17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北山大道综合用地</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130,000.00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130,000.00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130,000.00</w:t>
            </w:r>
          </w:p>
        </w:tc>
        <w:tc>
          <w:tcPr>
            <w:tcW w:w="13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171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号地二期仓库</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35,800.00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35,800.00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35,800.00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35,800.00</w:t>
            </w:r>
          </w:p>
        </w:tc>
        <w:tc>
          <w:tcPr>
            <w:tcW w:w="13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8" w:hRule="exact"/>
        </w:trPr>
        <w:tc>
          <w:tcPr>
            <w:tcW w:w="171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165,800.00</w:t>
            </w:r>
            <w:r>
              <w:rPr>
                <w:rFonts w:ascii="Times New Roman"/>
                <w:spacing w:val="-1"/>
                <w:sz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165,800.00</w:t>
            </w:r>
            <w:r>
              <w:rPr>
                <w:rFonts w:ascii="Times New Roman"/>
                <w:spacing w:val="-1"/>
                <w:sz w:val="18"/>
              </w:rPr>
            </w:r>
          </w:p>
        </w:tc>
        <w:tc>
          <w:tcPr>
            <w:tcW w:w="12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165,800.00</w:t>
            </w:r>
            <w:r>
              <w:rPr>
                <w:rFonts w:ascii="Times New Roman"/>
                <w:spacing w:val="-1"/>
                <w:sz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165,800.00</w:t>
            </w:r>
            <w:r>
              <w:rPr>
                <w:rFonts w:ascii="Times New Roman"/>
                <w:spacing w:val="-1"/>
                <w:sz w:val="18"/>
              </w:rPr>
            </w:r>
          </w:p>
        </w:tc>
        <w:tc>
          <w:tcPr>
            <w:tcW w:w="130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bl>
    <w:p>
      <w:pPr>
        <w:spacing w:line="240" w:lineRule="auto" w:before="8"/>
        <w:rPr>
          <w:rFonts w:ascii="Microsoft JhengHei" w:hAnsi="Microsoft JhengHei" w:cs="Microsoft JhengHei" w:eastAsia="Microsoft JhengHei" w:hint="default"/>
          <w:b/>
          <w:bCs/>
          <w:sz w:val="9"/>
          <w:szCs w:val="9"/>
        </w:rPr>
      </w:pPr>
    </w:p>
    <w:p>
      <w:pPr>
        <w:pStyle w:val="BodyText"/>
        <w:spacing w:line="240" w:lineRule="auto" w:before="36"/>
        <w:ind w:left="565" w:right="0"/>
        <w:jc w:val="left"/>
      </w:pPr>
      <w:r>
        <w:rPr/>
        <w:t>北山大道综合用地和</w:t>
      </w:r>
      <w:r>
        <w:rPr>
          <w:spacing w:val="-56"/>
        </w:rPr>
        <w:t> </w:t>
      </w:r>
      <w:r>
        <w:rPr>
          <w:rFonts w:ascii="Times New Roman" w:hAnsi="Times New Roman" w:cs="Times New Roman" w:eastAsia="Times New Roman" w:hint="default"/>
        </w:rPr>
        <w:t>23</w:t>
      </w:r>
      <w:r>
        <w:rPr>
          <w:rFonts w:ascii="Times New Roman" w:hAnsi="Times New Roman" w:cs="Times New Roman" w:eastAsia="Times New Roman" w:hint="default"/>
          <w:spacing w:val="1"/>
        </w:rPr>
        <w:t> </w:t>
      </w:r>
      <w:r>
        <w:rPr/>
        <w:t>号地二期仓库工程长期停工，以前年度已全额计提减值准备。</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0"/>
        <w:jc w:val="left"/>
        <w:rPr>
          <w:b w:val="0"/>
          <w:bCs w:val="0"/>
        </w:rPr>
      </w:pPr>
      <w:r>
        <w:rPr>
          <w:rFonts w:ascii="Times New Roman" w:hAnsi="Times New Roman" w:cs="Times New Roman" w:eastAsia="Times New Roman" w:hint="default"/>
        </w:rPr>
        <w:t>12</w:t>
      </w:r>
      <w:r>
        <w:rPr/>
        <w:t>、无形资产</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2990"/>
        <w:gridCol w:w="1666"/>
        <w:gridCol w:w="1666"/>
        <w:gridCol w:w="1666"/>
        <w:gridCol w:w="1666"/>
      </w:tblGrid>
      <w:tr>
        <w:trPr>
          <w:trHeight w:val="518"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274"/>
              <w:jc w:val="right"/>
              <w:rPr>
                <w:rFonts w:ascii="宋体" w:hAnsi="宋体" w:cs="宋体" w:eastAsia="宋体" w:hint="default"/>
                <w:sz w:val="21"/>
                <w:szCs w:val="21"/>
              </w:rPr>
            </w:pPr>
            <w:r>
              <w:rPr>
                <w:rFonts w:ascii="宋体" w:hAnsi="宋体" w:cs="宋体" w:eastAsia="宋体" w:hint="default"/>
                <w:sz w:val="21"/>
                <w:szCs w:val="21"/>
              </w:rPr>
              <w:t>项目</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7"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23"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279"/>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一、账面原值合计</w:t>
            </w:r>
            <w:r>
              <w:rPr>
                <w:rFonts w:ascii="Microsoft JhengHei" w:hAnsi="Microsoft JhengHei" w:cs="Microsoft JhengHei" w:eastAsia="Microsoft JhengHei" w:hint="default"/>
                <w:sz w:val="21"/>
                <w:szCs w:val="21"/>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left="441" w:right="0"/>
              <w:jc w:val="left"/>
              <w:rPr>
                <w:rFonts w:ascii="Times New Roman" w:hAnsi="Times New Roman" w:cs="Times New Roman" w:eastAsia="Times New Roman" w:hint="default"/>
                <w:sz w:val="21"/>
                <w:szCs w:val="21"/>
              </w:rPr>
            </w:pPr>
            <w:r>
              <w:rPr>
                <w:rFonts w:ascii="Times New Roman"/>
                <w:b/>
                <w:sz w:val="21"/>
              </w:rPr>
              <w:t>37,789,360.21</w:t>
            </w:r>
            <w:r>
              <w:rPr>
                <w:rFonts w:ascii="Times New Roman"/>
                <w:sz w:val="21"/>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left="705" w:right="0"/>
              <w:jc w:val="left"/>
              <w:rPr>
                <w:rFonts w:ascii="Times New Roman" w:hAnsi="Times New Roman" w:cs="Times New Roman" w:eastAsia="Times New Roman" w:hint="default"/>
                <w:sz w:val="21"/>
                <w:szCs w:val="21"/>
              </w:rPr>
            </w:pPr>
            <w:r>
              <w:rPr>
                <w:rFonts w:ascii="Times New Roman"/>
                <w:b/>
                <w:sz w:val="21"/>
              </w:rPr>
              <w:t>481,300.00</w:t>
            </w:r>
            <w:r>
              <w:rPr>
                <w:rFonts w:ascii="Times New Roman"/>
                <w:sz w:val="21"/>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left="446" w:right="-5"/>
              <w:jc w:val="left"/>
              <w:rPr>
                <w:rFonts w:ascii="Times New Roman" w:hAnsi="Times New Roman" w:cs="Times New Roman" w:eastAsia="Times New Roman" w:hint="default"/>
                <w:sz w:val="21"/>
                <w:szCs w:val="21"/>
              </w:rPr>
            </w:pPr>
            <w:r>
              <w:rPr>
                <w:rFonts w:ascii="Times New Roman"/>
                <w:b/>
                <w:sz w:val="21"/>
              </w:rPr>
              <w:t>20,396,807.06</w:t>
            </w:r>
            <w:r>
              <w:rPr>
                <w:rFonts w:ascii="Times New Roman"/>
                <w:sz w:val="21"/>
              </w:rPr>
            </w:r>
          </w:p>
        </w:tc>
        <w:tc>
          <w:tcPr>
            <w:tcW w:w="16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left="451" w:right="-5"/>
              <w:jc w:val="left"/>
              <w:rPr>
                <w:rFonts w:ascii="Times New Roman" w:hAnsi="Times New Roman" w:cs="Times New Roman" w:eastAsia="Times New Roman" w:hint="default"/>
                <w:sz w:val="21"/>
                <w:szCs w:val="21"/>
              </w:rPr>
            </w:pPr>
            <w:r>
              <w:rPr>
                <w:rFonts w:ascii="Times New Roman"/>
                <w:b/>
                <w:sz w:val="21"/>
              </w:rPr>
              <w:t>17,873,853.15</w:t>
            </w:r>
            <w:r>
              <w:rPr>
                <w:rFonts w:ascii="Times New Roman"/>
                <w:sz w:val="21"/>
              </w:rPr>
            </w:r>
          </w:p>
        </w:tc>
      </w:tr>
    </w:tbl>
    <w:p>
      <w:pPr>
        <w:spacing w:after="0" w:line="240" w:lineRule="auto"/>
        <w:jc w:val="left"/>
        <w:rPr>
          <w:rFonts w:ascii="Times New Roman" w:hAnsi="Times New Roman" w:cs="Times New Roman" w:eastAsia="Times New Roman" w:hint="default"/>
          <w:sz w:val="21"/>
          <w:szCs w:val="21"/>
        </w:rPr>
        <w:sectPr>
          <w:pgSz w:w="11900" w:h="16840"/>
          <w:pgMar w:header="762" w:footer="840" w:top="1000" w:bottom="1020" w:left="980" w:right="98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2990"/>
        <w:gridCol w:w="1666"/>
        <w:gridCol w:w="1666"/>
        <w:gridCol w:w="1666"/>
        <w:gridCol w:w="1666"/>
      </w:tblGrid>
      <w:tr>
        <w:trPr>
          <w:trHeight w:val="518"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3"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07"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33"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37,169,930.21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right"/>
              <w:rPr>
                <w:rFonts w:ascii="Times New Roman" w:hAnsi="Times New Roman" w:cs="Times New Roman" w:eastAsia="Times New Roman" w:hint="default"/>
                <w:sz w:val="21"/>
                <w:szCs w:val="21"/>
              </w:rPr>
            </w:pPr>
            <w:r>
              <w:rPr>
                <w:rFonts w:ascii="Times New Roman"/>
                <w:sz w:val="21"/>
              </w:rPr>
              <w:t>20,396,807.06</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right"/>
              <w:rPr>
                <w:rFonts w:ascii="Times New Roman" w:hAnsi="Times New Roman" w:cs="Times New Roman" w:eastAsia="Times New Roman" w:hint="default"/>
                <w:sz w:val="21"/>
                <w:szCs w:val="21"/>
              </w:rPr>
            </w:pPr>
            <w:r>
              <w:rPr>
                <w:rFonts w:ascii="Times New Roman"/>
                <w:sz w:val="21"/>
              </w:rPr>
              <w:t>16,773,123.15</w:t>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619,430.00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481,300.00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1,100,730.00</w:t>
            </w:r>
          </w:p>
        </w:tc>
      </w:tr>
      <w:tr>
        <w:trPr>
          <w:trHeight w:val="533"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4"/>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二、累计摊销合计</w:t>
            </w:r>
            <w:r>
              <w:rPr>
                <w:rFonts w:ascii="Microsoft JhengHei" w:hAnsi="Microsoft JhengHei" w:cs="Microsoft JhengHei" w:eastAsia="Microsoft JhengHei"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9,156,970.51</w:t>
            </w:r>
            <w:r>
              <w:rPr>
                <w:rFonts w:ascii="Times New Roman"/>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950,420.07</w:t>
            </w:r>
            <w:r>
              <w:rPr>
                <w:rFonts w:ascii="Times New Roman"/>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6,498,982.73</w:t>
            </w:r>
            <w:r>
              <w:rPr>
                <w:rFonts w:ascii="Times New Roman"/>
                <w:sz w:val="21"/>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3,608,407.85</w:t>
            </w:r>
            <w:r>
              <w:rPr>
                <w:rFonts w:ascii="Times New Roman"/>
                <w:sz w:val="21"/>
              </w:rPr>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8,638,089.67</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823,729.51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6,498,982.73</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2,962,836.45</w:t>
            </w:r>
          </w:p>
        </w:tc>
      </w:tr>
      <w:tr>
        <w:trPr>
          <w:trHeight w:val="533"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518,880.84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126,690.56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645,571.40</w:t>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9"/>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三、无形资产账面净值合计</w:t>
            </w:r>
            <w:r>
              <w:rPr>
                <w:rFonts w:ascii="Microsoft JhengHei" w:hAnsi="Microsoft JhengHei" w:cs="Microsoft JhengHei" w:eastAsia="Microsoft JhengHei"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28,632,389.70</w:t>
            </w:r>
            <w:r>
              <w:rPr>
                <w:rFonts w:ascii="Times New Roman"/>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pacing w:val="-1"/>
                <w:sz w:val="21"/>
              </w:rPr>
              <w:t>-469,120.07</w:t>
            </w:r>
            <w:r>
              <w:rPr>
                <w:rFonts w:ascii="Times New Roman"/>
                <w:spacing w:val="-1"/>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13,897,824.33</w:t>
            </w:r>
            <w:r>
              <w:rPr>
                <w:rFonts w:ascii="Times New Roman"/>
                <w:sz w:val="21"/>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right"/>
              <w:rPr>
                <w:rFonts w:ascii="Times New Roman" w:hAnsi="Times New Roman" w:cs="Times New Roman" w:eastAsia="Times New Roman" w:hint="default"/>
                <w:sz w:val="21"/>
                <w:szCs w:val="21"/>
              </w:rPr>
            </w:pPr>
            <w:r>
              <w:rPr>
                <w:rFonts w:ascii="Times New Roman"/>
                <w:b/>
                <w:sz w:val="21"/>
              </w:rPr>
              <w:t>14,265,445.30</w:t>
            </w:r>
            <w:r>
              <w:rPr>
                <w:rFonts w:ascii="Times New Roman"/>
                <w:sz w:val="21"/>
              </w:rPr>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28,531,840.54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-823,729.51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13,897,824.33</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right"/>
              <w:rPr>
                <w:rFonts w:ascii="Times New Roman" w:hAnsi="Times New Roman" w:cs="Times New Roman" w:eastAsia="Times New Roman" w:hint="default"/>
                <w:sz w:val="21"/>
                <w:szCs w:val="21"/>
              </w:rPr>
            </w:pPr>
            <w:r>
              <w:rPr>
                <w:rFonts w:ascii="Times New Roman"/>
                <w:sz w:val="21"/>
              </w:rPr>
              <w:t>13,810,286.70</w:t>
            </w:r>
          </w:p>
        </w:tc>
      </w:tr>
      <w:tr>
        <w:trPr>
          <w:trHeight w:val="533"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100,549.16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354,609.44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455,158.60</w:t>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4"/>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四、减值准备合计</w:t>
            </w:r>
            <w:r>
              <w:rPr>
                <w:rFonts w:ascii="Microsoft JhengHei" w:hAnsi="Microsoft JhengHei" w:cs="Microsoft JhengHei" w:eastAsia="Microsoft JhengHei"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r>
      <w:tr>
        <w:trPr>
          <w:trHeight w:val="533"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r>
      <w:tr>
        <w:trPr>
          <w:trHeight w:val="528"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4"/>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五、无形资产账面价值合计</w:t>
            </w:r>
            <w:r>
              <w:rPr>
                <w:rFonts w:ascii="Microsoft JhengHei" w:hAnsi="Microsoft JhengHei" w:cs="Microsoft JhengHei" w:eastAsia="Microsoft JhengHei"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28,632,389.70</w:t>
            </w:r>
            <w:r>
              <w:rPr>
                <w:rFonts w:ascii="Times New Roman"/>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pacing w:val="-1"/>
                <w:sz w:val="21"/>
              </w:rPr>
              <w:t>-469,120.07</w:t>
            </w:r>
            <w:r>
              <w:rPr>
                <w:rFonts w:ascii="Times New Roman"/>
                <w:spacing w:val="-1"/>
                <w:sz w:val="21"/>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13,897,824.33</w:t>
            </w:r>
            <w:r>
              <w:rPr>
                <w:rFonts w:ascii="Times New Roman"/>
                <w:sz w:val="21"/>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right"/>
              <w:rPr>
                <w:rFonts w:ascii="Times New Roman" w:hAnsi="Times New Roman" w:cs="Times New Roman" w:eastAsia="Times New Roman" w:hint="default"/>
                <w:sz w:val="21"/>
                <w:szCs w:val="21"/>
              </w:rPr>
            </w:pPr>
            <w:r>
              <w:rPr>
                <w:rFonts w:ascii="Times New Roman"/>
                <w:b/>
                <w:sz w:val="21"/>
              </w:rPr>
              <w:t>14,265,445.30</w:t>
            </w:r>
            <w:r>
              <w:rPr>
                <w:rFonts w:ascii="Times New Roman"/>
                <w:sz w:val="21"/>
              </w:rPr>
            </w:r>
          </w:p>
        </w:tc>
      </w:tr>
      <w:tr>
        <w:trPr>
          <w:trHeight w:val="533"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28,531,840.54</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-823,729.51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13,897,824.33</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5"/>
              <w:jc w:val="right"/>
              <w:rPr>
                <w:rFonts w:ascii="Times New Roman" w:hAnsi="Times New Roman" w:cs="Times New Roman" w:eastAsia="Times New Roman" w:hint="default"/>
                <w:sz w:val="21"/>
                <w:szCs w:val="21"/>
              </w:rPr>
            </w:pPr>
            <w:r>
              <w:rPr>
                <w:rFonts w:ascii="Times New Roman"/>
                <w:sz w:val="21"/>
              </w:rPr>
              <w:t>13,810,286.70</w:t>
            </w:r>
          </w:p>
        </w:tc>
      </w:tr>
      <w:tr>
        <w:trPr>
          <w:trHeight w:val="542"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43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100,549.16</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354,609.44</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6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455,158.60</w:t>
            </w:r>
          </w:p>
        </w:tc>
      </w:tr>
    </w:tbl>
    <w:p>
      <w:pPr>
        <w:spacing w:line="240" w:lineRule="auto" w:before="0"/>
        <w:rPr>
          <w:rFonts w:ascii="Microsoft JhengHei" w:hAnsi="Microsoft JhengHei" w:cs="Microsoft JhengHei" w:eastAsia="Microsoft JhengHei" w:hint="default"/>
          <w:b/>
          <w:bCs/>
          <w:sz w:val="10"/>
          <w:szCs w:val="10"/>
        </w:rPr>
      </w:pPr>
    </w:p>
    <w:p>
      <w:pPr>
        <w:pStyle w:val="BodyText"/>
        <w:spacing w:line="240" w:lineRule="auto" w:before="36"/>
        <w:ind w:left="575" w:right="0"/>
        <w:jc w:val="left"/>
      </w:pPr>
      <w:r>
        <w:rPr/>
        <w:t>无形资产本期摊销额为</w:t>
      </w:r>
      <w:r>
        <w:rPr>
          <w:spacing w:val="-51"/>
        </w:rPr>
        <w:t> </w:t>
      </w:r>
      <w:r>
        <w:rPr>
          <w:rFonts w:ascii="Times New Roman" w:hAnsi="Times New Roman" w:cs="Times New Roman" w:eastAsia="Times New Roman" w:hint="default"/>
        </w:rPr>
        <w:t>950,420.07</w:t>
      </w:r>
      <w:r>
        <w:rPr>
          <w:rFonts w:ascii="Times New Roman" w:hAnsi="Times New Roman" w:cs="Times New Roman" w:eastAsia="Times New Roman" w:hint="default"/>
          <w:spacing w:val="2"/>
        </w:rPr>
        <w:t> </w:t>
      </w:r>
      <w:r>
        <w:rPr/>
        <w:t>元。</w:t>
      </w:r>
    </w:p>
    <w:p>
      <w:pPr>
        <w:spacing w:line="240" w:lineRule="auto" w:before="5"/>
        <w:rPr>
          <w:rFonts w:ascii="宋体" w:hAnsi="宋体" w:cs="宋体" w:eastAsia="宋体" w:hint="default"/>
          <w:sz w:val="17"/>
          <w:szCs w:val="17"/>
        </w:rPr>
      </w:pPr>
    </w:p>
    <w:p>
      <w:pPr>
        <w:pStyle w:val="BodyText"/>
        <w:spacing w:line="427" w:lineRule="auto"/>
        <w:ind w:right="127" w:firstLine="422"/>
        <w:jc w:val="left"/>
      </w:pPr>
      <w:r>
        <w:rPr/>
        <w:t>本期减少的土地使用权系以梅林</w:t>
      </w:r>
      <w:r>
        <w:rPr>
          <w:spacing w:val="-63"/>
        </w:rPr>
        <w:t> </w:t>
      </w:r>
      <w:r>
        <w:rPr>
          <w:rFonts w:ascii="Times New Roman" w:hAnsi="Times New Roman" w:cs="Times New Roman" w:eastAsia="Times New Roman" w:hint="default"/>
        </w:rPr>
        <w:t>B403-19</w:t>
      </w:r>
      <w:r>
        <w:rPr>
          <w:rFonts w:ascii="Times New Roman" w:hAnsi="Times New Roman" w:cs="Times New Roman" w:eastAsia="Times New Roman" w:hint="default"/>
          <w:spacing w:val="-11"/>
        </w:rPr>
        <w:t> </w:t>
      </w:r>
      <w:r>
        <w:rPr/>
        <w:t>地块出资与深圳市永浩房地产开发有限公司共同成立联营企</w:t>
      </w:r>
      <w:r>
        <w:rPr>
          <w:w w:val="100"/>
        </w:rPr>
        <w:t> </w:t>
      </w:r>
      <w:r>
        <w:rPr/>
        <w:t>业深圳市颂德房地产开发有限公司，本期正式过户予联营企业。该交易详见附注五、</w:t>
      </w:r>
      <w:r>
        <w:rPr>
          <w:rFonts w:ascii="Times New Roman" w:hAnsi="Times New Roman" w:cs="Times New Roman" w:eastAsia="Times New Roman" w:hint="default"/>
        </w:rPr>
        <w:t>7</w:t>
      </w:r>
      <w:r>
        <w:rPr/>
        <w:t>。</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6"/>
          <w:szCs w:val="16"/>
        </w:rPr>
      </w:pPr>
    </w:p>
    <w:p>
      <w:pPr>
        <w:pStyle w:val="Heading6"/>
        <w:spacing w:line="240" w:lineRule="auto"/>
        <w:ind w:right="0"/>
        <w:jc w:val="left"/>
        <w:rPr>
          <w:b w:val="0"/>
          <w:bCs w:val="0"/>
        </w:rPr>
      </w:pPr>
      <w:r>
        <w:rPr>
          <w:rFonts w:ascii="Times New Roman" w:hAnsi="Times New Roman" w:cs="Times New Roman" w:eastAsia="Times New Roman" w:hint="default"/>
        </w:rPr>
        <w:t>13</w:t>
      </w:r>
      <w:r>
        <w:rPr/>
        <w:t>、商誉</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2424"/>
        <w:gridCol w:w="1445"/>
        <w:gridCol w:w="1445"/>
        <w:gridCol w:w="1445"/>
        <w:gridCol w:w="1450"/>
        <w:gridCol w:w="1445"/>
      </w:tblGrid>
      <w:tr>
        <w:trPr>
          <w:trHeight w:val="902" w:hRule="exact"/>
        </w:trPr>
        <w:tc>
          <w:tcPr>
            <w:tcW w:w="2424" w:type="dxa"/>
            <w:tcBorders>
              <w:top w:val="single" w:sz="12" w:space="0" w:color="000000"/>
              <w:left w:val="nil" w:sz="6" w:space="0" w:color="auto"/>
              <w:bottom w:val="single" w:sz="4" w:space="0" w:color="000000"/>
              <w:right w:val="single" w:sz="4" w:space="0" w:color="000000"/>
            </w:tcBorders>
          </w:tcPr>
          <w:p>
            <w:pPr>
              <w:pStyle w:val="TableParagraph"/>
              <w:spacing w:line="442" w:lineRule="exact" w:before="20"/>
              <w:ind w:left="686" w:right="151" w:hanging="524"/>
              <w:jc w:val="left"/>
              <w:rPr>
                <w:rFonts w:ascii="宋体" w:hAnsi="宋体" w:cs="宋体" w:eastAsia="宋体" w:hint="default"/>
                <w:sz w:val="21"/>
                <w:szCs w:val="21"/>
              </w:rPr>
            </w:pPr>
            <w:r>
              <w:rPr>
                <w:rFonts w:ascii="宋体" w:hAnsi="宋体" w:cs="宋体" w:eastAsia="宋体" w:hint="default"/>
                <w:spacing w:val="-1"/>
                <w:sz w:val="21"/>
                <w:szCs w:val="21"/>
              </w:rPr>
              <w:t>被投资单位名称或形成</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商誉的事项</w:t>
            </w:r>
          </w:p>
        </w:tc>
        <w:tc>
          <w:tcPr>
            <w:tcW w:w="14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0" w:lineRule="auto"/>
              <w:ind w:left="292"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0" w:lineRule="auto"/>
              <w:ind w:left="29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0" w:lineRule="auto"/>
              <w:ind w:left="292"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5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0" w:lineRule="auto"/>
              <w:ind w:left="292"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44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20"/>
                <w:szCs w:val="20"/>
              </w:rPr>
            </w:pPr>
          </w:p>
          <w:p>
            <w:pPr>
              <w:pStyle w:val="TableParagraph"/>
              <w:spacing w:line="240" w:lineRule="auto"/>
              <w:ind w:left="86" w:right="0"/>
              <w:jc w:val="left"/>
              <w:rPr>
                <w:rFonts w:ascii="宋体" w:hAnsi="宋体" w:cs="宋体" w:eastAsia="宋体" w:hint="default"/>
                <w:sz w:val="21"/>
                <w:szCs w:val="21"/>
              </w:rPr>
            </w:pPr>
            <w:r>
              <w:rPr>
                <w:rFonts w:ascii="宋体" w:hAnsi="宋体" w:cs="宋体" w:eastAsia="宋体" w:hint="default"/>
                <w:sz w:val="21"/>
                <w:szCs w:val="21"/>
              </w:rPr>
              <w:t>期末减值准备</w:t>
            </w:r>
          </w:p>
        </w:tc>
      </w:tr>
      <w:tr>
        <w:trPr>
          <w:trHeight w:val="538"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2"/>
                <w:szCs w:val="12"/>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收购子公司形成的商誉</w:t>
            </w:r>
          </w:p>
        </w:tc>
        <w:tc>
          <w:tcPr>
            <w:tcW w:w="14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left="220" w:right="0"/>
              <w:jc w:val="left"/>
              <w:rPr>
                <w:rFonts w:ascii="Times New Roman" w:hAnsi="Times New Roman" w:cs="Times New Roman" w:eastAsia="Times New Roman" w:hint="default"/>
                <w:sz w:val="21"/>
                <w:szCs w:val="21"/>
              </w:rPr>
            </w:pPr>
            <w:r>
              <w:rPr>
                <w:rFonts w:ascii="Times New Roman"/>
                <w:sz w:val="21"/>
              </w:rPr>
              <w:t>31,838,360.93</w:t>
            </w:r>
          </w:p>
        </w:tc>
        <w:tc>
          <w:tcPr>
            <w:tcW w:w="14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4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c>
          <w:tcPr>
            <w:tcW w:w="14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left="220" w:right="0"/>
              <w:jc w:val="left"/>
              <w:rPr>
                <w:rFonts w:ascii="Times New Roman" w:hAnsi="Times New Roman" w:cs="Times New Roman" w:eastAsia="Times New Roman" w:hint="default"/>
                <w:sz w:val="21"/>
                <w:szCs w:val="21"/>
              </w:rPr>
            </w:pPr>
            <w:r>
              <w:rPr>
                <w:rFonts w:ascii="Times New Roman"/>
                <w:sz w:val="21"/>
              </w:rPr>
              <w:t>31,838,360.93</w:t>
            </w:r>
          </w:p>
        </w:tc>
        <w:tc>
          <w:tcPr>
            <w:tcW w:w="144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
              <w:ind w:right="0"/>
              <w:jc w:val="left"/>
              <w:rPr>
                <w:rFonts w:ascii="Microsoft JhengHei" w:hAnsi="Microsoft JhengHei" w:cs="Microsoft JhengHei" w:eastAsia="Microsoft JhengHei" w:hint="default"/>
                <w:b/>
                <w:bCs/>
                <w:sz w:val="15"/>
                <w:szCs w:val="15"/>
              </w:rPr>
            </w:pPr>
          </w:p>
          <w:p>
            <w:pPr>
              <w:pStyle w:val="TableParagraph"/>
              <w:spacing w:line="240" w:lineRule="auto"/>
              <w:ind w:left="225" w:right="0"/>
              <w:jc w:val="left"/>
              <w:rPr>
                <w:rFonts w:ascii="Times New Roman" w:hAnsi="Times New Roman" w:cs="Times New Roman" w:eastAsia="Times New Roman" w:hint="default"/>
                <w:sz w:val="21"/>
                <w:szCs w:val="21"/>
              </w:rPr>
            </w:pPr>
            <w:r>
              <w:rPr>
                <w:rFonts w:ascii="Times New Roman"/>
                <w:sz w:val="21"/>
              </w:rPr>
              <w:t>31,838,360.93</w:t>
            </w:r>
          </w:p>
        </w:tc>
      </w:tr>
    </w:tbl>
    <w:p>
      <w:pPr>
        <w:spacing w:line="240" w:lineRule="auto" w:before="9"/>
        <w:rPr>
          <w:rFonts w:ascii="Microsoft JhengHei" w:hAnsi="Microsoft JhengHei" w:cs="Microsoft JhengHei" w:eastAsia="Microsoft JhengHei" w:hint="default"/>
          <w:b/>
          <w:bCs/>
          <w:sz w:val="10"/>
          <w:szCs w:val="10"/>
        </w:rPr>
      </w:pPr>
    </w:p>
    <w:p>
      <w:pPr>
        <w:pStyle w:val="BodyText"/>
        <w:spacing w:line="456" w:lineRule="auto" w:before="36"/>
        <w:ind w:right="0" w:firstLine="422"/>
        <w:jc w:val="left"/>
      </w:pPr>
      <w:r>
        <w:rPr>
          <w:spacing w:val="-2"/>
        </w:rPr>
        <w:t>原对收购子公司深圳市鸿基物流有限公司计提的商誉，提取减值准备的原因是本公司拟处置深圳市鸿</w:t>
      </w:r>
      <w:r>
        <w:rPr>
          <w:w w:val="100"/>
        </w:rPr>
        <w:t> </w:t>
      </w:r>
      <w:r>
        <w:rPr/>
        <w:t>基物流有限公司，按预计处置能收回的现金与投资成本进行比较测试，对该商誉提取减值准备。</w:t>
      </w:r>
    </w:p>
    <w:p>
      <w:pPr>
        <w:spacing w:after="0" w:line="456" w:lineRule="auto"/>
        <w:jc w:val="left"/>
        <w:sectPr>
          <w:pgSz w:w="11900" w:h="16840"/>
          <w:pgMar w:header="762" w:footer="840" w:top="1000" w:bottom="1020" w:left="980" w:right="9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right="3657"/>
        <w:jc w:val="left"/>
        <w:rPr>
          <w:b w:val="0"/>
          <w:bCs w:val="0"/>
        </w:rPr>
      </w:pPr>
      <w:r>
        <w:rPr>
          <w:rFonts w:ascii="Times New Roman" w:hAnsi="Times New Roman" w:cs="Times New Roman" w:eastAsia="Times New Roman" w:hint="default"/>
        </w:rPr>
        <w:t>14</w:t>
      </w:r>
      <w:r>
        <w:rPr/>
        <w:t>、长期待摊费用</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1862"/>
        <w:gridCol w:w="1296"/>
        <w:gridCol w:w="1301"/>
        <w:gridCol w:w="1296"/>
        <w:gridCol w:w="1301"/>
        <w:gridCol w:w="1301"/>
        <w:gridCol w:w="1296"/>
      </w:tblGrid>
      <w:tr>
        <w:trPr>
          <w:trHeight w:val="523" w:hRule="exact"/>
        </w:trPr>
        <w:tc>
          <w:tcPr>
            <w:tcW w:w="186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本期增加额</w:t>
            </w:r>
          </w:p>
        </w:tc>
        <w:tc>
          <w:tcPr>
            <w:tcW w:w="12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本期摊销额</w:t>
            </w:r>
          </w:p>
        </w:tc>
        <w:tc>
          <w:tcPr>
            <w:tcW w:w="13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其他减少额</w:t>
            </w:r>
          </w:p>
        </w:tc>
        <w:tc>
          <w:tcPr>
            <w:tcW w:w="13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8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29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2"/>
              <w:jc w:val="right"/>
              <w:rPr>
                <w:rFonts w:ascii="宋体" w:hAnsi="宋体" w:cs="宋体" w:eastAsia="宋体" w:hint="default"/>
                <w:sz w:val="18"/>
                <w:szCs w:val="18"/>
              </w:rPr>
            </w:pPr>
            <w:r>
              <w:rPr>
                <w:rFonts w:ascii="宋体" w:hAnsi="宋体" w:cs="宋体" w:eastAsia="宋体" w:hint="default"/>
                <w:spacing w:val="-3"/>
                <w:sz w:val="18"/>
                <w:szCs w:val="18"/>
              </w:rPr>
              <w:t>其他减少的原因</w:t>
            </w:r>
          </w:p>
        </w:tc>
      </w:tr>
      <w:tr>
        <w:trPr>
          <w:trHeight w:val="509" w:hRule="exact"/>
        </w:trPr>
        <w:tc>
          <w:tcPr>
            <w:tcW w:w="18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租入固定资产改良支出</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23,125.04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23,125.04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186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88,492.50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spacing w:val="-1"/>
                <w:sz w:val="18"/>
              </w:rPr>
              <w:t>88,492.50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23" w:hRule="exact"/>
        </w:trPr>
        <w:tc>
          <w:tcPr>
            <w:tcW w:w="186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1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2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5"/>
              <w:jc w:val="right"/>
              <w:rPr>
                <w:rFonts w:ascii="Times New Roman" w:hAnsi="Times New Roman" w:cs="Times New Roman" w:eastAsia="Times New Roman" w:hint="default"/>
                <w:sz w:val="18"/>
                <w:szCs w:val="18"/>
              </w:rPr>
            </w:pPr>
            <w:r>
              <w:rPr>
                <w:rFonts w:ascii="Times New Roman"/>
                <w:b/>
                <w:spacing w:val="-3"/>
                <w:sz w:val="18"/>
              </w:rPr>
              <w:t>111,617.54</w:t>
            </w:r>
            <w:r>
              <w:rPr>
                <w:rFonts w:ascii="Times New Roman"/>
                <w:spacing w:val="-3"/>
                <w:sz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2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
              <w:jc w:val="right"/>
              <w:rPr>
                <w:rFonts w:ascii="Times New Roman" w:hAnsi="Times New Roman" w:cs="Times New Roman" w:eastAsia="Times New Roman" w:hint="default"/>
                <w:sz w:val="18"/>
                <w:szCs w:val="18"/>
              </w:rPr>
            </w:pPr>
            <w:r>
              <w:rPr>
                <w:rFonts w:ascii="Times New Roman"/>
                <w:b/>
                <w:spacing w:val="-3"/>
                <w:sz w:val="18"/>
              </w:rPr>
              <w:t>111,617.54</w:t>
            </w:r>
            <w:r>
              <w:rPr>
                <w:rFonts w:ascii="Times New Roman"/>
                <w:spacing w:val="-3"/>
                <w:sz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29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8"/>
          <w:szCs w:val="18"/>
        </w:rPr>
      </w:pPr>
    </w:p>
    <w:p>
      <w:pPr>
        <w:pStyle w:val="Heading6"/>
        <w:spacing w:line="335" w:lineRule="exact"/>
        <w:ind w:left="680" w:right="3657"/>
        <w:jc w:val="left"/>
        <w:rPr>
          <w:b w:val="0"/>
          <w:bCs w:val="0"/>
        </w:rPr>
      </w:pPr>
      <w:r>
        <w:rPr>
          <w:rFonts w:ascii="Times New Roman" w:hAnsi="Times New Roman" w:cs="Times New Roman" w:eastAsia="Times New Roman" w:hint="default"/>
        </w:rPr>
        <w:t>15</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75" w:right="3657"/>
        <w:jc w:val="left"/>
      </w:pPr>
      <w:r>
        <w:rPr/>
        <w:t>（</w:t>
      </w:r>
      <w:r>
        <w:rPr>
          <w:rFonts w:ascii="Times New Roman" w:hAnsi="Times New Roman" w:cs="Times New Roman" w:eastAsia="Times New Roman" w:hint="default"/>
        </w:rPr>
        <w:t>1</w:t>
      </w:r>
      <w:r>
        <w:rPr/>
        <w:t>）已确认的递延所得税资产和递延所得税负债</w:t>
      </w:r>
    </w:p>
    <w:tbl>
      <w:tblPr>
        <w:tblW w:w="0" w:type="auto"/>
        <w:jc w:val="left"/>
        <w:tblInd w:w="123" w:type="dxa"/>
        <w:tblLayout w:type="fixed"/>
        <w:tblCellMar>
          <w:top w:w="0" w:type="dxa"/>
          <w:left w:w="0" w:type="dxa"/>
          <w:bottom w:w="0" w:type="dxa"/>
          <w:right w:w="0" w:type="dxa"/>
        </w:tblCellMar>
        <w:tblLook w:val="01E0"/>
      </w:tblPr>
      <w:tblGrid>
        <w:gridCol w:w="4550"/>
        <w:gridCol w:w="2554"/>
        <w:gridCol w:w="2549"/>
      </w:tblGrid>
      <w:tr>
        <w:trPr>
          <w:trHeight w:val="523" w:hRule="exact"/>
        </w:trPr>
        <w:tc>
          <w:tcPr>
            <w:tcW w:w="455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4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0"/>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递延所得税资产：</w:t>
            </w:r>
            <w:r>
              <w:rPr>
                <w:rFonts w:ascii="Microsoft JhengHei" w:hAnsi="Microsoft JhengHei" w:cs="Microsoft JhengHei" w:eastAsia="Microsoft JhengHei" w:hint="default"/>
                <w:sz w:val="21"/>
                <w:szCs w:val="21"/>
              </w:rPr>
            </w:r>
          </w:p>
        </w:tc>
        <w:tc>
          <w:tcPr>
            <w:tcW w:w="2554"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25"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21"/>
                <w:szCs w:val="21"/>
              </w:rPr>
            </w:pPr>
            <w:r>
              <w:rPr>
                <w:rFonts w:ascii="Times New Roman"/>
                <w:spacing w:val="-1"/>
                <w:sz w:val="21"/>
              </w:rPr>
              <w:t>11,450,595.09</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15,479,767.27</w:t>
            </w: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left="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小计</w:t>
            </w:r>
            <w:r>
              <w:rPr>
                <w:rFonts w:ascii="Microsoft JhengHei" w:hAnsi="Microsoft JhengHei" w:cs="Microsoft JhengHei" w:eastAsia="Microsoft JhengHei" w:hint="default"/>
                <w:sz w:val="21"/>
                <w:szCs w:val="21"/>
              </w:rPr>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21"/>
                <w:szCs w:val="21"/>
              </w:rPr>
            </w:pPr>
            <w:r>
              <w:rPr>
                <w:rFonts w:ascii="Times New Roman"/>
                <w:b/>
                <w:spacing w:val="-2"/>
                <w:sz w:val="21"/>
              </w:rPr>
              <w:t>11,450,595.09</w:t>
            </w:r>
            <w:r>
              <w:rPr>
                <w:rFonts w:ascii="Times New Roman"/>
                <w:spacing w:val="-2"/>
                <w:sz w:val="21"/>
              </w:rPr>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15,479,767.27</w:t>
            </w:r>
            <w:r>
              <w:rPr>
                <w:rFonts w:ascii="Times New Roman"/>
                <w:sz w:val="21"/>
              </w:rPr>
            </w:r>
          </w:p>
        </w:tc>
      </w:tr>
      <w:tr>
        <w:trPr>
          <w:trHeight w:val="514"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递延所得税负债：</w:t>
            </w:r>
            <w:r>
              <w:rPr>
                <w:rFonts w:ascii="Microsoft JhengHei" w:hAnsi="Microsoft JhengHei" w:cs="Microsoft JhengHei" w:eastAsia="Microsoft JhengHei" w:hint="default"/>
                <w:sz w:val="21"/>
                <w:szCs w:val="21"/>
              </w:rPr>
            </w:r>
          </w:p>
        </w:tc>
        <w:tc>
          <w:tcPr>
            <w:tcW w:w="2554" w:type="dxa"/>
            <w:tcBorders>
              <w:top w:val="single" w:sz="4" w:space="0" w:color="000000"/>
              <w:left w:val="single" w:sz="4" w:space="0" w:color="000000"/>
              <w:bottom w:val="single" w:sz="4" w:space="0" w:color="000000"/>
              <w:right w:val="single" w:sz="4" w:space="0" w:color="000000"/>
            </w:tcBorders>
          </w:tcPr>
          <w:p>
            <w:pPr/>
          </w:p>
        </w:tc>
        <w:tc>
          <w:tcPr>
            <w:tcW w:w="2549"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计入资本公积的可供出售金融资产公允价值变动</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7,209,536.79</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7,499,877.76</w:t>
            </w:r>
          </w:p>
        </w:tc>
      </w:tr>
      <w:tr>
        <w:trPr>
          <w:trHeight w:val="518" w:hRule="exact"/>
        </w:trPr>
        <w:tc>
          <w:tcPr>
            <w:tcW w:w="455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小计</w:t>
            </w:r>
            <w:r>
              <w:rPr>
                <w:rFonts w:ascii="Microsoft JhengHei" w:hAnsi="Microsoft JhengHei" w:cs="Microsoft JhengHei" w:eastAsia="Microsoft JhengHei" w:hint="default"/>
                <w:sz w:val="21"/>
                <w:szCs w:val="21"/>
              </w:rPr>
            </w:r>
          </w:p>
        </w:tc>
        <w:tc>
          <w:tcPr>
            <w:tcW w:w="25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b/>
                <w:sz w:val="21"/>
              </w:rPr>
              <w:t>7,209,536.79</w:t>
            </w:r>
            <w:r>
              <w:rPr>
                <w:rFonts w:ascii="Times New Roman"/>
                <w:sz w:val="21"/>
              </w:rPr>
            </w:r>
          </w:p>
        </w:tc>
        <w:tc>
          <w:tcPr>
            <w:tcW w:w="254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7,499,877.76</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2</w:t>
      </w:r>
      <w:r>
        <w:rPr/>
        <w:t>）未确认递延所得税资产明细</w:t>
      </w:r>
    </w:p>
    <w:tbl>
      <w:tblPr>
        <w:tblW w:w="0" w:type="auto"/>
        <w:jc w:val="left"/>
        <w:tblInd w:w="123" w:type="dxa"/>
        <w:tblLayout w:type="fixed"/>
        <w:tblCellMar>
          <w:top w:w="0" w:type="dxa"/>
          <w:left w:w="0" w:type="dxa"/>
          <w:bottom w:w="0" w:type="dxa"/>
          <w:right w:w="0" w:type="dxa"/>
        </w:tblCellMar>
        <w:tblLook w:val="01E0"/>
      </w:tblPr>
      <w:tblGrid>
        <w:gridCol w:w="4550"/>
        <w:gridCol w:w="2554"/>
        <w:gridCol w:w="2549"/>
      </w:tblGrid>
      <w:tr>
        <w:trPr>
          <w:trHeight w:val="523" w:hRule="exact"/>
        </w:trPr>
        <w:tc>
          <w:tcPr>
            <w:tcW w:w="455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52"/>
              <w:jc w:val="right"/>
              <w:rPr>
                <w:rFonts w:ascii="宋体" w:hAnsi="宋体" w:cs="宋体" w:eastAsia="宋体" w:hint="default"/>
                <w:sz w:val="21"/>
                <w:szCs w:val="21"/>
              </w:rPr>
            </w:pPr>
            <w:r>
              <w:rPr>
                <w:rFonts w:ascii="宋体" w:hAnsi="宋体" w:cs="宋体" w:eastAsia="宋体" w:hint="default"/>
                <w:sz w:val="21"/>
                <w:szCs w:val="21"/>
              </w:rPr>
              <w:t>项目</w:t>
            </w:r>
          </w:p>
        </w:tc>
        <w:tc>
          <w:tcPr>
            <w:tcW w:w="25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4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可抵扣暂时性差异</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12,245,785.63</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11,597,262.82</w:t>
            </w: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42,125,193.91</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35,666,557.91</w:t>
            </w:r>
          </w:p>
        </w:tc>
      </w:tr>
      <w:tr>
        <w:trPr>
          <w:trHeight w:val="523" w:hRule="exact"/>
        </w:trPr>
        <w:tc>
          <w:tcPr>
            <w:tcW w:w="455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2057"/>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5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b/>
                <w:sz w:val="21"/>
              </w:rPr>
              <w:t>54,370,979.54</w:t>
            </w:r>
            <w:r>
              <w:rPr>
                <w:rFonts w:ascii="Times New Roman"/>
                <w:sz w:val="21"/>
              </w:rPr>
            </w:r>
          </w:p>
        </w:tc>
        <w:tc>
          <w:tcPr>
            <w:tcW w:w="254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z w:val="21"/>
              </w:rPr>
              <w:t>47,263,820.73</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436" w:lineRule="auto" w:before="36"/>
        <w:ind w:right="0" w:firstLine="422"/>
        <w:jc w:val="left"/>
      </w:pPr>
      <w:r>
        <w:rPr>
          <w:spacing w:val="-2"/>
        </w:rPr>
        <w:t>可抵扣暂时性差异及可抵扣亏损系本公司之子公司发生，该等子公司连续亏损且未来经营前景不明，</w:t>
      </w:r>
      <w:r>
        <w:rPr>
          <w:w w:val="100"/>
        </w:rPr>
        <w:t> </w:t>
      </w:r>
      <w:r>
        <w:rPr/>
        <w:t>其未来能否获得足够的应纳税所得额具有不确定性，因此没有确认为递延所得税资产。</w:t>
      </w:r>
    </w:p>
    <w:p>
      <w:pPr>
        <w:pStyle w:val="BodyText"/>
        <w:spacing w:line="240" w:lineRule="auto" w:before="52"/>
        <w:ind w:left="565" w:right="3657"/>
        <w:jc w:val="left"/>
      </w:pPr>
      <w:r>
        <w:rPr/>
        <w:t>（</w:t>
      </w:r>
      <w:r>
        <w:rPr>
          <w:rFonts w:ascii="Times New Roman" w:hAnsi="Times New Roman" w:cs="Times New Roman" w:eastAsia="Times New Roman" w:hint="default"/>
        </w:rPr>
        <w:t>3</w:t>
      </w:r>
      <w:r>
        <w:rPr/>
        <w:t>）未确认递延所得税资产的可抵扣亏损将于以下年度到期</w:t>
      </w:r>
    </w:p>
    <w:tbl>
      <w:tblPr>
        <w:tblW w:w="0" w:type="auto"/>
        <w:jc w:val="left"/>
        <w:tblInd w:w="123" w:type="dxa"/>
        <w:tblLayout w:type="fixed"/>
        <w:tblCellMar>
          <w:top w:w="0" w:type="dxa"/>
          <w:left w:w="0" w:type="dxa"/>
          <w:bottom w:w="0" w:type="dxa"/>
          <w:right w:w="0" w:type="dxa"/>
        </w:tblCellMar>
        <w:tblLook w:val="01E0"/>
      </w:tblPr>
      <w:tblGrid>
        <w:gridCol w:w="4550"/>
        <w:gridCol w:w="2554"/>
        <w:gridCol w:w="2549"/>
      </w:tblGrid>
      <w:tr>
        <w:trPr>
          <w:trHeight w:val="523" w:hRule="exact"/>
        </w:trPr>
        <w:tc>
          <w:tcPr>
            <w:tcW w:w="455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4" w:right="0"/>
              <w:jc w:val="center"/>
              <w:rPr>
                <w:rFonts w:ascii="宋体" w:hAnsi="宋体" w:cs="宋体" w:eastAsia="宋体" w:hint="default"/>
                <w:sz w:val="21"/>
                <w:szCs w:val="21"/>
              </w:rPr>
            </w:pPr>
            <w:r>
              <w:rPr>
                <w:rFonts w:ascii="宋体" w:hAnsi="宋体" w:cs="宋体" w:eastAsia="宋体" w:hint="default"/>
                <w:sz w:val="21"/>
                <w:szCs w:val="21"/>
              </w:rPr>
              <w:t>年份</w:t>
            </w:r>
          </w:p>
        </w:tc>
        <w:tc>
          <w:tcPr>
            <w:tcW w:w="25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4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64,664,089.74</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83,155,749.26</w:t>
            </w:r>
          </w:p>
        </w:tc>
      </w:tr>
      <w:tr>
        <w:trPr>
          <w:trHeight w:val="509"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
              <w:jc w:val="right"/>
              <w:rPr>
                <w:rFonts w:ascii="Times New Roman" w:hAnsi="Times New Roman" w:cs="Times New Roman" w:eastAsia="Times New Roman" w:hint="default"/>
                <w:sz w:val="21"/>
                <w:szCs w:val="21"/>
              </w:rPr>
            </w:pPr>
            <w:r>
              <w:rPr>
                <w:rFonts w:ascii="Times New Roman"/>
                <w:spacing w:val="-1"/>
                <w:sz w:val="21"/>
              </w:rPr>
              <w:t>8,275,119.24</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10,654,592.03</w:t>
            </w:r>
          </w:p>
        </w:tc>
      </w:tr>
      <w:tr>
        <w:trPr>
          <w:trHeight w:val="523" w:hRule="exact"/>
        </w:trPr>
        <w:tc>
          <w:tcPr>
            <w:tcW w:w="455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91"/>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5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31,887,587.76</w:t>
            </w:r>
          </w:p>
        </w:tc>
        <w:tc>
          <w:tcPr>
            <w:tcW w:w="254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33,722,103.46</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4550"/>
        <w:gridCol w:w="2554"/>
        <w:gridCol w:w="2549"/>
      </w:tblGrid>
      <w:tr>
        <w:trPr>
          <w:trHeight w:val="518" w:hRule="exact"/>
        </w:trPr>
        <w:tc>
          <w:tcPr>
            <w:tcW w:w="455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52"/>
              <w:jc w:val="right"/>
              <w:rPr>
                <w:rFonts w:ascii="宋体" w:hAnsi="宋体" w:cs="宋体" w:eastAsia="宋体" w:hint="default"/>
                <w:sz w:val="21"/>
                <w:szCs w:val="21"/>
              </w:rPr>
            </w:pPr>
            <w:r>
              <w:rPr>
                <w:rFonts w:ascii="宋体" w:hAnsi="宋体" w:cs="宋体" w:eastAsia="宋体" w:hint="default"/>
                <w:sz w:val="21"/>
                <w:szCs w:val="21"/>
              </w:rPr>
              <w:t>年份</w:t>
            </w:r>
          </w:p>
        </w:tc>
        <w:tc>
          <w:tcPr>
            <w:tcW w:w="25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54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33"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33,572,493.95</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3,566,908.92</w:t>
            </w:r>
          </w:p>
        </w:tc>
      </w:tr>
      <w:tr>
        <w:trPr>
          <w:trHeight w:val="528" w:hRule="exact"/>
        </w:trPr>
        <w:tc>
          <w:tcPr>
            <w:tcW w:w="45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3"/>
              <w:jc w:val="right"/>
              <w:rPr>
                <w:rFonts w:ascii="Times New Roman" w:hAnsi="Times New Roman" w:cs="Times New Roman" w:eastAsia="Times New Roman" w:hint="default"/>
                <w:sz w:val="21"/>
                <w:szCs w:val="21"/>
              </w:rPr>
            </w:pPr>
            <w:r>
              <w:rPr>
                <w:rFonts w:ascii="Times New Roman"/>
                <w:sz w:val="21"/>
              </w:rPr>
              <w:t>30,101,484.95</w:t>
            </w:r>
          </w:p>
        </w:tc>
        <w:tc>
          <w:tcPr>
            <w:tcW w:w="254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
              <w:jc w:val="right"/>
              <w:rPr>
                <w:rFonts w:ascii="Times New Roman" w:hAnsi="Times New Roman" w:cs="Times New Roman" w:eastAsia="Times New Roman" w:hint="default"/>
                <w:sz w:val="21"/>
                <w:szCs w:val="21"/>
              </w:rPr>
            </w:pPr>
            <w:r>
              <w:rPr>
                <w:rFonts w:ascii="Times New Roman"/>
                <w:w w:val="100"/>
                <w:sz w:val="21"/>
              </w:rPr>
              <w:t>-</w:t>
            </w:r>
          </w:p>
        </w:tc>
      </w:tr>
      <w:tr>
        <w:trPr>
          <w:trHeight w:val="542" w:hRule="exact"/>
        </w:trPr>
        <w:tc>
          <w:tcPr>
            <w:tcW w:w="455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4"/>
              <w:ind w:right="2057"/>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5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2"/>
              <w:jc w:val="right"/>
              <w:rPr>
                <w:rFonts w:ascii="Times New Roman" w:hAnsi="Times New Roman" w:cs="Times New Roman" w:eastAsia="Times New Roman" w:hint="default"/>
                <w:sz w:val="21"/>
                <w:szCs w:val="21"/>
              </w:rPr>
            </w:pPr>
            <w:r>
              <w:rPr>
                <w:rFonts w:ascii="Times New Roman"/>
                <w:b/>
                <w:spacing w:val="-1"/>
                <w:sz w:val="21"/>
              </w:rPr>
              <w:t>168,500,775.64</w:t>
            </w:r>
            <w:r>
              <w:rPr>
                <w:rFonts w:ascii="Times New Roman"/>
                <w:spacing w:val="-1"/>
                <w:sz w:val="21"/>
              </w:rPr>
            </w:r>
          </w:p>
        </w:tc>
        <w:tc>
          <w:tcPr>
            <w:tcW w:w="254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b/>
                <w:spacing w:val="-1"/>
                <w:sz w:val="21"/>
              </w:rPr>
              <w:t>131,099,353.67</w:t>
            </w:r>
            <w:r>
              <w:rPr>
                <w:rFonts w:ascii="Times New Roman"/>
                <w:spacing w:val="-1"/>
                <w:sz w:val="21"/>
              </w:rPr>
            </w:r>
          </w:p>
        </w:tc>
      </w:tr>
    </w:tbl>
    <w:p>
      <w:pPr>
        <w:spacing w:line="240" w:lineRule="auto" w:before="4"/>
        <w:rPr>
          <w:rFonts w:ascii="宋体" w:hAnsi="宋体" w:cs="宋体" w:eastAsia="宋体" w:hint="default"/>
          <w:sz w:val="13"/>
          <w:szCs w:val="13"/>
        </w:rPr>
      </w:pPr>
    </w:p>
    <w:p>
      <w:pPr>
        <w:pStyle w:val="BodyText"/>
        <w:spacing w:line="240" w:lineRule="auto" w:before="36"/>
        <w:ind w:left="575" w:right="0"/>
        <w:jc w:val="left"/>
      </w:pPr>
      <w:r>
        <w:rPr/>
        <w:t>（</w:t>
      </w:r>
      <w:r>
        <w:rPr>
          <w:rFonts w:ascii="Times New Roman" w:hAnsi="Times New Roman" w:cs="Times New Roman" w:eastAsia="Times New Roman" w:hint="default"/>
        </w:rPr>
        <w:t>4</w:t>
      </w:r>
      <w:r>
        <w:rPr/>
        <w:t>）应纳税暂时性差异和可抵扣暂时性差异项目明细</w:t>
      </w:r>
    </w:p>
    <w:tbl>
      <w:tblPr>
        <w:tblW w:w="0" w:type="auto"/>
        <w:jc w:val="left"/>
        <w:tblInd w:w="123" w:type="dxa"/>
        <w:tblLayout w:type="fixed"/>
        <w:tblCellMar>
          <w:top w:w="0" w:type="dxa"/>
          <w:left w:w="0" w:type="dxa"/>
          <w:bottom w:w="0" w:type="dxa"/>
          <w:right w:w="0" w:type="dxa"/>
        </w:tblCellMar>
        <w:tblLook w:val="01E0"/>
      </w:tblPr>
      <w:tblGrid>
        <w:gridCol w:w="6182"/>
        <w:gridCol w:w="3470"/>
      </w:tblGrid>
      <w:tr>
        <w:trPr>
          <w:trHeight w:val="542" w:hRule="exact"/>
        </w:trPr>
        <w:tc>
          <w:tcPr>
            <w:tcW w:w="618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47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528" w:hRule="exact"/>
        </w:trPr>
        <w:tc>
          <w:tcPr>
            <w:tcW w:w="6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4"/>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应纳税差异项目</w:t>
            </w:r>
            <w:r>
              <w:rPr>
                <w:rFonts w:ascii="Microsoft JhengHei" w:hAnsi="Microsoft JhengHei" w:cs="Microsoft JhengHei" w:eastAsia="Microsoft JhengHei" w:hint="default"/>
                <w:sz w:val="21"/>
                <w:szCs w:val="21"/>
              </w:rPr>
            </w:r>
          </w:p>
        </w:tc>
        <w:tc>
          <w:tcPr>
            <w:tcW w:w="3470" w:type="dxa"/>
            <w:tcBorders>
              <w:top w:val="single" w:sz="4" w:space="0" w:color="000000"/>
              <w:left w:val="single" w:sz="4" w:space="0" w:color="000000"/>
              <w:bottom w:val="single" w:sz="4" w:space="0" w:color="000000"/>
              <w:right w:val="nil" w:sz="6" w:space="0" w:color="auto"/>
            </w:tcBorders>
          </w:tcPr>
          <w:p>
            <w:pPr/>
          </w:p>
        </w:tc>
      </w:tr>
      <w:tr>
        <w:trPr>
          <w:trHeight w:val="533" w:hRule="exact"/>
        </w:trPr>
        <w:tc>
          <w:tcPr>
            <w:tcW w:w="6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47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45,802,380.36</w:t>
            </w:r>
          </w:p>
        </w:tc>
      </w:tr>
      <w:tr>
        <w:trPr>
          <w:trHeight w:val="528" w:hRule="exact"/>
        </w:trPr>
        <w:tc>
          <w:tcPr>
            <w:tcW w:w="61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4"/>
              <w:ind w:left="1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可抵扣差异项目</w:t>
            </w:r>
            <w:r>
              <w:rPr>
                <w:rFonts w:ascii="Microsoft JhengHei" w:hAnsi="Microsoft JhengHei" w:cs="Microsoft JhengHei" w:eastAsia="Microsoft JhengHei" w:hint="default"/>
                <w:sz w:val="21"/>
                <w:szCs w:val="21"/>
              </w:rPr>
            </w:r>
          </w:p>
        </w:tc>
        <w:tc>
          <w:tcPr>
            <w:tcW w:w="3470" w:type="dxa"/>
            <w:tcBorders>
              <w:top w:val="single" w:sz="4" w:space="0" w:color="000000"/>
              <w:left w:val="single" w:sz="4" w:space="0" w:color="000000"/>
              <w:bottom w:val="single" w:sz="4" w:space="0" w:color="000000"/>
              <w:right w:val="nil" w:sz="6" w:space="0" w:color="auto"/>
            </w:tcBorders>
          </w:tcPr>
          <w:p>
            <w:pPr/>
          </w:p>
        </w:tc>
      </w:tr>
      <w:tr>
        <w:trPr>
          <w:trHeight w:val="542" w:hRule="exact"/>
        </w:trPr>
        <w:tc>
          <w:tcPr>
            <w:tcW w:w="618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25" w:right="0"/>
              <w:jc w:val="left"/>
              <w:rPr>
                <w:rFonts w:ascii="宋体" w:hAnsi="宋体" w:cs="宋体" w:eastAsia="宋体" w:hint="default"/>
                <w:sz w:val="21"/>
                <w:szCs w:val="21"/>
              </w:rPr>
            </w:pPr>
            <w:r>
              <w:rPr>
                <w:rFonts w:ascii="宋体" w:hAnsi="宋体" w:cs="宋体" w:eastAsia="宋体" w:hint="default"/>
                <w:sz w:val="21"/>
                <w:szCs w:val="21"/>
              </w:rPr>
              <w:t>计入资本公积的可供出售金融资产公允价值变动</w:t>
            </w:r>
          </w:p>
        </w:tc>
        <w:tc>
          <w:tcPr>
            <w:tcW w:w="347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z w:val="21"/>
              </w:rPr>
              <w:t>28,838,147.12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Heading6"/>
        <w:spacing w:line="335" w:lineRule="exact"/>
        <w:ind w:right="0"/>
        <w:jc w:val="left"/>
        <w:rPr>
          <w:b w:val="0"/>
          <w:bCs w:val="0"/>
        </w:rPr>
      </w:pPr>
      <w:r>
        <w:rPr>
          <w:rFonts w:ascii="Times New Roman" w:hAnsi="Times New Roman" w:cs="Times New Roman" w:eastAsia="Times New Roman" w:hint="default"/>
        </w:rPr>
        <w:t>16</w:t>
      </w:r>
      <w:r>
        <w:rPr/>
        <w:t>、资产减值准备明细</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2424"/>
        <w:gridCol w:w="1421"/>
        <w:gridCol w:w="1416"/>
        <w:gridCol w:w="1488"/>
        <w:gridCol w:w="1488"/>
        <w:gridCol w:w="1478"/>
      </w:tblGrid>
      <w:tr>
        <w:trPr>
          <w:trHeight w:val="542" w:hRule="exact"/>
        </w:trPr>
        <w:tc>
          <w:tcPr>
            <w:tcW w:w="242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0"/>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0"/>
              <w:ind w:right="0"/>
              <w:jc w:val="left"/>
              <w:rPr>
                <w:rFonts w:ascii="Microsoft JhengHei" w:hAnsi="Microsoft JhengHei" w:cs="Microsoft JhengHei" w:eastAsia="Microsoft JhengHei" w:hint="default"/>
                <w:b/>
                <w:bCs/>
                <w:sz w:val="11"/>
                <w:szCs w:val="11"/>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6"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0"/>
              <w:ind w:right="0"/>
              <w:jc w:val="left"/>
              <w:rPr>
                <w:rFonts w:ascii="Microsoft JhengHei" w:hAnsi="Microsoft JhengHei" w:cs="Microsoft JhengHei" w:eastAsia="Microsoft JhengHei" w:hint="default"/>
                <w:b/>
                <w:bCs/>
                <w:sz w:val="11"/>
                <w:szCs w:val="11"/>
              </w:rPr>
            </w:pPr>
          </w:p>
          <w:p>
            <w:pPr>
              <w:pStyle w:val="TableParagraph"/>
              <w:spacing w:line="240" w:lineRule="auto"/>
              <w:ind w:left="33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976"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478"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0"/>
              <w:ind w:right="0"/>
              <w:jc w:val="left"/>
              <w:rPr>
                <w:rFonts w:ascii="Microsoft JhengHei" w:hAnsi="Microsoft JhengHei" w:cs="Microsoft JhengHei" w:eastAsia="Microsoft JhengHei" w:hint="default"/>
                <w:b/>
                <w:bCs/>
                <w:sz w:val="11"/>
                <w:szCs w:val="11"/>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528" w:hRule="exact"/>
        </w:trPr>
        <w:tc>
          <w:tcPr>
            <w:tcW w:w="2424" w:type="dxa"/>
            <w:vMerge/>
            <w:tcBorders>
              <w:left w:val="nil" w:sz="6" w:space="0" w:color="auto"/>
              <w:bottom w:val="single" w:sz="4" w:space="0" w:color="000000"/>
              <w:right w:val="single" w:sz="4" w:space="0" w:color="000000"/>
            </w:tcBorders>
          </w:tcPr>
          <w:p>
            <w:pPr/>
          </w:p>
        </w:tc>
        <w:tc>
          <w:tcPr>
            <w:tcW w:w="1421"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转回</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转销</w:t>
            </w:r>
          </w:p>
        </w:tc>
        <w:tc>
          <w:tcPr>
            <w:tcW w:w="1478" w:type="dxa"/>
            <w:vMerge/>
            <w:tcBorders>
              <w:left w:val="single" w:sz="4" w:space="0" w:color="000000"/>
              <w:bottom w:val="single" w:sz="4" w:space="0" w:color="000000"/>
              <w:right w:val="nil" w:sz="6" w:space="0" w:color="auto"/>
            </w:tcBorders>
          </w:tcPr>
          <w:p>
            <w:pPr/>
          </w:p>
        </w:tc>
      </w:tr>
      <w:tr>
        <w:trPr>
          <w:trHeight w:val="533"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一、坏账准备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246,307,794.73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4,564,352.94</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14,697,818.00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236,174,329.67</w:t>
            </w:r>
          </w:p>
        </w:tc>
      </w:tr>
      <w:tr>
        <w:trPr>
          <w:trHeight w:val="528"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二、存货跌价准备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3,847,089.00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3,847,089.00</w:t>
            </w:r>
          </w:p>
        </w:tc>
      </w:tr>
      <w:tr>
        <w:trPr>
          <w:trHeight w:val="533"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三、长期股权投资减值准备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21,575,366.58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21,575,366.58</w:t>
            </w:r>
          </w:p>
        </w:tc>
      </w:tr>
      <w:tr>
        <w:trPr>
          <w:trHeight w:val="528"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四、投资性房地产减值准备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21,480,000.00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3,480,000.00</w:t>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18,000,000.00</w:t>
            </w:r>
          </w:p>
        </w:tc>
      </w:tr>
      <w:tr>
        <w:trPr>
          <w:trHeight w:val="533"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五、固定资产减值准备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14,374,294.93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14,374,294.93</w:t>
            </w:r>
          </w:p>
        </w:tc>
      </w:tr>
      <w:tr>
        <w:trPr>
          <w:trHeight w:val="528"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六、在建工程减值准备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165,800.00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165,800.00</w:t>
            </w:r>
          </w:p>
        </w:tc>
      </w:tr>
      <w:tr>
        <w:trPr>
          <w:trHeight w:val="528" w:hRule="exact"/>
        </w:trPr>
        <w:tc>
          <w:tcPr>
            <w:tcW w:w="242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Microsoft JhengHei" w:hAnsi="Microsoft JhengHei" w:cs="Microsoft JhengHei" w:eastAsia="Microsoft JhengHei" w:hint="default"/>
                <w:b/>
                <w:bCs/>
                <w:sz w:val="14"/>
                <w:szCs w:val="1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七、商誉减值准备</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31,838,360.93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7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31,838,360.93</w:t>
            </w:r>
          </w:p>
        </w:tc>
      </w:tr>
      <w:tr>
        <w:trPr>
          <w:trHeight w:val="542"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339,588,706.17</w:t>
            </w:r>
            <w:r>
              <w:rPr>
                <w:rFonts w:ascii="Times New Roman"/>
                <w:spacing w:val="-1"/>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4,564,352.94</w:t>
            </w:r>
            <w:r>
              <w:rPr>
                <w:rFonts w:ascii="Times New Roman"/>
                <w:spacing w:val="-1"/>
                <w:sz w:val="18"/>
              </w:rPr>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14,697,818.00</w:t>
            </w:r>
            <w:r>
              <w:rPr>
                <w:rFonts w:ascii="Times New Roman"/>
                <w:spacing w:val="-1"/>
                <w:sz w:val="18"/>
              </w:rPr>
            </w:r>
          </w:p>
        </w:tc>
        <w:tc>
          <w:tcPr>
            <w:tcW w:w="148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3,480,000.00</w:t>
            </w:r>
            <w:r>
              <w:rPr>
                <w:rFonts w:ascii="Times New Roman"/>
                <w:spacing w:val="-1"/>
                <w:sz w:val="18"/>
              </w:rPr>
            </w:r>
          </w:p>
        </w:tc>
        <w:tc>
          <w:tcPr>
            <w:tcW w:w="147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6"/>
              <w:ind w:right="0"/>
              <w:jc w:val="left"/>
              <w:rPr>
                <w:rFonts w:ascii="Microsoft JhengHei" w:hAnsi="Microsoft JhengHei" w:cs="Microsoft JhengHei" w:eastAsia="Microsoft JhengHei" w:hint="default"/>
                <w:b/>
                <w:bCs/>
                <w:sz w:val="17"/>
                <w:szCs w:val="17"/>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325,975,241.11</w:t>
            </w:r>
            <w:r>
              <w:rPr>
                <w:rFonts w:ascii="Times New Roman"/>
                <w:spacing w:val="-2"/>
                <w:sz w:val="18"/>
              </w:rPr>
            </w:r>
          </w:p>
        </w:tc>
      </w:tr>
    </w:tbl>
    <w:p>
      <w:pPr>
        <w:spacing w:line="240" w:lineRule="auto" w:before="9"/>
        <w:rPr>
          <w:rFonts w:ascii="Microsoft JhengHei" w:hAnsi="Microsoft JhengHei" w:cs="Microsoft JhengHei" w:eastAsia="Microsoft JhengHei" w:hint="default"/>
          <w:b/>
          <w:bCs/>
          <w:sz w:val="10"/>
          <w:szCs w:val="10"/>
        </w:rPr>
      </w:pPr>
    </w:p>
    <w:p>
      <w:pPr>
        <w:pStyle w:val="BodyText"/>
        <w:spacing w:line="240" w:lineRule="auto" w:before="36"/>
        <w:ind w:left="575" w:right="0"/>
        <w:jc w:val="left"/>
      </w:pPr>
      <w:r>
        <w:rPr/>
        <w:t>本期投资性房地产减值准备转销，为本期出售投资性房地产，相应转销其原计提的减值准备。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76"/>
        <w:ind w:right="0"/>
        <w:jc w:val="left"/>
        <w:rPr>
          <w:b w:val="0"/>
          <w:bCs w:val="0"/>
        </w:rPr>
      </w:pPr>
      <w:r>
        <w:rPr>
          <w:rFonts w:ascii="Times New Roman" w:hAnsi="Times New Roman" w:cs="Times New Roman" w:eastAsia="Times New Roman" w:hint="default"/>
        </w:rPr>
        <w:t>17</w:t>
      </w:r>
      <w:r>
        <w:rPr/>
        <w:t>、短期借款</w:t>
      </w:r>
      <w:r>
        <w:rPr>
          <w:b w:val="0"/>
          <w:bCs w:val="0"/>
        </w:rPr>
      </w:r>
    </w:p>
    <w:p>
      <w:pPr>
        <w:spacing w:line="240" w:lineRule="auto" w:before="11"/>
        <w:rPr>
          <w:rFonts w:ascii="Microsoft JhengHei" w:hAnsi="Microsoft JhengHei" w:cs="Microsoft JhengHei" w:eastAsia="Microsoft JhengHei" w:hint="default"/>
          <w:b/>
          <w:bCs/>
          <w:sz w:val="12"/>
          <w:szCs w:val="12"/>
        </w:rPr>
      </w:pPr>
    </w:p>
    <w:p>
      <w:pPr>
        <w:pStyle w:val="BodyText"/>
        <w:spacing w:line="240" w:lineRule="auto"/>
        <w:ind w:left="565" w:right="0"/>
        <w:jc w:val="left"/>
      </w:pPr>
      <w:r>
        <w:rPr/>
        <w:t>（</w:t>
      </w:r>
      <w:r>
        <w:rPr>
          <w:rFonts w:ascii="Times New Roman" w:hAnsi="Times New Roman" w:cs="Times New Roman" w:eastAsia="Times New Roman" w:hint="default"/>
        </w:rPr>
        <w:t>1</w:t>
      </w:r>
      <w:r>
        <w:rPr/>
        <w:t>）短期借款分类</w:t>
      </w:r>
    </w:p>
    <w:p>
      <w:pPr>
        <w:spacing w:after="0" w:line="240" w:lineRule="auto"/>
        <w:jc w:val="left"/>
        <w:sectPr>
          <w:pgSz w:w="11900" w:h="16840"/>
          <w:pgMar w:header="762" w:footer="840" w:top="1000" w:bottom="1020" w:left="980" w:right="9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4469"/>
        <w:gridCol w:w="2621"/>
        <w:gridCol w:w="2626"/>
      </w:tblGrid>
      <w:tr>
        <w:trPr>
          <w:trHeight w:val="518" w:hRule="exact"/>
        </w:trPr>
        <w:tc>
          <w:tcPr>
            <w:tcW w:w="446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009"/>
              <w:jc w:val="right"/>
              <w:rPr>
                <w:rFonts w:ascii="宋体" w:hAnsi="宋体" w:cs="宋体" w:eastAsia="宋体" w:hint="default"/>
                <w:sz w:val="21"/>
                <w:szCs w:val="21"/>
              </w:rPr>
            </w:pPr>
            <w:r>
              <w:rPr>
                <w:rFonts w:ascii="宋体" w:hAnsi="宋体" w:cs="宋体" w:eastAsia="宋体" w:hint="default"/>
                <w:sz w:val="21"/>
                <w:szCs w:val="21"/>
              </w:rPr>
              <w:t>项目</w:t>
            </w:r>
          </w:p>
        </w:tc>
        <w:tc>
          <w:tcPr>
            <w:tcW w:w="262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62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14" w:hRule="exact"/>
        </w:trPr>
        <w:tc>
          <w:tcPr>
            <w:tcW w:w="44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10,000,000.00</w:t>
            </w:r>
          </w:p>
        </w:tc>
        <w:tc>
          <w:tcPr>
            <w:tcW w:w="26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446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抵押加保证借款</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196,500,000.00</w:t>
            </w:r>
          </w:p>
        </w:tc>
        <w:tc>
          <w:tcPr>
            <w:tcW w:w="262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518" w:hRule="exact"/>
        </w:trPr>
        <w:tc>
          <w:tcPr>
            <w:tcW w:w="446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2009"/>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6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206,500,000.00</w:t>
            </w:r>
            <w:r>
              <w:rPr>
                <w:rFonts w:ascii="Times New Roman"/>
                <w:spacing w:val="-1"/>
                <w:sz w:val="21"/>
              </w:rPr>
            </w:r>
          </w:p>
        </w:tc>
        <w:tc>
          <w:tcPr>
            <w:tcW w:w="262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r>
    </w:tbl>
    <w:p>
      <w:pPr>
        <w:spacing w:line="240" w:lineRule="auto" w:before="11"/>
        <w:rPr>
          <w:rFonts w:ascii="宋体" w:hAnsi="宋体" w:cs="宋体" w:eastAsia="宋体" w:hint="default"/>
          <w:sz w:val="11"/>
          <w:szCs w:val="11"/>
        </w:rPr>
      </w:pPr>
    </w:p>
    <w:p>
      <w:pPr>
        <w:pStyle w:val="BodyText"/>
        <w:spacing w:line="240" w:lineRule="auto" w:before="36"/>
        <w:ind w:left="565" w:right="0"/>
        <w:jc w:val="left"/>
      </w:pPr>
      <w:r>
        <w:rPr/>
        <w:t>（</w:t>
      </w:r>
      <w:r>
        <w:rPr>
          <w:rFonts w:ascii="Times New Roman" w:hAnsi="Times New Roman" w:cs="Times New Roman" w:eastAsia="Times New Roman" w:hint="default"/>
        </w:rPr>
        <w:t>2</w:t>
      </w:r>
      <w:r>
        <w:rPr/>
        <w:t>）金额前五名的短期借款</w:t>
      </w:r>
    </w:p>
    <w:tbl>
      <w:tblPr>
        <w:tblW w:w="0" w:type="auto"/>
        <w:jc w:val="left"/>
        <w:tblInd w:w="123" w:type="dxa"/>
        <w:tblLayout w:type="fixed"/>
        <w:tblCellMar>
          <w:top w:w="0" w:type="dxa"/>
          <w:left w:w="0" w:type="dxa"/>
          <w:bottom w:w="0" w:type="dxa"/>
          <w:right w:w="0" w:type="dxa"/>
        </w:tblCellMar>
        <w:tblLook w:val="01E0"/>
      </w:tblPr>
      <w:tblGrid>
        <w:gridCol w:w="1579"/>
        <w:gridCol w:w="994"/>
        <w:gridCol w:w="989"/>
        <w:gridCol w:w="850"/>
        <w:gridCol w:w="850"/>
        <w:gridCol w:w="994"/>
        <w:gridCol w:w="1205"/>
        <w:gridCol w:w="1061"/>
        <w:gridCol w:w="1133"/>
      </w:tblGrid>
      <w:tr>
        <w:trPr>
          <w:trHeight w:val="518" w:hRule="exact"/>
        </w:trPr>
        <w:tc>
          <w:tcPr>
            <w:tcW w:w="1579"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499" w:right="0"/>
              <w:jc w:val="left"/>
              <w:rPr>
                <w:rFonts w:ascii="宋体" w:hAnsi="宋体" w:cs="宋体" w:eastAsia="宋体" w:hint="default"/>
                <w:sz w:val="15"/>
                <w:szCs w:val="15"/>
              </w:rPr>
            </w:pPr>
            <w:r>
              <w:rPr>
                <w:rFonts w:ascii="宋体" w:hAnsi="宋体" w:cs="宋体" w:eastAsia="宋体" w:hint="default"/>
                <w:sz w:val="15"/>
                <w:szCs w:val="15"/>
              </w:rPr>
              <w:t>贷款单位</w:t>
            </w:r>
          </w:p>
        </w:tc>
        <w:tc>
          <w:tcPr>
            <w:tcW w:w="99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15" w:right="0"/>
              <w:jc w:val="left"/>
              <w:rPr>
                <w:rFonts w:ascii="宋体" w:hAnsi="宋体" w:cs="宋体" w:eastAsia="宋体" w:hint="default"/>
                <w:sz w:val="15"/>
                <w:szCs w:val="15"/>
              </w:rPr>
            </w:pPr>
            <w:r>
              <w:rPr>
                <w:rFonts w:ascii="宋体" w:hAnsi="宋体" w:cs="宋体" w:eastAsia="宋体" w:hint="default"/>
                <w:sz w:val="15"/>
                <w:szCs w:val="15"/>
              </w:rPr>
              <w:t>借款起始日</w:t>
            </w:r>
          </w:p>
        </w:tc>
        <w:tc>
          <w:tcPr>
            <w:tcW w:w="989"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15" w:right="0"/>
              <w:jc w:val="left"/>
              <w:rPr>
                <w:rFonts w:ascii="宋体" w:hAnsi="宋体" w:cs="宋体" w:eastAsia="宋体" w:hint="default"/>
                <w:sz w:val="15"/>
                <w:szCs w:val="15"/>
              </w:rPr>
            </w:pPr>
            <w:r>
              <w:rPr>
                <w:rFonts w:ascii="宋体" w:hAnsi="宋体" w:cs="宋体" w:eastAsia="宋体" w:hint="default"/>
                <w:sz w:val="15"/>
                <w:szCs w:val="15"/>
              </w:rPr>
              <w:t>借款终止日</w:t>
            </w:r>
          </w:p>
        </w:tc>
        <w:tc>
          <w:tcPr>
            <w:tcW w:w="8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268" w:right="0"/>
              <w:jc w:val="left"/>
              <w:rPr>
                <w:rFonts w:ascii="宋体" w:hAnsi="宋体" w:cs="宋体" w:eastAsia="宋体" w:hint="default"/>
                <w:sz w:val="15"/>
                <w:szCs w:val="15"/>
              </w:rPr>
            </w:pPr>
            <w:r>
              <w:rPr>
                <w:rFonts w:ascii="宋体" w:hAnsi="宋体" w:cs="宋体" w:eastAsia="宋体" w:hint="default"/>
                <w:sz w:val="15"/>
                <w:szCs w:val="15"/>
              </w:rPr>
              <w:t>币种</w:t>
            </w:r>
          </w:p>
        </w:tc>
        <w:tc>
          <w:tcPr>
            <w:tcW w:w="8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273" w:right="0"/>
              <w:jc w:val="left"/>
              <w:rPr>
                <w:rFonts w:ascii="宋体" w:hAnsi="宋体" w:cs="宋体" w:eastAsia="宋体" w:hint="default"/>
                <w:sz w:val="15"/>
                <w:szCs w:val="15"/>
              </w:rPr>
            </w:pPr>
            <w:r>
              <w:rPr>
                <w:rFonts w:ascii="宋体" w:hAnsi="宋体" w:cs="宋体" w:eastAsia="宋体" w:hint="default"/>
                <w:sz w:val="15"/>
                <w:szCs w:val="15"/>
              </w:rPr>
              <w:t>利率</w:t>
            </w:r>
          </w:p>
        </w:tc>
        <w:tc>
          <w:tcPr>
            <w:tcW w:w="219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2194"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年初余额</w:t>
            </w:r>
          </w:p>
        </w:tc>
      </w:tr>
      <w:tr>
        <w:trPr>
          <w:trHeight w:val="509" w:hRule="exact"/>
        </w:trPr>
        <w:tc>
          <w:tcPr>
            <w:tcW w:w="1579" w:type="dxa"/>
            <w:vMerge/>
            <w:tcBorders>
              <w:left w:val="nil" w:sz="6" w:space="0" w:color="auto"/>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1" w:right="0"/>
              <w:jc w:val="left"/>
              <w:rPr>
                <w:rFonts w:ascii="宋体" w:hAnsi="宋体" w:cs="宋体" w:eastAsia="宋体" w:hint="default"/>
                <w:sz w:val="15"/>
                <w:szCs w:val="15"/>
              </w:rPr>
            </w:pPr>
            <w:r>
              <w:rPr>
                <w:rFonts w:ascii="宋体" w:hAnsi="宋体" w:cs="宋体" w:eastAsia="宋体" w:hint="default"/>
                <w:sz w:val="15"/>
                <w:szCs w:val="15"/>
              </w:rPr>
              <w:t>外币金额</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97" w:right="0"/>
              <w:jc w:val="left"/>
              <w:rPr>
                <w:rFonts w:ascii="宋体" w:hAnsi="宋体" w:cs="宋体" w:eastAsia="宋体" w:hint="default"/>
                <w:sz w:val="15"/>
                <w:szCs w:val="15"/>
              </w:rPr>
            </w:pPr>
            <w:r>
              <w:rPr>
                <w:rFonts w:ascii="宋体" w:hAnsi="宋体" w:cs="宋体" w:eastAsia="宋体" w:hint="default"/>
                <w:sz w:val="15"/>
                <w:szCs w:val="15"/>
              </w:rPr>
              <w:t>本币金额</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30" w:right="0"/>
              <w:jc w:val="left"/>
              <w:rPr>
                <w:rFonts w:ascii="宋体" w:hAnsi="宋体" w:cs="宋体" w:eastAsia="宋体" w:hint="default"/>
                <w:sz w:val="15"/>
                <w:szCs w:val="15"/>
              </w:rPr>
            </w:pPr>
            <w:r>
              <w:rPr>
                <w:rFonts w:ascii="宋体" w:hAnsi="宋体" w:cs="宋体" w:eastAsia="宋体" w:hint="default"/>
                <w:sz w:val="15"/>
                <w:szCs w:val="15"/>
              </w:rPr>
              <w:t>外币金额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59" w:right="0"/>
              <w:jc w:val="left"/>
              <w:rPr>
                <w:rFonts w:ascii="宋体" w:hAnsi="宋体" w:cs="宋体" w:eastAsia="宋体" w:hint="default"/>
                <w:sz w:val="15"/>
                <w:szCs w:val="15"/>
              </w:rPr>
            </w:pPr>
            <w:r>
              <w:rPr>
                <w:rFonts w:ascii="宋体" w:hAnsi="宋体" w:cs="宋体" w:eastAsia="宋体" w:hint="default"/>
                <w:sz w:val="15"/>
                <w:szCs w:val="15"/>
              </w:rPr>
              <w:t>本币金额</w:t>
            </w:r>
          </w:p>
        </w:tc>
      </w:tr>
      <w:tr>
        <w:trPr>
          <w:trHeight w:val="638"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24" w:right="104"/>
              <w:jc w:val="left"/>
              <w:rPr>
                <w:rFonts w:ascii="宋体" w:hAnsi="宋体" w:cs="宋体" w:eastAsia="宋体" w:hint="default"/>
                <w:sz w:val="15"/>
                <w:szCs w:val="15"/>
              </w:rPr>
            </w:pPr>
            <w:r>
              <w:rPr>
                <w:rFonts w:ascii="宋体" w:hAnsi="宋体" w:cs="宋体" w:eastAsia="宋体" w:hint="default"/>
                <w:sz w:val="15"/>
                <w:szCs w:val="15"/>
              </w:rPr>
              <w:t>深</w:t>
            </w:r>
            <w:r>
              <w:rPr>
                <w:rFonts w:ascii="宋体" w:hAnsi="宋体" w:cs="宋体" w:eastAsia="宋体" w:hint="default"/>
                <w:spacing w:val="-58"/>
                <w:sz w:val="15"/>
                <w:szCs w:val="15"/>
              </w:rPr>
              <w:t> </w:t>
            </w:r>
            <w:r>
              <w:rPr>
                <w:rFonts w:ascii="宋体" w:hAnsi="宋体" w:cs="宋体" w:eastAsia="宋体" w:hint="default"/>
                <w:sz w:val="15"/>
                <w:szCs w:val="15"/>
              </w:rPr>
              <w:t>圳</w:t>
            </w:r>
            <w:r>
              <w:rPr>
                <w:rFonts w:ascii="宋体" w:hAnsi="宋体" w:cs="宋体" w:eastAsia="宋体" w:hint="default"/>
                <w:spacing w:val="-54"/>
                <w:sz w:val="15"/>
                <w:szCs w:val="15"/>
              </w:rPr>
              <w:t> </w:t>
            </w:r>
            <w:r>
              <w:rPr>
                <w:rFonts w:ascii="宋体" w:hAnsi="宋体" w:cs="宋体" w:eastAsia="宋体" w:hint="default"/>
                <w:sz w:val="15"/>
                <w:szCs w:val="15"/>
              </w:rPr>
              <w:t>兴</w:t>
            </w:r>
            <w:r>
              <w:rPr>
                <w:rFonts w:ascii="宋体" w:hAnsi="宋体" w:cs="宋体" w:eastAsia="宋体" w:hint="default"/>
                <w:spacing w:val="-58"/>
                <w:sz w:val="15"/>
                <w:szCs w:val="15"/>
              </w:rPr>
              <w:t> </w:t>
            </w:r>
            <w:r>
              <w:rPr>
                <w:rFonts w:ascii="宋体" w:hAnsi="宋体" w:cs="宋体" w:eastAsia="宋体" w:hint="default"/>
                <w:sz w:val="15"/>
                <w:szCs w:val="15"/>
              </w:rPr>
              <w:t>业</w:t>
            </w:r>
            <w:r>
              <w:rPr>
                <w:rFonts w:ascii="宋体" w:hAnsi="宋体" w:cs="宋体" w:eastAsia="宋体" w:hint="default"/>
                <w:spacing w:val="-54"/>
                <w:sz w:val="15"/>
                <w:szCs w:val="15"/>
              </w:rPr>
              <w:t> </w:t>
            </w:r>
            <w:r>
              <w:rPr>
                <w:rFonts w:ascii="宋体" w:hAnsi="宋体" w:cs="宋体" w:eastAsia="宋体" w:hint="default"/>
                <w:sz w:val="15"/>
                <w:szCs w:val="15"/>
              </w:rPr>
              <w:t>银</w:t>
            </w:r>
            <w:r>
              <w:rPr>
                <w:rFonts w:ascii="宋体" w:hAnsi="宋体" w:cs="宋体" w:eastAsia="宋体" w:hint="default"/>
                <w:spacing w:val="-54"/>
                <w:sz w:val="15"/>
                <w:szCs w:val="15"/>
              </w:rPr>
              <w:t> </w:t>
            </w:r>
            <w:r>
              <w:rPr>
                <w:rFonts w:ascii="宋体" w:hAnsi="宋体" w:cs="宋体" w:eastAsia="宋体" w:hint="default"/>
                <w:sz w:val="15"/>
                <w:szCs w:val="15"/>
              </w:rPr>
              <w:t>行</w:t>
            </w:r>
            <w:r>
              <w:rPr>
                <w:rFonts w:ascii="宋体" w:hAnsi="宋体" w:cs="宋体" w:eastAsia="宋体" w:hint="default"/>
                <w:spacing w:val="-58"/>
                <w:sz w:val="15"/>
                <w:szCs w:val="15"/>
              </w:rPr>
              <w:t> </w:t>
            </w:r>
            <w:r>
              <w:rPr>
                <w:rFonts w:ascii="宋体" w:hAnsi="宋体" w:cs="宋体" w:eastAsia="宋体" w:hint="default"/>
                <w:sz w:val="15"/>
                <w:szCs w:val="15"/>
              </w:rPr>
              <w:t>科</w:t>
            </w:r>
            <w:r>
              <w:rPr>
                <w:rFonts w:ascii="宋体" w:hAnsi="宋体" w:cs="宋体" w:eastAsia="宋体" w:hint="default"/>
                <w:spacing w:val="-54"/>
                <w:sz w:val="15"/>
                <w:szCs w:val="15"/>
              </w:rPr>
              <w:t> </w:t>
            </w:r>
            <w:r>
              <w:rPr>
                <w:rFonts w:ascii="宋体" w:hAnsi="宋体" w:cs="宋体" w:eastAsia="宋体" w:hint="default"/>
                <w:sz w:val="15"/>
                <w:szCs w:val="15"/>
              </w:rPr>
              <w:t>技</w:t>
            </w:r>
            <w:r>
              <w:rPr>
                <w:rFonts w:ascii="宋体" w:hAnsi="宋体" w:cs="宋体" w:eastAsia="宋体" w:hint="default"/>
                <w:w w:val="99"/>
                <w:sz w:val="15"/>
                <w:szCs w:val="15"/>
              </w:rPr>
              <w:t> </w:t>
            </w:r>
            <w:r>
              <w:rPr>
                <w:rFonts w:ascii="宋体" w:hAnsi="宋体" w:cs="宋体" w:eastAsia="宋体" w:hint="default"/>
                <w:sz w:val="15"/>
                <w:szCs w:val="15"/>
              </w:rPr>
              <w:t>支行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211" w:right="0"/>
              <w:jc w:val="left"/>
              <w:rPr>
                <w:rFonts w:ascii="Times New Roman" w:hAnsi="Times New Roman" w:cs="Times New Roman" w:eastAsia="Times New Roman" w:hint="default"/>
                <w:sz w:val="15"/>
                <w:szCs w:val="15"/>
              </w:rPr>
            </w:pPr>
            <w:r>
              <w:rPr>
                <w:rFonts w:ascii="Times New Roman"/>
                <w:sz w:val="15"/>
              </w:rPr>
              <w:t>2012-7-6</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211" w:right="0"/>
              <w:jc w:val="left"/>
              <w:rPr>
                <w:rFonts w:ascii="Times New Roman" w:hAnsi="Times New Roman" w:cs="Times New Roman" w:eastAsia="Times New Roman" w:hint="default"/>
                <w:sz w:val="15"/>
                <w:szCs w:val="15"/>
              </w:rPr>
            </w:pPr>
            <w:r>
              <w:rPr>
                <w:rFonts w:ascii="Times New Roman"/>
                <w:sz w:val="15"/>
              </w:rPr>
              <w:t>2013-7-6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7.20%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5"/>
                <w:sz w:val="15"/>
              </w:rPr>
              <w:t>98,500,000.00</w:t>
            </w:r>
            <w:r>
              <w:rPr>
                <w:rFonts w:ascii="Times New Roman"/>
                <w:sz w:val="15"/>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14"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4" w:right="0"/>
              <w:jc w:val="left"/>
              <w:rPr>
                <w:rFonts w:ascii="宋体" w:hAnsi="宋体" w:cs="宋体" w:eastAsia="宋体" w:hint="default"/>
                <w:sz w:val="15"/>
                <w:szCs w:val="15"/>
              </w:rPr>
            </w:pPr>
            <w:r>
              <w:rPr>
                <w:rFonts w:ascii="宋体" w:hAnsi="宋体" w:cs="宋体" w:eastAsia="宋体" w:hint="default"/>
                <w:sz w:val="15"/>
                <w:szCs w:val="15"/>
              </w:rPr>
              <w:t>浙商银行深圳分行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w w:val="95"/>
                <w:sz w:val="15"/>
              </w:rPr>
              <w:t>2012-8-23</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2013-8-23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7.20%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5"/>
                <w:sz w:val="15"/>
              </w:rPr>
              <w:t>72,000,000.00</w:t>
            </w:r>
            <w:r>
              <w:rPr>
                <w:rFonts w:ascii="Times New Roman"/>
                <w:sz w:val="15"/>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4" w:right="0"/>
              <w:jc w:val="left"/>
              <w:rPr>
                <w:rFonts w:ascii="宋体" w:hAnsi="宋体" w:cs="宋体" w:eastAsia="宋体" w:hint="default"/>
                <w:sz w:val="15"/>
                <w:szCs w:val="15"/>
              </w:rPr>
            </w:pPr>
            <w:r>
              <w:rPr>
                <w:rFonts w:ascii="宋体" w:hAnsi="宋体" w:cs="宋体" w:eastAsia="宋体" w:hint="default"/>
                <w:sz w:val="15"/>
                <w:szCs w:val="15"/>
              </w:rPr>
              <w:t>广发行深圳分行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44"/>
              <w:jc w:val="right"/>
              <w:rPr>
                <w:rFonts w:ascii="Times New Roman" w:hAnsi="Times New Roman" w:cs="Times New Roman" w:eastAsia="Times New Roman" w:hint="default"/>
                <w:sz w:val="15"/>
                <w:szCs w:val="15"/>
              </w:rPr>
            </w:pPr>
            <w:r>
              <w:rPr>
                <w:rFonts w:ascii="Times New Roman"/>
                <w:w w:val="95"/>
                <w:sz w:val="15"/>
              </w:rPr>
              <w:t>2012-10-15</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2013-10-15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7.20%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5"/>
                <w:sz w:val="15"/>
              </w:rPr>
              <w:t>18,000,000.00</w:t>
            </w:r>
            <w:r>
              <w:rPr>
                <w:rFonts w:ascii="Times New Roman"/>
                <w:sz w:val="15"/>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4" w:right="0"/>
              <w:jc w:val="left"/>
              <w:rPr>
                <w:rFonts w:ascii="宋体" w:hAnsi="宋体" w:cs="宋体" w:eastAsia="宋体" w:hint="default"/>
                <w:sz w:val="15"/>
                <w:szCs w:val="15"/>
              </w:rPr>
            </w:pPr>
            <w:r>
              <w:rPr>
                <w:rFonts w:ascii="宋体" w:hAnsi="宋体" w:cs="宋体" w:eastAsia="宋体" w:hint="default"/>
                <w:sz w:val="15"/>
                <w:szCs w:val="15"/>
              </w:rPr>
              <w:t>包商银行深圳分行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w w:val="95"/>
                <w:sz w:val="15"/>
              </w:rPr>
              <w:t>2012-8-23</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2013-8-23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7.56%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5"/>
                <w:sz w:val="15"/>
              </w:rPr>
              <w:t>10,000,000.00</w:t>
            </w:r>
            <w:r>
              <w:rPr>
                <w:rFonts w:ascii="Times New Roman"/>
                <w:sz w:val="15"/>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24" w:right="0"/>
              <w:jc w:val="left"/>
              <w:rPr>
                <w:rFonts w:ascii="宋体" w:hAnsi="宋体" w:cs="宋体" w:eastAsia="宋体" w:hint="default"/>
                <w:sz w:val="15"/>
                <w:szCs w:val="15"/>
              </w:rPr>
            </w:pPr>
            <w:r>
              <w:rPr>
                <w:rFonts w:ascii="宋体" w:hAnsi="宋体" w:cs="宋体" w:eastAsia="宋体" w:hint="default"/>
                <w:sz w:val="15"/>
                <w:szCs w:val="15"/>
              </w:rPr>
              <w:t>浙商银行深圳分行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w w:val="95"/>
                <w:sz w:val="15"/>
              </w:rPr>
              <w:t>2012-8-24</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2013-8-24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7.20%</w:t>
            </w:r>
          </w:p>
        </w:tc>
        <w:tc>
          <w:tcPr>
            <w:tcW w:w="994" w:type="dxa"/>
            <w:tcBorders>
              <w:top w:val="single" w:sz="4" w:space="0" w:color="000000"/>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5"/>
                <w:sz w:val="15"/>
              </w:rPr>
              <w:t>8,000,000.00</w:t>
            </w:r>
            <w:r>
              <w:rPr>
                <w:rFonts w:ascii="Times New Roman"/>
                <w:sz w:val="15"/>
              </w:rPr>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23" w:hRule="exact"/>
        </w:trPr>
        <w:tc>
          <w:tcPr>
            <w:tcW w:w="157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4" w:right="0"/>
              <w:jc w:val="center"/>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sz w:val="15"/>
                <w:szCs w:val="15"/>
              </w:rPr>
              <w:t>合计</w:t>
            </w:r>
            <w:r>
              <w:rPr>
                <w:rFonts w:ascii="Microsoft JhengHei" w:hAnsi="Microsoft JhengHei" w:cs="Microsoft JhengHei" w:eastAsia="Microsoft JhengHei" w:hint="default"/>
                <w:sz w:val="15"/>
                <w:szCs w:val="15"/>
              </w:rPr>
            </w:r>
          </w:p>
        </w:tc>
        <w:tc>
          <w:tcPr>
            <w:tcW w:w="994" w:type="dxa"/>
            <w:tcBorders>
              <w:top w:val="single" w:sz="4" w:space="0" w:color="000000"/>
              <w:left w:val="single" w:sz="4" w:space="0" w:color="000000"/>
              <w:bottom w:val="single" w:sz="12" w:space="0" w:color="000000"/>
              <w:right w:val="single" w:sz="4" w:space="0" w:color="000000"/>
            </w:tcBorders>
          </w:tcPr>
          <w:p>
            <w:pPr/>
          </w:p>
        </w:tc>
        <w:tc>
          <w:tcPr>
            <w:tcW w:w="989" w:type="dxa"/>
            <w:tcBorders>
              <w:top w:val="single" w:sz="4" w:space="0" w:color="000000"/>
              <w:left w:val="single" w:sz="4" w:space="0" w:color="000000"/>
              <w:bottom w:val="single" w:sz="12" w:space="0" w:color="000000"/>
              <w:right w:val="single" w:sz="4" w:space="0" w:color="000000"/>
            </w:tcBorders>
          </w:tcPr>
          <w:p>
            <w:pPr/>
          </w:p>
        </w:tc>
        <w:tc>
          <w:tcPr>
            <w:tcW w:w="850" w:type="dxa"/>
            <w:tcBorders>
              <w:top w:val="single" w:sz="4" w:space="0" w:color="000000"/>
              <w:left w:val="single" w:sz="4" w:space="0" w:color="000000"/>
              <w:bottom w:val="single" w:sz="12" w:space="0" w:color="000000"/>
              <w:right w:val="single" w:sz="4" w:space="0" w:color="000000"/>
            </w:tcBorders>
          </w:tcPr>
          <w:p>
            <w:pPr/>
          </w:p>
        </w:tc>
        <w:tc>
          <w:tcPr>
            <w:tcW w:w="850" w:type="dxa"/>
            <w:tcBorders>
              <w:top w:val="single" w:sz="4" w:space="0" w:color="000000"/>
              <w:left w:val="single" w:sz="4" w:space="0" w:color="000000"/>
              <w:bottom w:val="single" w:sz="12" w:space="0" w:color="000000"/>
              <w:right w:val="single" w:sz="4" w:space="0" w:color="000000"/>
            </w:tcBorders>
          </w:tcPr>
          <w:p>
            <w:pP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b/>
                <w:w w:val="99"/>
                <w:sz w:val="15"/>
              </w:rPr>
              <w:t>-</w:t>
            </w:r>
            <w:r>
              <w:rPr>
                <w:rFonts w:ascii="Times New Roman"/>
                <w:sz w:val="15"/>
              </w:rPr>
            </w:r>
          </w:p>
        </w:tc>
        <w:tc>
          <w:tcPr>
            <w:tcW w:w="120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b/>
                <w:w w:val="95"/>
                <w:sz w:val="15"/>
              </w:rPr>
              <w:t>206,500,000.00</w:t>
            </w:r>
            <w:r>
              <w:rPr>
                <w:rFonts w:ascii="Times New Roman"/>
                <w:sz w:val="15"/>
              </w:rPr>
            </w:r>
          </w:p>
        </w:tc>
        <w:tc>
          <w:tcPr>
            <w:tcW w:w="106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b/>
                <w:w w:val="99"/>
                <w:sz w:val="15"/>
              </w:rPr>
              <w:t>-</w:t>
            </w:r>
            <w:r>
              <w:rPr>
                <w:rFonts w:ascii="Times New Roman"/>
                <w:sz w:val="15"/>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b/>
                <w:w w:val="99"/>
                <w:sz w:val="15"/>
              </w:rPr>
              <w:t>-</w:t>
            </w:r>
            <w:r>
              <w:rPr>
                <w:rFonts w:ascii="Times New Roman"/>
                <w:sz w:val="15"/>
              </w:rPr>
            </w:r>
          </w:p>
        </w:tc>
      </w:tr>
    </w:tbl>
    <w:p>
      <w:pPr>
        <w:spacing w:line="240" w:lineRule="auto" w:before="7"/>
        <w:rPr>
          <w:rFonts w:ascii="宋体" w:hAnsi="宋体" w:cs="宋体" w:eastAsia="宋体" w:hint="default"/>
          <w:sz w:val="13"/>
          <w:szCs w:val="13"/>
        </w:rPr>
      </w:pPr>
    </w:p>
    <w:p>
      <w:pPr>
        <w:pStyle w:val="BodyText"/>
        <w:spacing w:line="412" w:lineRule="auto" w:before="36"/>
        <w:ind w:right="186" w:firstLine="422"/>
        <w:jc w:val="left"/>
      </w:pPr>
      <w:r>
        <w:rPr/>
        <w:t>本期短期借款中除广发行深圳分行的</w:t>
      </w:r>
      <w:r>
        <w:rPr>
          <w:spacing w:val="-65"/>
        </w:rPr>
        <w:t> </w:t>
      </w:r>
      <w:r>
        <w:rPr>
          <w:rFonts w:ascii="Times New Roman" w:hAnsi="Times New Roman" w:cs="Times New Roman" w:eastAsia="Times New Roman" w:hint="default"/>
        </w:rPr>
        <w:t>1,800.00</w:t>
      </w:r>
      <w:r>
        <w:rPr>
          <w:rFonts w:ascii="Times New Roman" w:hAnsi="Times New Roman" w:cs="Times New Roman" w:eastAsia="Times New Roman" w:hint="default"/>
          <w:spacing w:val="-8"/>
        </w:rPr>
        <w:t> </w:t>
      </w:r>
      <w:r>
        <w:rPr/>
        <w:t>万元借款的保证人为贷款子公司深圳市鸿基物流有限公</w:t>
      </w:r>
      <w:r>
        <w:rPr>
          <w:w w:val="100"/>
        </w:rPr>
        <w:t> </w:t>
      </w:r>
      <w:r>
        <w:rPr/>
        <w:t>司的法定代表人外，其余借款均属本公司为下属子公司提供担保，担保情况详见附注八、</w:t>
      </w:r>
      <w:r>
        <w:rPr>
          <w:rFonts w:ascii="Times New Roman" w:hAnsi="Times New Roman" w:cs="Times New Roman" w:eastAsia="Times New Roman" w:hint="default"/>
        </w:rPr>
        <w:t>3</w:t>
      </w:r>
      <w:r>
        <w:rPr/>
        <w:t>。</w:t>
      </w:r>
    </w:p>
    <w:p>
      <w:pPr>
        <w:spacing w:line="240" w:lineRule="auto" w:before="0"/>
        <w:rPr>
          <w:rFonts w:ascii="宋体" w:hAnsi="宋体" w:cs="宋体" w:eastAsia="宋体" w:hint="default"/>
          <w:sz w:val="22"/>
          <w:szCs w:val="22"/>
        </w:rPr>
      </w:pPr>
    </w:p>
    <w:p>
      <w:pPr>
        <w:pStyle w:val="Heading6"/>
        <w:spacing w:line="240" w:lineRule="auto" w:before="185"/>
        <w:ind w:right="0"/>
        <w:jc w:val="left"/>
        <w:rPr>
          <w:b w:val="0"/>
          <w:bCs w:val="0"/>
        </w:rPr>
      </w:pPr>
      <w:r>
        <w:rPr>
          <w:rFonts w:ascii="Times New Roman" w:hAnsi="Times New Roman" w:cs="Times New Roman" w:eastAsia="Times New Roman" w:hint="default"/>
        </w:rPr>
        <w:t>18</w:t>
      </w:r>
      <w:r>
        <w:rPr/>
        <w:t>、应付账款</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BodyText"/>
        <w:spacing w:line="240" w:lineRule="auto"/>
        <w:ind w:left="565" w:right="0"/>
        <w:jc w:val="left"/>
      </w:pPr>
      <w:r>
        <w:rPr/>
        <w:t>（</w:t>
      </w:r>
      <w:r>
        <w:rPr>
          <w:rFonts w:ascii="Times New Roman" w:hAnsi="Times New Roman" w:cs="Times New Roman" w:eastAsia="Times New Roman" w:hint="default"/>
        </w:rPr>
        <w:t>1</w:t>
      </w:r>
      <w:r>
        <w:rPr/>
        <w:t>）应付账款分类</w:t>
      </w:r>
    </w:p>
    <w:tbl>
      <w:tblPr>
        <w:tblW w:w="0" w:type="auto"/>
        <w:jc w:val="left"/>
        <w:tblInd w:w="123" w:type="dxa"/>
        <w:tblLayout w:type="fixed"/>
        <w:tblCellMar>
          <w:top w:w="0" w:type="dxa"/>
          <w:left w:w="0" w:type="dxa"/>
          <w:bottom w:w="0" w:type="dxa"/>
          <w:right w:w="0" w:type="dxa"/>
        </w:tblCellMar>
        <w:tblLook w:val="01E0"/>
      </w:tblPr>
      <w:tblGrid>
        <w:gridCol w:w="3250"/>
        <w:gridCol w:w="3230"/>
        <w:gridCol w:w="3235"/>
      </w:tblGrid>
      <w:tr>
        <w:trPr>
          <w:trHeight w:val="518" w:hRule="exact"/>
        </w:trPr>
        <w:tc>
          <w:tcPr>
            <w:tcW w:w="325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399"/>
              <w:jc w:val="right"/>
              <w:rPr>
                <w:rFonts w:ascii="宋体" w:hAnsi="宋体" w:cs="宋体" w:eastAsia="宋体" w:hint="default"/>
                <w:sz w:val="21"/>
                <w:szCs w:val="21"/>
              </w:rPr>
            </w:pPr>
            <w:r>
              <w:rPr>
                <w:rFonts w:ascii="宋体" w:hAnsi="宋体" w:cs="宋体" w:eastAsia="宋体" w:hint="default"/>
                <w:sz w:val="21"/>
                <w:szCs w:val="21"/>
              </w:rPr>
              <w:t>账龄</w:t>
            </w:r>
          </w:p>
        </w:tc>
        <w:tc>
          <w:tcPr>
            <w:tcW w:w="323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2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应付及暂估工程款</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329,800,181.18</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94,197,935.96</w:t>
            </w:r>
          </w:p>
        </w:tc>
      </w:tr>
      <w:tr>
        <w:trPr>
          <w:trHeight w:val="514"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应付采购款</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113,073.53</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2"/>
                <w:sz w:val="21"/>
              </w:rPr>
              <w:t>113,073.53</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应付地价款</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75,142,311.00</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368,666.48</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234,405.48</w:t>
            </w:r>
          </w:p>
        </w:tc>
      </w:tr>
      <w:tr>
        <w:trPr>
          <w:trHeight w:val="523" w:hRule="exact"/>
        </w:trPr>
        <w:tc>
          <w:tcPr>
            <w:tcW w:w="325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399"/>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2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330,281,921.19</w:t>
            </w:r>
            <w:r>
              <w:rPr>
                <w:rFonts w:ascii="Times New Roman"/>
                <w:spacing w:val="-1"/>
                <w:sz w:val="21"/>
              </w:rPr>
            </w:r>
          </w:p>
        </w:tc>
        <w:tc>
          <w:tcPr>
            <w:tcW w:w="323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169,687,725.97</w:t>
            </w:r>
            <w:r>
              <w:rPr>
                <w:rFonts w:ascii="Times New Roman"/>
                <w:spacing w:val="-1"/>
                <w:sz w:val="21"/>
              </w:rPr>
            </w:r>
          </w:p>
        </w:tc>
      </w:tr>
    </w:tbl>
    <w:p>
      <w:pPr>
        <w:spacing w:line="240" w:lineRule="auto" w:before="2"/>
        <w:rPr>
          <w:rFonts w:ascii="宋体" w:hAnsi="宋体" w:cs="宋体" w:eastAsia="宋体" w:hint="default"/>
          <w:sz w:val="13"/>
          <w:szCs w:val="13"/>
        </w:rPr>
      </w:pPr>
    </w:p>
    <w:p>
      <w:pPr>
        <w:pStyle w:val="BodyText"/>
        <w:spacing w:line="412" w:lineRule="auto" w:before="36"/>
        <w:ind w:right="200" w:firstLine="412"/>
        <w:jc w:val="left"/>
      </w:pPr>
      <w:r>
        <w:rPr>
          <w:spacing w:val="-3"/>
        </w:rPr>
        <w:t>（</w:t>
      </w:r>
      <w:r>
        <w:rPr>
          <w:rFonts w:ascii="Times New Roman" w:hAnsi="Times New Roman" w:cs="Times New Roman" w:eastAsia="Times New Roman" w:hint="default"/>
          <w:spacing w:val="-3"/>
        </w:rPr>
        <w:t>2</w:t>
      </w:r>
      <w:r>
        <w:rPr>
          <w:spacing w:val="-3"/>
        </w:rPr>
        <w:t>）截至</w:t>
      </w:r>
      <w:r>
        <w:rPr>
          <w:spacing w:val="-4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49"/>
        </w:rPr>
        <w:t> </w:t>
      </w:r>
      <w:r>
        <w:rPr>
          <w:rFonts w:ascii="Times New Roman" w:hAnsi="Times New Roman" w:cs="Times New Roman" w:eastAsia="Times New Roman" w:hint="default"/>
          <w:spacing w:val="-3"/>
        </w:rPr>
        <w:t>31</w:t>
      </w:r>
      <w:r>
        <w:rPr>
          <w:rFonts w:ascii="Times New Roman" w:hAnsi="Times New Roman" w:cs="Times New Roman" w:eastAsia="Times New Roman" w:hint="default"/>
          <w:spacing w:val="4"/>
        </w:rPr>
        <w:t> </w:t>
      </w:r>
      <w:r>
        <w:rPr/>
        <w:t>日，应付账款中不存在欠付持公司</w:t>
      </w:r>
      <w:r>
        <w:rPr>
          <w:spacing w:val="-49"/>
        </w:rPr>
        <w:t> </w:t>
      </w:r>
      <w:r>
        <w:rPr>
          <w:rFonts w:ascii="Times New Roman" w:hAnsi="Times New Roman" w:cs="Times New Roman" w:eastAsia="Times New Roman" w:hint="default"/>
          <w:spacing w:val="-5"/>
        </w:rPr>
        <w:t>5%</w:t>
      </w:r>
      <w:r>
        <w:rPr>
          <w:spacing w:val="-5"/>
        </w:rPr>
        <w:t>（含</w:t>
      </w:r>
      <w:r>
        <w:rPr>
          <w:spacing w:val="-49"/>
        </w:rPr>
        <w:t> </w:t>
      </w:r>
      <w:r>
        <w:rPr>
          <w:rFonts w:ascii="Times New Roman" w:hAnsi="Times New Roman" w:cs="Times New Roman" w:eastAsia="Times New Roman" w:hint="default"/>
          <w:spacing w:val="-3"/>
        </w:rPr>
        <w:t>5%</w:t>
      </w:r>
      <w:r>
        <w:rPr>
          <w:spacing w:val="-3"/>
        </w:rPr>
        <w:t>）以上表决权股份的股东或</w:t>
      </w:r>
      <w:r>
        <w:rPr>
          <w:w w:val="100"/>
        </w:rPr>
        <w:t> </w:t>
      </w:r>
      <w:r>
        <w:rPr/>
        <w:t>关联方的款项。</w:t>
      </w:r>
    </w:p>
    <w:p>
      <w:pPr>
        <w:spacing w:after="0" w:line="412" w:lineRule="auto"/>
        <w:jc w:val="left"/>
        <w:sectPr>
          <w:pgSz w:w="11900" w:h="16840"/>
          <w:pgMar w:header="762" w:footer="840" w:top="1000" w:bottom="1020" w:left="980" w:right="9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right="0"/>
        <w:jc w:val="left"/>
        <w:rPr>
          <w:b w:val="0"/>
          <w:bCs w:val="0"/>
        </w:rPr>
      </w:pPr>
      <w:r>
        <w:rPr>
          <w:rFonts w:ascii="Times New Roman" w:hAnsi="Times New Roman" w:cs="Times New Roman" w:eastAsia="Times New Roman" w:hint="default"/>
        </w:rPr>
        <w:t>19</w:t>
      </w:r>
      <w:r>
        <w:rPr/>
        <w:t>、预收款项</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0"/>
        <w:jc w:val="left"/>
      </w:pPr>
      <w:r>
        <w:rPr/>
        <w:t>（</w:t>
      </w:r>
      <w:r>
        <w:rPr>
          <w:rFonts w:ascii="Times New Roman" w:hAnsi="Times New Roman" w:cs="Times New Roman" w:eastAsia="Times New Roman" w:hint="default"/>
        </w:rPr>
        <w:t>1</w:t>
      </w:r>
      <w:r>
        <w:rPr/>
        <w:t>）预收款项分类</w:t>
      </w:r>
    </w:p>
    <w:tbl>
      <w:tblPr>
        <w:tblW w:w="0" w:type="auto"/>
        <w:jc w:val="left"/>
        <w:tblInd w:w="123" w:type="dxa"/>
        <w:tblLayout w:type="fixed"/>
        <w:tblCellMar>
          <w:top w:w="0" w:type="dxa"/>
          <w:left w:w="0" w:type="dxa"/>
          <w:bottom w:w="0" w:type="dxa"/>
          <w:right w:w="0" w:type="dxa"/>
        </w:tblCellMar>
        <w:tblLook w:val="01E0"/>
      </w:tblPr>
      <w:tblGrid>
        <w:gridCol w:w="3250"/>
        <w:gridCol w:w="3230"/>
        <w:gridCol w:w="3235"/>
      </w:tblGrid>
      <w:tr>
        <w:trPr>
          <w:trHeight w:val="523" w:hRule="exact"/>
        </w:trPr>
        <w:tc>
          <w:tcPr>
            <w:tcW w:w="325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323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2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西安鸿基紫韵预收楼款</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248,388,133.50</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356,992,493.00</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其他预收楼款及订金</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1,250,000.00</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1,471,900.00</w:t>
            </w:r>
          </w:p>
        </w:tc>
      </w:tr>
      <w:tr>
        <w:trPr>
          <w:trHeight w:val="514"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预收物业管理费</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3,046,604.54</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463,705.63</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预收合作开发保证金</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75,000,000.00</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转让子公司预收款</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74,455,800.00</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25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510,589.58</w:t>
            </w:r>
          </w:p>
        </w:tc>
        <w:tc>
          <w:tcPr>
            <w:tcW w:w="32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500,789.58</w:t>
            </w:r>
          </w:p>
        </w:tc>
      </w:tr>
      <w:tr>
        <w:trPr>
          <w:trHeight w:val="523" w:hRule="exact"/>
        </w:trPr>
        <w:tc>
          <w:tcPr>
            <w:tcW w:w="325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23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327,651,127.62</w:t>
            </w:r>
            <w:r>
              <w:rPr>
                <w:rFonts w:ascii="Times New Roman"/>
                <w:spacing w:val="-1"/>
                <w:sz w:val="21"/>
              </w:rPr>
            </w:r>
          </w:p>
        </w:tc>
        <w:tc>
          <w:tcPr>
            <w:tcW w:w="323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434,428,888.21</w:t>
            </w:r>
            <w:r>
              <w:rPr>
                <w:rFonts w:ascii="Times New Roman"/>
                <w:spacing w:val="-1"/>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75" w:right="0"/>
        <w:jc w:val="left"/>
      </w:pPr>
      <w:r>
        <w:rPr/>
        <w:t>（</w:t>
      </w:r>
      <w:r>
        <w:rPr>
          <w:rFonts w:ascii="Times New Roman" w:hAnsi="Times New Roman" w:cs="Times New Roman" w:eastAsia="Times New Roman" w:hint="default"/>
        </w:rPr>
        <w:t>2</w:t>
      </w:r>
      <w:r>
        <w:rPr/>
        <w:t>）预收款项情况</w:t>
      </w:r>
    </w:p>
    <w:p>
      <w:pPr>
        <w:spacing w:line="240" w:lineRule="auto" w:before="12"/>
        <w:rPr>
          <w:rFonts w:ascii="宋体" w:hAnsi="宋体" w:cs="宋体" w:eastAsia="宋体" w:hint="default"/>
          <w:sz w:val="15"/>
          <w:szCs w:val="15"/>
        </w:rPr>
      </w:pPr>
    </w:p>
    <w:p>
      <w:pPr>
        <w:pStyle w:val="BodyText"/>
        <w:spacing w:line="436" w:lineRule="auto"/>
        <w:ind w:right="202" w:firstLine="422"/>
        <w:jc w:val="both"/>
      </w:pPr>
      <w:r>
        <w:rPr>
          <w:spacing w:val="-2"/>
        </w:rPr>
        <w:t>①上期预收合作开发保证金为深圳市永浩房地产开发有限公司支付的项目合作开发保证金，本期已转</w:t>
      </w:r>
      <w:r>
        <w:rPr>
          <w:w w:val="100"/>
        </w:rPr>
        <w:t> </w:t>
      </w:r>
      <w:r>
        <w:rPr/>
        <w:t>为股权款，期末无余额，交易详情见附注五、</w:t>
      </w:r>
      <w:r>
        <w:rPr>
          <w:rFonts w:ascii="Times New Roman" w:hAnsi="Times New Roman" w:cs="Times New Roman" w:eastAsia="Times New Roman" w:hint="default"/>
        </w:rPr>
        <w:t>7</w:t>
      </w:r>
      <w:r>
        <w:rPr/>
        <w:t>。</w:t>
      </w:r>
    </w:p>
    <w:p>
      <w:pPr>
        <w:pStyle w:val="BodyText"/>
        <w:spacing w:line="427" w:lineRule="auto" w:before="18"/>
        <w:ind w:right="202" w:firstLine="412"/>
        <w:jc w:val="both"/>
      </w:pPr>
      <w:r>
        <w:rPr>
          <w:spacing w:val="2"/>
        </w:rPr>
        <w:t>②本期转让子公司预收款为本公司之子公司深圳市龙岗鸿基发展有限公司收取的深圳市宝鹏投资发</w:t>
      </w:r>
      <w:r>
        <w:rPr>
          <w:w w:val="100"/>
        </w:rPr>
        <w:t> 展有限公司</w:t>
      </w:r>
      <w:r>
        <w:rPr>
          <w:spacing w:val="-51"/>
          <w:w w:val="100"/>
        </w:rPr>
        <w:t> </w:t>
      </w:r>
      <w:r>
        <w:rPr>
          <w:rFonts w:ascii="Times New Roman" w:hAnsi="Times New Roman" w:cs="Times New Roman" w:eastAsia="Times New Roman" w:hint="default"/>
          <w:spacing w:val="-2"/>
          <w:w w:val="100"/>
        </w:rPr>
        <w:t>100%</w:t>
      </w:r>
      <w:r>
        <w:rPr>
          <w:spacing w:val="-2"/>
          <w:w w:val="100"/>
        </w:rPr>
        <w:t>的股权转让款</w:t>
      </w:r>
      <w:r>
        <w:rPr>
          <w:spacing w:val="-52"/>
          <w:w w:val="100"/>
        </w:rPr>
        <w:t> </w:t>
      </w:r>
      <w:r>
        <w:rPr>
          <w:rFonts w:ascii="Times New Roman" w:hAnsi="Times New Roman" w:cs="Times New Roman" w:eastAsia="Times New Roman" w:hint="default"/>
          <w:w w:val="100"/>
        </w:rPr>
        <w:t>6050</w:t>
      </w:r>
      <w:r>
        <w:rPr>
          <w:rFonts w:ascii="Times New Roman" w:hAnsi="Times New Roman" w:cs="Times New Roman" w:eastAsia="Times New Roman" w:hint="default"/>
          <w:spacing w:val="-4"/>
          <w:w w:val="100"/>
        </w:rPr>
        <w:t> </w:t>
      </w:r>
      <w:r>
        <w:rPr>
          <w:spacing w:val="-1"/>
          <w:w w:val="100"/>
        </w:rPr>
        <w:t>万元及往来款</w:t>
      </w:r>
      <w:r>
        <w:rPr>
          <w:spacing w:val="-52"/>
          <w:w w:val="100"/>
        </w:rPr>
        <w:t> </w:t>
      </w:r>
      <w:r>
        <w:rPr>
          <w:rFonts w:ascii="Times New Roman" w:hAnsi="Times New Roman" w:cs="Times New Roman" w:eastAsia="Times New Roman" w:hint="default"/>
          <w:spacing w:val="-1"/>
          <w:w w:val="100"/>
        </w:rPr>
        <w:t>1395.58</w:t>
      </w:r>
      <w:r>
        <w:rPr>
          <w:rFonts w:ascii="Times New Roman" w:hAnsi="Times New Roman" w:cs="Times New Roman" w:eastAsia="Times New Roman" w:hint="default"/>
          <w:spacing w:val="1"/>
          <w:w w:val="100"/>
        </w:rPr>
        <w:t> </w:t>
      </w:r>
      <w:r>
        <w:rPr>
          <w:spacing w:val="-20"/>
          <w:w w:val="100"/>
        </w:rPr>
        <w:t>万元，截止</w:t>
      </w:r>
      <w:r>
        <w:rPr>
          <w:spacing w:val="-52"/>
          <w:w w:val="100"/>
        </w:rPr>
        <w:t> </w:t>
      </w:r>
      <w:r>
        <w:rPr>
          <w:rFonts w:ascii="Times New Roman" w:hAnsi="Times New Roman" w:cs="Times New Roman" w:eastAsia="Times New Roman" w:hint="default"/>
          <w:spacing w:val="-2"/>
          <w:w w:val="100"/>
        </w:rPr>
        <w:t>2012</w:t>
      </w:r>
      <w:r>
        <w:rPr>
          <w:rFonts w:ascii="Times New Roman" w:hAnsi="Times New Roman" w:cs="Times New Roman" w:eastAsia="Times New Roman" w:hint="default"/>
          <w:spacing w:val="1"/>
          <w:w w:val="100"/>
        </w:rPr>
        <w:t> </w:t>
      </w:r>
      <w:r>
        <w:rPr>
          <w:w w:val="100"/>
        </w:rPr>
        <w:t>年</w:t>
      </w:r>
      <w:r>
        <w:rPr>
          <w:spacing w:val="-52"/>
          <w:w w:val="100"/>
        </w:rPr>
        <w:t> </w:t>
      </w:r>
      <w:r>
        <w:rPr>
          <w:rFonts w:ascii="Times New Roman" w:hAnsi="Times New Roman" w:cs="Times New Roman" w:eastAsia="Times New Roman" w:hint="default"/>
          <w:w w:val="100"/>
        </w:rPr>
        <w:t>12</w:t>
      </w:r>
      <w:r>
        <w:rPr>
          <w:rFonts w:ascii="Times New Roman" w:hAnsi="Times New Roman" w:cs="Times New Roman" w:eastAsia="Times New Roman" w:hint="default"/>
          <w:spacing w:val="-4"/>
          <w:w w:val="100"/>
        </w:rPr>
        <w:t> </w:t>
      </w:r>
      <w:r>
        <w:rPr>
          <w:w w:val="100"/>
        </w:rPr>
        <w:t>月</w:t>
      </w:r>
      <w:r>
        <w:rPr>
          <w:spacing w:val="-52"/>
          <w:w w:val="100"/>
        </w:rPr>
        <w:t> </w:t>
      </w:r>
      <w:r>
        <w:rPr>
          <w:rFonts w:ascii="Times New Roman" w:hAnsi="Times New Roman" w:cs="Times New Roman" w:eastAsia="Times New Roman" w:hint="default"/>
          <w:w w:val="100"/>
        </w:rPr>
        <w:t>31</w:t>
      </w:r>
      <w:r>
        <w:rPr>
          <w:rFonts w:ascii="Times New Roman" w:hAnsi="Times New Roman" w:cs="Times New Roman" w:eastAsia="Times New Roman" w:hint="default"/>
          <w:spacing w:val="1"/>
          <w:w w:val="100"/>
        </w:rPr>
        <w:t> </w:t>
      </w:r>
      <w:r>
        <w:rPr>
          <w:spacing w:val="-2"/>
          <w:w w:val="100"/>
        </w:rPr>
        <w:t>日工商变更登记手</w:t>
      </w:r>
      <w:r>
        <w:rPr>
          <w:w w:val="100"/>
        </w:rPr>
        <w:t> </w:t>
      </w:r>
      <w:r>
        <w:rPr/>
        <w:t>续尚未办理完毕，交易详情参见附注十、</w:t>
      </w:r>
      <w:r>
        <w:rPr>
          <w:rFonts w:ascii="Times New Roman" w:hAnsi="Times New Roman" w:cs="Times New Roman" w:eastAsia="Times New Roman" w:hint="default"/>
        </w:rPr>
        <w:t>2</w:t>
      </w:r>
      <w:r>
        <w:rPr/>
        <w:t>（</w:t>
      </w:r>
      <w:r>
        <w:rPr>
          <w:rFonts w:ascii="Times New Roman" w:hAnsi="Times New Roman" w:cs="Times New Roman" w:eastAsia="Times New Roman" w:hint="default"/>
        </w:rPr>
        <w:t>3</w:t>
      </w:r>
      <w:r>
        <w:rPr/>
        <w:t>）。</w:t>
      </w:r>
    </w:p>
    <w:p>
      <w:pPr>
        <w:pStyle w:val="BodyText"/>
        <w:spacing w:line="412" w:lineRule="auto" w:before="27"/>
        <w:ind w:right="202" w:firstLine="422"/>
        <w:jc w:val="both"/>
      </w:pPr>
      <w:r>
        <w:rPr>
          <w:spacing w:val="-3"/>
        </w:rPr>
        <w:t>（</w:t>
      </w:r>
      <w:r>
        <w:rPr>
          <w:rFonts w:ascii="Times New Roman" w:hAnsi="Times New Roman" w:cs="Times New Roman" w:eastAsia="Times New Roman" w:hint="default"/>
          <w:spacing w:val="-3"/>
        </w:rPr>
        <w:t>3</w:t>
      </w:r>
      <w:r>
        <w:rPr>
          <w:spacing w:val="-3"/>
        </w:rPr>
        <w:t>）截至</w:t>
      </w:r>
      <w:r>
        <w:rPr>
          <w:spacing w:val="-4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spacing w:val="-3"/>
        </w:rPr>
        <w:t>日，预收款项中不存在欠付持公司</w:t>
      </w:r>
      <w:r>
        <w:rPr>
          <w:spacing w:val="-46"/>
        </w:rPr>
        <w:t> </w:t>
      </w:r>
      <w:r>
        <w:rPr>
          <w:rFonts w:ascii="Times New Roman" w:hAnsi="Times New Roman" w:cs="Times New Roman" w:eastAsia="Times New Roman" w:hint="default"/>
          <w:spacing w:val="-5"/>
        </w:rPr>
        <w:t>5%</w:t>
      </w:r>
      <w:r>
        <w:rPr>
          <w:spacing w:val="-5"/>
        </w:rPr>
        <w:t>（含</w:t>
      </w:r>
      <w:r>
        <w:rPr>
          <w:spacing w:val="-46"/>
        </w:rPr>
        <w:t> </w:t>
      </w:r>
      <w:r>
        <w:rPr>
          <w:rFonts w:ascii="Times New Roman" w:hAnsi="Times New Roman" w:cs="Times New Roman" w:eastAsia="Times New Roman" w:hint="default"/>
          <w:spacing w:val="-3"/>
        </w:rPr>
        <w:t>5%</w:t>
      </w:r>
      <w:r>
        <w:rPr>
          <w:spacing w:val="-3"/>
        </w:rPr>
        <w:t>）以上表决权股份的股东或</w:t>
      </w:r>
      <w:r>
        <w:rPr>
          <w:w w:val="100"/>
        </w:rPr>
        <w:t> </w:t>
      </w:r>
      <w:r>
        <w:rPr/>
        <w:t>关联方的款项。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Heading6"/>
        <w:spacing w:line="240" w:lineRule="auto"/>
        <w:ind w:right="0"/>
        <w:jc w:val="left"/>
        <w:rPr>
          <w:b w:val="0"/>
          <w:bCs w:val="0"/>
        </w:rPr>
      </w:pPr>
      <w:r>
        <w:rPr>
          <w:rFonts w:ascii="Times New Roman" w:hAnsi="Times New Roman" w:cs="Times New Roman" w:eastAsia="Times New Roman" w:hint="default"/>
        </w:rPr>
        <w:t>20</w:t>
      </w:r>
      <w:r>
        <w:rPr/>
        <w:t>、应付职工薪酬</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2990"/>
        <w:gridCol w:w="1632"/>
        <w:gridCol w:w="1632"/>
        <w:gridCol w:w="1632"/>
        <w:gridCol w:w="1627"/>
      </w:tblGrid>
      <w:tr>
        <w:trPr>
          <w:trHeight w:val="523"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5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2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pacing w:val="-3"/>
                <w:sz w:val="18"/>
                <w:szCs w:val="18"/>
              </w:rPr>
              <w:t>一、工资、奖金、津贴和补贴</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4,172,103.18</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68,937,637.14</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56,885,059.66</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16,224,680.66</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pacing w:val="-3"/>
                <w:sz w:val="18"/>
                <w:szCs w:val="18"/>
              </w:rPr>
              <w:t>二、职工福利费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998,067.52</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998,067.52</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pacing w:val="-3"/>
                <w:sz w:val="18"/>
                <w:szCs w:val="18"/>
              </w:rPr>
              <w:t>三、社会保险费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6,381,698.50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6,374,142.63</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7,555.87</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、基本医疗保险费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1,903,221.48</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1,901,313.96</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1,907.52</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、基本养老保险费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3,898,031.75</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3,893,344.55</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4,687.20</w:t>
            </w:r>
          </w:p>
        </w:tc>
      </w:tr>
      <w:tr>
        <w:trPr>
          <w:trHeight w:val="523"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、失业保险费</w:t>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192,320.95</w:t>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191,665.51</w:t>
            </w:r>
          </w:p>
        </w:tc>
        <w:tc>
          <w:tcPr>
            <w:tcW w:w="16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655.44</w:t>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92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2990"/>
        <w:gridCol w:w="1632"/>
        <w:gridCol w:w="1632"/>
        <w:gridCol w:w="1632"/>
        <w:gridCol w:w="1627"/>
      </w:tblGrid>
      <w:tr>
        <w:trPr>
          <w:trHeight w:val="518" w:hRule="exact"/>
        </w:trPr>
        <w:tc>
          <w:tcPr>
            <w:tcW w:w="2990"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5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27"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51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、工伤保险费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238,051.36</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237,884.61</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166.75</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、生育保险费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150,072.96</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149,934.00</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138.96</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pacing w:val="-3"/>
                <w:sz w:val="18"/>
                <w:szCs w:val="18"/>
              </w:rPr>
              <w:t>四、住房公积金</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4,128.00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2,614,345.00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2,612,521.00</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5,952.00</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pacing w:val="-3"/>
                <w:sz w:val="18"/>
                <w:szCs w:val="18"/>
              </w:rPr>
              <w:t>五、工会经费和职工教育经费</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997,435.46</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997,435.46</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pacing w:val="-3"/>
                <w:sz w:val="18"/>
                <w:szCs w:val="18"/>
              </w:rPr>
              <w:t>六、因解除劳动合同关系给予补偿</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1,539,523.30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1,640,396.50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1,839,029.92</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1,340,889.88</w:t>
            </w:r>
          </w:p>
        </w:tc>
      </w:tr>
      <w:tr>
        <w:trPr>
          <w:trHeight w:val="509" w:hRule="exact"/>
        </w:trPr>
        <w:tc>
          <w:tcPr>
            <w:tcW w:w="29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1,600.00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1,600.00</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8" w:hRule="exact"/>
        </w:trPr>
        <w:tc>
          <w:tcPr>
            <w:tcW w:w="29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pacing w:val="-1"/>
                <w:sz w:val="18"/>
              </w:rPr>
              <w:t>5,715,754.48</w:t>
            </w:r>
            <w:r>
              <w:rPr>
                <w:rFonts w:ascii="Times New Roman"/>
                <w:spacing w:val="-1"/>
                <w:sz w:val="18"/>
              </w:rPr>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pacing w:val="-1"/>
                <w:sz w:val="18"/>
              </w:rPr>
              <w:t>81,571,180.12</w:t>
            </w:r>
            <w:r>
              <w:rPr>
                <w:rFonts w:ascii="Times New Roman"/>
                <w:spacing w:val="-1"/>
                <w:sz w:val="18"/>
              </w:rPr>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pacing w:val="-1"/>
                <w:sz w:val="18"/>
              </w:rPr>
              <w:t>69,707,856.19</w:t>
            </w:r>
            <w:r>
              <w:rPr>
                <w:rFonts w:ascii="Times New Roman"/>
                <w:spacing w:val="-1"/>
                <w:sz w:val="18"/>
              </w:rPr>
            </w:r>
          </w:p>
        </w:tc>
        <w:tc>
          <w:tcPr>
            <w:tcW w:w="16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b/>
                <w:spacing w:val="-1"/>
                <w:sz w:val="18"/>
              </w:rPr>
              <w:t>17,579,078.41</w:t>
            </w:r>
            <w:r>
              <w:rPr>
                <w:rFonts w:ascii="Times New Roman"/>
                <w:spacing w:val="-1"/>
                <w:sz w:val="18"/>
              </w:rPr>
            </w:r>
          </w:p>
        </w:tc>
      </w:tr>
    </w:tbl>
    <w:p>
      <w:pPr>
        <w:spacing w:line="240" w:lineRule="auto" w:before="16"/>
        <w:rPr>
          <w:rFonts w:ascii="Microsoft JhengHei" w:hAnsi="Microsoft JhengHei" w:cs="Microsoft JhengHei" w:eastAsia="Microsoft JhengHei" w:hint="default"/>
          <w:b/>
          <w:bCs/>
          <w:sz w:val="8"/>
          <w:szCs w:val="8"/>
        </w:rPr>
      </w:pPr>
    </w:p>
    <w:p>
      <w:pPr>
        <w:pStyle w:val="BodyText"/>
        <w:spacing w:line="240" w:lineRule="auto" w:before="36"/>
        <w:ind w:left="575" w:right="101"/>
        <w:jc w:val="left"/>
      </w:pPr>
      <w:r>
        <w:rPr/>
        <w:t>应付职工薪酬中无属于拖欠性质的金额。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8"/>
        <w:ind w:right="101"/>
        <w:jc w:val="left"/>
        <w:rPr>
          <w:b w:val="0"/>
          <w:bCs w:val="0"/>
        </w:rPr>
      </w:pPr>
      <w:r>
        <w:rPr>
          <w:rFonts w:ascii="Times New Roman" w:hAnsi="Times New Roman" w:cs="Times New Roman" w:eastAsia="Times New Roman" w:hint="default"/>
        </w:rPr>
        <w:t>21</w:t>
      </w:r>
      <w:r>
        <w:rPr/>
        <w:t>、应交税费</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518"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486"/>
              <w:jc w:val="right"/>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14"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2"/>
                <w:sz w:val="21"/>
              </w:rPr>
              <w:t>-111,766.74</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z w:val="21"/>
              </w:rPr>
              <w:t>-7,389.73</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-5,919,535.43</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-12,141,240.04</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61,696,093.57</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51,582,983.38</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土地增值税</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118,296,562.12</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61,854,746.08</w:t>
            </w:r>
          </w:p>
        </w:tc>
      </w:tr>
      <w:tr>
        <w:trPr>
          <w:trHeight w:val="514"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-656,354.42</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-1,085,184.17</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其他税费</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1,813,886.89</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1,191,665.56</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z w:val="21"/>
              </w:rPr>
              <w:t>94,858.47</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143,887.51</w:t>
            </w:r>
          </w:p>
        </w:tc>
      </w:tr>
      <w:tr>
        <w:trPr>
          <w:trHeight w:val="523"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490"/>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b/>
                <w:spacing w:val="-1"/>
                <w:sz w:val="21"/>
              </w:rPr>
              <w:t>175,213,744.46</w:t>
            </w:r>
            <w:r>
              <w:rPr>
                <w:rFonts w:ascii="Times New Roman"/>
                <w:spacing w:val="-1"/>
                <w:sz w:val="21"/>
              </w:rPr>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b/>
                <w:spacing w:val="-1"/>
                <w:sz w:val="21"/>
              </w:rPr>
              <w:t>101,539,468.59</w:t>
            </w:r>
            <w:r>
              <w:rPr>
                <w:rFonts w:ascii="Times New Roman"/>
                <w:spacing w:val="-1"/>
                <w:sz w:val="21"/>
              </w:rPr>
            </w:r>
          </w:p>
        </w:tc>
      </w:tr>
    </w:tbl>
    <w:p>
      <w:pPr>
        <w:spacing w:line="240" w:lineRule="auto" w:before="8"/>
        <w:rPr>
          <w:rFonts w:ascii="Microsoft JhengHei" w:hAnsi="Microsoft JhengHei" w:cs="Microsoft JhengHei" w:eastAsia="Microsoft JhengHei" w:hint="default"/>
          <w:b/>
          <w:bCs/>
          <w:sz w:val="9"/>
          <w:szCs w:val="9"/>
        </w:rPr>
      </w:pPr>
    </w:p>
    <w:p>
      <w:pPr>
        <w:pStyle w:val="BodyText"/>
        <w:spacing w:line="240" w:lineRule="auto" w:before="36"/>
        <w:ind w:left="575" w:right="101"/>
        <w:jc w:val="left"/>
      </w:pPr>
      <w:r>
        <w:rPr/>
        <w:t>预缴的营业税及附加主要是西安鸿基紫韵项目本期预收售房款项所预缴的税金。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3"/>
        <w:ind w:right="101"/>
        <w:jc w:val="left"/>
        <w:rPr>
          <w:b w:val="0"/>
          <w:bCs w:val="0"/>
        </w:rPr>
      </w:pPr>
      <w:r>
        <w:rPr>
          <w:rFonts w:ascii="Times New Roman" w:hAnsi="Times New Roman" w:cs="Times New Roman" w:eastAsia="Times New Roman" w:hint="default"/>
        </w:rPr>
        <w:t>22</w:t>
      </w:r>
      <w:r>
        <w:rPr/>
        <w:t>、应付利息</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523"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分期付息到期还本的长期借款利息</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453,802.39</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178,256.94</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短期借款应付利息</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455,400.00</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w w:val="100"/>
                <w:sz w:val="21"/>
              </w:rPr>
              <w:t>-</w:t>
            </w:r>
          </w:p>
        </w:tc>
      </w:tr>
      <w:tr>
        <w:trPr>
          <w:trHeight w:val="523"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2"/>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b/>
                <w:sz w:val="21"/>
              </w:rPr>
              <w:t>909,202.39</w:t>
            </w:r>
            <w:r>
              <w:rPr>
                <w:rFonts w:ascii="Times New Roman"/>
                <w:sz w:val="21"/>
              </w:rPr>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46"/>
              <w:jc w:val="right"/>
              <w:rPr>
                <w:rFonts w:ascii="Times New Roman" w:hAnsi="Times New Roman" w:cs="Times New Roman" w:eastAsia="Times New Roman" w:hint="default"/>
                <w:sz w:val="21"/>
                <w:szCs w:val="21"/>
              </w:rPr>
            </w:pPr>
            <w:r>
              <w:rPr>
                <w:rFonts w:ascii="Times New Roman"/>
                <w:b/>
                <w:sz w:val="21"/>
              </w:rPr>
              <w:t>178,256.94</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2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right="101"/>
        <w:jc w:val="left"/>
        <w:rPr>
          <w:b w:val="0"/>
          <w:bCs w:val="0"/>
        </w:rPr>
      </w:pPr>
      <w:r>
        <w:rPr>
          <w:rFonts w:ascii="Times New Roman" w:hAnsi="Times New Roman" w:cs="Times New Roman" w:eastAsia="Times New Roman" w:hint="default"/>
        </w:rPr>
        <w:t>23</w:t>
      </w:r>
      <w:r>
        <w:rPr/>
        <w:t>、应付股利</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499"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4"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4"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原募集法人股东未领取的股利</w:t>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1900" w:right="0"/>
              <w:jc w:val="left"/>
              <w:rPr>
                <w:rFonts w:ascii="Times New Roman" w:hAnsi="Times New Roman" w:cs="Times New Roman" w:eastAsia="Times New Roman" w:hint="default"/>
                <w:sz w:val="21"/>
                <w:szCs w:val="21"/>
              </w:rPr>
            </w:pPr>
            <w:r>
              <w:rPr>
                <w:rFonts w:ascii="Times New Roman"/>
                <w:sz w:val="21"/>
              </w:rPr>
              <w:t>1,786,039.81</w:t>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1905" w:right="0"/>
              <w:jc w:val="left"/>
              <w:rPr>
                <w:rFonts w:ascii="Times New Roman" w:hAnsi="Times New Roman" w:cs="Times New Roman" w:eastAsia="Times New Roman" w:hint="default"/>
                <w:sz w:val="21"/>
                <w:szCs w:val="21"/>
              </w:rPr>
            </w:pPr>
            <w:r>
              <w:rPr>
                <w:rFonts w:ascii="Times New Roman"/>
                <w:sz w:val="21"/>
              </w:rPr>
              <w:t>1,786,039.81</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15"/>
          <w:szCs w:val="15"/>
        </w:rPr>
      </w:pPr>
    </w:p>
    <w:p>
      <w:pPr>
        <w:pStyle w:val="Heading6"/>
        <w:spacing w:line="335" w:lineRule="exact"/>
        <w:ind w:right="101"/>
        <w:jc w:val="left"/>
        <w:rPr>
          <w:b w:val="0"/>
          <w:bCs w:val="0"/>
        </w:rPr>
      </w:pPr>
      <w:r>
        <w:rPr>
          <w:rFonts w:ascii="Times New Roman" w:hAnsi="Times New Roman" w:cs="Times New Roman" w:eastAsia="Times New Roman" w:hint="default"/>
        </w:rPr>
        <w:t>24</w:t>
      </w:r>
      <w:r>
        <w:rPr/>
        <w:t>、其他应付款</w:t>
      </w:r>
      <w:r>
        <w:rPr>
          <w:b w:val="0"/>
          <w:bCs w:val="0"/>
        </w:rPr>
      </w:r>
    </w:p>
    <w:p>
      <w:pPr>
        <w:pStyle w:val="BodyText"/>
        <w:spacing w:line="240" w:lineRule="auto" w:before="181"/>
        <w:ind w:left="565" w:right="101"/>
        <w:jc w:val="left"/>
      </w:pPr>
      <w:r>
        <w:rPr/>
        <w:t>（</w:t>
      </w:r>
      <w:r>
        <w:rPr>
          <w:rFonts w:ascii="Times New Roman" w:hAnsi="Times New Roman" w:cs="Times New Roman" w:eastAsia="Times New Roman" w:hint="default"/>
        </w:rPr>
        <w:t>1</w:t>
      </w:r>
      <w:r>
        <w:rPr/>
        <w:t>）其他应付款分类</w:t>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499"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right="1486"/>
              <w:jc w:val="right"/>
              <w:rPr>
                <w:rFonts w:ascii="宋体" w:hAnsi="宋体" w:cs="宋体" w:eastAsia="宋体" w:hint="default"/>
                <w:sz w:val="21"/>
                <w:szCs w:val="21"/>
              </w:rPr>
            </w:pPr>
            <w:r>
              <w:rPr>
                <w:rFonts w:ascii="宋体" w:hAnsi="宋体" w:cs="宋体" w:eastAsia="宋体" w:hint="default"/>
                <w:sz w:val="21"/>
                <w:szCs w:val="21"/>
              </w:rPr>
              <w:t>账龄</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368,689,765.40</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28,487,399.54</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押金及保证金</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5,348,879.69</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6,232,943.02</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预提税费</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15,762,769.58</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15,762,769.58</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购房意向金</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10,262,000.00</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16,771,884.00</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代收代付款</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1,377,131.01</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5,044,405.67</w:t>
            </w:r>
          </w:p>
        </w:tc>
      </w:tr>
      <w:tr>
        <w:trPr>
          <w:trHeight w:val="494"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2,240,768.19</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2,020,996.25</w:t>
            </w:r>
          </w:p>
        </w:tc>
      </w:tr>
      <w:tr>
        <w:trPr>
          <w:trHeight w:val="499"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0"/>
              <w:ind w:right="1490"/>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b/>
                <w:spacing w:val="-1"/>
                <w:sz w:val="21"/>
              </w:rPr>
              <w:t>403,681,313.87</w:t>
            </w:r>
            <w:r>
              <w:rPr>
                <w:rFonts w:ascii="Times New Roman"/>
                <w:spacing w:val="-1"/>
                <w:sz w:val="21"/>
              </w:rPr>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b/>
                <w:sz w:val="21"/>
              </w:rPr>
              <w:t>74,320,398.06</w:t>
            </w:r>
            <w:r>
              <w:rPr>
                <w:rFonts w:ascii="Times New Roman"/>
                <w:sz w:val="21"/>
              </w:rPr>
            </w:r>
          </w:p>
        </w:tc>
      </w:tr>
    </w:tbl>
    <w:p>
      <w:pPr>
        <w:spacing w:line="240" w:lineRule="auto" w:before="9"/>
        <w:rPr>
          <w:rFonts w:ascii="宋体" w:hAnsi="宋体" w:cs="宋体" w:eastAsia="宋体" w:hint="default"/>
          <w:sz w:val="11"/>
          <w:szCs w:val="11"/>
        </w:rPr>
      </w:pPr>
    </w:p>
    <w:p>
      <w:pPr>
        <w:pStyle w:val="BodyText"/>
        <w:spacing w:line="240" w:lineRule="auto" w:before="36"/>
        <w:ind w:left="565" w:right="101"/>
        <w:jc w:val="left"/>
      </w:pPr>
      <w:r>
        <w:rPr/>
        <w:t>（</w:t>
      </w:r>
      <w:r>
        <w:rPr>
          <w:rFonts w:ascii="Times New Roman" w:hAnsi="Times New Roman" w:cs="Times New Roman" w:eastAsia="Times New Roman" w:hint="default"/>
        </w:rPr>
        <w:t>2</w:t>
      </w:r>
      <w:r>
        <w:rPr/>
        <w:t>）其他应付款中应付持有公司</w:t>
      </w:r>
      <w:r>
        <w:rPr>
          <w:spacing w:val="-53"/>
        </w:rPr>
        <w:t> </w:t>
      </w:r>
      <w:r>
        <w:rPr>
          <w:rFonts w:ascii="Times New Roman" w:hAnsi="Times New Roman" w:cs="Times New Roman" w:eastAsia="Times New Roman" w:hint="default"/>
        </w:rPr>
        <w:t>5%(</w:t>
      </w:r>
      <w:r>
        <w:rPr/>
        <w:t>含</w:t>
      </w:r>
      <w:r>
        <w:rPr>
          <w:spacing w:val="-53"/>
        </w:rPr>
        <w:t> </w:t>
      </w:r>
      <w:r>
        <w:rPr>
          <w:rFonts w:ascii="Times New Roman" w:hAnsi="Times New Roman" w:cs="Times New Roman" w:eastAsia="Times New Roman" w:hint="default"/>
        </w:rPr>
        <w:t>5%)</w:t>
      </w:r>
      <w:r>
        <w:rPr/>
        <w:t>以上表决权股份的股东单位及关联方的款项情况</w:t>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499"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4"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深运工贸翠苑旅店</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242,742.91</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242,742.91</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深圳市鸿基雅喆电梯有限公司</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560,000.00</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z w:val="21"/>
              </w:rPr>
              <w:t>560,000.00</w:t>
            </w:r>
          </w:p>
        </w:tc>
      </w:tr>
      <w:tr>
        <w:trPr>
          <w:trHeight w:val="490"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333,425,431.96</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w w:val="100"/>
                <w:sz w:val="21"/>
              </w:rPr>
              <w:t>-</w:t>
            </w:r>
          </w:p>
        </w:tc>
      </w:tr>
      <w:tr>
        <w:trPr>
          <w:trHeight w:val="504"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b/>
                <w:spacing w:val="-1"/>
                <w:sz w:val="21"/>
              </w:rPr>
              <w:t>334,228,174.87</w:t>
            </w:r>
            <w:r>
              <w:rPr>
                <w:rFonts w:ascii="Times New Roman"/>
                <w:spacing w:val="-1"/>
                <w:sz w:val="21"/>
              </w:rPr>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b/>
                <w:sz w:val="21"/>
              </w:rPr>
              <w:t>802,742.91</w:t>
            </w:r>
            <w:r>
              <w:rPr>
                <w:rFonts w:ascii="Times New Roman"/>
                <w:sz w:val="21"/>
              </w:rPr>
            </w:r>
          </w:p>
        </w:tc>
      </w:tr>
    </w:tbl>
    <w:p>
      <w:pPr>
        <w:spacing w:line="240" w:lineRule="auto" w:before="9"/>
        <w:rPr>
          <w:rFonts w:ascii="宋体" w:hAnsi="宋体" w:cs="宋体" w:eastAsia="宋体" w:hint="default"/>
          <w:sz w:val="11"/>
          <w:szCs w:val="11"/>
        </w:rPr>
      </w:pPr>
    </w:p>
    <w:p>
      <w:pPr>
        <w:pStyle w:val="BodyText"/>
        <w:spacing w:line="408" w:lineRule="auto" w:before="36"/>
        <w:ind w:right="102" w:firstLine="412"/>
        <w:jc w:val="both"/>
      </w:pPr>
      <w:r>
        <w:rPr/>
        <w:t>中国宝安集团股份有限公司系持有本公司</w:t>
      </w:r>
      <w:r>
        <w:rPr>
          <w:spacing w:val="37"/>
        </w:rPr>
        <w:t> </w:t>
      </w:r>
      <w:r>
        <w:rPr>
          <w:rFonts w:ascii="Times New Roman" w:hAnsi="Times New Roman" w:cs="Times New Roman" w:eastAsia="Times New Roman" w:hint="default"/>
        </w:rPr>
        <w:t>19.80</w:t>
      </w:r>
      <w:r>
        <w:rPr/>
        <w:t>％股份的第一大股东</w:t>
      </w:r>
      <w:r>
        <w:rPr>
          <w:rFonts w:ascii="Times New Roman" w:hAnsi="Times New Roman" w:cs="Times New Roman" w:eastAsia="Times New Roman" w:hint="default"/>
        </w:rPr>
        <w:t>—</w:t>
      </w:r>
      <w:r>
        <w:rPr/>
        <w:t>中国宝安集团控股有限公司之</w:t>
      </w:r>
      <w:r>
        <w:rPr>
          <w:w w:val="100"/>
        </w:rPr>
        <w:t> </w:t>
      </w:r>
      <w:r>
        <w:rPr>
          <w:spacing w:val="-2"/>
        </w:rPr>
        <w:t>控股股东，该款项是本公司本期新购子公司惠州市宝安房地产开发有限公司与其原股东中国宝安集团股份</w:t>
      </w:r>
      <w:r>
        <w:rPr>
          <w:spacing w:val="-34"/>
        </w:rPr>
        <w:t> </w:t>
      </w:r>
      <w:r>
        <w:rPr>
          <w:spacing w:val="-34"/>
        </w:rPr>
      </w:r>
      <w:r>
        <w:rPr/>
        <w:t>有限公司的往来款，截止期末，本公司对其的应付余额为</w:t>
      </w:r>
      <w:r>
        <w:rPr>
          <w:spacing w:val="-52"/>
        </w:rPr>
        <w:t> </w:t>
      </w:r>
      <w:r>
        <w:rPr>
          <w:rFonts w:ascii="Times New Roman" w:hAnsi="Times New Roman" w:cs="Times New Roman" w:eastAsia="Times New Roman" w:hint="default"/>
        </w:rPr>
        <w:t>333,425,431.96</w:t>
      </w:r>
      <w:r>
        <w:rPr>
          <w:rFonts w:ascii="Times New Roman" w:hAnsi="Times New Roman" w:cs="Times New Roman" w:eastAsia="Times New Roman" w:hint="default"/>
          <w:spacing w:val="-4"/>
        </w:rPr>
        <w:t> </w:t>
      </w:r>
      <w:r>
        <w:rPr/>
        <w:t>元。</w:t>
      </w:r>
    </w:p>
    <w:p>
      <w:pPr>
        <w:spacing w:line="240" w:lineRule="auto" w:before="0"/>
        <w:rPr>
          <w:rFonts w:ascii="宋体" w:hAnsi="宋体" w:cs="宋体" w:eastAsia="宋体" w:hint="default"/>
          <w:sz w:val="22"/>
          <w:szCs w:val="22"/>
        </w:rPr>
      </w:pPr>
    </w:p>
    <w:p>
      <w:pPr>
        <w:pStyle w:val="Heading6"/>
        <w:spacing w:line="240" w:lineRule="auto" w:before="152"/>
        <w:ind w:right="101"/>
        <w:jc w:val="left"/>
        <w:rPr>
          <w:b w:val="0"/>
          <w:bCs w:val="0"/>
        </w:rPr>
      </w:pPr>
      <w:r>
        <w:rPr>
          <w:rFonts w:ascii="Times New Roman" w:hAnsi="Times New Roman" w:cs="Times New Roman" w:eastAsia="Times New Roman" w:hint="default"/>
        </w:rPr>
        <w:t>25</w:t>
      </w:r>
      <w:r>
        <w:rPr/>
        <w:t>、一年内到期的非流动负债</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499"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99"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72"/>
              <w:ind w:left="43" w:right="0"/>
              <w:jc w:val="left"/>
              <w:rPr>
                <w:rFonts w:ascii="宋体" w:hAnsi="宋体" w:cs="宋体" w:eastAsia="宋体" w:hint="default"/>
                <w:sz w:val="21"/>
                <w:szCs w:val="21"/>
              </w:rPr>
            </w:pPr>
            <w:r>
              <w:rPr>
                <w:rFonts w:ascii="宋体" w:hAnsi="宋体" w:cs="宋体" w:eastAsia="宋体" w:hint="default"/>
                <w:sz w:val="21"/>
                <w:szCs w:val="21"/>
              </w:rPr>
              <w:t>一年内到期的长期借款</w:t>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w w:val="100"/>
                <w:sz w:val="21"/>
              </w:rPr>
              <w:t>-</w:t>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1800" w:right="0"/>
              <w:jc w:val="left"/>
              <w:rPr>
                <w:rFonts w:ascii="Times New Roman" w:hAnsi="Times New Roman" w:cs="Times New Roman" w:eastAsia="Times New Roman" w:hint="default"/>
                <w:sz w:val="21"/>
                <w:szCs w:val="21"/>
              </w:rPr>
            </w:pPr>
            <w:r>
              <w:rPr>
                <w:rFonts w:ascii="Times New Roman"/>
                <w:sz w:val="21"/>
              </w:rPr>
              <w:t>93,340,000.00</w:t>
            </w:r>
          </w:p>
        </w:tc>
      </w:tr>
    </w:tbl>
    <w:p>
      <w:pPr>
        <w:spacing w:line="240" w:lineRule="auto" w:before="6"/>
        <w:rPr>
          <w:rFonts w:ascii="Microsoft JhengHei" w:hAnsi="Microsoft JhengHei" w:cs="Microsoft JhengHei" w:eastAsia="Microsoft JhengHei" w:hint="default"/>
          <w:b/>
          <w:bCs/>
          <w:sz w:val="8"/>
          <w:szCs w:val="8"/>
        </w:rPr>
      </w:pPr>
    </w:p>
    <w:p>
      <w:pPr>
        <w:pStyle w:val="BodyText"/>
        <w:spacing w:line="240" w:lineRule="auto" w:before="36"/>
        <w:ind w:left="565" w:right="101"/>
        <w:jc w:val="left"/>
      </w:pPr>
      <w:r>
        <w:rPr/>
        <w:t>上期该借款已分别于</w:t>
      </w:r>
      <w:r>
        <w:rPr>
          <w:spacing w:val="-5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t>月</w:t>
      </w:r>
      <w:r>
        <w:rPr>
          <w:spacing w:val="-52"/>
        </w:rPr>
        <w:t> </w:t>
      </w:r>
      <w:r>
        <w:rPr>
          <w:rFonts w:ascii="Times New Roman" w:hAnsi="Times New Roman" w:cs="Times New Roman" w:eastAsia="Times New Roman" w:hint="default"/>
        </w:rPr>
        <w:t>29</w:t>
      </w:r>
      <w:r>
        <w:rPr>
          <w:rFonts w:ascii="Times New Roman" w:hAnsi="Times New Roman" w:cs="Times New Roman" w:eastAsia="Times New Roman" w:hint="default"/>
          <w:spacing w:val="1"/>
        </w:rPr>
        <w:t> </w:t>
      </w:r>
      <w:r>
        <w:rPr>
          <w:spacing w:val="-3"/>
        </w:rPr>
        <w:t>日和</w:t>
      </w:r>
      <w:r>
        <w:rPr>
          <w:spacing w:val="-52"/>
        </w:rPr>
        <w:t> </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spacing w:val="-3"/>
        </w:rPr>
        <w:t>25</w:t>
      </w:r>
      <w:r>
        <w:rPr>
          <w:rFonts w:ascii="Times New Roman" w:hAnsi="Times New Roman" w:cs="Times New Roman" w:eastAsia="Times New Roman" w:hint="default"/>
          <w:spacing w:val="1"/>
        </w:rPr>
        <w:t> </w:t>
      </w:r>
      <w:r>
        <w:rPr/>
        <w:t>日全部到期偿还。</w:t>
      </w:r>
    </w:p>
    <w:p>
      <w:pPr>
        <w:spacing w:after="0" w:line="240" w:lineRule="auto"/>
        <w:jc w:val="left"/>
        <w:sectPr>
          <w:pgSz w:w="11900" w:h="16840"/>
          <w:pgMar w:header="762" w:footer="840" w:top="1000" w:bottom="1020" w:left="9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right="3657"/>
        <w:jc w:val="left"/>
        <w:rPr>
          <w:b w:val="0"/>
          <w:bCs w:val="0"/>
        </w:rPr>
      </w:pPr>
      <w:r>
        <w:rPr>
          <w:rFonts w:ascii="Times New Roman" w:hAnsi="Times New Roman" w:cs="Times New Roman" w:eastAsia="Times New Roman" w:hint="default"/>
        </w:rPr>
        <w:t>26</w:t>
      </w:r>
      <w:r>
        <w:rPr/>
        <w:t>、长期借款</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3657"/>
        <w:jc w:val="left"/>
      </w:pPr>
      <w:r>
        <w:rPr/>
        <w:t>（</w:t>
      </w:r>
      <w:r>
        <w:rPr>
          <w:rFonts w:ascii="Times New Roman" w:hAnsi="Times New Roman" w:cs="Times New Roman" w:eastAsia="Times New Roman" w:hint="default"/>
        </w:rPr>
        <w:t>1</w:t>
      </w:r>
      <w:r>
        <w:rPr/>
        <w:t>）长期借款分类</w:t>
      </w:r>
    </w:p>
    <w:tbl>
      <w:tblPr>
        <w:tblW w:w="0" w:type="auto"/>
        <w:jc w:val="left"/>
        <w:tblInd w:w="123" w:type="dxa"/>
        <w:tblLayout w:type="fixed"/>
        <w:tblCellMar>
          <w:top w:w="0" w:type="dxa"/>
          <w:left w:w="0" w:type="dxa"/>
          <w:bottom w:w="0" w:type="dxa"/>
          <w:right w:w="0" w:type="dxa"/>
        </w:tblCellMar>
        <w:tblLook w:val="01E0"/>
      </w:tblPr>
      <w:tblGrid>
        <w:gridCol w:w="3418"/>
        <w:gridCol w:w="3048"/>
        <w:gridCol w:w="3048"/>
      </w:tblGrid>
      <w:tr>
        <w:trPr>
          <w:trHeight w:val="523" w:hRule="exact"/>
        </w:trPr>
        <w:tc>
          <w:tcPr>
            <w:tcW w:w="34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486"/>
              <w:jc w:val="right"/>
              <w:rPr>
                <w:rFonts w:ascii="宋体" w:hAnsi="宋体" w:cs="宋体" w:eastAsia="宋体" w:hint="default"/>
                <w:sz w:val="21"/>
                <w:szCs w:val="21"/>
              </w:rPr>
            </w:pPr>
            <w:r>
              <w:rPr>
                <w:rFonts w:ascii="宋体" w:hAnsi="宋体" w:cs="宋体" w:eastAsia="宋体" w:hint="default"/>
                <w:sz w:val="21"/>
                <w:szCs w:val="21"/>
              </w:rPr>
              <w:t>项目</w:t>
            </w:r>
          </w:p>
        </w:tc>
        <w:tc>
          <w:tcPr>
            <w:tcW w:w="304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304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抵押加保证借款</w:t>
            </w:r>
          </w:p>
        </w:tc>
        <w:tc>
          <w:tcPr>
            <w:tcW w:w="3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220,600,000.00</w:t>
            </w:r>
          </w:p>
        </w:tc>
        <w:tc>
          <w:tcPr>
            <w:tcW w:w="304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w w:val="100"/>
                <w:sz w:val="21"/>
              </w:rPr>
              <w:t>-</w:t>
            </w:r>
          </w:p>
        </w:tc>
      </w:tr>
      <w:tr>
        <w:trPr>
          <w:trHeight w:val="523"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490"/>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04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b/>
                <w:spacing w:val="-1"/>
                <w:sz w:val="21"/>
              </w:rPr>
              <w:t>220,600,000.00</w:t>
            </w:r>
            <w:r>
              <w:rPr>
                <w:rFonts w:ascii="Times New Roman"/>
                <w:spacing w:val="-1"/>
                <w:sz w:val="21"/>
              </w:rPr>
            </w:r>
          </w:p>
        </w:tc>
        <w:tc>
          <w:tcPr>
            <w:tcW w:w="304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2</w:t>
      </w:r>
      <w:r>
        <w:rPr/>
        <w:t>）金额前四名的长期借款</w:t>
      </w:r>
    </w:p>
    <w:tbl>
      <w:tblPr>
        <w:tblW w:w="0" w:type="auto"/>
        <w:jc w:val="left"/>
        <w:tblInd w:w="123" w:type="dxa"/>
        <w:tblLayout w:type="fixed"/>
        <w:tblCellMar>
          <w:top w:w="0" w:type="dxa"/>
          <w:left w:w="0" w:type="dxa"/>
          <w:bottom w:w="0" w:type="dxa"/>
          <w:right w:w="0" w:type="dxa"/>
        </w:tblCellMar>
        <w:tblLook w:val="01E0"/>
      </w:tblPr>
      <w:tblGrid>
        <w:gridCol w:w="1579"/>
        <w:gridCol w:w="994"/>
        <w:gridCol w:w="989"/>
        <w:gridCol w:w="850"/>
        <w:gridCol w:w="850"/>
        <w:gridCol w:w="994"/>
        <w:gridCol w:w="1205"/>
        <w:gridCol w:w="1061"/>
        <w:gridCol w:w="1133"/>
      </w:tblGrid>
      <w:tr>
        <w:trPr>
          <w:trHeight w:val="518" w:hRule="exact"/>
        </w:trPr>
        <w:tc>
          <w:tcPr>
            <w:tcW w:w="1579"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499" w:right="0"/>
              <w:jc w:val="left"/>
              <w:rPr>
                <w:rFonts w:ascii="宋体" w:hAnsi="宋体" w:cs="宋体" w:eastAsia="宋体" w:hint="default"/>
                <w:sz w:val="15"/>
                <w:szCs w:val="15"/>
              </w:rPr>
            </w:pPr>
            <w:r>
              <w:rPr>
                <w:rFonts w:ascii="宋体" w:hAnsi="宋体" w:cs="宋体" w:eastAsia="宋体" w:hint="default"/>
                <w:sz w:val="15"/>
                <w:szCs w:val="15"/>
              </w:rPr>
              <w:t>贷款单位</w:t>
            </w:r>
          </w:p>
        </w:tc>
        <w:tc>
          <w:tcPr>
            <w:tcW w:w="99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15" w:right="0"/>
              <w:jc w:val="left"/>
              <w:rPr>
                <w:rFonts w:ascii="宋体" w:hAnsi="宋体" w:cs="宋体" w:eastAsia="宋体" w:hint="default"/>
                <w:sz w:val="15"/>
                <w:szCs w:val="15"/>
              </w:rPr>
            </w:pPr>
            <w:r>
              <w:rPr>
                <w:rFonts w:ascii="宋体" w:hAnsi="宋体" w:cs="宋体" w:eastAsia="宋体" w:hint="default"/>
                <w:sz w:val="15"/>
                <w:szCs w:val="15"/>
              </w:rPr>
              <w:t>借款起始日</w:t>
            </w:r>
          </w:p>
        </w:tc>
        <w:tc>
          <w:tcPr>
            <w:tcW w:w="989"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115" w:right="0"/>
              <w:jc w:val="left"/>
              <w:rPr>
                <w:rFonts w:ascii="宋体" w:hAnsi="宋体" w:cs="宋体" w:eastAsia="宋体" w:hint="default"/>
                <w:sz w:val="15"/>
                <w:szCs w:val="15"/>
              </w:rPr>
            </w:pPr>
            <w:r>
              <w:rPr>
                <w:rFonts w:ascii="宋体" w:hAnsi="宋体" w:cs="宋体" w:eastAsia="宋体" w:hint="default"/>
                <w:sz w:val="15"/>
                <w:szCs w:val="15"/>
              </w:rPr>
              <w:t>借款终止日</w:t>
            </w:r>
          </w:p>
        </w:tc>
        <w:tc>
          <w:tcPr>
            <w:tcW w:w="8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268" w:right="0"/>
              <w:jc w:val="left"/>
              <w:rPr>
                <w:rFonts w:ascii="宋体" w:hAnsi="宋体" w:cs="宋体" w:eastAsia="宋体" w:hint="default"/>
                <w:sz w:val="15"/>
                <w:szCs w:val="15"/>
              </w:rPr>
            </w:pPr>
            <w:r>
              <w:rPr>
                <w:rFonts w:ascii="宋体" w:hAnsi="宋体" w:cs="宋体" w:eastAsia="宋体" w:hint="default"/>
                <w:sz w:val="15"/>
                <w:szCs w:val="15"/>
              </w:rPr>
              <w:t>币种</w:t>
            </w:r>
          </w:p>
        </w:tc>
        <w:tc>
          <w:tcPr>
            <w:tcW w:w="8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1"/>
                <w:szCs w:val="11"/>
              </w:rPr>
            </w:pPr>
          </w:p>
          <w:p>
            <w:pPr>
              <w:pStyle w:val="TableParagraph"/>
              <w:spacing w:line="240" w:lineRule="auto"/>
              <w:ind w:left="273" w:right="0"/>
              <w:jc w:val="left"/>
              <w:rPr>
                <w:rFonts w:ascii="宋体" w:hAnsi="宋体" w:cs="宋体" w:eastAsia="宋体" w:hint="default"/>
                <w:sz w:val="15"/>
                <w:szCs w:val="15"/>
              </w:rPr>
            </w:pPr>
            <w:r>
              <w:rPr>
                <w:rFonts w:ascii="宋体" w:hAnsi="宋体" w:cs="宋体" w:eastAsia="宋体" w:hint="default"/>
                <w:sz w:val="15"/>
                <w:szCs w:val="15"/>
              </w:rPr>
              <w:t>利率</w:t>
            </w:r>
          </w:p>
        </w:tc>
        <w:tc>
          <w:tcPr>
            <w:tcW w:w="219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期末余额</w:t>
            </w:r>
          </w:p>
        </w:tc>
        <w:tc>
          <w:tcPr>
            <w:tcW w:w="2194"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0"/>
              <w:jc w:val="center"/>
              <w:rPr>
                <w:rFonts w:ascii="宋体" w:hAnsi="宋体" w:cs="宋体" w:eastAsia="宋体" w:hint="default"/>
                <w:sz w:val="15"/>
                <w:szCs w:val="15"/>
              </w:rPr>
            </w:pPr>
            <w:r>
              <w:rPr>
                <w:rFonts w:ascii="宋体" w:hAnsi="宋体" w:cs="宋体" w:eastAsia="宋体" w:hint="default"/>
                <w:sz w:val="15"/>
                <w:szCs w:val="15"/>
              </w:rPr>
              <w:t>年初余额</w:t>
            </w:r>
          </w:p>
        </w:tc>
      </w:tr>
      <w:tr>
        <w:trPr>
          <w:trHeight w:val="509" w:hRule="exact"/>
        </w:trPr>
        <w:tc>
          <w:tcPr>
            <w:tcW w:w="1579" w:type="dxa"/>
            <w:vMerge/>
            <w:tcBorders>
              <w:left w:val="nil" w:sz="6" w:space="0" w:color="auto"/>
              <w:bottom w:val="single" w:sz="4" w:space="0" w:color="000000"/>
              <w:right w:val="single" w:sz="4" w:space="0" w:color="000000"/>
            </w:tcBorders>
          </w:tcPr>
          <w:p>
            <w:pPr/>
          </w:p>
        </w:tc>
        <w:tc>
          <w:tcPr>
            <w:tcW w:w="994" w:type="dxa"/>
            <w:vMerge/>
            <w:tcBorders>
              <w:left w:val="single" w:sz="4" w:space="0" w:color="000000"/>
              <w:bottom w:val="single" w:sz="4" w:space="0" w:color="000000"/>
              <w:right w:val="single" w:sz="4" w:space="0" w:color="000000"/>
            </w:tcBorders>
          </w:tcPr>
          <w:p>
            <w:pPr/>
          </w:p>
        </w:tc>
        <w:tc>
          <w:tcPr>
            <w:tcW w:w="989"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91" w:right="0"/>
              <w:jc w:val="left"/>
              <w:rPr>
                <w:rFonts w:ascii="宋体" w:hAnsi="宋体" w:cs="宋体" w:eastAsia="宋体" w:hint="default"/>
                <w:sz w:val="15"/>
                <w:szCs w:val="15"/>
              </w:rPr>
            </w:pPr>
            <w:r>
              <w:rPr>
                <w:rFonts w:ascii="宋体" w:hAnsi="宋体" w:cs="宋体" w:eastAsia="宋体" w:hint="default"/>
                <w:sz w:val="15"/>
                <w:szCs w:val="15"/>
              </w:rPr>
              <w:t>外币金额</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2"/>
              <w:jc w:val="center"/>
              <w:rPr>
                <w:rFonts w:ascii="宋体" w:hAnsi="宋体" w:cs="宋体" w:eastAsia="宋体" w:hint="default"/>
                <w:sz w:val="15"/>
                <w:szCs w:val="15"/>
              </w:rPr>
            </w:pPr>
            <w:r>
              <w:rPr>
                <w:rFonts w:ascii="宋体" w:hAnsi="宋体" w:cs="宋体" w:eastAsia="宋体" w:hint="default"/>
                <w:sz w:val="15"/>
                <w:szCs w:val="15"/>
              </w:rPr>
              <w:t>本币金额</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30" w:right="0"/>
              <w:jc w:val="left"/>
              <w:rPr>
                <w:rFonts w:ascii="宋体" w:hAnsi="宋体" w:cs="宋体" w:eastAsia="宋体" w:hint="default"/>
                <w:sz w:val="15"/>
                <w:szCs w:val="15"/>
              </w:rPr>
            </w:pPr>
            <w:r>
              <w:rPr>
                <w:rFonts w:ascii="宋体" w:hAnsi="宋体" w:cs="宋体" w:eastAsia="宋体" w:hint="default"/>
                <w:sz w:val="15"/>
                <w:szCs w:val="15"/>
              </w:rPr>
              <w:t>外币金额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259" w:right="0"/>
              <w:jc w:val="left"/>
              <w:rPr>
                <w:rFonts w:ascii="宋体" w:hAnsi="宋体" w:cs="宋体" w:eastAsia="宋体" w:hint="default"/>
                <w:sz w:val="15"/>
                <w:szCs w:val="15"/>
              </w:rPr>
            </w:pPr>
            <w:r>
              <w:rPr>
                <w:rFonts w:ascii="宋体" w:hAnsi="宋体" w:cs="宋体" w:eastAsia="宋体" w:hint="default"/>
                <w:sz w:val="15"/>
                <w:szCs w:val="15"/>
              </w:rPr>
              <w:t>本币金额</w:t>
            </w:r>
          </w:p>
        </w:tc>
      </w:tr>
      <w:tr>
        <w:trPr>
          <w:trHeight w:val="514"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127"/>
              <w:jc w:val="center"/>
              <w:rPr>
                <w:rFonts w:ascii="宋体" w:hAnsi="宋体" w:cs="宋体" w:eastAsia="宋体" w:hint="default"/>
                <w:sz w:val="15"/>
                <w:szCs w:val="15"/>
              </w:rPr>
            </w:pPr>
            <w:r>
              <w:rPr>
                <w:rFonts w:ascii="宋体" w:hAnsi="宋体" w:cs="宋体" w:eastAsia="宋体" w:hint="default"/>
                <w:sz w:val="15"/>
                <w:szCs w:val="15"/>
              </w:rPr>
              <w:t>农业银行惠州分行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spacing w:val="-1"/>
                <w:sz w:val="15"/>
              </w:rPr>
              <w:t>2012-11-2</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2015-11-1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7.38%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0" w:right="0"/>
              <w:jc w:val="center"/>
              <w:rPr>
                <w:rFonts w:ascii="Times New Roman" w:hAnsi="Times New Roman" w:cs="Times New Roman" w:eastAsia="Times New Roman" w:hint="default"/>
                <w:sz w:val="15"/>
                <w:szCs w:val="15"/>
              </w:rPr>
            </w:pPr>
            <w:r>
              <w:rPr>
                <w:rFonts w:ascii="Times New Roman"/>
                <w:sz w:val="15"/>
              </w:rPr>
              <w:t>140,000,000.00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127"/>
              <w:jc w:val="center"/>
              <w:rPr>
                <w:rFonts w:ascii="宋体" w:hAnsi="宋体" w:cs="宋体" w:eastAsia="宋体" w:hint="default"/>
                <w:sz w:val="15"/>
                <w:szCs w:val="15"/>
              </w:rPr>
            </w:pPr>
            <w:r>
              <w:rPr>
                <w:rFonts w:ascii="宋体" w:hAnsi="宋体" w:cs="宋体" w:eastAsia="宋体" w:hint="default"/>
                <w:sz w:val="15"/>
                <w:szCs w:val="15"/>
              </w:rPr>
              <w:t>农业银行惠州分行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44"/>
              <w:jc w:val="right"/>
              <w:rPr>
                <w:rFonts w:ascii="Times New Roman" w:hAnsi="Times New Roman" w:cs="Times New Roman" w:eastAsia="Times New Roman" w:hint="default"/>
                <w:sz w:val="15"/>
                <w:szCs w:val="15"/>
              </w:rPr>
            </w:pPr>
            <w:r>
              <w:rPr>
                <w:rFonts w:ascii="Times New Roman"/>
                <w:w w:val="95"/>
                <w:sz w:val="15"/>
              </w:rPr>
              <w:t>2012-12-25</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2015-11-1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7.38%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12" w:right="0"/>
              <w:jc w:val="center"/>
              <w:rPr>
                <w:rFonts w:ascii="Times New Roman" w:hAnsi="Times New Roman" w:cs="Times New Roman" w:eastAsia="Times New Roman" w:hint="default"/>
                <w:sz w:val="15"/>
                <w:szCs w:val="15"/>
              </w:rPr>
            </w:pPr>
            <w:r>
              <w:rPr>
                <w:rFonts w:ascii="Times New Roman"/>
                <w:sz w:val="15"/>
              </w:rPr>
              <w:t>32,000,000.00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638"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7"/>
                <w:szCs w:val="17"/>
              </w:rPr>
            </w:pPr>
          </w:p>
          <w:p>
            <w:pPr>
              <w:pStyle w:val="TableParagraph"/>
              <w:spacing w:line="192" w:lineRule="exact"/>
              <w:ind w:left="124" w:right="104"/>
              <w:jc w:val="left"/>
              <w:rPr>
                <w:rFonts w:ascii="宋体" w:hAnsi="宋体" w:cs="宋体" w:eastAsia="宋体" w:hint="default"/>
                <w:sz w:val="15"/>
                <w:szCs w:val="15"/>
              </w:rPr>
            </w:pPr>
            <w:r>
              <w:rPr>
                <w:rFonts w:ascii="宋体" w:hAnsi="宋体" w:cs="宋体" w:eastAsia="宋体" w:hint="default"/>
                <w:sz w:val="15"/>
                <w:szCs w:val="15"/>
              </w:rPr>
              <w:t>中</w:t>
            </w:r>
            <w:r>
              <w:rPr>
                <w:rFonts w:ascii="宋体" w:hAnsi="宋体" w:cs="宋体" w:eastAsia="宋体" w:hint="default"/>
                <w:spacing w:val="-58"/>
                <w:sz w:val="15"/>
                <w:szCs w:val="15"/>
              </w:rPr>
              <w:t> </w:t>
            </w:r>
            <w:r>
              <w:rPr>
                <w:rFonts w:ascii="宋体" w:hAnsi="宋体" w:cs="宋体" w:eastAsia="宋体" w:hint="default"/>
                <w:sz w:val="15"/>
                <w:szCs w:val="15"/>
              </w:rPr>
              <w:t>国</w:t>
            </w:r>
            <w:r>
              <w:rPr>
                <w:rFonts w:ascii="宋体" w:hAnsi="宋体" w:cs="宋体" w:eastAsia="宋体" w:hint="default"/>
                <w:spacing w:val="-54"/>
                <w:sz w:val="15"/>
                <w:szCs w:val="15"/>
              </w:rPr>
              <w:t> </w:t>
            </w:r>
            <w:r>
              <w:rPr>
                <w:rFonts w:ascii="宋体" w:hAnsi="宋体" w:cs="宋体" w:eastAsia="宋体" w:hint="default"/>
                <w:sz w:val="15"/>
                <w:szCs w:val="15"/>
              </w:rPr>
              <w:t>建</w:t>
            </w:r>
            <w:r>
              <w:rPr>
                <w:rFonts w:ascii="宋体" w:hAnsi="宋体" w:cs="宋体" w:eastAsia="宋体" w:hint="default"/>
                <w:spacing w:val="-58"/>
                <w:sz w:val="15"/>
                <w:szCs w:val="15"/>
              </w:rPr>
              <w:t> </w:t>
            </w:r>
            <w:r>
              <w:rPr>
                <w:rFonts w:ascii="宋体" w:hAnsi="宋体" w:cs="宋体" w:eastAsia="宋体" w:hint="default"/>
                <w:sz w:val="15"/>
                <w:szCs w:val="15"/>
              </w:rPr>
              <w:t>设</w:t>
            </w:r>
            <w:r>
              <w:rPr>
                <w:rFonts w:ascii="宋体" w:hAnsi="宋体" w:cs="宋体" w:eastAsia="宋体" w:hint="default"/>
                <w:spacing w:val="-54"/>
                <w:sz w:val="15"/>
                <w:szCs w:val="15"/>
              </w:rPr>
              <w:t> </w:t>
            </w:r>
            <w:r>
              <w:rPr>
                <w:rFonts w:ascii="宋体" w:hAnsi="宋体" w:cs="宋体" w:eastAsia="宋体" w:hint="default"/>
                <w:sz w:val="15"/>
                <w:szCs w:val="15"/>
              </w:rPr>
              <w:t>银</w:t>
            </w:r>
            <w:r>
              <w:rPr>
                <w:rFonts w:ascii="宋体" w:hAnsi="宋体" w:cs="宋体" w:eastAsia="宋体" w:hint="default"/>
                <w:spacing w:val="-54"/>
                <w:sz w:val="15"/>
                <w:szCs w:val="15"/>
              </w:rPr>
              <w:t> </w:t>
            </w:r>
            <w:r>
              <w:rPr>
                <w:rFonts w:ascii="宋体" w:hAnsi="宋体" w:cs="宋体" w:eastAsia="宋体" w:hint="default"/>
                <w:sz w:val="15"/>
                <w:szCs w:val="15"/>
              </w:rPr>
              <w:t>行</w:t>
            </w:r>
            <w:r>
              <w:rPr>
                <w:rFonts w:ascii="宋体" w:hAnsi="宋体" w:cs="宋体" w:eastAsia="宋体" w:hint="default"/>
                <w:spacing w:val="-58"/>
                <w:sz w:val="15"/>
                <w:szCs w:val="15"/>
              </w:rPr>
              <w:t> </w:t>
            </w:r>
            <w:r>
              <w:rPr>
                <w:rFonts w:ascii="宋体" w:hAnsi="宋体" w:cs="宋体" w:eastAsia="宋体" w:hint="default"/>
                <w:sz w:val="15"/>
                <w:szCs w:val="15"/>
              </w:rPr>
              <w:t>湘</w:t>
            </w:r>
            <w:r>
              <w:rPr>
                <w:rFonts w:ascii="宋体" w:hAnsi="宋体" w:cs="宋体" w:eastAsia="宋体" w:hint="default"/>
                <w:spacing w:val="-54"/>
                <w:sz w:val="15"/>
                <w:szCs w:val="15"/>
              </w:rPr>
              <w:t> </w:t>
            </w:r>
            <w:r>
              <w:rPr>
                <w:rFonts w:ascii="宋体" w:hAnsi="宋体" w:cs="宋体" w:eastAsia="宋体" w:hint="default"/>
                <w:sz w:val="15"/>
                <w:szCs w:val="15"/>
              </w:rPr>
              <w:t>潭</w:t>
            </w:r>
            <w:r>
              <w:rPr>
                <w:rFonts w:ascii="宋体" w:hAnsi="宋体" w:cs="宋体" w:eastAsia="宋体" w:hint="default"/>
                <w:w w:val="99"/>
                <w:sz w:val="15"/>
                <w:szCs w:val="15"/>
              </w:rPr>
              <w:t> </w:t>
            </w:r>
            <w:r>
              <w:rPr>
                <w:rFonts w:ascii="宋体" w:hAnsi="宋体" w:cs="宋体" w:eastAsia="宋体" w:hint="default"/>
                <w:sz w:val="15"/>
                <w:szCs w:val="15"/>
              </w:rPr>
              <w:t>市和平桥支行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44"/>
              <w:jc w:val="right"/>
              <w:rPr>
                <w:rFonts w:ascii="Times New Roman" w:hAnsi="Times New Roman" w:cs="Times New Roman" w:eastAsia="Times New Roman" w:hint="default"/>
                <w:sz w:val="15"/>
                <w:szCs w:val="15"/>
              </w:rPr>
            </w:pPr>
            <w:r>
              <w:rPr>
                <w:rFonts w:ascii="Times New Roman"/>
                <w:w w:val="95"/>
                <w:sz w:val="15"/>
              </w:rPr>
              <w:t>2012-12-24</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134" w:right="0"/>
              <w:jc w:val="left"/>
              <w:rPr>
                <w:rFonts w:ascii="Times New Roman" w:hAnsi="Times New Roman" w:cs="Times New Roman" w:eastAsia="Times New Roman" w:hint="default"/>
                <w:sz w:val="15"/>
                <w:szCs w:val="15"/>
              </w:rPr>
            </w:pPr>
            <w:r>
              <w:rPr>
                <w:rFonts w:ascii="Times New Roman"/>
                <w:sz w:val="15"/>
              </w:rPr>
              <w:t>2014-12-23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9"/>
                <w:szCs w:val="9"/>
              </w:rPr>
            </w:pPr>
          </w:p>
          <w:p>
            <w:pPr>
              <w:pStyle w:val="TableParagraph"/>
              <w:spacing w:line="240" w:lineRule="auto"/>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6.46%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left="112" w:right="0"/>
              <w:jc w:val="center"/>
              <w:rPr>
                <w:rFonts w:ascii="Times New Roman" w:hAnsi="Times New Roman" w:cs="Times New Roman" w:eastAsia="Times New Roman" w:hint="default"/>
                <w:sz w:val="15"/>
                <w:szCs w:val="15"/>
              </w:rPr>
            </w:pPr>
            <w:r>
              <w:rPr>
                <w:rFonts w:ascii="Times New Roman"/>
                <w:sz w:val="15"/>
              </w:rPr>
              <w:t>30,000,000.00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3"/>
              <w:ind w:right="0"/>
              <w:jc w:val="left"/>
              <w:rPr>
                <w:rFonts w:ascii="宋体" w:hAnsi="宋体" w:cs="宋体" w:eastAsia="宋体" w:hint="default"/>
                <w:sz w:val="11"/>
                <w:szCs w:val="11"/>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09" w:hRule="exact"/>
        </w:trPr>
        <w:tc>
          <w:tcPr>
            <w:tcW w:w="1579"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left="18" w:right="0"/>
              <w:jc w:val="center"/>
              <w:rPr>
                <w:rFonts w:ascii="宋体" w:hAnsi="宋体" w:cs="宋体" w:eastAsia="宋体" w:hint="default"/>
                <w:sz w:val="15"/>
                <w:szCs w:val="15"/>
              </w:rPr>
            </w:pPr>
            <w:r>
              <w:rPr>
                <w:rFonts w:ascii="宋体" w:hAnsi="宋体" w:cs="宋体" w:eastAsia="宋体" w:hint="default"/>
                <w:sz w:val="15"/>
                <w:szCs w:val="15"/>
              </w:rPr>
              <w:t>交通银行八卦岭支行</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82"/>
              <w:jc w:val="right"/>
              <w:rPr>
                <w:rFonts w:ascii="Times New Roman" w:hAnsi="Times New Roman" w:cs="Times New Roman" w:eastAsia="Times New Roman" w:hint="default"/>
                <w:sz w:val="15"/>
                <w:szCs w:val="15"/>
              </w:rPr>
            </w:pPr>
            <w:r>
              <w:rPr>
                <w:rFonts w:ascii="Times New Roman"/>
                <w:w w:val="95"/>
                <w:sz w:val="15"/>
              </w:rPr>
              <w:t>2012-5-24</w:t>
            </w:r>
            <w:r>
              <w:rPr>
                <w:rFonts w:ascii="Times New Roman"/>
                <w:sz w:val="15"/>
              </w:rPr>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2" w:right="0"/>
              <w:jc w:val="left"/>
              <w:rPr>
                <w:rFonts w:ascii="Times New Roman" w:hAnsi="Times New Roman" w:cs="Times New Roman" w:eastAsia="Times New Roman" w:hint="default"/>
                <w:sz w:val="15"/>
                <w:szCs w:val="15"/>
              </w:rPr>
            </w:pPr>
            <w:r>
              <w:rPr>
                <w:rFonts w:ascii="Times New Roman"/>
                <w:sz w:val="15"/>
              </w:rPr>
              <w:t>2014-5-24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7"/>
              <w:ind w:right="7"/>
              <w:jc w:val="center"/>
              <w:rPr>
                <w:rFonts w:ascii="宋体" w:hAnsi="宋体" w:cs="宋体" w:eastAsia="宋体" w:hint="default"/>
                <w:sz w:val="15"/>
                <w:szCs w:val="15"/>
              </w:rPr>
            </w:pPr>
            <w:r>
              <w:rPr>
                <w:rFonts w:ascii="宋体" w:hAnsi="宋体" w:cs="宋体" w:eastAsia="宋体" w:hint="default"/>
                <w:sz w:val="15"/>
                <w:szCs w:val="15"/>
              </w:rPr>
              <w:t>人民币</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 w:right="0"/>
              <w:jc w:val="center"/>
              <w:rPr>
                <w:rFonts w:ascii="Times New Roman" w:hAnsi="Times New Roman" w:cs="Times New Roman" w:eastAsia="Times New Roman" w:hint="default"/>
                <w:sz w:val="15"/>
                <w:szCs w:val="15"/>
              </w:rPr>
            </w:pPr>
            <w:r>
              <w:rPr>
                <w:rFonts w:ascii="Times New Roman"/>
                <w:sz w:val="15"/>
              </w:rPr>
              <w:t>8.65%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12" w:right="0"/>
              <w:jc w:val="center"/>
              <w:rPr>
                <w:rFonts w:ascii="Times New Roman" w:hAnsi="Times New Roman" w:cs="Times New Roman" w:eastAsia="Times New Roman" w:hint="default"/>
                <w:sz w:val="15"/>
                <w:szCs w:val="15"/>
              </w:rPr>
            </w:pPr>
            <w:r>
              <w:rPr>
                <w:rFonts w:ascii="Times New Roman"/>
                <w:sz w:val="15"/>
              </w:rPr>
              <w:t>18,600,000.00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523" w:hRule="exact"/>
        </w:trPr>
        <w:tc>
          <w:tcPr>
            <w:tcW w:w="157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4" w:right="0"/>
              <w:jc w:val="center"/>
              <w:rPr>
                <w:rFonts w:ascii="Microsoft JhengHei" w:hAnsi="Microsoft JhengHei" w:cs="Microsoft JhengHei" w:eastAsia="Microsoft JhengHei" w:hint="default"/>
                <w:sz w:val="15"/>
                <w:szCs w:val="15"/>
              </w:rPr>
            </w:pPr>
            <w:r>
              <w:rPr>
                <w:rFonts w:ascii="Microsoft JhengHei" w:hAnsi="Microsoft JhengHei" w:cs="Microsoft JhengHei" w:eastAsia="Microsoft JhengHei" w:hint="default"/>
                <w:b/>
                <w:bCs/>
                <w:sz w:val="15"/>
                <w:szCs w:val="15"/>
              </w:rPr>
              <w:t>合计</w:t>
            </w:r>
            <w:r>
              <w:rPr>
                <w:rFonts w:ascii="Microsoft JhengHei" w:hAnsi="Microsoft JhengHei" w:cs="Microsoft JhengHei" w:eastAsia="Microsoft JhengHei" w:hint="default"/>
                <w:sz w:val="15"/>
                <w:szCs w:val="15"/>
              </w:rPr>
            </w:r>
          </w:p>
        </w:tc>
        <w:tc>
          <w:tcPr>
            <w:tcW w:w="994" w:type="dxa"/>
            <w:tcBorders>
              <w:top w:val="single" w:sz="4" w:space="0" w:color="000000"/>
              <w:left w:val="single" w:sz="4" w:space="0" w:color="000000"/>
              <w:bottom w:val="single" w:sz="12" w:space="0" w:color="000000"/>
              <w:right w:val="single" w:sz="4" w:space="0" w:color="000000"/>
            </w:tcBorders>
          </w:tcPr>
          <w:p>
            <w:pPr/>
          </w:p>
        </w:tc>
        <w:tc>
          <w:tcPr>
            <w:tcW w:w="989" w:type="dxa"/>
            <w:tcBorders>
              <w:top w:val="single" w:sz="4" w:space="0" w:color="000000"/>
              <w:left w:val="single" w:sz="4" w:space="0" w:color="000000"/>
              <w:bottom w:val="single" w:sz="12" w:space="0" w:color="000000"/>
              <w:right w:val="single" w:sz="4" w:space="0" w:color="000000"/>
            </w:tcBorders>
          </w:tcPr>
          <w:p>
            <w:pPr/>
          </w:p>
        </w:tc>
        <w:tc>
          <w:tcPr>
            <w:tcW w:w="850" w:type="dxa"/>
            <w:tcBorders>
              <w:top w:val="single" w:sz="4" w:space="0" w:color="000000"/>
              <w:left w:val="single" w:sz="4" w:space="0" w:color="000000"/>
              <w:bottom w:val="single" w:sz="12" w:space="0" w:color="000000"/>
              <w:right w:val="single" w:sz="4" w:space="0" w:color="000000"/>
            </w:tcBorders>
          </w:tcPr>
          <w:p>
            <w:pPr/>
          </w:p>
        </w:tc>
        <w:tc>
          <w:tcPr>
            <w:tcW w:w="850" w:type="dxa"/>
            <w:tcBorders>
              <w:top w:val="single" w:sz="4" w:space="0" w:color="000000"/>
              <w:left w:val="single" w:sz="4" w:space="0" w:color="000000"/>
              <w:bottom w:val="single" w:sz="12" w:space="0" w:color="000000"/>
              <w:right w:val="single" w:sz="4" w:space="0" w:color="000000"/>
            </w:tcBorders>
          </w:tcPr>
          <w:p>
            <w:pPr/>
          </w:p>
        </w:tc>
        <w:tc>
          <w:tcPr>
            <w:tcW w:w="9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2"/>
              <w:jc w:val="right"/>
              <w:rPr>
                <w:rFonts w:ascii="Times New Roman" w:hAnsi="Times New Roman" w:cs="Times New Roman" w:eastAsia="Times New Roman" w:hint="default"/>
                <w:sz w:val="15"/>
                <w:szCs w:val="15"/>
              </w:rPr>
            </w:pPr>
            <w:r>
              <w:rPr>
                <w:rFonts w:ascii="Times New Roman"/>
                <w:b/>
                <w:w w:val="99"/>
                <w:sz w:val="15"/>
              </w:rPr>
              <w:t>-</w:t>
            </w:r>
            <w:r>
              <w:rPr>
                <w:rFonts w:ascii="Times New Roman"/>
                <w:sz w:val="15"/>
              </w:rPr>
            </w:r>
          </w:p>
        </w:tc>
        <w:tc>
          <w:tcPr>
            <w:tcW w:w="120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0" w:right="0"/>
              <w:jc w:val="center"/>
              <w:rPr>
                <w:rFonts w:ascii="Times New Roman" w:hAnsi="Times New Roman" w:cs="Times New Roman" w:eastAsia="Times New Roman" w:hint="default"/>
                <w:sz w:val="15"/>
                <w:szCs w:val="15"/>
              </w:rPr>
            </w:pPr>
            <w:r>
              <w:rPr>
                <w:rFonts w:ascii="Times New Roman"/>
                <w:b/>
                <w:sz w:val="15"/>
              </w:rPr>
              <w:t>220,600,000.00</w:t>
            </w:r>
            <w:r>
              <w:rPr>
                <w:rFonts w:ascii="Times New Roman"/>
                <w:sz w:val="15"/>
              </w:rPr>
            </w:r>
          </w:p>
        </w:tc>
        <w:tc>
          <w:tcPr>
            <w:tcW w:w="106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97"/>
              <w:jc w:val="right"/>
              <w:rPr>
                <w:rFonts w:ascii="Times New Roman" w:hAnsi="Times New Roman" w:cs="Times New Roman" w:eastAsia="Times New Roman" w:hint="default"/>
                <w:sz w:val="15"/>
                <w:szCs w:val="15"/>
              </w:rPr>
            </w:pPr>
            <w:r>
              <w:rPr>
                <w:rFonts w:ascii="Times New Roman"/>
                <w:b/>
                <w:w w:val="99"/>
                <w:sz w:val="15"/>
              </w:rPr>
              <w:t>-</w:t>
            </w:r>
            <w:r>
              <w:rPr>
                <w:rFonts w:ascii="Times New Roman"/>
                <w:sz w:val="15"/>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106"/>
              <w:jc w:val="right"/>
              <w:rPr>
                <w:rFonts w:ascii="Times New Roman" w:hAnsi="Times New Roman" w:cs="Times New Roman" w:eastAsia="Times New Roman" w:hint="default"/>
                <w:sz w:val="15"/>
                <w:szCs w:val="15"/>
              </w:rPr>
            </w:pPr>
            <w:r>
              <w:rPr>
                <w:rFonts w:ascii="Times New Roman"/>
                <w:b/>
                <w:w w:val="99"/>
                <w:sz w:val="15"/>
              </w:rPr>
              <w:t>-</w:t>
            </w:r>
            <w:r>
              <w:rPr>
                <w:rFonts w:ascii="Times New Roman"/>
                <w:sz w:val="15"/>
              </w:rPr>
            </w:r>
          </w:p>
        </w:tc>
      </w:tr>
    </w:tbl>
    <w:p>
      <w:pPr>
        <w:spacing w:line="240" w:lineRule="auto" w:before="2"/>
        <w:rPr>
          <w:rFonts w:ascii="宋体" w:hAnsi="宋体" w:cs="宋体" w:eastAsia="宋体" w:hint="default"/>
          <w:sz w:val="13"/>
          <w:szCs w:val="13"/>
        </w:rPr>
      </w:pPr>
    </w:p>
    <w:p>
      <w:pPr>
        <w:pStyle w:val="BodyText"/>
        <w:spacing w:line="240" w:lineRule="auto" w:before="36"/>
        <w:ind w:left="575" w:right="0"/>
        <w:jc w:val="left"/>
      </w:pPr>
      <w:r>
        <w:rPr/>
        <w:t>所有借款均属本公司为下属子公司提供担保，担保情况详见附注八、</w:t>
      </w:r>
      <w:r>
        <w:rPr>
          <w:rFonts w:ascii="Times New Roman" w:hAnsi="Times New Roman" w:cs="Times New Roman" w:eastAsia="Times New Roman" w:hint="default"/>
        </w:rPr>
        <w:t>3</w:t>
      </w:r>
      <w:r>
        <w:rPr/>
        <w:t>。</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3657"/>
        <w:jc w:val="left"/>
        <w:rPr>
          <w:b w:val="0"/>
          <w:bCs w:val="0"/>
        </w:rPr>
      </w:pPr>
      <w:r>
        <w:rPr>
          <w:rFonts w:ascii="Times New Roman" w:hAnsi="Times New Roman" w:cs="Times New Roman" w:eastAsia="Times New Roman" w:hint="default"/>
        </w:rPr>
        <w:t>27</w:t>
      </w:r>
      <w:r>
        <w:rPr/>
        <w:t>、其他非流动负债</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262"/>
        <w:gridCol w:w="2698"/>
        <w:gridCol w:w="2693"/>
      </w:tblGrid>
      <w:tr>
        <w:trPr>
          <w:trHeight w:val="523" w:hRule="exact"/>
        </w:trPr>
        <w:tc>
          <w:tcPr>
            <w:tcW w:w="426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9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693"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18" w:hRule="exact"/>
        </w:trPr>
        <w:tc>
          <w:tcPr>
            <w:tcW w:w="4262"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本体维修基金</w:t>
            </w:r>
          </w:p>
        </w:tc>
        <w:tc>
          <w:tcPr>
            <w:tcW w:w="269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1372" w:right="0"/>
              <w:jc w:val="left"/>
              <w:rPr>
                <w:rFonts w:ascii="Times New Roman" w:hAnsi="Times New Roman" w:cs="Times New Roman" w:eastAsia="Times New Roman" w:hint="default"/>
                <w:sz w:val="21"/>
                <w:szCs w:val="21"/>
              </w:rPr>
            </w:pPr>
            <w:r>
              <w:rPr>
                <w:rFonts w:ascii="Times New Roman"/>
                <w:sz w:val="21"/>
              </w:rPr>
              <w:t>12,154,166.37</w:t>
            </w:r>
          </w:p>
        </w:tc>
        <w:tc>
          <w:tcPr>
            <w:tcW w:w="269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1367" w:right="0"/>
              <w:jc w:val="left"/>
              <w:rPr>
                <w:rFonts w:ascii="Times New Roman" w:hAnsi="Times New Roman" w:cs="Times New Roman" w:eastAsia="Times New Roman" w:hint="default"/>
                <w:sz w:val="21"/>
                <w:szCs w:val="21"/>
              </w:rPr>
            </w:pPr>
            <w:r>
              <w:rPr>
                <w:rFonts w:ascii="Times New Roman"/>
                <w:sz w:val="21"/>
              </w:rPr>
              <w:t>14,001,533.98</w:t>
            </w:r>
          </w:p>
        </w:tc>
      </w:tr>
    </w:tbl>
    <w:p>
      <w:pPr>
        <w:spacing w:line="240" w:lineRule="auto" w:before="8"/>
        <w:rPr>
          <w:rFonts w:ascii="Microsoft JhengHei" w:hAnsi="Microsoft JhengHei" w:cs="Microsoft JhengHei" w:eastAsia="Microsoft JhengHei" w:hint="default"/>
          <w:b/>
          <w:bCs/>
          <w:sz w:val="9"/>
          <w:szCs w:val="9"/>
        </w:rPr>
      </w:pPr>
    </w:p>
    <w:p>
      <w:pPr>
        <w:pStyle w:val="BodyText"/>
        <w:spacing w:line="240" w:lineRule="auto" w:before="36"/>
        <w:ind w:left="575" w:right="0"/>
        <w:jc w:val="left"/>
      </w:pPr>
      <w:r>
        <w:rPr/>
        <w:t>系本公司之子公司深圳市鸿基物业管理有限公司收取的本体维修基金。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33"/>
        <w:ind w:right="3657"/>
        <w:jc w:val="left"/>
        <w:rPr>
          <w:b w:val="0"/>
          <w:bCs w:val="0"/>
        </w:rPr>
      </w:pPr>
      <w:r>
        <w:rPr>
          <w:rFonts w:ascii="Times New Roman" w:hAnsi="Times New Roman" w:cs="Times New Roman" w:eastAsia="Times New Roman" w:hint="default"/>
        </w:rPr>
        <w:t>28</w:t>
      </w:r>
      <w:r>
        <w:rPr/>
        <w:t>、股本</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1435"/>
        <w:gridCol w:w="1421"/>
        <w:gridCol w:w="1051"/>
        <w:gridCol w:w="1046"/>
        <w:gridCol w:w="1051"/>
        <w:gridCol w:w="1046"/>
        <w:gridCol w:w="1051"/>
        <w:gridCol w:w="1550"/>
      </w:tblGrid>
      <w:tr>
        <w:trPr>
          <w:trHeight w:val="518" w:hRule="exact"/>
        </w:trPr>
        <w:tc>
          <w:tcPr>
            <w:tcW w:w="1435"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2"/>
              <w:ind w:right="0"/>
              <w:jc w:val="left"/>
              <w:rPr>
                <w:rFonts w:ascii="Microsoft JhengHei" w:hAnsi="Microsoft JhengHei" w:cs="Microsoft JhengHei" w:eastAsia="Microsoft JhengHei" w:hint="default"/>
                <w:b/>
                <w:bCs/>
                <w:sz w:val="15"/>
                <w:szCs w:val="15"/>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股份类别</w:t>
            </w:r>
          </w:p>
        </w:tc>
        <w:tc>
          <w:tcPr>
            <w:tcW w:w="142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2"/>
              <w:ind w:right="0"/>
              <w:jc w:val="left"/>
              <w:rPr>
                <w:rFonts w:ascii="Microsoft JhengHei" w:hAnsi="Microsoft JhengHei" w:cs="Microsoft JhengHei" w:eastAsia="Microsoft JhengHei" w:hint="default"/>
                <w:b/>
                <w:bCs/>
                <w:sz w:val="15"/>
                <w:szCs w:val="15"/>
              </w:rPr>
            </w:pPr>
          </w:p>
          <w:p>
            <w:pPr>
              <w:pStyle w:val="TableParagraph"/>
              <w:spacing w:line="240" w:lineRule="auto"/>
              <w:ind w:left="436"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5246" w:type="dxa"/>
            <w:gridSpan w:val="5"/>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665" w:right="0"/>
              <w:jc w:val="left"/>
              <w:rPr>
                <w:rFonts w:ascii="宋体" w:hAnsi="宋体" w:cs="宋体" w:eastAsia="宋体" w:hint="default"/>
                <w:sz w:val="18"/>
                <w:szCs w:val="18"/>
              </w:rPr>
            </w:pPr>
            <w:r>
              <w:rPr>
                <w:rFonts w:ascii="宋体" w:hAnsi="宋体" w:cs="宋体" w:eastAsia="宋体" w:hint="default"/>
                <w:spacing w:val="-3"/>
                <w:sz w:val="18"/>
                <w:szCs w:val="18"/>
              </w:rPr>
              <w:t>本期变动增减（</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、一）</w:t>
            </w:r>
          </w:p>
        </w:tc>
        <w:tc>
          <w:tcPr>
            <w:tcW w:w="1550"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2"/>
              <w:ind w:right="0"/>
              <w:jc w:val="left"/>
              <w:rPr>
                <w:rFonts w:ascii="Microsoft JhengHei" w:hAnsi="Microsoft JhengHei" w:cs="Microsoft JhengHei" w:eastAsia="Microsoft JhengHei" w:hint="default"/>
                <w:b/>
                <w:bCs/>
                <w:sz w:val="15"/>
                <w:szCs w:val="15"/>
              </w:rPr>
            </w:pPr>
          </w:p>
          <w:p>
            <w:pPr>
              <w:pStyle w:val="TableParagraph"/>
              <w:spacing w:line="240" w:lineRule="auto"/>
              <w:ind w:left="542"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730" w:hRule="exact"/>
        </w:trPr>
        <w:tc>
          <w:tcPr>
            <w:tcW w:w="1435" w:type="dxa"/>
            <w:vMerge/>
            <w:tcBorders>
              <w:left w:val="nil" w:sz="6" w:space="0" w:color="auto"/>
              <w:bottom w:val="single" w:sz="4" w:space="0" w:color="000000"/>
              <w:right w:val="single" w:sz="4" w:space="0" w:color="000000"/>
            </w:tcBorders>
          </w:tcPr>
          <w:p>
            <w:pPr/>
          </w:p>
        </w:tc>
        <w:tc>
          <w:tcPr>
            <w:tcW w:w="1421" w:type="dxa"/>
            <w:vMerge/>
            <w:tcBorders>
              <w:left w:val="single" w:sz="4" w:space="0" w:color="000000"/>
              <w:bottom w:val="single" w:sz="4" w:space="0" w:color="000000"/>
              <w:right w:val="single" w:sz="4" w:space="0" w:color="000000"/>
            </w:tcBorders>
          </w:tcPr>
          <w:p>
            <w:pP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156"/>
              <w:jc w:val="right"/>
              <w:rPr>
                <w:rFonts w:ascii="宋体" w:hAnsi="宋体" w:cs="宋体" w:eastAsia="宋体" w:hint="default"/>
                <w:sz w:val="18"/>
                <w:szCs w:val="18"/>
              </w:rPr>
            </w:pPr>
            <w:r>
              <w:rPr>
                <w:rFonts w:ascii="宋体" w:hAnsi="宋体" w:cs="宋体" w:eastAsia="宋体" w:hint="default"/>
                <w:spacing w:val="-2"/>
                <w:sz w:val="18"/>
                <w:szCs w:val="18"/>
              </w:rPr>
              <w:t>发行新股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left="336"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360" w:lineRule="exact" w:before="19"/>
              <w:ind w:left="340" w:right="247" w:hanging="92"/>
              <w:jc w:val="left"/>
              <w:rPr>
                <w:rFonts w:ascii="宋体" w:hAnsi="宋体" w:cs="宋体" w:eastAsia="宋体" w:hint="default"/>
                <w:sz w:val="18"/>
                <w:szCs w:val="18"/>
              </w:rPr>
            </w:pPr>
            <w:r>
              <w:rPr>
                <w:rFonts w:ascii="宋体" w:hAnsi="宋体" w:cs="宋体" w:eastAsia="宋体" w:hint="default"/>
                <w:sz w:val="18"/>
                <w:szCs w:val="18"/>
              </w:rPr>
              <w:t>公积金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转股</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550" w:type="dxa"/>
            <w:vMerge/>
            <w:tcBorders>
              <w:left w:val="single" w:sz="4" w:space="0" w:color="000000"/>
              <w:bottom w:val="single" w:sz="4" w:space="0" w:color="000000"/>
              <w:right w:val="nil" w:sz="6" w:space="0" w:color="auto"/>
            </w:tcBorders>
          </w:tcPr>
          <w:p>
            <w:pPr/>
          </w:p>
        </w:tc>
      </w:tr>
      <w:tr>
        <w:trPr>
          <w:trHeight w:val="509" w:hRule="exact"/>
        </w:trPr>
        <w:tc>
          <w:tcPr>
            <w:tcW w:w="14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限售股份</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5,459,826.00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-37,500.00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-37,500.00</w:t>
            </w:r>
          </w:p>
        </w:tc>
        <w:tc>
          <w:tcPr>
            <w:tcW w:w="15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5,422,326.00</w:t>
            </w:r>
          </w:p>
        </w:tc>
      </w:tr>
      <w:tr>
        <w:trPr>
          <w:trHeight w:val="514" w:hRule="exact"/>
        </w:trPr>
        <w:tc>
          <w:tcPr>
            <w:tcW w:w="143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无限售股份</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464,133,538.00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+37,500.00</w:t>
            </w:r>
          </w:p>
        </w:tc>
        <w:tc>
          <w:tcPr>
            <w:tcW w:w="1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+37,500.00</w:t>
            </w:r>
          </w:p>
        </w:tc>
        <w:tc>
          <w:tcPr>
            <w:tcW w:w="155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464,171,038.00</w:t>
            </w:r>
          </w:p>
        </w:tc>
      </w:tr>
      <w:tr>
        <w:trPr>
          <w:trHeight w:val="518" w:hRule="exact"/>
        </w:trPr>
        <w:tc>
          <w:tcPr>
            <w:tcW w:w="143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360" w:right="0"/>
              <w:jc w:val="left"/>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股份总数</w:t>
            </w:r>
            <w:r>
              <w:rPr>
                <w:rFonts w:ascii="Microsoft JhengHei" w:hAnsi="Microsoft JhengHei" w:cs="Microsoft JhengHei" w:eastAsia="Microsoft JhengHei" w:hint="default"/>
                <w:sz w:val="18"/>
                <w:szCs w:val="18"/>
              </w:rPr>
            </w:r>
          </w:p>
        </w:tc>
        <w:tc>
          <w:tcPr>
            <w:tcW w:w="14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37"/>
              <w:jc w:val="right"/>
              <w:rPr>
                <w:rFonts w:ascii="Times New Roman" w:hAnsi="Times New Roman" w:cs="Times New Roman" w:eastAsia="Times New Roman" w:hint="default"/>
                <w:sz w:val="18"/>
                <w:szCs w:val="18"/>
              </w:rPr>
            </w:pPr>
            <w:r>
              <w:rPr>
                <w:rFonts w:ascii="Times New Roman"/>
                <w:b/>
                <w:spacing w:val="-1"/>
                <w:sz w:val="18"/>
              </w:rPr>
              <w:t>469,593,364.00</w:t>
            </w:r>
            <w:r>
              <w:rPr>
                <w:rFonts w:ascii="Times New Roman"/>
                <w:spacing w:val="-1"/>
                <w:sz w:val="18"/>
              </w:rPr>
            </w:r>
          </w:p>
        </w:tc>
        <w:tc>
          <w:tcPr>
            <w:tcW w:w="10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0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0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0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0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55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1"/>
                <w:sz w:val="18"/>
              </w:rPr>
              <w:t>469,593,364.00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100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right="3657"/>
        <w:jc w:val="left"/>
        <w:rPr>
          <w:b w:val="0"/>
          <w:bCs w:val="0"/>
        </w:rPr>
      </w:pPr>
      <w:r>
        <w:rPr>
          <w:rFonts w:ascii="Times New Roman" w:hAnsi="Times New Roman" w:cs="Times New Roman" w:eastAsia="Times New Roman" w:hint="default"/>
        </w:rPr>
        <w:t>29</w:t>
      </w:r>
      <w:r>
        <w:rPr/>
        <w:t>、资本公积</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278"/>
        <w:gridCol w:w="1594"/>
        <w:gridCol w:w="1594"/>
        <w:gridCol w:w="1594"/>
        <w:gridCol w:w="1594"/>
      </w:tblGrid>
      <w:tr>
        <w:trPr>
          <w:trHeight w:val="499" w:hRule="exact"/>
        </w:trPr>
        <w:tc>
          <w:tcPr>
            <w:tcW w:w="327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5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9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left="369"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94" w:hRule="exact"/>
        </w:trPr>
        <w:tc>
          <w:tcPr>
            <w:tcW w:w="3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115,155,126.78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115,155,126.78</w:t>
            </w:r>
          </w:p>
        </w:tc>
      </w:tr>
      <w:tr>
        <w:trPr>
          <w:trHeight w:val="490" w:hRule="exact"/>
        </w:trPr>
        <w:tc>
          <w:tcPr>
            <w:tcW w:w="3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宋体" w:hAnsi="宋体" w:cs="宋体" w:eastAsia="宋体" w:hint="default"/>
                <w:sz w:val="21"/>
                <w:szCs w:val="21"/>
              </w:rPr>
              <w:t>新准则前资本公积转入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176,817,628.11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176,817,628.11</w:t>
            </w:r>
          </w:p>
        </w:tc>
      </w:tr>
      <w:tr>
        <w:trPr>
          <w:trHeight w:val="490" w:hRule="exact"/>
        </w:trPr>
        <w:tc>
          <w:tcPr>
            <w:tcW w:w="3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可供出售金融资产公允价值变动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22,499,633.26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871,022.93</w:t>
            </w:r>
          </w:p>
        </w:tc>
        <w:tc>
          <w:tcPr>
            <w:tcW w:w="15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21,628,610.33</w:t>
            </w:r>
          </w:p>
        </w:tc>
      </w:tr>
      <w:tr>
        <w:trPr>
          <w:trHeight w:val="490" w:hRule="exact"/>
        </w:trPr>
        <w:tc>
          <w:tcPr>
            <w:tcW w:w="327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231,821.14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231,821.14</w:t>
            </w:r>
          </w:p>
        </w:tc>
      </w:tr>
      <w:tr>
        <w:trPr>
          <w:trHeight w:val="499" w:hRule="exact"/>
        </w:trPr>
        <w:tc>
          <w:tcPr>
            <w:tcW w:w="327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314,704,209.29</w:t>
            </w:r>
            <w:r>
              <w:rPr>
                <w:rFonts w:ascii="Times New Roman"/>
                <w:spacing w:val="-1"/>
                <w:sz w:val="21"/>
              </w:rPr>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871,022.93</w:t>
            </w:r>
            <w:r>
              <w:rPr>
                <w:rFonts w:ascii="Times New Roman"/>
                <w:sz w:val="21"/>
              </w:rPr>
            </w:r>
          </w:p>
        </w:tc>
        <w:tc>
          <w:tcPr>
            <w:tcW w:w="159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313,833,186.36</w:t>
            </w:r>
            <w:r>
              <w:rPr>
                <w:rFonts w:ascii="Times New Roman"/>
                <w:spacing w:val="-1"/>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15"/>
          <w:szCs w:val="15"/>
        </w:rPr>
      </w:pPr>
    </w:p>
    <w:p>
      <w:pPr>
        <w:pStyle w:val="Heading6"/>
        <w:spacing w:line="335" w:lineRule="exact"/>
        <w:ind w:right="3657"/>
        <w:jc w:val="left"/>
        <w:rPr>
          <w:b w:val="0"/>
          <w:bCs w:val="0"/>
        </w:rPr>
      </w:pPr>
      <w:r>
        <w:rPr>
          <w:rFonts w:ascii="Times New Roman" w:hAnsi="Times New Roman" w:cs="Times New Roman" w:eastAsia="Times New Roman" w:hint="default"/>
        </w:rPr>
        <w:t>30</w:t>
      </w:r>
      <w:r>
        <w:rPr/>
        <w:t>、盈余公积</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283"/>
        <w:gridCol w:w="1594"/>
        <w:gridCol w:w="1594"/>
        <w:gridCol w:w="1594"/>
        <w:gridCol w:w="1589"/>
      </w:tblGrid>
      <w:tr>
        <w:trPr>
          <w:trHeight w:val="499" w:hRule="exact"/>
        </w:trPr>
        <w:tc>
          <w:tcPr>
            <w:tcW w:w="328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right="1414"/>
              <w:jc w:val="right"/>
              <w:rPr>
                <w:rFonts w:ascii="宋体" w:hAnsi="宋体" w:cs="宋体" w:eastAsia="宋体" w:hint="default"/>
                <w:sz w:val="21"/>
                <w:szCs w:val="21"/>
              </w:rPr>
            </w:pPr>
            <w:r>
              <w:rPr>
                <w:rFonts w:ascii="宋体" w:hAnsi="宋体" w:cs="宋体" w:eastAsia="宋体" w:hint="default"/>
                <w:sz w:val="21"/>
                <w:szCs w:val="21"/>
              </w:rPr>
              <w:t>项目</w:t>
            </w:r>
          </w:p>
        </w:tc>
        <w:tc>
          <w:tcPr>
            <w:tcW w:w="15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5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8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left="364"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90" w:hRule="exact"/>
        </w:trPr>
        <w:tc>
          <w:tcPr>
            <w:tcW w:w="32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86,217,520.36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22,695,488.32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108,913,008.68</w:t>
            </w:r>
          </w:p>
        </w:tc>
      </w:tr>
      <w:tr>
        <w:trPr>
          <w:trHeight w:val="494" w:hRule="exact"/>
        </w:trPr>
        <w:tc>
          <w:tcPr>
            <w:tcW w:w="32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8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328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0"/>
              <w:ind w:right="1418"/>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86,217,520.36</w:t>
            </w:r>
            <w:r>
              <w:rPr>
                <w:rFonts w:ascii="Times New Roman"/>
                <w:sz w:val="21"/>
              </w:rPr>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22,695,488.32</w:t>
            </w:r>
            <w:r>
              <w:rPr>
                <w:rFonts w:ascii="Times New Roman"/>
                <w:sz w:val="21"/>
              </w:rPr>
            </w:r>
          </w:p>
        </w:tc>
        <w:tc>
          <w:tcPr>
            <w:tcW w:w="15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c>
          <w:tcPr>
            <w:tcW w:w="158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b/>
                <w:spacing w:val="-1"/>
                <w:sz w:val="21"/>
              </w:rPr>
              <w:t>108,913,008.68</w:t>
            </w:r>
            <w:r>
              <w:rPr>
                <w:rFonts w:ascii="Times New Roman"/>
                <w:spacing w:val="-1"/>
                <w:sz w:val="21"/>
              </w:rPr>
            </w:r>
          </w:p>
        </w:tc>
      </w:tr>
    </w:tbl>
    <w:p>
      <w:pPr>
        <w:spacing w:line="240" w:lineRule="auto" w:before="6"/>
        <w:rPr>
          <w:rFonts w:ascii="Microsoft JhengHei" w:hAnsi="Microsoft JhengHei" w:cs="Microsoft JhengHei" w:eastAsia="Microsoft JhengHei" w:hint="default"/>
          <w:b/>
          <w:bCs/>
          <w:sz w:val="8"/>
          <w:szCs w:val="8"/>
        </w:rPr>
      </w:pPr>
    </w:p>
    <w:p>
      <w:pPr>
        <w:pStyle w:val="BodyText"/>
        <w:spacing w:line="240" w:lineRule="auto" w:before="36"/>
        <w:ind w:left="575" w:right="0"/>
        <w:jc w:val="left"/>
      </w:pPr>
      <w:r>
        <w:rPr/>
        <w:t>本期增加的法定盈余公积为公司本期按公司章程计提的法定盈余公积。</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pStyle w:val="Heading6"/>
        <w:spacing w:line="240" w:lineRule="auto"/>
        <w:ind w:right="3657"/>
        <w:jc w:val="left"/>
        <w:rPr>
          <w:b w:val="0"/>
          <w:bCs w:val="0"/>
        </w:rPr>
      </w:pPr>
      <w:r>
        <w:rPr>
          <w:rFonts w:ascii="Times New Roman" w:hAnsi="Times New Roman" w:cs="Times New Roman" w:eastAsia="Times New Roman" w:hint="default"/>
        </w:rPr>
        <w:t>31</w:t>
      </w:r>
      <w:r>
        <w:rPr/>
        <w:t>、未分配利润</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926"/>
        <w:gridCol w:w="1910"/>
        <w:gridCol w:w="1906"/>
        <w:gridCol w:w="1910"/>
      </w:tblGrid>
      <w:tr>
        <w:trPr>
          <w:trHeight w:val="499" w:hRule="exact"/>
        </w:trPr>
        <w:tc>
          <w:tcPr>
            <w:tcW w:w="39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4" w:right="0"/>
              <w:jc w:val="center"/>
              <w:rPr>
                <w:rFonts w:ascii="宋体" w:hAnsi="宋体" w:cs="宋体" w:eastAsia="宋体" w:hint="default"/>
                <w:sz w:val="21"/>
                <w:szCs w:val="21"/>
              </w:rPr>
            </w:pPr>
            <w:r>
              <w:rPr>
                <w:rFonts w:ascii="宋体" w:hAnsi="宋体" w:cs="宋体" w:eastAsia="宋体" w:hint="default"/>
                <w:sz w:val="21"/>
                <w:szCs w:val="21"/>
              </w:rPr>
              <w:t>提取或分配比例</w:t>
            </w:r>
          </w:p>
        </w:tc>
        <w:tc>
          <w:tcPr>
            <w:tcW w:w="190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523"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left="52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上期末未分配利润</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125,302,709.63</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-153,665,128.53</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加：年初未分配利润调整数</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12,674,364.39</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本期年初未分配利润</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125,302,709.63</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-140,990,764.14</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加：盈余公积弥补亏损</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153,665,128.53</w:t>
            </w:r>
          </w:p>
        </w:tc>
      </w:tr>
      <w:tr>
        <w:trPr>
          <w:trHeight w:val="494"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37" w:right="0"/>
              <w:jc w:val="left"/>
              <w:rPr>
                <w:rFonts w:ascii="宋体" w:hAnsi="宋体" w:cs="宋体" w:eastAsia="宋体" w:hint="default"/>
                <w:sz w:val="21"/>
                <w:szCs w:val="21"/>
              </w:rPr>
            </w:pPr>
            <w:r>
              <w:rPr>
                <w:rFonts w:ascii="宋体" w:hAnsi="宋体" w:cs="宋体" w:eastAsia="宋体" w:hint="default"/>
                <w:sz w:val="21"/>
                <w:szCs w:val="21"/>
              </w:rPr>
              <w:t>本期归属于母公司股东的净利润</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193,932,203.55</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140,080,654.63</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10%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22,695,488.32</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27,452,309.39</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14,087,800.92</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39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w w:val="100"/>
                <w:sz w:val="21"/>
              </w:rPr>
              <w:t>-</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191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39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12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期末未分配利润</w:t>
            </w:r>
            <w:r>
              <w:rPr>
                <w:rFonts w:ascii="Microsoft JhengHei" w:hAnsi="Microsoft JhengHei" w:cs="Microsoft JhengHei" w:eastAsia="Microsoft JhengHei" w:hint="default"/>
                <w:sz w:val="21"/>
                <w:szCs w:val="21"/>
              </w:rPr>
            </w:r>
          </w:p>
        </w:tc>
        <w:tc>
          <w:tcPr>
            <w:tcW w:w="1910" w:type="dxa"/>
            <w:tcBorders>
              <w:top w:val="single" w:sz="4" w:space="0" w:color="000000"/>
              <w:left w:val="single" w:sz="4" w:space="0" w:color="000000"/>
              <w:bottom w:val="single" w:sz="12" w:space="0" w:color="000000"/>
              <w:right w:val="single" w:sz="4" w:space="0" w:color="000000"/>
            </w:tcBorders>
          </w:tcPr>
          <w:p>
            <w:pPr/>
          </w:p>
        </w:tc>
        <w:tc>
          <w:tcPr>
            <w:tcW w:w="19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282,451,623.94</w:t>
            </w:r>
            <w:r>
              <w:rPr>
                <w:rFonts w:ascii="Times New Roman"/>
                <w:spacing w:val="-1"/>
                <w:sz w:val="21"/>
              </w:rPr>
            </w:r>
          </w:p>
        </w:tc>
        <w:tc>
          <w:tcPr>
            <w:tcW w:w="19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125,302,709.63</w:t>
            </w:r>
            <w:r>
              <w:rPr>
                <w:rFonts w:ascii="Times New Roman"/>
                <w:spacing w:val="-1"/>
                <w:sz w:val="21"/>
              </w:rPr>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0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right="3657"/>
        <w:jc w:val="left"/>
        <w:rPr>
          <w:b w:val="0"/>
          <w:bCs w:val="0"/>
        </w:rPr>
      </w:pPr>
      <w:r>
        <w:rPr>
          <w:rFonts w:ascii="Times New Roman" w:hAnsi="Times New Roman" w:cs="Times New Roman" w:eastAsia="Times New Roman" w:hint="default"/>
        </w:rPr>
        <w:t>32</w:t>
      </w:r>
      <w:r>
        <w:rPr/>
        <w:t>、营业收入和营业成本</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3657"/>
        <w:jc w:val="left"/>
      </w:pPr>
      <w:r>
        <w:rPr/>
        <w:t>（</w:t>
      </w:r>
      <w:r>
        <w:rPr>
          <w:rFonts w:ascii="Times New Roman" w:hAnsi="Times New Roman" w:cs="Times New Roman" w:eastAsia="Times New Roman" w:hint="default"/>
        </w:rPr>
        <w:t>1</w:t>
      </w:r>
      <w:r>
        <w:rPr/>
        <w:t>）营业收入和营业成本</w:t>
      </w:r>
    </w:p>
    <w:tbl>
      <w:tblPr>
        <w:tblW w:w="0" w:type="auto"/>
        <w:jc w:val="left"/>
        <w:tblInd w:w="123" w:type="dxa"/>
        <w:tblLayout w:type="fixed"/>
        <w:tblCellMar>
          <w:top w:w="0" w:type="dxa"/>
          <w:left w:w="0" w:type="dxa"/>
          <w:bottom w:w="0" w:type="dxa"/>
          <w:right w:w="0" w:type="dxa"/>
        </w:tblCellMar>
        <w:tblLook w:val="01E0"/>
      </w:tblPr>
      <w:tblGrid>
        <w:gridCol w:w="3226"/>
        <w:gridCol w:w="3216"/>
        <w:gridCol w:w="3211"/>
      </w:tblGrid>
      <w:tr>
        <w:trPr>
          <w:trHeight w:val="523" w:hRule="exact"/>
        </w:trPr>
        <w:tc>
          <w:tcPr>
            <w:tcW w:w="32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21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793,553,824.28</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738,212,021.00</w:t>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67,332,921.86</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79,157,580.45</w:t>
            </w:r>
          </w:p>
        </w:tc>
      </w:tr>
      <w:tr>
        <w:trPr>
          <w:trHeight w:val="514"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right="963"/>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营业收入合计</w:t>
            </w:r>
            <w:r>
              <w:rPr>
                <w:rFonts w:ascii="Microsoft JhengHei" w:hAnsi="Microsoft JhengHei" w:cs="Microsoft JhengHei" w:eastAsia="Microsoft JhengHei" w:hint="default"/>
                <w:sz w:val="21"/>
                <w:szCs w:val="21"/>
              </w:rPr>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860,886,746.14</w:t>
            </w:r>
            <w:r>
              <w:rPr>
                <w:rFonts w:ascii="Times New Roman"/>
                <w:spacing w:val="-1"/>
                <w:sz w:val="21"/>
              </w:rPr>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b/>
                <w:spacing w:val="-1"/>
                <w:sz w:val="21"/>
              </w:rPr>
              <w:t>817,369,601.45</w:t>
            </w:r>
            <w:r>
              <w:rPr>
                <w:rFonts w:ascii="Times New Roman"/>
                <w:spacing w:val="-1"/>
                <w:sz w:val="21"/>
              </w:rPr>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331,748,944.57</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490,576,170.60</w:t>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50,172,355.91</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50,699,050.59</w:t>
            </w:r>
          </w:p>
        </w:tc>
      </w:tr>
      <w:tr>
        <w:trPr>
          <w:trHeight w:val="523" w:hRule="exact"/>
        </w:trPr>
        <w:tc>
          <w:tcPr>
            <w:tcW w:w="32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963"/>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营业成本合计</w:t>
            </w:r>
            <w:r>
              <w:rPr>
                <w:rFonts w:ascii="Microsoft JhengHei" w:hAnsi="Microsoft JhengHei" w:cs="Microsoft JhengHei" w:eastAsia="Microsoft JhengHei" w:hint="default"/>
                <w:sz w:val="21"/>
                <w:szCs w:val="21"/>
              </w:rPr>
            </w:r>
          </w:p>
        </w:tc>
        <w:tc>
          <w:tcPr>
            <w:tcW w:w="32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381,921,300.48</w:t>
            </w:r>
            <w:r>
              <w:rPr>
                <w:rFonts w:ascii="Times New Roman"/>
                <w:spacing w:val="-1"/>
                <w:sz w:val="21"/>
              </w:rPr>
            </w:r>
          </w:p>
        </w:tc>
        <w:tc>
          <w:tcPr>
            <w:tcW w:w="32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b/>
                <w:spacing w:val="-1"/>
                <w:sz w:val="21"/>
              </w:rPr>
              <w:t>541,275,221.19</w:t>
            </w:r>
            <w:r>
              <w:rPr>
                <w:rFonts w:ascii="Times New Roman"/>
                <w:spacing w:val="-1"/>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75" w:right="3657"/>
        <w:jc w:val="left"/>
      </w:pPr>
      <w:r>
        <w:rPr/>
        <w:t>（</w:t>
      </w:r>
      <w:r>
        <w:rPr>
          <w:rFonts w:ascii="Times New Roman" w:hAnsi="Times New Roman" w:cs="Times New Roman" w:eastAsia="Times New Roman" w:hint="default"/>
        </w:rPr>
        <w:t>2</w:t>
      </w:r>
      <w:r>
        <w:rPr/>
        <w:t>）营业收入（分行业）</w:t>
      </w:r>
    </w:p>
    <w:tbl>
      <w:tblPr>
        <w:tblW w:w="0" w:type="auto"/>
        <w:jc w:val="left"/>
        <w:tblInd w:w="123" w:type="dxa"/>
        <w:tblLayout w:type="fixed"/>
        <w:tblCellMar>
          <w:top w:w="0" w:type="dxa"/>
          <w:left w:w="0" w:type="dxa"/>
          <w:bottom w:w="0" w:type="dxa"/>
          <w:right w:w="0" w:type="dxa"/>
        </w:tblCellMar>
        <w:tblLook w:val="01E0"/>
      </w:tblPr>
      <w:tblGrid>
        <w:gridCol w:w="1915"/>
        <w:gridCol w:w="1901"/>
        <w:gridCol w:w="1901"/>
        <w:gridCol w:w="1896"/>
        <w:gridCol w:w="1901"/>
      </w:tblGrid>
      <w:tr>
        <w:trPr>
          <w:trHeight w:val="518" w:hRule="exact"/>
        </w:trPr>
        <w:tc>
          <w:tcPr>
            <w:tcW w:w="1915"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9" w:right="0"/>
              <w:jc w:val="center"/>
              <w:rPr>
                <w:rFonts w:ascii="宋体" w:hAnsi="宋体" w:cs="宋体" w:eastAsia="宋体" w:hint="default"/>
                <w:sz w:val="21"/>
                <w:szCs w:val="21"/>
              </w:rPr>
            </w:pPr>
            <w:r>
              <w:rPr>
                <w:rFonts w:ascii="宋体" w:hAnsi="宋体" w:cs="宋体" w:eastAsia="宋体" w:hint="default"/>
                <w:sz w:val="21"/>
                <w:szCs w:val="21"/>
              </w:rPr>
              <w:t>行业</w:t>
            </w:r>
          </w:p>
        </w:tc>
        <w:tc>
          <w:tcPr>
            <w:tcW w:w="3802"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797"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1915" w:type="dxa"/>
            <w:vMerge/>
            <w:tcBorders>
              <w:left w:val="nil" w:sz="6" w:space="0" w:color="auto"/>
              <w:bottom w:val="single" w:sz="4" w:space="0" w:color="000000"/>
              <w:right w:val="single" w:sz="4" w:space="0" w:color="000000"/>
            </w:tcBorders>
          </w:tcPr>
          <w:p>
            <w:pP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2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514"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房地产销售</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793,553,824.28</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331,748,944.57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738,212,021.00</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490,576,170.60</w:t>
            </w:r>
          </w:p>
        </w:tc>
      </w:tr>
      <w:tr>
        <w:trPr>
          <w:trHeight w:val="509"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房地产租赁</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25,679,893.59</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14,366,044.35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26,285,706.71</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12,631,356.94</w:t>
            </w:r>
          </w:p>
        </w:tc>
      </w:tr>
      <w:tr>
        <w:trPr>
          <w:trHeight w:val="509"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物业管理</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44,965,702.72</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37,708,376.26</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46,921,494.91</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35,634,552.65</w:t>
            </w:r>
          </w:p>
        </w:tc>
      </w:tr>
      <w:tr>
        <w:trPr>
          <w:trHeight w:val="509"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13,405,746.39</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8,311,051.16</w:t>
            </w:r>
          </w:p>
        </w:tc>
      </w:tr>
      <w:tr>
        <w:trPr>
          <w:trHeight w:val="514"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业务间抵销</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-3,312,674.45</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-1,902,064.7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-7,455,367.56</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-5,877,910.16</w:t>
            </w:r>
          </w:p>
        </w:tc>
      </w:tr>
      <w:tr>
        <w:trPr>
          <w:trHeight w:val="518" w:hRule="exact"/>
        </w:trPr>
        <w:tc>
          <w:tcPr>
            <w:tcW w:w="191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860,886,746.14</w:t>
            </w:r>
            <w:r>
              <w:rPr>
                <w:rFonts w:ascii="Times New Roman"/>
                <w:spacing w:val="-1"/>
                <w:sz w:val="21"/>
              </w:rPr>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381,921,300.48</w:t>
            </w:r>
            <w:r>
              <w:rPr>
                <w:rFonts w:ascii="Times New Roman"/>
                <w:spacing w:val="-1"/>
                <w:sz w:val="21"/>
              </w:rPr>
            </w:r>
          </w:p>
        </w:tc>
        <w:tc>
          <w:tcPr>
            <w:tcW w:w="18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817,369,601.45</w:t>
            </w:r>
            <w:r>
              <w:rPr>
                <w:rFonts w:ascii="Times New Roman"/>
                <w:spacing w:val="-1"/>
                <w:sz w:val="21"/>
              </w:rPr>
            </w:r>
          </w:p>
        </w:tc>
        <w:tc>
          <w:tcPr>
            <w:tcW w:w="190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541,275,221.19</w:t>
            </w:r>
            <w:r>
              <w:rPr>
                <w:rFonts w:ascii="Times New Roman"/>
                <w:spacing w:val="-1"/>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3</w:t>
      </w:r>
      <w:r>
        <w:rPr/>
        <w:t>）营业收入（分地区）</w:t>
      </w:r>
    </w:p>
    <w:tbl>
      <w:tblPr>
        <w:tblW w:w="0" w:type="auto"/>
        <w:jc w:val="left"/>
        <w:tblInd w:w="123" w:type="dxa"/>
        <w:tblLayout w:type="fixed"/>
        <w:tblCellMar>
          <w:top w:w="0" w:type="dxa"/>
          <w:left w:w="0" w:type="dxa"/>
          <w:bottom w:w="0" w:type="dxa"/>
          <w:right w:w="0" w:type="dxa"/>
        </w:tblCellMar>
        <w:tblLook w:val="01E0"/>
      </w:tblPr>
      <w:tblGrid>
        <w:gridCol w:w="1915"/>
        <w:gridCol w:w="1901"/>
        <w:gridCol w:w="1901"/>
        <w:gridCol w:w="1896"/>
        <w:gridCol w:w="1901"/>
      </w:tblGrid>
      <w:tr>
        <w:trPr>
          <w:trHeight w:val="523" w:hRule="exact"/>
        </w:trPr>
        <w:tc>
          <w:tcPr>
            <w:tcW w:w="1915"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9" w:right="0"/>
              <w:jc w:val="center"/>
              <w:rPr>
                <w:rFonts w:ascii="宋体" w:hAnsi="宋体" w:cs="宋体" w:eastAsia="宋体" w:hint="default"/>
                <w:sz w:val="21"/>
                <w:szCs w:val="21"/>
              </w:rPr>
            </w:pPr>
            <w:r>
              <w:rPr>
                <w:rFonts w:ascii="宋体" w:hAnsi="宋体" w:cs="宋体" w:eastAsia="宋体" w:hint="default"/>
                <w:sz w:val="21"/>
                <w:szCs w:val="21"/>
              </w:rPr>
              <w:t>地区</w:t>
            </w:r>
          </w:p>
        </w:tc>
        <w:tc>
          <w:tcPr>
            <w:tcW w:w="3802"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797"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1915" w:type="dxa"/>
            <w:vMerge/>
            <w:tcBorders>
              <w:left w:val="nil" w:sz="6" w:space="0" w:color="auto"/>
              <w:bottom w:val="single" w:sz="4" w:space="0" w:color="000000"/>
              <w:right w:val="single" w:sz="4" w:space="0" w:color="000000"/>
            </w:tcBorders>
          </w:tcPr>
          <w:p>
            <w:pP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1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23"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509"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广东地区</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sz w:val="21"/>
              </w:rPr>
              <w:t>396,304,745.14</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sz w:val="21"/>
              </w:rPr>
              <w:t>132,054,943.87</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sz w:val="21"/>
              </w:rPr>
              <w:t>212,689,576.45</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80" w:right="0"/>
              <w:jc w:val="left"/>
              <w:rPr>
                <w:rFonts w:ascii="Times New Roman" w:hAnsi="Times New Roman" w:cs="Times New Roman" w:eastAsia="Times New Roman" w:hint="default"/>
                <w:sz w:val="21"/>
                <w:szCs w:val="21"/>
              </w:rPr>
            </w:pPr>
            <w:r>
              <w:rPr>
                <w:rFonts w:ascii="Times New Roman"/>
                <w:sz w:val="21"/>
              </w:rPr>
              <w:t>127,205,211.44</w:t>
            </w:r>
          </w:p>
        </w:tc>
      </w:tr>
      <w:tr>
        <w:trPr>
          <w:trHeight w:val="509" w:hRule="exact"/>
        </w:trPr>
        <w:tc>
          <w:tcPr>
            <w:tcW w:w="191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西安地区</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sz w:val="21"/>
              </w:rPr>
              <w:t>464,582,001.00</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sz w:val="21"/>
              </w:rPr>
              <w:t>249,866,356.61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sz w:val="21"/>
              </w:rPr>
              <w:t>604,680,025.00</w:t>
            </w:r>
          </w:p>
        </w:tc>
        <w:tc>
          <w:tcPr>
            <w:tcW w:w="190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75" w:right="0"/>
              <w:jc w:val="left"/>
              <w:rPr>
                <w:rFonts w:ascii="Times New Roman" w:hAnsi="Times New Roman" w:cs="Times New Roman" w:eastAsia="Times New Roman" w:hint="default"/>
                <w:sz w:val="21"/>
                <w:szCs w:val="21"/>
              </w:rPr>
            </w:pPr>
            <w:r>
              <w:rPr>
                <w:rFonts w:ascii="Times New Roman"/>
                <w:sz w:val="21"/>
              </w:rPr>
              <w:t>414,070,009.75</w:t>
            </w:r>
          </w:p>
        </w:tc>
      </w:tr>
      <w:tr>
        <w:trPr>
          <w:trHeight w:val="523" w:hRule="exact"/>
        </w:trPr>
        <w:tc>
          <w:tcPr>
            <w:tcW w:w="191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b/>
                <w:sz w:val="21"/>
              </w:rPr>
              <w:t>860,886,746.14</w:t>
            </w:r>
            <w:r>
              <w:rPr>
                <w:rFonts w:ascii="Times New Roman"/>
                <w:sz w:val="21"/>
              </w:rPr>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b/>
                <w:sz w:val="21"/>
              </w:rPr>
              <w:t>381,921,300.48</w:t>
            </w:r>
            <w:r>
              <w:rPr>
                <w:rFonts w:ascii="Times New Roman"/>
                <w:sz w:val="21"/>
              </w:rPr>
            </w:r>
          </w:p>
        </w:tc>
        <w:tc>
          <w:tcPr>
            <w:tcW w:w="18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70" w:right="0"/>
              <w:jc w:val="left"/>
              <w:rPr>
                <w:rFonts w:ascii="Times New Roman" w:hAnsi="Times New Roman" w:cs="Times New Roman" w:eastAsia="Times New Roman" w:hint="default"/>
                <w:sz w:val="21"/>
                <w:szCs w:val="21"/>
              </w:rPr>
            </w:pPr>
            <w:r>
              <w:rPr>
                <w:rFonts w:ascii="Times New Roman"/>
                <w:b/>
                <w:sz w:val="21"/>
              </w:rPr>
              <w:t>817,369,601.45</w:t>
            </w:r>
            <w:r>
              <w:rPr>
                <w:rFonts w:ascii="Times New Roman"/>
                <w:sz w:val="21"/>
              </w:rPr>
            </w:r>
          </w:p>
        </w:tc>
        <w:tc>
          <w:tcPr>
            <w:tcW w:w="190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75" w:right="0"/>
              <w:jc w:val="left"/>
              <w:rPr>
                <w:rFonts w:ascii="Times New Roman" w:hAnsi="Times New Roman" w:cs="Times New Roman" w:eastAsia="Times New Roman" w:hint="default"/>
                <w:sz w:val="21"/>
                <w:szCs w:val="21"/>
              </w:rPr>
            </w:pPr>
            <w:r>
              <w:rPr>
                <w:rFonts w:ascii="Times New Roman"/>
                <w:b/>
                <w:sz w:val="21"/>
              </w:rPr>
              <w:t>541,275,221.19</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4</w:t>
      </w:r>
      <w:r>
        <w:rPr/>
        <w:t>）前五名客户的营业收入情况</w:t>
      </w:r>
    </w:p>
    <w:tbl>
      <w:tblPr>
        <w:tblW w:w="0" w:type="auto"/>
        <w:jc w:val="left"/>
        <w:tblInd w:w="123" w:type="dxa"/>
        <w:tblLayout w:type="fixed"/>
        <w:tblCellMar>
          <w:top w:w="0" w:type="dxa"/>
          <w:left w:w="0" w:type="dxa"/>
          <w:bottom w:w="0" w:type="dxa"/>
          <w:right w:w="0" w:type="dxa"/>
        </w:tblCellMar>
        <w:tblLook w:val="01E0"/>
      </w:tblPr>
      <w:tblGrid>
        <w:gridCol w:w="3701"/>
        <w:gridCol w:w="2645"/>
        <w:gridCol w:w="3168"/>
      </w:tblGrid>
      <w:tr>
        <w:trPr>
          <w:trHeight w:val="523" w:hRule="exact"/>
        </w:trPr>
        <w:tc>
          <w:tcPr>
            <w:tcW w:w="37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6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518" w:hRule="exact"/>
        </w:trPr>
        <w:tc>
          <w:tcPr>
            <w:tcW w:w="37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深圳市富锦昌贸易有限公司</w:t>
            </w:r>
          </w:p>
        </w:tc>
        <w:tc>
          <w:tcPr>
            <w:tcW w:w="26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214" w:right="0"/>
              <w:jc w:val="left"/>
              <w:rPr>
                <w:rFonts w:ascii="Times New Roman" w:hAnsi="Times New Roman" w:cs="Times New Roman" w:eastAsia="Times New Roman" w:hint="default"/>
                <w:sz w:val="21"/>
                <w:szCs w:val="21"/>
              </w:rPr>
            </w:pPr>
            <w:r>
              <w:rPr>
                <w:rFonts w:ascii="Times New Roman"/>
                <w:sz w:val="21"/>
              </w:rPr>
              <w:t>151,005,980.00</w:t>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17.54%</w:t>
            </w:r>
          </w:p>
        </w:tc>
      </w:tr>
    </w:tbl>
    <w:p>
      <w:pPr>
        <w:spacing w:after="0" w:line="240" w:lineRule="auto"/>
        <w:jc w:val="center"/>
        <w:rPr>
          <w:rFonts w:ascii="Times New Roman" w:hAnsi="Times New Roman" w:cs="Times New Roman" w:eastAsia="Times New Roman" w:hint="default"/>
          <w:sz w:val="21"/>
          <w:szCs w:val="21"/>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3701"/>
        <w:gridCol w:w="2645"/>
        <w:gridCol w:w="3168"/>
      </w:tblGrid>
      <w:tr>
        <w:trPr>
          <w:trHeight w:val="518" w:hRule="exact"/>
        </w:trPr>
        <w:tc>
          <w:tcPr>
            <w:tcW w:w="37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64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514"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深圳市恒信奥特投资发展有限公司</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108,312,932.28</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12.58%</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厦门市恒信网元通信技术有限公司</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35,524,480.00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4.13%</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自然人（购房款）</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31,500,000.00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3.66%</w:t>
            </w:r>
          </w:p>
        </w:tc>
      </w:tr>
      <w:tr>
        <w:trPr>
          <w:trHeight w:val="509" w:hRule="exact"/>
        </w:trPr>
        <w:tc>
          <w:tcPr>
            <w:tcW w:w="37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自然人（购房款）</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16,839,703.00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1.95%</w:t>
            </w:r>
          </w:p>
        </w:tc>
      </w:tr>
      <w:tr>
        <w:trPr>
          <w:trHeight w:val="523" w:hRule="exact"/>
        </w:trPr>
        <w:tc>
          <w:tcPr>
            <w:tcW w:w="37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6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343,183,095.28</w:t>
            </w:r>
            <w:r>
              <w:rPr>
                <w:rFonts w:ascii="Times New Roman"/>
                <w:spacing w:val="-1"/>
                <w:sz w:val="21"/>
              </w:rPr>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b/>
                <w:sz w:val="21"/>
              </w:rPr>
              <w:t>39.86%</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00"/>
        <w:ind w:right="101"/>
        <w:jc w:val="left"/>
        <w:rPr>
          <w:b w:val="0"/>
          <w:bCs w:val="0"/>
        </w:rPr>
      </w:pPr>
      <w:r>
        <w:rPr>
          <w:rFonts w:ascii="Times New Roman" w:hAnsi="Times New Roman" w:cs="Times New Roman" w:eastAsia="Times New Roman" w:hint="default"/>
        </w:rPr>
        <w:t>33</w:t>
      </w:r>
      <w:r>
        <w:rPr/>
        <w:t>、营业税金及附加</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2390"/>
        <w:gridCol w:w="2376"/>
        <w:gridCol w:w="2371"/>
        <w:gridCol w:w="2376"/>
      </w:tblGrid>
      <w:tr>
        <w:trPr>
          <w:trHeight w:val="523" w:hRule="exact"/>
        </w:trPr>
        <w:tc>
          <w:tcPr>
            <w:tcW w:w="2390"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3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计缴标准</w:t>
            </w:r>
          </w:p>
        </w:tc>
        <w:tc>
          <w:tcPr>
            <w:tcW w:w="237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758"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376"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763"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5%</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42,762,770.27</w:t>
            </w:r>
          </w:p>
        </w:tc>
        <w:tc>
          <w:tcPr>
            <w:tcW w:w="23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40,359,752.75</w:t>
            </w:r>
          </w:p>
        </w:tc>
      </w:tr>
      <w:tr>
        <w:trPr>
          <w:trHeight w:val="509"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7%</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2,989,923.23</w:t>
            </w:r>
          </w:p>
        </w:tc>
        <w:tc>
          <w:tcPr>
            <w:tcW w:w="23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2,846,622.09</w:t>
            </w:r>
          </w:p>
        </w:tc>
      </w:tr>
      <w:tr>
        <w:trPr>
          <w:trHeight w:val="509"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sz w:val="21"/>
              </w:rPr>
              <w:t>5%</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2,147,476.61</w:t>
            </w:r>
          </w:p>
        </w:tc>
        <w:tc>
          <w:tcPr>
            <w:tcW w:w="23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2,040,933.57</w:t>
            </w:r>
          </w:p>
        </w:tc>
      </w:tr>
      <w:tr>
        <w:trPr>
          <w:trHeight w:val="514"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土地增值税</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超率累进税率</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109,546,553.67</w:t>
            </w:r>
          </w:p>
        </w:tc>
        <w:tc>
          <w:tcPr>
            <w:tcW w:w="23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21,083,251.37</w:t>
            </w:r>
          </w:p>
        </w:tc>
      </w:tr>
      <w:tr>
        <w:trPr>
          <w:trHeight w:val="509" w:hRule="exact"/>
        </w:trPr>
        <w:tc>
          <w:tcPr>
            <w:tcW w:w="2390"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
              <w:jc w:val="center"/>
              <w:rPr>
                <w:rFonts w:ascii="Times New Roman" w:hAnsi="Times New Roman" w:cs="Times New Roman" w:eastAsia="Times New Roman" w:hint="default"/>
                <w:sz w:val="21"/>
                <w:szCs w:val="21"/>
              </w:rPr>
            </w:pPr>
            <w:r>
              <w:rPr>
                <w:rFonts w:ascii="Times New Roman"/>
                <w:w w:val="100"/>
                <w:sz w:val="21"/>
              </w:rPr>
              <w:t>-</w:t>
            </w:r>
          </w:p>
        </w:tc>
        <w:tc>
          <w:tcPr>
            <w:tcW w:w="2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56,958.52</w:t>
            </w:r>
          </w:p>
        </w:tc>
        <w:tc>
          <w:tcPr>
            <w:tcW w:w="23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434,584.52</w:t>
            </w:r>
          </w:p>
        </w:tc>
      </w:tr>
      <w:tr>
        <w:trPr>
          <w:trHeight w:val="518" w:hRule="exact"/>
        </w:trPr>
        <w:tc>
          <w:tcPr>
            <w:tcW w:w="2390"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376" w:type="dxa"/>
            <w:tcBorders>
              <w:top w:val="single" w:sz="4" w:space="0" w:color="000000"/>
              <w:left w:val="single" w:sz="4" w:space="0" w:color="000000"/>
              <w:bottom w:val="single" w:sz="12" w:space="0" w:color="000000"/>
              <w:right w:val="single" w:sz="4" w:space="0" w:color="000000"/>
            </w:tcBorders>
          </w:tcPr>
          <w:p>
            <w:pPr/>
          </w:p>
        </w:tc>
        <w:tc>
          <w:tcPr>
            <w:tcW w:w="237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157,503,682.30</w:t>
            </w:r>
            <w:r>
              <w:rPr>
                <w:rFonts w:ascii="Times New Roman"/>
                <w:spacing w:val="-1"/>
                <w:sz w:val="21"/>
              </w:rPr>
            </w:r>
          </w:p>
        </w:tc>
        <w:tc>
          <w:tcPr>
            <w:tcW w:w="237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66,765,144.30</w:t>
            </w:r>
            <w:r>
              <w:rPr>
                <w:rFonts w:ascii="Times New Roman"/>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18"/>
          <w:szCs w:val="18"/>
        </w:rPr>
      </w:pPr>
    </w:p>
    <w:p>
      <w:pPr>
        <w:pStyle w:val="Heading6"/>
        <w:spacing w:line="335" w:lineRule="exact"/>
        <w:ind w:right="101"/>
        <w:jc w:val="left"/>
        <w:rPr>
          <w:b w:val="0"/>
          <w:bCs w:val="0"/>
        </w:rPr>
      </w:pPr>
      <w:r>
        <w:rPr>
          <w:rFonts w:ascii="Times New Roman" w:hAnsi="Times New Roman" w:cs="Times New Roman" w:eastAsia="Times New Roman" w:hint="default"/>
        </w:rPr>
        <w:t>34</w:t>
      </w:r>
      <w:r>
        <w:rPr/>
        <w:t>、销售费用</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182"/>
        <w:gridCol w:w="3163"/>
        <w:gridCol w:w="3168"/>
      </w:tblGrid>
      <w:tr>
        <w:trPr>
          <w:trHeight w:val="518" w:hRule="exact"/>
        </w:trPr>
        <w:tc>
          <w:tcPr>
            <w:tcW w:w="318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工资性薪酬</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672,584.75</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44,242.53</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103,024.19</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101,687.77</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497.42</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141,096.52</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产权登记费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107,287.00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195,169.77</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46,617.30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113,660.00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42,098.01</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23" w:hRule="exact"/>
        </w:trPr>
        <w:tc>
          <w:tcPr>
            <w:tcW w:w="3182"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118,200.00</w:t>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2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3182"/>
        <w:gridCol w:w="3163"/>
        <w:gridCol w:w="3168"/>
      </w:tblGrid>
      <w:tr>
        <w:trPr>
          <w:trHeight w:val="518" w:hRule="exact"/>
        </w:trPr>
        <w:tc>
          <w:tcPr>
            <w:tcW w:w="318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366"/>
              <w:jc w:val="right"/>
              <w:rPr>
                <w:rFonts w:ascii="宋体" w:hAnsi="宋体" w:cs="宋体" w:eastAsia="宋体" w:hint="default"/>
                <w:sz w:val="21"/>
                <w:szCs w:val="21"/>
              </w:rPr>
            </w:pPr>
            <w:r>
              <w:rPr>
                <w:rFonts w:ascii="宋体" w:hAnsi="宋体" w:cs="宋体" w:eastAsia="宋体" w:hint="default"/>
                <w:sz w:val="21"/>
                <w:szCs w:val="21"/>
              </w:rPr>
              <w:t>项目</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广告宣传费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14,459,011.60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3,294,839.00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咨询服务费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145,000.00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17,000.00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销售代理费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4,987,679.90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2,960,369.20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展览费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91"/>
              <w:jc w:val="right"/>
              <w:rPr>
                <w:rFonts w:ascii="Times New Roman" w:hAnsi="Times New Roman" w:cs="Times New Roman" w:eastAsia="Times New Roman" w:hint="default"/>
                <w:sz w:val="21"/>
                <w:szCs w:val="21"/>
              </w:rPr>
            </w:pPr>
            <w:r>
              <w:rPr>
                <w:rFonts w:ascii="Times New Roman"/>
                <w:w w:val="100"/>
                <w:sz w:val="21"/>
              </w:rPr>
              <w:t>-</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25,603.55</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324,219.62</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8" w:hRule="exact"/>
        </w:trPr>
        <w:tc>
          <w:tcPr>
            <w:tcW w:w="318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36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21,510,719.13</w:t>
            </w:r>
            <w:r>
              <w:rPr>
                <w:rFonts w:ascii="Times New Roman"/>
                <w:sz w:val="21"/>
              </w:rPr>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6,389,169.00</w:t>
            </w:r>
            <w:r>
              <w:rPr>
                <w:rFonts w:ascii="Times New Roman"/>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17"/>
          <w:szCs w:val="17"/>
        </w:rPr>
      </w:pPr>
    </w:p>
    <w:p>
      <w:pPr>
        <w:pStyle w:val="Heading6"/>
        <w:spacing w:line="335" w:lineRule="exact"/>
        <w:ind w:right="101"/>
        <w:jc w:val="left"/>
        <w:rPr>
          <w:b w:val="0"/>
          <w:bCs w:val="0"/>
        </w:rPr>
      </w:pPr>
      <w:r>
        <w:rPr>
          <w:rFonts w:ascii="Times New Roman" w:hAnsi="Times New Roman" w:cs="Times New Roman" w:eastAsia="Times New Roman" w:hint="default"/>
        </w:rPr>
        <w:t>35</w:t>
      </w:r>
      <w:r>
        <w:rPr/>
        <w:t>、管理费用</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182"/>
        <w:gridCol w:w="3163"/>
        <w:gridCol w:w="3168"/>
      </w:tblGrid>
      <w:tr>
        <w:trPr>
          <w:trHeight w:val="518" w:hRule="exact"/>
        </w:trPr>
        <w:tc>
          <w:tcPr>
            <w:tcW w:w="318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0"/>
                <w:szCs w:val="10"/>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工资性薪酬</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40,467,486.05</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31,968,526.29</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956,500.15</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1,137,975.53</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5,782,025.99</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5,539,521.16</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工会及职工教育经费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573,384.63</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885,225.60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3,942,948.52</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4,351,672.71</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871,031.47</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1,567,714.68</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111,617.54</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155,863.92</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3,128,794.78</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2,727,611.22</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水电费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55,413.44</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121,910.25</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6,323,898.65</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4,189,900.97</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1,460,125.54</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3,154,721.89</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1,502,077.13</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1,217,230.67</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税费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6,296,001.37</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7,058,595.20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物业管理费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84,490.20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361,063.03</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汽车费用</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1,858,011.81</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1,811,814.10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中介及咨询设计费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3,836,602.80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3,816,043.55</w:t>
            </w:r>
          </w:p>
        </w:tc>
      </w:tr>
      <w:tr>
        <w:trPr>
          <w:trHeight w:val="518" w:hRule="exact"/>
        </w:trPr>
        <w:tc>
          <w:tcPr>
            <w:tcW w:w="3182"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劳动保护费</w:t>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824,575.60</w:t>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806,452.10</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2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3182"/>
        <w:gridCol w:w="3163"/>
        <w:gridCol w:w="3168"/>
      </w:tblGrid>
      <w:tr>
        <w:trPr>
          <w:trHeight w:val="518" w:hRule="exact"/>
        </w:trPr>
        <w:tc>
          <w:tcPr>
            <w:tcW w:w="318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366"/>
              <w:jc w:val="right"/>
              <w:rPr>
                <w:rFonts w:ascii="宋体" w:hAnsi="宋体" w:cs="宋体" w:eastAsia="宋体" w:hint="default"/>
                <w:sz w:val="21"/>
                <w:szCs w:val="21"/>
              </w:rPr>
            </w:pPr>
            <w:r>
              <w:rPr>
                <w:rFonts w:ascii="宋体" w:hAnsi="宋体" w:cs="宋体" w:eastAsia="宋体" w:hint="default"/>
                <w:sz w:val="21"/>
                <w:szCs w:val="21"/>
              </w:rPr>
              <w:t>项目</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环卫绿化费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14,736.00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1,620.00</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1,268,196.66</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2,277,653.19</w:t>
            </w:r>
          </w:p>
        </w:tc>
      </w:tr>
      <w:tr>
        <w:trPr>
          <w:trHeight w:val="518" w:hRule="exact"/>
        </w:trPr>
        <w:tc>
          <w:tcPr>
            <w:tcW w:w="318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36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79,357,918.33</w:t>
            </w:r>
            <w:r>
              <w:rPr>
                <w:rFonts w:ascii="Times New Roman"/>
                <w:sz w:val="21"/>
              </w:rPr>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2"/>
                <w:sz w:val="21"/>
              </w:rPr>
              <w:t>73,151,116.06</w:t>
            </w:r>
            <w:r>
              <w:rPr>
                <w:rFonts w:ascii="Times New Roman"/>
                <w:spacing w:val="-2"/>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5"/>
        <w:rPr>
          <w:rFonts w:ascii="Microsoft JhengHei" w:hAnsi="Microsoft JhengHei" w:cs="Microsoft JhengHei" w:eastAsia="Microsoft JhengHei" w:hint="default"/>
          <w:b/>
          <w:bCs/>
          <w:sz w:val="17"/>
          <w:szCs w:val="17"/>
        </w:rPr>
      </w:pPr>
    </w:p>
    <w:p>
      <w:pPr>
        <w:pStyle w:val="Heading6"/>
        <w:spacing w:line="335" w:lineRule="exact"/>
        <w:ind w:right="101"/>
        <w:jc w:val="left"/>
        <w:rPr>
          <w:b w:val="0"/>
          <w:bCs w:val="0"/>
        </w:rPr>
      </w:pPr>
      <w:r>
        <w:rPr>
          <w:rFonts w:ascii="Times New Roman" w:hAnsi="Times New Roman" w:cs="Times New Roman" w:eastAsia="Times New Roman" w:hint="default"/>
        </w:rPr>
        <w:t>36</w:t>
      </w:r>
      <w:r>
        <w:rPr/>
        <w:t>、财务费用</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182"/>
        <w:gridCol w:w="3163"/>
        <w:gridCol w:w="3168"/>
      </w:tblGrid>
      <w:tr>
        <w:trPr>
          <w:trHeight w:val="518" w:hRule="exact"/>
        </w:trPr>
        <w:tc>
          <w:tcPr>
            <w:tcW w:w="318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366"/>
              <w:jc w:val="right"/>
              <w:rPr>
                <w:rFonts w:ascii="宋体" w:hAnsi="宋体" w:cs="宋体" w:eastAsia="宋体" w:hint="default"/>
                <w:sz w:val="21"/>
                <w:szCs w:val="21"/>
              </w:rPr>
            </w:pPr>
            <w:r>
              <w:rPr>
                <w:rFonts w:ascii="宋体" w:hAnsi="宋体" w:cs="宋体" w:eastAsia="宋体" w:hint="default"/>
                <w:sz w:val="21"/>
                <w:szCs w:val="21"/>
              </w:rPr>
              <w:t>项目</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9,998,032.99</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6,478,595.25</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-2,300,892.32</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-4,956,073.64</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汇兑损益</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754.84</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19,826.68</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手续费</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231,810.70</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148,780.28</w:t>
            </w:r>
          </w:p>
        </w:tc>
      </w:tr>
      <w:tr>
        <w:trPr>
          <w:trHeight w:val="523" w:hRule="exact"/>
        </w:trPr>
        <w:tc>
          <w:tcPr>
            <w:tcW w:w="318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36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7,929,706.21</w:t>
            </w:r>
            <w:r>
              <w:rPr>
                <w:rFonts w:ascii="Times New Roman"/>
                <w:sz w:val="21"/>
              </w:rPr>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1,691,128.57</w:t>
            </w:r>
            <w:r>
              <w:rPr>
                <w:rFonts w:ascii="Times New Roman"/>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8"/>
          <w:szCs w:val="18"/>
        </w:rPr>
      </w:pPr>
    </w:p>
    <w:p>
      <w:pPr>
        <w:pStyle w:val="Heading6"/>
        <w:spacing w:line="335" w:lineRule="exact"/>
        <w:ind w:right="101"/>
        <w:jc w:val="left"/>
        <w:rPr>
          <w:b w:val="0"/>
          <w:bCs w:val="0"/>
        </w:rPr>
      </w:pPr>
      <w:r>
        <w:rPr>
          <w:rFonts w:ascii="Times New Roman" w:hAnsi="Times New Roman" w:cs="Times New Roman" w:eastAsia="Times New Roman" w:hint="default"/>
        </w:rPr>
        <w:t>37</w:t>
      </w:r>
      <w:r>
        <w:rPr/>
        <w:t>、资产减值损失</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182"/>
        <w:gridCol w:w="3163"/>
        <w:gridCol w:w="3168"/>
      </w:tblGrid>
      <w:tr>
        <w:trPr>
          <w:trHeight w:val="518" w:hRule="exact"/>
        </w:trPr>
        <w:tc>
          <w:tcPr>
            <w:tcW w:w="318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1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168"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一、坏账损失</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-10,065,465.06</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5,301,401.72</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五、长期股权投资减值损失</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六、投资性房地产减值损失</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4"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七、固定资产减值损失</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31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十三、商誉减值损失</w:t>
            </w:r>
          </w:p>
        </w:tc>
        <w:tc>
          <w:tcPr>
            <w:tcW w:w="3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316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8" w:hRule="exact"/>
        </w:trPr>
        <w:tc>
          <w:tcPr>
            <w:tcW w:w="318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1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-10,065,465.06</w:t>
            </w:r>
            <w:r>
              <w:rPr>
                <w:rFonts w:ascii="Times New Roman"/>
                <w:spacing w:val="-1"/>
                <w:sz w:val="21"/>
              </w:rPr>
            </w:r>
          </w:p>
        </w:tc>
        <w:tc>
          <w:tcPr>
            <w:tcW w:w="316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5,301,401.72</w:t>
            </w:r>
            <w:r>
              <w:rPr>
                <w:rFonts w:ascii="Times New Roman"/>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18"/>
          <w:szCs w:val="18"/>
        </w:rPr>
      </w:pPr>
    </w:p>
    <w:p>
      <w:pPr>
        <w:pStyle w:val="Heading6"/>
        <w:spacing w:line="335" w:lineRule="exact"/>
        <w:ind w:right="101"/>
        <w:jc w:val="left"/>
        <w:rPr>
          <w:b w:val="0"/>
          <w:bCs w:val="0"/>
        </w:rPr>
      </w:pPr>
      <w:r>
        <w:rPr>
          <w:rFonts w:ascii="Times New Roman" w:hAnsi="Times New Roman" w:cs="Times New Roman" w:eastAsia="Times New Roman" w:hint="default"/>
        </w:rPr>
        <w:t>38</w:t>
      </w:r>
      <w:r>
        <w:rPr/>
        <w:t>、投资收益</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267"/>
        <w:gridCol w:w="2626"/>
        <w:gridCol w:w="2621"/>
      </w:tblGrid>
      <w:tr>
        <w:trPr>
          <w:trHeight w:val="518"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23"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6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-4,459,397.17</w:t>
            </w:r>
          </w:p>
        </w:tc>
        <w:tc>
          <w:tcPr>
            <w:tcW w:w="262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-9,651,500.90</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2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4267"/>
        <w:gridCol w:w="2626"/>
        <w:gridCol w:w="2621"/>
      </w:tblGrid>
      <w:tr>
        <w:trPr>
          <w:trHeight w:val="518"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4"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其中：深圳市深威驳运有限公司</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7,095.49</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-718,170.65</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739" w:right="0"/>
              <w:jc w:val="left"/>
              <w:rPr>
                <w:rFonts w:ascii="宋体" w:hAnsi="宋体" w:cs="宋体" w:eastAsia="宋体" w:hint="default"/>
                <w:sz w:val="21"/>
                <w:szCs w:val="21"/>
              </w:rPr>
            </w:pPr>
            <w:r>
              <w:rPr>
                <w:rFonts w:ascii="宋体" w:hAnsi="宋体" w:cs="宋体" w:eastAsia="宋体" w:hint="default"/>
                <w:sz w:val="21"/>
                <w:szCs w:val="21"/>
              </w:rPr>
              <w:t>福建东南广播电视网络有限公司</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-4,211,331.13</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-8,529,833.28</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74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-255,161.53</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-403,496.97</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56,775,368.96</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105,444,201.93</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持有可供出售金融资产等取得的投资收益</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258,990.30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398,446.50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已售子公司分回以前年度利润</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9,918,708.42</w:t>
            </w:r>
          </w:p>
        </w:tc>
      </w:tr>
      <w:tr>
        <w:trPr>
          <w:trHeight w:val="499"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6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52,574,962.09</w:t>
            </w:r>
            <w:r>
              <w:rPr>
                <w:rFonts w:ascii="Times New Roman"/>
                <w:sz w:val="21"/>
              </w:rPr>
            </w:r>
          </w:p>
        </w:tc>
        <w:tc>
          <w:tcPr>
            <w:tcW w:w="262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106,109,855.95</w:t>
            </w:r>
            <w:r>
              <w:rPr>
                <w:rFonts w:ascii="Times New Roman"/>
                <w:spacing w:val="-1"/>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15"/>
          <w:szCs w:val="15"/>
        </w:rPr>
      </w:pPr>
    </w:p>
    <w:p>
      <w:pPr>
        <w:pStyle w:val="Heading6"/>
        <w:spacing w:line="335" w:lineRule="exact"/>
        <w:ind w:right="101"/>
        <w:jc w:val="left"/>
        <w:rPr>
          <w:b w:val="0"/>
          <w:bCs w:val="0"/>
        </w:rPr>
      </w:pPr>
      <w:r>
        <w:rPr>
          <w:rFonts w:ascii="Times New Roman" w:hAnsi="Times New Roman" w:cs="Times New Roman" w:eastAsia="Times New Roman" w:hint="default"/>
        </w:rPr>
        <w:t>39</w:t>
      </w:r>
      <w:r>
        <w:rPr/>
        <w:t>、营业外收入</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267"/>
        <w:gridCol w:w="2626"/>
        <w:gridCol w:w="2621"/>
      </w:tblGrid>
      <w:tr>
        <w:trPr>
          <w:trHeight w:val="504"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4,447,065.67</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9,000.00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120,490.00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9,000.00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758"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4,326,575.67</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22,800.00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756,919.72</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无需支付款项</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322,472.01</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397,886.66</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355,092.62</w:t>
            </w:r>
          </w:p>
        </w:tc>
      </w:tr>
      <w:tr>
        <w:trPr>
          <w:trHeight w:val="499"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6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5,190,224.34</w:t>
            </w:r>
            <w:r>
              <w:rPr>
                <w:rFonts w:ascii="Times New Roman"/>
                <w:sz w:val="21"/>
              </w:rPr>
            </w:r>
          </w:p>
        </w:tc>
        <w:tc>
          <w:tcPr>
            <w:tcW w:w="262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1,121,012.34</w:t>
            </w:r>
            <w:r>
              <w:rPr>
                <w:rFonts w:ascii="Times New Roman"/>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15"/>
          <w:szCs w:val="15"/>
        </w:rPr>
      </w:pPr>
    </w:p>
    <w:p>
      <w:pPr>
        <w:pStyle w:val="Heading6"/>
        <w:spacing w:line="335" w:lineRule="exact"/>
        <w:ind w:right="101"/>
        <w:jc w:val="left"/>
        <w:rPr>
          <w:b w:val="0"/>
          <w:bCs w:val="0"/>
        </w:rPr>
      </w:pPr>
      <w:r>
        <w:rPr>
          <w:rFonts w:ascii="Times New Roman" w:hAnsi="Times New Roman" w:cs="Times New Roman" w:eastAsia="Times New Roman" w:hint="default"/>
        </w:rPr>
        <w:t>40</w:t>
      </w:r>
      <w:r>
        <w:rPr/>
        <w:t>、营业外支出</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267"/>
        <w:gridCol w:w="2626"/>
        <w:gridCol w:w="2621"/>
      </w:tblGrid>
      <w:tr>
        <w:trPr>
          <w:trHeight w:val="504"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6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8,540.00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380,000.00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8,540.00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380,000.00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罚款及滞纳金支出</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1,447,196.77</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2,831,732.50</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延期交房赔偿款</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6,680,737.00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100,000.00</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60,757.62</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103,470.56</w:t>
            </w:r>
          </w:p>
        </w:tc>
      </w:tr>
      <w:tr>
        <w:trPr>
          <w:trHeight w:val="499"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6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8,297,231.39</w:t>
            </w:r>
            <w:r>
              <w:rPr>
                <w:rFonts w:ascii="Times New Roman"/>
                <w:sz w:val="21"/>
              </w:rPr>
            </w:r>
          </w:p>
        </w:tc>
        <w:tc>
          <w:tcPr>
            <w:tcW w:w="262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3,315,203.06</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2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right="0"/>
        <w:jc w:val="left"/>
        <w:rPr>
          <w:b w:val="0"/>
          <w:bCs w:val="0"/>
        </w:rPr>
      </w:pPr>
      <w:r>
        <w:rPr>
          <w:rFonts w:ascii="Times New Roman" w:hAnsi="Times New Roman" w:cs="Times New Roman" w:eastAsia="Times New Roman" w:hint="default"/>
        </w:rPr>
        <w:t>41</w:t>
      </w:r>
      <w:r>
        <w:rPr/>
        <w:t>、所得税费用</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267"/>
        <w:gridCol w:w="2626"/>
        <w:gridCol w:w="2621"/>
      </w:tblGrid>
      <w:tr>
        <w:trPr>
          <w:trHeight w:val="523" w:hRule="exact"/>
        </w:trPr>
        <w:tc>
          <w:tcPr>
            <w:tcW w:w="426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1908"/>
              <w:jc w:val="right"/>
              <w:rPr>
                <w:rFonts w:ascii="宋体" w:hAnsi="宋体" w:cs="宋体" w:eastAsia="宋体" w:hint="default"/>
                <w:sz w:val="21"/>
                <w:szCs w:val="21"/>
              </w:rPr>
            </w:pPr>
            <w:r>
              <w:rPr>
                <w:rFonts w:ascii="宋体" w:hAnsi="宋体" w:cs="宋体" w:eastAsia="宋体" w:hint="default"/>
                <w:sz w:val="21"/>
                <w:szCs w:val="21"/>
              </w:rPr>
              <w:t>项目</w:t>
            </w:r>
          </w:p>
        </w:tc>
        <w:tc>
          <w:tcPr>
            <w:tcW w:w="262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621"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当期所得税费用</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74,068,284.75</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60,228,747.76</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4,029,172.19</w:t>
            </w:r>
          </w:p>
        </w:tc>
        <w:tc>
          <w:tcPr>
            <w:tcW w:w="262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26,004,873.90</w:t>
            </w:r>
          </w:p>
        </w:tc>
      </w:tr>
      <w:tr>
        <w:trPr>
          <w:trHeight w:val="523"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1908"/>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6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78,097,456.94</w:t>
            </w:r>
            <w:r>
              <w:rPr>
                <w:rFonts w:ascii="Times New Roman"/>
                <w:sz w:val="21"/>
              </w:rPr>
            </w:r>
          </w:p>
        </w:tc>
        <w:tc>
          <w:tcPr>
            <w:tcW w:w="262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86,233,621.66</w:t>
            </w:r>
            <w:r>
              <w:rPr>
                <w:rFonts w:ascii="Times New Roman"/>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2"/>
        <w:rPr>
          <w:rFonts w:ascii="Microsoft JhengHei" w:hAnsi="Microsoft JhengHei" w:cs="Microsoft JhengHei" w:eastAsia="Microsoft JhengHei" w:hint="default"/>
          <w:b/>
          <w:bCs/>
          <w:sz w:val="18"/>
          <w:szCs w:val="18"/>
        </w:rPr>
      </w:pPr>
    </w:p>
    <w:p>
      <w:pPr>
        <w:pStyle w:val="Heading6"/>
        <w:spacing w:line="335" w:lineRule="exact"/>
        <w:ind w:right="0"/>
        <w:jc w:val="left"/>
        <w:rPr>
          <w:b w:val="0"/>
          <w:bCs w:val="0"/>
        </w:rPr>
      </w:pPr>
      <w:r>
        <w:rPr>
          <w:rFonts w:ascii="Times New Roman" w:hAnsi="Times New Roman" w:cs="Times New Roman" w:eastAsia="Times New Roman" w:hint="default"/>
        </w:rPr>
        <w:t>42</w:t>
      </w:r>
      <w:r>
        <w:rPr/>
        <w:t>、基本每股收益和稀释每股收益的计算过程</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834"/>
        <w:gridCol w:w="1862"/>
        <w:gridCol w:w="1531"/>
        <w:gridCol w:w="1531"/>
      </w:tblGrid>
      <w:tr>
        <w:trPr>
          <w:trHeight w:val="518" w:hRule="exact"/>
        </w:trPr>
        <w:tc>
          <w:tcPr>
            <w:tcW w:w="483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6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计算过程</w:t>
            </w:r>
          </w:p>
        </w:tc>
        <w:tc>
          <w:tcPr>
            <w:tcW w:w="153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3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514"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归属于公司普通股股东的净利润</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P0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193,932,203.55</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140,080,654.63</w:t>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归属于公司普通股股东的非经常性损益</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5" w:right="0"/>
              <w:jc w:val="center"/>
              <w:rPr>
                <w:rFonts w:ascii="Times New Roman" w:hAnsi="Times New Roman" w:cs="Times New Roman" w:eastAsia="Times New Roman" w:hint="default"/>
                <w:sz w:val="18"/>
                <w:szCs w:val="18"/>
              </w:rPr>
            </w:pPr>
            <w:r>
              <w:rPr>
                <w:rFonts w:ascii="Times New Roman"/>
                <w:w w:val="101"/>
                <w:sz w:val="18"/>
              </w:rPr>
              <w:t>F</w:t>
            </w:r>
            <w:r>
              <w:rPr>
                <w:rFonts w:ascii="Times New Roman"/>
                <w:sz w:val="18"/>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52,196,093.42</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49,546,369.95</w:t>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扣除非经常性损益后归属于普通股股东的净利润</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P0'=P0-F</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141,736,110.13</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90,534,284.68</w:t>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稀释事项对归属于公司普通股股东的净利润的影响</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w w:val="101"/>
                <w:sz w:val="18"/>
              </w:rPr>
              <w:t>V</w:t>
            </w:r>
            <w:r>
              <w:rPr>
                <w:rFonts w:ascii="Times New Roman"/>
                <w:sz w:val="18"/>
              </w:rPr>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72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10"/>
              <w:jc w:val="left"/>
              <w:rPr>
                <w:rFonts w:ascii="宋体" w:hAnsi="宋体" w:cs="宋体" w:eastAsia="宋体" w:hint="default"/>
                <w:sz w:val="18"/>
                <w:szCs w:val="18"/>
              </w:rPr>
            </w:pPr>
            <w:r>
              <w:rPr>
                <w:rFonts w:ascii="宋体" w:hAnsi="宋体" w:cs="宋体" w:eastAsia="宋体" w:hint="default"/>
                <w:spacing w:val="-2"/>
                <w:sz w:val="18"/>
                <w:szCs w:val="18"/>
              </w:rPr>
              <w:t>归属于公司普通股股东的净利润，并考虑稀释性潜在普通股</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pacing w:val="-3"/>
                <w:sz w:val="18"/>
                <w:szCs w:val="18"/>
              </w:rPr>
              <w:t>对其影响，按《企业会计准则》及有关规定进行调整。</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P1=P0+V</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193,932,203.55</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140,080,654.63</w:t>
            </w:r>
          </w:p>
        </w:tc>
      </w:tr>
      <w:tr>
        <w:trPr>
          <w:trHeight w:val="715"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3"/>
                <w:szCs w:val="13"/>
              </w:rPr>
            </w:pPr>
          </w:p>
          <w:p>
            <w:pPr>
              <w:pStyle w:val="TableParagraph"/>
              <w:spacing w:line="230" w:lineRule="exact"/>
              <w:ind w:left="124" w:right="-9"/>
              <w:jc w:val="left"/>
              <w:rPr>
                <w:rFonts w:ascii="宋体" w:hAnsi="宋体" w:cs="宋体" w:eastAsia="宋体" w:hint="default"/>
                <w:sz w:val="18"/>
                <w:szCs w:val="18"/>
              </w:rPr>
            </w:pPr>
            <w:r>
              <w:rPr>
                <w:rFonts w:ascii="宋体" w:hAnsi="宋体" w:cs="宋体" w:eastAsia="宋体" w:hint="default"/>
                <w:spacing w:val="-2"/>
                <w:sz w:val="18"/>
                <w:szCs w:val="18"/>
              </w:rPr>
              <w:t>稀释事项对扣除非经常性损益后归属于公司普通股股东的净</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z w:val="18"/>
                <w:szCs w:val="18"/>
              </w:rPr>
              <w:t>利润的影响</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V'</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950"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Microsoft JhengHei" w:hAnsi="Microsoft JhengHei" w:cs="Microsoft JhengHei" w:eastAsia="Microsoft JhengHei" w:hint="default"/>
                <w:b/>
                <w:bCs/>
                <w:sz w:val="12"/>
                <w:szCs w:val="12"/>
              </w:rPr>
            </w:pPr>
          </w:p>
          <w:p>
            <w:pPr>
              <w:pStyle w:val="TableParagraph"/>
              <w:spacing w:line="237" w:lineRule="auto"/>
              <w:ind w:left="124" w:right="-10"/>
              <w:jc w:val="both"/>
              <w:rPr>
                <w:rFonts w:ascii="宋体" w:hAnsi="宋体" w:cs="宋体" w:eastAsia="宋体" w:hint="default"/>
                <w:sz w:val="18"/>
                <w:szCs w:val="18"/>
              </w:rPr>
            </w:pPr>
            <w:r>
              <w:rPr>
                <w:rFonts w:ascii="宋体" w:hAnsi="宋体" w:cs="宋体" w:eastAsia="宋体" w:hint="default"/>
                <w:spacing w:val="-2"/>
                <w:sz w:val="18"/>
                <w:szCs w:val="18"/>
              </w:rPr>
              <w:t>扣除非经常性损益后归属于公司普通股股东的净利润，并考</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pacing w:val="-2"/>
                <w:sz w:val="18"/>
                <w:szCs w:val="18"/>
              </w:rPr>
              <w:t>虑稀释性潜在普通股对其影响，按《企业会计准则》及有关</w:t>
            </w:r>
            <w:r>
              <w:rPr>
                <w:rFonts w:ascii="宋体" w:hAnsi="宋体" w:cs="宋体" w:eastAsia="宋体" w:hint="default"/>
                <w:spacing w:val="-7"/>
                <w:sz w:val="18"/>
                <w:szCs w:val="18"/>
              </w:rPr>
              <w:t> </w:t>
            </w:r>
            <w:r>
              <w:rPr>
                <w:rFonts w:ascii="宋体" w:hAnsi="宋体" w:cs="宋体" w:eastAsia="宋体" w:hint="default"/>
                <w:spacing w:val="-7"/>
                <w:sz w:val="18"/>
                <w:szCs w:val="18"/>
              </w:rPr>
            </w:r>
            <w:r>
              <w:rPr>
                <w:rFonts w:ascii="宋体" w:hAnsi="宋体" w:cs="宋体" w:eastAsia="宋体" w:hint="default"/>
                <w:sz w:val="18"/>
                <w:szCs w:val="18"/>
              </w:rPr>
              <w:t>规定进行调整</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P1'=P0'+V'</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141,736,110.13</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0"/>
              <w:ind w:right="0"/>
              <w:jc w:val="left"/>
              <w:rPr>
                <w:rFonts w:ascii="Microsoft JhengHei" w:hAnsi="Microsoft JhengHei" w:cs="Microsoft JhengHei" w:eastAsia="Microsoft JhengHei" w:hint="default"/>
                <w:b/>
                <w:bCs/>
                <w:sz w:val="9"/>
                <w:szCs w:val="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90,534,284.68</w:t>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期初股份总数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469,593,364.00</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469,593,364.00</w:t>
            </w:r>
          </w:p>
        </w:tc>
      </w:tr>
      <w:tr>
        <w:trPr>
          <w:trHeight w:val="514"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报告期因公积金转增股本或股票股利分配等增加股份数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S1</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报告期因发行新股或债转股等增加股份数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Si</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报告期因回购等减少股份数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Sj</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报告期缩股数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Sk</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报告期月份数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M0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12.00</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12.00</w:t>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增加股份次月起至报告期期末的累计月数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Mi</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减少股份次月起至报告期期末的累计月数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Mj</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715"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9"/>
                <w:szCs w:val="19"/>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发行在外的普通股加权平均数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S=S0</w:t>
            </w:r>
            <w:r>
              <w:rPr>
                <w:rFonts w:ascii="宋体" w:hAnsi="宋体" w:cs="宋体" w:eastAsia="宋体" w:hint="default"/>
                <w:sz w:val="18"/>
                <w:szCs w:val="18"/>
              </w:rPr>
              <w:t>＋</w:t>
            </w:r>
            <w:r>
              <w:rPr>
                <w:rFonts w:ascii="Times New Roman" w:hAnsi="Times New Roman" w:cs="Times New Roman" w:eastAsia="Times New Roman" w:hint="default"/>
                <w:sz w:val="18"/>
                <w:szCs w:val="18"/>
              </w:rPr>
              <w:t>S1</w:t>
            </w:r>
            <w:r>
              <w:rPr>
                <w:rFonts w:ascii="宋体" w:hAnsi="宋体" w:cs="宋体" w:eastAsia="宋体" w:hint="default"/>
                <w:sz w:val="18"/>
                <w:szCs w:val="18"/>
              </w:rPr>
              <w:t>＋</w:t>
            </w:r>
            <w:r>
              <w:rPr>
                <w:rFonts w:ascii="Times New Roman" w:hAnsi="Times New Roman" w:cs="Times New Roman" w:eastAsia="Times New Roman" w:hint="default"/>
                <w:sz w:val="18"/>
                <w:szCs w:val="18"/>
              </w:rPr>
              <w:t>Si×Mi</w:t>
            </w:r>
          </w:p>
          <w:p>
            <w:pPr>
              <w:pStyle w:val="TableParagraph"/>
              <w:spacing w:line="240" w:lineRule="auto" w:before="9"/>
              <w:ind w:left="17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÷M0–Sj×Mj÷M0-Sk</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469,593,364.00</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469,593,364.00</w:t>
            </w:r>
          </w:p>
        </w:tc>
      </w:tr>
      <w:tr>
        <w:trPr>
          <w:trHeight w:val="494" w:hRule="exact"/>
        </w:trPr>
        <w:tc>
          <w:tcPr>
            <w:tcW w:w="483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10"/>
              <w:jc w:val="left"/>
              <w:rPr>
                <w:rFonts w:ascii="宋体" w:hAnsi="宋体" w:cs="宋体" w:eastAsia="宋体" w:hint="default"/>
                <w:sz w:val="18"/>
                <w:szCs w:val="18"/>
              </w:rPr>
            </w:pPr>
            <w:r>
              <w:rPr>
                <w:rFonts w:ascii="宋体" w:hAnsi="宋体" w:cs="宋体" w:eastAsia="宋体" w:hint="default"/>
                <w:spacing w:val="-2"/>
                <w:sz w:val="18"/>
                <w:szCs w:val="18"/>
              </w:rPr>
              <w:t>加：假定稀释性潜在普通股转换为已发行普通股而增加的普</w:t>
            </w:r>
          </w:p>
        </w:tc>
        <w:tc>
          <w:tcPr>
            <w:tcW w:w="186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X1</w:t>
            </w:r>
          </w:p>
        </w:tc>
        <w:tc>
          <w:tcPr>
            <w:tcW w:w="153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
              <w:ind w:right="0"/>
              <w:jc w:val="left"/>
              <w:rPr>
                <w:rFonts w:ascii="Microsoft JhengHei" w:hAnsi="Microsoft JhengHei" w:cs="Microsoft JhengHei" w:eastAsia="Microsoft JhengHei" w:hint="default"/>
                <w:b/>
                <w:bCs/>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88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4834"/>
        <w:gridCol w:w="1862"/>
        <w:gridCol w:w="1531"/>
        <w:gridCol w:w="1531"/>
      </w:tblGrid>
      <w:tr>
        <w:trPr>
          <w:trHeight w:val="518" w:hRule="exact"/>
        </w:trPr>
        <w:tc>
          <w:tcPr>
            <w:tcW w:w="483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6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计算过程</w:t>
            </w:r>
          </w:p>
        </w:tc>
        <w:tc>
          <w:tcPr>
            <w:tcW w:w="153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53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245"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03" w:lineRule="exact"/>
              <w:ind w:left="124" w:right="0"/>
              <w:jc w:val="left"/>
              <w:rPr>
                <w:rFonts w:ascii="宋体" w:hAnsi="宋体" w:cs="宋体" w:eastAsia="宋体" w:hint="default"/>
                <w:sz w:val="18"/>
                <w:szCs w:val="18"/>
              </w:rPr>
            </w:pPr>
            <w:r>
              <w:rPr>
                <w:rFonts w:ascii="宋体" w:hAnsi="宋体" w:cs="宋体" w:eastAsia="宋体" w:hint="default"/>
                <w:spacing w:val="-3"/>
                <w:sz w:val="18"/>
                <w:szCs w:val="18"/>
              </w:rPr>
              <w:t>通股加权平均数</w:t>
            </w:r>
          </w:p>
        </w:tc>
        <w:tc>
          <w:tcPr>
            <w:tcW w:w="1862"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nil" w:sz="6" w:space="0" w:color="auto"/>
            </w:tcBorders>
          </w:tcPr>
          <w:p>
            <w:pP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计算稀释每股收益的普通股加权平均数</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X2=S+X1</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469,593,364.00</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469,593,364.00</w:t>
            </w:r>
          </w:p>
        </w:tc>
      </w:tr>
      <w:tr>
        <w:trPr>
          <w:trHeight w:val="514"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其中：可转换公司债转换而增加的普通股加权数</w:t>
            </w:r>
          </w:p>
        </w:tc>
        <w:tc>
          <w:tcPr>
            <w:tcW w:w="1862"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pacing w:val="-3"/>
                <w:sz w:val="18"/>
                <w:szCs w:val="18"/>
              </w:rPr>
              <w:t>认股权证</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股份期权行权而增加的普通股加权数</w:t>
            </w:r>
          </w:p>
        </w:tc>
        <w:tc>
          <w:tcPr>
            <w:tcW w:w="1862"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pacing w:val="-3"/>
                <w:sz w:val="18"/>
                <w:szCs w:val="18"/>
              </w:rPr>
              <w:t>回购承诺履行而增加的普通股加权数</w:t>
            </w:r>
          </w:p>
        </w:tc>
        <w:tc>
          <w:tcPr>
            <w:tcW w:w="1862" w:type="dxa"/>
            <w:tcBorders>
              <w:top w:val="single" w:sz="4" w:space="0" w:color="000000"/>
              <w:left w:val="single" w:sz="4" w:space="0" w:color="000000"/>
              <w:bottom w:val="single" w:sz="4" w:space="0" w:color="000000"/>
              <w:right w:val="single" w:sz="4" w:space="0" w:color="000000"/>
            </w:tcBorders>
          </w:tcPr>
          <w:p>
            <w:pP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归属于公司普通股股东的基本每股收益</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72"/>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EPS0=P0÷S</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0.41</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0.30</w:t>
            </w:r>
          </w:p>
        </w:tc>
      </w:tr>
      <w:tr>
        <w:trPr>
          <w:trHeight w:val="514"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扣除非经常性损益后归属于公司普通股股东的基本每股收益</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48"/>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2"/>
                <w:sz w:val="18"/>
                <w:szCs w:val="18"/>
              </w:rPr>
              <w:t>EPS0'=P0'÷S</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0.30</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0.19</w:t>
            </w:r>
          </w:p>
        </w:tc>
      </w:tr>
      <w:tr>
        <w:trPr>
          <w:trHeight w:val="509" w:hRule="exact"/>
        </w:trPr>
        <w:tc>
          <w:tcPr>
            <w:tcW w:w="483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归属于公司普通股股东的稀释每股收益</w:t>
            </w:r>
          </w:p>
        </w:tc>
        <w:tc>
          <w:tcPr>
            <w:tcW w:w="1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410"/>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EPS1=P1÷X2</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0.41</w:t>
            </w:r>
          </w:p>
        </w:tc>
        <w:tc>
          <w:tcPr>
            <w:tcW w:w="15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0.30</w:t>
            </w:r>
          </w:p>
        </w:tc>
      </w:tr>
      <w:tr>
        <w:trPr>
          <w:trHeight w:val="518" w:hRule="exact"/>
        </w:trPr>
        <w:tc>
          <w:tcPr>
            <w:tcW w:w="483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扣除非经常性损益后归属于公司普通股股东的稀释每股收益</w:t>
            </w:r>
          </w:p>
        </w:tc>
        <w:tc>
          <w:tcPr>
            <w:tcW w:w="186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386"/>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2"/>
                <w:sz w:val="18"/>
                <w:szCs w:val="18"/>
              </w:rPr>
              <w:t>EPS1'=P1'÷X2</w:t>
            </w:r>
          </w:p>
        </w:tc>
        <w:tc>
          <w:tcPr>
            <w:tcW w:w="153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0.30</w:t>
            </w:r>
          </w:p>
        </w:tc>
        <w:tc>
          <w:tcPr>
            <w:tcW w:w="153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0.19</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5"/>
        <w:rPr>
          <w:rFonts w:ascii="Microsoft JhengHei" w:hAnsi="Microsoft JhengHei" w:cs="Microsoft JhengHei" w:eastAsia="Microsoft JhengHei" w:hint="default"/>
          <w:b/>
          <w:bCs/>
          <w:sz w:val="17"/>
          <w:szCs w:val="17"/>
        </w:rPr>
      </w:pPr>
    </w:p>
    <w:p>
      <w:pPr>
        <w:pStyle w:val="Heading6"/>
        <w:spacing w:line="335" w:lineRule="exact"/>
        <w:ind w:right="0"/>
        <w:jc w:val="left"/>
        <w:rPr>
          <w:b w:val="0"/>
          <w:bCs w:val="0"/>
        </w:rPr>
      </w:pPr>
      <w:r>
        <w:rPr>
          <w:rFonts w:ascii="Times New Roman" w:hAnsi="Times New Roman" w:cs="Times New Roman" w:eastAsia="Times New Roman" w:hint="default"/>
        </w:rPr>
        <w:t>43</w:t>
      </w:r>
      <w:r>
        <w:rPr/>
        <w:t>、其他综合收益</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6677"/>
        <w:gridCol w:w="1546"/>
        <w:gridCol w:w="1536"/>
      </w:tblGrid>
      <w:tr>
        <w:trPr>
          <w:trHeight w:val="518" w:hRule="exact"/>
        </w:trPr>
        <w:tc>
          <w:tcPr>
            <w:tcW w:w="6677"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4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345"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536"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340"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．可供出售金融资产产生的利得（损失）金额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-1,161,363.90</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-8,140,567.72</w:t>
            </w:r>
          </w:p>
        </w:tc>
      </w:tr>
      <w:tr>
        <w:trPr>
          <w:trHeight w:val="514"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431" w:right="0"/>
              <w:jc w:val="left"/>
              <w:rPr>
                <w:rFonts w:ascii="宋体" w:hAnsi="宋体" w:cs="宋体" w:eastAsia="宋体" w:hint="default"/>
                <w:sz w:val="21"/>
                <w:szCs w:val="21"/>
              </w:rPr>
            </w:pPr>
            <w:r>
              <w:rPr>
                <w:rFonts w:ascii="宋体" w:hAnsi="宋体" w:cs="宋体" w:eastAsia="宋体" w:hint="default"/>
                <w:sz w:val="21"/>
                <w:szCs w:val="21"/>
              </w:rPr>
              <w:t>减：可供出售金融资产产生的所得税影响</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-290,340.97</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-1,653,741.14</w:t>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844" w:right="0"/>
              <w:jc w:val="left"/>
              <w:rPr>
                <w:rFonts w:ascii="宋体" w:hAnsi="宋体" w:cs="宋体" w:eastAsia="宋体" w:hint="default"/>
                <w:sz w:val="21"/>
                <w:szCs w:val="21"/>
              </w:rPr>
            </w:pPr>
            <w:r>
              <w:rPr>
                <w:rFonts w:ascii="宋体" w:hAnsi="宋体" w:cs="宋体" w:eastAsia="宋体" w:hint="default"/>
                <w:sz w:val="21"/>
                <w:szCs w:val="21"/>
              </w:rPr>
              <w:t>前期计入其他综合收益当期转入损益的净额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小计</w:t>
            </w:r>
            <w:r>
              <w:rPr>
                <w:rFonts w:ascii="Microsoft JhengHei" w:hAnsi="Microsoft JhengHei" w:cs="Microsoft JhengHei" w:eastAsia="Microsoft JhengHei" w:hint="default"/>
                <w:sz w:val="21"/>
                <w:szCs w:val="21"/>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-871,022.93</w:t>
            </w:r>
            <w:r>
              <w:rPr>
                <w:rFonts w:ascii="Times New Roman"/>
                <w:spacing w:val="-1"/>
                <w:sz w:val="21"/>
              </w:rPr>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-6,486,826.58</w:t>
            </w:r>
            <w:r>
              <w:rPr>
                <w:rFonts w:ascii="Times New Roman"/>
                <w:spacing w:val="-1"/>
                <w:sz w:val="21"/>
              </w:rPr>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按照权益法核算的在被投资单位其他综合收益中所享有的份额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782"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2"/>
                <w:szCs w:val="12"/>
              </w:rPr>
            </w:pPr>
          </w:p>
          <w:p>
            <w:pPr>
              <w:pStyle w:val="TableParagraph"/>
              <w:spacing w:line="274" w:lineRule="exact"/>
              <w:ind w:left="854" w:right="98" w:hanging="423"/>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减：按照权益法核算的在被投资单位其他综合收益中所享有的份额</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产生的所得税影响</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4"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744" w:right="0"/>
              <w:jc w:val="left"/>
              <w:rPr>
                <w:rFonts w:ascii="宋体" w:hAnsi="宋体" w:cs="宋体" w:eastAsia="宋体" w:hint="default"/>
                <w:sz w:val="21"/>
                <w:szCs w:val="21"/>
              </w:rPr>
            </w:pPr>
            <w:r>
              <w:rPr>
                <w:rFonts w:ascii="宋体" w:hAnsi="宋体" w:cs="宋体" w:eastAsia="宋体" w:hint="default"/>
                <w:sz w:val="21"/>
                <w:szCs w:val="21"/>
              </w:rPr>
              <w:t>前期计入其他综合收益当期转入损益的净额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小计</w:t>
            </w:r>
            <w:r>
              <w:rPr>
                <w:rFonts w:ascii="Microsoft JhengHei" w:hAnsi="Microsoft JhengHei" w:cs="Microsoft JhengHei" w:eastAsia="Microsoft JhengHei" w:hint="default"/>
                <w:sz w:val="21"/>
                <w:szCs w:val="21"/>
              </w:rPr>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．现金流量套期工具产生的利得（或损失）金额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91"/>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．外币财务报表折算差额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782" w:hRule="exact"/>
        </w:trPr>
        <w:tc>
          <w:tcPr>
            <w:tcW w:w="667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2"/>
                <w:szCs w:val="12"/>
              </w:rPr>
            </w:pPr>
          </w:p>
          <w:p>
            <w:pPr>
              <w:pStyle w:val="TableParagraph"/>
              <w:spacing w:line="274" w:lineRule="exact"/>
              <w:ind w:left="441" w:right="401" w:hanging="317"/>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在合并报表中冲减的购买子公司少数股权的成本与购买日取得的</w:t>
            </w:r>
            <w:r>
              <w:rPr>
                <w:rFonts w:ascii="宋体" w:hAnsi="宋体" w:cs="宋体" w:eastAsia="宋体" w:hint="default"/>
                <w:w w:val="100"/>
                <w:sz w:val="21"/>
                <w:szCs w:val="21"/>
              </w:rPr>
              <w:t> </w:t>
            </w:r>
            <w:r>
              <w:rPr>
                <w:rFonts w:ascii="宋体" w:hAnsi="宋体" w:cs="宋体" w:eastAsia="宋体" w:hint="default"/>
                <w:sz w:val="21"/>
                <w:szCs w:val="21"/>
              </w:rPr>
              <w:t>帐面净资产份额之间的差额</w:t>
            </w:r>
          </w:p>
        </w:tc>
        <w:tc>
          <w:tcPr>
            <w:tcW w:w="1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153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-8,812,098.89</w:t>
            </w:r>
          </w:p>
        </w:tc>
      </w:tr>
      <w:tr>
        <w:trPr>
          <w:trHeight w:val="523" w:hRule="exact"/>
        </w:trPr>
        <w:tc>
          <w:tcPr>
            <w:tcW w:w="667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5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-871,022.93</w:t>
            </w:r>
            <w:r>
              <w:rPr>
                <w:rFonts w:ascii="Times New Roman"/>
                <w:spacing w:val="-1"/>
                <w:sz w:val="21"/>
              </w:rPr>
            </w:r>
          </w:p>
        </w:tc>
        <w:tc>
          <w:tcPr>
            <w:tcW w:w="153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-15,298,925.47</w:t>
            </w:r>
            <w:r>
              <w:rPr>
                <w:rFonts w:ascii="Times New Roman"/>
                <w:spacing w:val="-1"/>
                <w:sz w:val="21"/>
              </w:rPr>
            </w:r>
          </w:p>
        </w:tc>
      </w:tr>
    </w:tbl>
    <w:p>
      <w:pPr>
        <w:spacing w:line="240" w:lineRule="auto" w:before="8"/>
        <w:rPr>
          <w:rFonts w:ascii="Microsoft JhengHei" w:hAnsi="Microsoft JhengHei" w:cs="Microsoft JhengHei" w:eastAsia="Microsoft JhengHei" w:hint="default"/>
          <w:b/>
          <w:bCs/>
          <w:sz w:val="9"/>
          <w:szCs w:val="9"/>
        </w:rPr>
      </w:pPr>
    </w:p>
    <w:p>
      <w:pPr>
        <w:pStyle w:val="Heading6"/>
        <w:spacing w:line="335" w:lineRule="exact"/>
        <w:ind w:right="0"/>
        <w:jc w:val="left"/>
        <w:rPr>
          <w:b w:val="0"/>
          <w:bCs w:val="0"/>
        </w:rPr>
      </w:pPr>
      <w:r>
        <w:rPr>
          <w:rFonts w:ascii="Times New Roman" w:hAnsi="Times New Roman" w:cs="Times New Roman" w:eastAsia="Times New Roman" w:hint="default"/>
        </w:rPr>
        <w:t>44</w:t>
      </w:r>
      <w:r>
        <w:rPr/>
        <w:t>、现金流量表项目注释</w:t>
      </w:r>
      <w:r>
        <w:rPr>
          <w:b w:val="0"/>
          <w:bCs w:val="0"/>
        </w:rPr>
      </w:r>
    </w:p>
    <w:p>
      <w:pPr>
        <w:spacing w:after="0" w:line="335" w:lineRule="exact"/>
        <w:jc w:val="left"/>
        <w:sectPr>
          <w:pgSz w:w="11900" w:h="16840"/>
          <w:pgMar w:header="762" w:footer="840" w:top="1000" w:bottom="1020" w:left="980" w:right="88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12"/>
          <w:szCs w:val="12"/>
        </w:rPr>
      </w:pPr>
    </w:p>
    <w:p>
      <w:pPr>
        <w:pStyle w:val="BodyText"/>
        <w:spacing w:line="240" w:lineRule="auto" w:before="36"/>
        <w:ind w:left="565" w:right="0"/>
        <w:jc w:val="left"/>
      </w:pPr>
      <w:r>
        <w:rPr/>
        <w:t>（</w:t>
      </w:r>
      <w:r>
        <w:rPr>
          <w:rFonts w:ascii="Times New Roman" w:hAnsi="Times New Roman" w:cs="Times New Roman" w:eastAsia="Times New Roman" w:hint="default"/>
        </w:rPr>
        <w:t>1</w:t>
      </w:r>
      <w:r>
        <w:rPr/>
        <w:t>）收到的其他与经营活动有关的现金</w:t>
      </w:r>
    </w:p>
    <w:tbl>
      <w:tblPr>
        <w:tblW w:w="0" w:type="auto"/>
        <w:jc w:val="left"/>
        <w:tblInd w:w="123" w:type="dxa"/>
        <w:tblLayout w:type="fixed"/>
        <w:tblCellMar>
          <w:top w:w="0" w:type="dxa"/>
          <w:left w:w="0" w:type="dxa"/>
          <w:bottom w:w="0" w:type="dxa"/>
          <w:right w:w="0" w:type="dxa"/>
        </w:tblCellMar>
        <w:tblLook w:val="01E0"/>
      </w:tblPr>
      <w:tblGrid>
        <w:gridCol w:w="4123"/>
        <w:gridCol w:w="2818"/>
        <w:gridCol w:w="2818"/>
      </w:tblGrid>
      <w:tr>
        <w:trPr>
          <w:trHeight w:val="499" w:hRule="exact"/>
        </w:trPr>
        <w:tc>
          <w:tcPr>
            <w:tcW w:w="412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8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4"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8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本期收回上期其他应收款项</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25,191,316.90</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4,374,825.82</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罚款等支出</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22,800.00</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1,121,012.34</w:t>
            </w:r>
          </w:p>
        </w:tc>
      </w:tr>
      <w:tr>
        <w:trPr>
          <w:trHeight w:val="494"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银行存款利息收入</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2,300,892.32</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4,956,073.64</w:t>
            </w:r>
          </w:p>
        </w:tc>
      </w:tr>
      <w:tr>
        <w:trPr>
          <w:trHeight w:val="499" w:hRule="exact"/>
        </w:trPr>
        <w:tc>
          <w:tcPr>
            <w:tcW w:w="412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0"/>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8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27,515,009.22</w:t>
            </w:r>
            <w:r>
              <w:rPr>
                <w:rFonts w:ascii="Times New Roman"/>
                <w:sz w:val="21"/>
              </w:rPr>
            </w:r>
          </w:p>
        </w:tc>
        <w:tc>
          <w:tcPr>
            <w:tcW w:w="281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2"/>
                <w:sz w:val="21"/>
              </w:rPr>
              <w:t>10,451,911.80</w:t>
            </w:r>
            <w:r>
              <w:rPr>
                <w:rFonts w:ascii="Times New Roman"/>
                <w:spacing w:val="-2"/>
                <w:sz w:val="21"/>
              </w:rPr>
            </w:r>
          </w:p>
        </w:tc>
      </w:tr>
    </w:tbl>
    <w:p>
      <w:pPr>
        <w:spacing w:line="240" w:lineRule="auto" w:before="9"/>
        <w:rPr>
          <w:rFonts w:ascii="宋体" w:hAnsi="宋体" w:cs="宋体" w:eastAsia="宋体" w:hint="default"/>
          <w:sz w:val="11"/>
          <w:szCs w:val="11"/>
        </w:rPr>
      </w:pPr>
    </w:p>
    <w:p>
      <w:pPr>
        <w:pStyle w:val="BodyText"/>
        <w:spacing w:line="240" w:lineRule="auto" w:before="36"/>
        <w:ind w:left="565" w:right="0"/>
        <w:jc w:val="left"/>
      </w:pPr>
      <w:r>
        <w:rPr/>
        <w:t>（</w:t>
      </w:r>
      <w:r>
        <w:rPr>
          <w:rFonts w:ascii="Times New Roman" w:hAnsi="Times New Roman" w:cs="Times New Roman" w:eastAsia="Times New Roman" w:hint="default"/>
        </w:rPr>
        <w:t>2</w:t>
      </w:r>
      <w:r>
        <w:rPr/>
        <w:t>）支付的其他与经营活动有关的现金</w:t>
      </w:r>
    </w:p>
    <w:tbl>
      <w:tblPr>
        <w:tblW w:w="0" w:type="auto"/>
        <w:jc w:val="left"/>
        <w:tblInd w:w="123" w:type="dxa"/>
        <w:tblLayout w:type="fixed"/>
        <w:tblCellMar>
          <w:top w:w="0" w:type="dxa"/>
          <w:left w:w="0" w:type="dxa"/>
          <w:bottom w:w="0" w:type="dxa"/>
          <w:right w:w="0" w:type="dxa"/>
        </w:tblCellMar>
        <w:tblLook w:val="01E0"/>
      </w:tblPr>
      <w:tblGrid>
        <w:gridCol w:w="4123"/>
        <w:gridCol w:w="2818"/>
        <w:gridCol w:w="2818"/>
      </w:tblGrid>
      <w:tr>
        <w:trPr>
          <w:trHeight w:val="499" w:hRule="exact"/>
        </w:trPr>
        <w:tc>
          <w:tcPr>
            <w:tcW w:w="412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8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4"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8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本期支付上期其他应付款项</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38,622,245.23</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69,039,275.09</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本期新增子公司支付上期其他应付款项</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108,433,577.69</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管理费办公等支出</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28,447,626.58</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14,488,396.98</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销售费广告、代理等支出</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19,591,691.50</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6,344,429.05</w:t>
            </w:r>
          </w:p>
        </w:tc>
      </w:tr>
      <w:tr>
        <w:trPr>
          <w:trHeight w:val="494"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银行手续费支出</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231,810.70</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157,268.53</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宋体" w:hAnsi="宋体" w:cs="宋体" w:eastAsia="宋体" w:hint="default"/>
                <w:sz w:val="21"/>
                <w:szCs w:val="21"/>
              </w:rPr>
              <w:t>罚款滞纳金等支出</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8,127,933.77</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2,935,203.06</w:t>
            </w:r>
          </w:p>
        </w:tc>
      </w:tr>
      <w:tr>
        <w:trPr>
          <w:trHeight w:val="499" w:hRule="exact"/>
        </w:trPr>
        <w:tc>
          <w:tcPr>
            <w:tcW w:w="412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8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203,454,885.47</w:t>
            </w:r>
            <w:r>
              <w:rPr>
                <w:rFonts w:ascii="Times New Roman"/>
                <w:spacing w:val="-1"/>
                <w:sz w:val="21"/>
              </w:rPr>
            </w:r>
          </w:p>
        </w:tc>
        <w:tc>
          <w:tcPr>
            <w:tcW w:w="281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92,964,572.71</w:t>
            </w:r>
            <w:r>
              <w:rPr>
                <w:rFonts w:ascii="Times New Roman"/>
                <w:sz w:val="21"/>
              </w:rPr>
            </w:r>
          </w:p>
        </w:tc>
      </w:tr>
    </w:tbl>
    <w:p>
      <w:pPr>
        <w:spacing w:line="240" w:lineRule="auto" w:before="9"/>
        <w:rPr>
          <w:rFonts w:ascii="宋体" w:hAnsi="宋体" w:cs="宋体" w:eastAsia="宋体" w:hint="default"/>
          <w:sz w:val="11"/>
          <w:szCs w:val="11"/>
        </w:rPr>
      </w:pPr>
    </w:p>
    <w:p>
      <w:pPr>
        <w:pStyle w:val="BodyText"/>
        <w:spacing w:line="240" w:lineRule="auto" w:before="36"/>
        <w:ind w:left="565" w:right="0"/>
        <w:jc w:val="left"/>
      </w:pPr>
      <w:r>
        <w:rPr/>
        <w:t>（</w:t>
      </w:r>
      <w:r>
        <w:rPr>
          <w:rFonts w:ascii="Times New Roman" w:hAnsi="Times New Roman" w:cs="Times New Roman" w:eastAsia="Times New Roman" w:hint="default"/>
        </w:rPr>
        <w:t>3</w:t>
      </w:r>
      <w:r>
        <w:rPr/>
        <w:t>）收到的其他与投资活动有关的现金</w:t>
      </w:r>
    </w:p>
    <w:tbl>
      <w:tblPr>
        <w:tblW w:w="0" w:type="auto"/>
        <w:jc w:val="left"/>
        <w:tblInd w:w="123" w:type="dxa"/>
        <w:tblLayout w:type="fixed"/>
        <w:tblCellMar>
          <w:top w:w="0" w:type="dxa"/>
          <w:left w:w="0" w:type="dxa"/>
          <w:bottom w:w="0" w:type="dxa"/>
          <w:right w:w="0" w:type="dxa"/>
        </w:tblCellMar>
        <w:tblLook w:val="01E0"/>
      </w:tblPr>
      <w:tblGrid>
        <w:gridCol w:w="4123"/>
        <w:gridCol w:w="2818"/>
        <w:gridCol w:w="2818"/>
      </w:tblGrid>
      <w:tr>
        <w:trPr>
          <w:trHeight w:val="499" w:hRule="exact"/>
        </w:trPr>
        <w:tc>
          <w:tcPr>
            <w:tcW w:w="412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right="1836"/>
              <w:jc w:val="right"/>
              <w:rPr>
                <w:rFonts w:ascii="宋体" w:hAnsi="宋体" w:cs="宋体" w:eastAsia="宋体" w:hint="default"/>
                <w:sz w:val="21"/>
                <w:szCs w:val="21"/>
              </w:rPr>
            </w:pPr>
            <w:r>
              <w:rPr>
                <w:rFonts w:ascii="宋体" w:hAnsi="宋体" w:cs="宋体" w:eastAsia="宋体" w:hint="default"/>
                <w:sz w:val="21"/>
                <w:szCs w:val="21"/>
              </w:rPr>
              <w:t>项目</w:t>
            </w:r>
          </w:p>
        </w:tc>
        <w:tc>
          <w:tcPr>
            <w:tcW w:w="281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4"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28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412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转让股权预收款</w:t>
            </w:r>
          </w:p>
        </w:tc>
        <w:tc>
          <w:tcPr>
            <w:tcW w:w="2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60,500,000.00</w:t>
            </w:r>
          </w:p>
        </w:tc>
        <w:tc>
          <w:tcPr>
            <w:tcW w:w="28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4" w:hRule="exact"/>
        </w:trPr>
        <w:tc>
          <w:tcPr>
            <w:tcW w:w="412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right="1836"/>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81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b/>
                <w:sz w:val="21"/>
              </w:rPr>
              <w:t>60,500,000.00</w:t>
            </w:r>
            <w:r>
              <w:rPr>
                <w:rFonts w:ascii="Times New Roman"/>
                <w:sz w:val="21"/>
              </w:rPr>
            </w:r>
          </w:p>
        </w:tc>
        <w:tc>
          <w:tcPr>
            <w:tcW w:w="281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b/>
                <w:w w:val="100"/>
                <w:sz w:val="21"/>
              </w:rPr>
              <w:t>-</w:t>
            </w:r>
            <w:r>
              <w:rPr>
                <w:rFonts w:ascii="Times New Roman"/>
                <w:w w:val="100"/>
                <w:sz w:val="21"/>
              </w:rPr>
            </w:r>
          </w:p>
        </w:tc>
      </w:tr>
    </w:tbl>
    <w:p>
      <w:pPr>
        <w:spacing w:line="240" w:lineRule="auto" w:before="9"/>
        <w:rPr>
          <w:rFonts w:ascii="宋体" w:hAnsi="宋体" w:cs="宋体" w:eastAsia="宋体" w:hint="default"/>
          <w:sz w:val="11"/>
          <w:szCs w:val="11"/>
        </w:rPr>
      </w:pPr>
    </w:p>
    <w:p>
      <w:pPr>
        <w:pStyle w:val="BodyText"/>
        <w:spacing w:line="420" w:lineRule="auto" w:before="36"/>
        <w:ind w:right="0" w:firstLine="412"/>
        <w:jc w:val="left"/>
      </w:pPr>
      <w:r>
        <w:rPr>
          <w:spacing w:val="-2"/>
        </w:rPr>
        <w:t>收到的其他与投资活动有关的现金，为本期预收的全资二级子公司深圳市宝鹏投资发展有限公司的股</w:t>
      </w:r>
      <w:r>
        <w:rPr>
          <w:w w:val="100"/>
        </w:rPr>
        <w:t> </w:t>
      </w:r>
      <w:r>
        <w:rPr/>
        <w:t>权转让款。</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Heading6"/>
        <w:spacing w:line="240" w:lineRule="auto"/>
        <w:ind w:right="0"/>
        <w:jc w:val="left"/>
        <w:rPr>
          <w:b w:val="0"/>
          <w:bCs w:val="0"/>
        </w:rPr>
      </w:pPr>
      <w:r>
        <w:rPr>
          <w:rFonts w:ascii="Times New Roman" w:hAnsi="Times New Roman" w:cs="Times New Roman" w:eastAsia="Times New Roman" w:hint="default"/>
        </w:rPr>
        <w:t>45</w:t>
      </w:r>
      <w:r>
        <w:rPr/>
        <w:t>、现金流量表补充资料</w:t>
      </w:r>
      <w:r>
        <w:rPr>
          <w:b w:val="0"/>
          <w:bCs w:val="0"/>
        </w:rPr>
      </w:r>
    </w:p>
    <w:p>
      <w:pPr>
        <w:pStyle w:val="BodyText"/>
        <w:spacing w:line="240" w:lineRule="auto" w:before="181"/>
        <w:ind w:left="565" w:right="0"/>
        <w:jc w:val="left"/>
      </w:pPr>
      <w:r>
        <w:rPr/>
        <w:t>（</w:t>
      </w:r>
      <w:r>
        <w:rPr>
          <w:rFonts w:ascii="Times New Roman" w:hAnsi="Times New Roman" w:cs="Times New Roman" w:eastAsia="Times New Roman" w:hint="default"/>
        </w:rPr>
        <w:t>1</w:t>
      </w:r>
      <w:r>
        <w:rPr/>
        <w:t>）现金流量表补充资料</w:t>
      </w:r>
    </w:p>
    <w:tbl>
      <w:tblPr>
        <w:tblW w:w="0" w:type="auto"/>
        <w:jc w:val="left"/>
        <w:tblInd w:w="123" w:type="dxa"/>
        <w:tblLayout w:type="fixed"/>
        <w:tblCellMar>
          <w:top w:w="0" w:type="dxa"/>
          <w:left w:w="0" w:type="dxa"/>
          <w:bottom w:w="0" w:type="dxa"/>
          <w:right w:w="0" w:type="dxa"/>
        </w:tblCellMar>
        <w:tblLook w:val="01E0"/>
      </w:tblPr>
      <w:tblGrid>
        <w:gridCol w:w="5117"/>
        <w:gridCol w:w="2323"/>
        <w:gridCol w:w="2318"/>
      </w:tblGrid>
      <w:tr>
        <w:trPr>
          <w:trHeight w:val="499" w:hRule="exact"/>
        </w:trPr>
        <w:tc>
          <w:tcPr>
            <w:tcW w:w="511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5"/>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补充资料</w:t>
            </w:r>
            <w:r>
              <w:rPr>
                <w:rFonts w:ascii="Microsoft JhengHei" w:hAnsi="Microsoft JhengHei" w:cs="Microsoft JhengHei" w:eastAsia="Microsoft JhengHei" w:hint="default"/>
                <w:sz w:val="21"/>
                <w:szCs w:val="21"/>
              </w:rPr>
            </w:r>
          </w:p>
        </w:tc>
        <w:tc>
          <w:tcPr>
            <w:tcW w:w="232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73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本期金额</w:t>
            </w:r>
            <w:r>
              <w:rPr>
                <w:rFonts w:ascii="Microsoft JhengHei" w:hAnsi="Microsoft JhengHei" w:cs="Microsoft JhengHei" w:eastAsia="Microsoft JhengHei" w:hint="default"/>
                <w:sz w:val="21"/>
                <w:szCs w:val="21"/>
              </w:rPr>
            </w:r>
          </w:p>
        </w:tc>
        <w:tc>
          <w:tcPr>
            <w:tcW w:w="23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5"/>
              <w:ind w:left="72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上期金额</w:t>
            </w:r>
            <w:r>
              <w:rPr>
                <w:rFonts w:ascii="Microsoft JhengHei" w:hAnsi="Microsoft JhengHei" w:cs="Microsoft JhengHei" w:eastAsia="Microsoft JhengHei" w:hint="default"/>
                <w:sz w:val="21"/>
                <w:szCs w:val="21"/>
              </w:rPr>
            </w:r>
          </w:p>
        </w:tc>
      </w:tr>
      <w:tr>
        <w:trPr>
          <w:trHeight w:val="490"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5"/>
              <w:ind w:left="124" w:right="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．将净利润调节为经营活动现金流量：</w:t>
            </w:r>
            <w:r>
              <w:rPr>
                <w:rFonts w:ascii="Microsoft JhengHei" w:hAnsi="Microsoft JhengHei" w:cs="Microsoft JhengHei" w:eastAsia="Microsoft JhengHei" w:hint="default"/>
                <w:sz w:val="21"/>
                <w:szCs w:val="21"/>
              </w:rPr>
            </w:r>
          </w:p>
        </w:tc>
        <w:tc>
          <w:tcPr>
            <w:tcW w:w="2323" w:type="dxa"/>
            <w:tcBorders>
              <w:top w:val="single" w:sz="4" w:space="0" w:color="000000"/>
              <w:left w:val="single" w:sz="4" w:space="0" w:color="000000"/>
              <w:bottom w:val="single" w:sz="4" w:space="0" w:color="000000"/>
              <w:right w:val="single" w:sz="4" w:space="0" w:color="000000"/>
            </w:tcBorders>
          </w:tcPr>
          <w:p>
            <w:pPr/>
          </w:p>
        </w:tc>
        <w:tc>
          <w:tcPr>
            <w:tcW w:w="2318"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194,099,382.85</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140,478,464.18</w:t>
            </w:r>
          </w:p>
        </w:tc>
      </w:tr>
      <w:tr>
        <w:trPr>
          <w:trHeight w:val="523" w:hRule="exact"/>
        </w:trPr>
        <w:tc>
          <w:tcPr>
            <w:tcW w:w="511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3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-10,065,465.06</w:t>
            </w:r>
          </w:p>
        </w:tc>
        <w:tc>
          <w:tcPr>
            <w:tcW w:w="231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5,301,401.72</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8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5117"/>
        <w:gridCol w:w="2323"/>
        <w:gridCol w:w="2318"/>
      </w:tblGrid>
      <w:tr>
        <w:trPr>
          <w:trHeight w:val="499" w:hRule="exact"/>
        </w:trPr>
        <w:tc>
          <w:tcPr>
            <w:tcW w:w="5117"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5"/>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补充资料</w:t>
            </w:r>
            <w:r>
              <w:rPr>
                <w:rFonts w:ascii="Microsoft JhengHei" w:hAnsi="Microsoft JhengHei" w:cs="Microsoft JhengHei" w:eastAsia="Microsoft JhengHei" w:hint="default"/>
                <w:sz w:val="21"/>
                <w:szCs w:val="21"/>
              </w:rPr>
            </w:r>
          </w:p>
        </w:tc>
        <w:tc>
          <w:tcPr>
            <w:tcW w:w="232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73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本期金额</w:t>
            </w:r>
            <w:r>
              <w:rPr>
                <w:rFonts w:ascii="Microsoft JhengHei" w:hAnsi="Microsoft JhengHei" w:cs="Microsoft JhengHei" w:eastAsia="Microsoft JhengHei" w:hint="default"/>
                <w:sz w:val="21"/>
                <w:szCs w:val="21"/>
              </w:rPr>
            </w:r>
          </w:p>
        </w:tc>
        <w:tc>
          <w:tcPr>
            <w:tcW w:w="231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5"/>
              <w:ind w:left="72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上期金额</w:t>
            </w:r>
            <w:r>
              <w:rPr>
                <w:rFonts w:ascii="Microsoft JhengHei" w:hAnsi="Microsoft JhengHei" w:cs="Microsoft JhengHei" w:eastAsia="Microsoft JhengHei" w:hint="default"/>
                <w:sz w:val="21"/>
                <w:szCs w:val="21"/>
              </w:rPr>
            </w:r>
          </w:p>
        </w:tc>
      </w:tr>
      <w:tr>
        <w:trPr>
          <w:trHeight w:val="514"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固定资产折旧、投资性房地产摊销</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16,549,383.61</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19,713,286.23</w:t>
            </w:r>
          </w:p>
        </w:tc>
      </w:tr>
      <w:tr>
        <w:trPr>
          <w:trHeight w:val="50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950,420.07</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1,567,714.68</w:t>
            </w:r>
          </w:p>
        </w:tc>
      </w:tr>
      <w:tr>
        <w:trPr>
          <w:trHeight w:val="50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2"/>
                <w:sz w:val="21"/>
              </w:rPr>
              <w:t>111,617.54</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155,863.92</w:t>
            </w:r>
          </w:p>
        </w:tc>
      </w:tr>
      <w:tr>
        <w:trPr>
          <w:trHeight w:val="782"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72" w:lineRule="exact"/>
              <w:ind w:left="124"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w:t>
            </w:r>
          </w:p>
          <w:p>
            <w:pPr>
              <w:pStyle w:val="TableParagraph"/>
              <w:spacing w:line="288" w:lineRule="exact"/>
              <w:ind w:left="124" w:right="0"/>
              <w:jc w:val="left"/>
              <w:rPr>
                <w:rFonts w:ascii="宋体" w:hAnsi="宋体" w:cs="宋体" w:eastAsia="宋体" w:hint="default"/>
                <w:sz w:val="21"/>
                <w:szCs w:val="21"/>
              </w:rPr>
            </w:pPr>
            <w:r>
              <w:rPr>
                <w:rFonts w:ascii="宋体" w:hAnsi="宋体" w:cs="宋体" w:eastAsia="宋体" w:hint="default"/>
                <w:sz w:val="21"/>
                <w:szCs w:val="21"/>
              </w:rPr>
              <w:t>（收益以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-4,438,525.67</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-371,000.00</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9,998,032.99</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6,478,595.25</w:t>
            </w:r>
          </w:p>
        </w:tc>
      </w:tr>
      <w:tr>
        <w:trPr>
          <w:trHeight w:val="504"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-52,574,962.09</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-106,109,855.95</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4,029,172.19</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26,004,873.90</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-290,340.97</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-1,653,741.14</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-1,132,987,023.89</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-271,301,199.25</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63,184,747.70</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20,979,510.70</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592,759,675.90</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-266,146,936.03</w:t>
            </w:r>
          </w:p>
        </w:tc>
      </w:tr>
      <w:tr>
        <w:trPr>
          <w:trHeight w:val="504"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-318,673,884.83</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-424,903,021.79</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5"/>
              <w:ind w:left="124" w:right="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．不涉及现金收支的重大投资和筹资活动：</w:t>
            </w:r>
            <w:r>
              <w:rPr>
                <w:rFonts w:ascii="Microsoft JhengHei" w:hAnsi="Microsoft JhengHei" w:cs="Microsoft JhengHei" w:eastAsia="Microsoft JhengHei" w:hint="default"/>
                <w:sz w:val="21"/>
                <w:szCs w:val="21"/>
              </w:rPr>
            </w:r>
          </w:p>
        </w:tc>
        <w:tc>
          <w:tcPr>
            <w:tcW w:w="2323" w:type="dxa"/>
            <w:tcBorders>
              <w:top w:val="single" w:sz="4" w:space="0" w:color="000000"/>
              <w:left w:val="single" w:sz="4" w:space="0" w:color="000000"/>
              <w:bottom w:val="single" w:sz="4" w:space="0" w:color="000000"/>
              <w:right w:val="single" w:sz="4" w:space="0" w:color="000000"/>
            </w:tcBorders>
          </w:tcPr>
          <w:p>
            <w:pPr/>
          </w:p>
        </w:tc>
        <w:tc>
          <w:tcPr>
            <w:tcW w:w="2318"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04"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5"/>
              <w:ind w:left="124" w:right="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．现金及现金等价物净变动情况：</w:t>
            </w:r>
            <w:r>
              <w:rPr>
                <w:rFonts w:ascii="Microsoft JhengHei" w:hAnsi="Microsoft JhengHei" w:cs="Microsoft JhengHei" w:eastAsia="Microsoft JhengHei" w:hint="default"/>
                <w:sz w:val="21"/>
                <w:szCs w:val="21"/>
              </w:rPr>
            </w:r>
          </w:p>
        </w:tc>
        <w:tc>
          <w:tcPr>
            <w:tcW w:w="2323" w:type="dxa"/>
            <w:tcBorders>
              <w:top w:val="single" w:sz="4" w:space="0" w:color="000000"/>
              <w:left w:val="single" w:sz="4" w:space="0" w:color="000000"/>
              <w:bottom w:val="single" w:sz="4" w:space="0" w:color="000000"/>
              <w:right w:val="single" w:sz="4" w:space="0" w:color="000000"/>
            </w:tcBorders>
          </w:tcPr>
          <w:p>
            <w:pPr/>
          </w:p>
        </w:tc>
        <w:tc>
          <w:tcPr>
            <w:tcW w:w="2318"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171,137,040.24</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360,697,122.94</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360,697,122.94</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698,442,335.31</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511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31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4" w:hRule="exact"/>
        </w:trPr>
        <w:tc>
          <w:tcPr>
            <w:tcW w:w="511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32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-189,560,082.70</w:t>
            </w:r>
          </w:p>
        </w:tc>
        <w:tc>
          <w:tcPr>
            <w:tcW w:w="231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-337,745,212.37</w:t>
            </w:r>
          </w:p>
        </w:tc>
      </w:tr>
    </w:tbl>
    <w:p>
      <w:pPr>
        <w:spacing w:line="240" w:lineRule="auto" w:before="11"/>
        <w:rPr>
          <w:rFonts w:ascii="宋体" w:hAnsi="宋体" w:cs="宋体" w:eastAsia="宋体" w:hint="default"/>
          <w:sz w:val="11"/>
          <w:szCs w:val="11"/>
        </w:rPr>
      </w:pPr>
    </w:p>
    <w:p>
      <w:pPr>
        <w:pStyle w:val="BodyText"/>
        <w:spacing w:line="240" w:lineRule="auto" w:before="36"/>
        <w:ind w:left="565" w:right="0"/>
        <w:jc w:val="left"/>
      </w:pPr>
      <w:r>
        <w:rPr/>
        <w:t>（</w:t>
      </w:r>
      <w:r>
        <w:rPr>
          <w:rFonts w:ascii="Times New Roman" w:hAnsi="Times New Roman" w:cs="Times New Roman" w:eastAsia="Times New Roman" w:hint="default"/>
        </w:rPr>
        <w:t>2</w:t>
      </w:r>
      <w:r>
        <w:rPr/>
        <w:t>）本报告期内取得或处置子公司及其他营业单位的相关信息</w:t>
      </w:r>
    </w:p>
    <w:p>
      <w:pPr>
        <w:spacing w:after="0" w:line="240" w:lineRule="auto"/>
        <w:jc w:val="left"/>
        <w:sectPr>
          <w:pgSz w:w="11900" w:h="16840"/>
          <w:pgMar w:header="762" w:footer="840" w:top="1000" w:bottom="1020" w:left="980" w:right="8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5683"/>
        <w:gridCol w:w="2040"/>
        <w:gridCol w:w="2035"/>
      </w:tblGrid>
      <w:tr>
        <w:trPr>
          <w:trHeight w:val="499" w:hRule="exact"/>
        </w:trPr>
        <w:tc>
          <w:tcPr>
            <w:tcW w:w="568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05"/>
              <w:ind w:right="89"/>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项目</w:t>
            </w:r>
            <w:r>
              <w:rPr>
                <w:rFonts w:ascii="Microsoft JhengHei" w:hAnsi="Microsoft JhengHei" w:cs="Microsoft JhengHei" w:eastAsia="Microsoft JhengHei" w:hint="default"/>
                <w:sz w:val="21"/>
                <w:szCs w:val="21"/>
              </w:rPr>
            </w:r>
          </w:p>
        </w:tc>
        <w:tc>
          <w:tcPr>
            <w:tcW w:w="204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5"/>
              <w:ind w:left="59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本期金额</w:t>
            </w:r>
            <w:r>
              <w:rPr>
                <w:rFonts w:ascii="Microsoft JhengHei" w:hAnsi="Microsoft JhengHei" w:cs="Microsoft JhengHei" w:eastAsia="Microsoft JhengHei" w:hint="default"/>
                <w:sz w:val="21"/>
                <w:szCs w:val="21"/>
              </w:rPr>
            </w:r>
          </w:p>
        </w:tc>
        <w:tc>
          <w:tcPr>
            <w:tcW w:w="20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05"/>
              <w:ind w:left="590"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上期金额</w:t>
            </w:r>
            <w:r>
              <w:rPr>
                <w:rFonts w:ascii="Microsoft JhengHei" w:hAnsi="Microsoft JhengHei" w:cs="Microsoft JhengHei" w:eastAsia="Microsoft JhengHei" w:hint="default"/>
                <w:sz w:val="21"/>
                <w:szCs w:val="21"/>
              </w:rPr>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一、取得子公司及其他营业单位的有关信息：</w:t>
            </w:r>
          </w:p>
        </w:tc>
        <w:tc>
          <w:tcPr>
            <w:tcW w:w="2040" w:type="dxa"/>
            <w:tcBorders>
              <w:top w:val="single" w:sz="4" w:space="0" w:color="000000"/>
              <w:left w:val="single" w:sz="4" w:space="0" w:color="000000"/>
              <w:bottom w:val="single" w:sz="4" w:space="0" w:color="000000"/>
              <w:right w:val="single" w:sz="4" w:space="0" w:color="000000"/>
            </w:tcBorders>
          </w:tcPr>
          <w:p>
            <w:pPr/>
          </w:p>
        </w:tc>
        <w:tc>
          <w:tcPr>
            <w:tcW w:w="2035"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．取得子公司及其他营业单位的价格</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170,000,000.00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104,700,000.00</w:t>
            </w:r>
          </w:p>
        </w:tc>
      </w:tr>
      <w:tr>
        <w:trPr>
          <w:trHeight w:val="494"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．取得子公司及其他营业单位支付的现金和现金等价物</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170,000,000.00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104,700,000.00</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right="300"/>
              <w:jc w:val="right"/>
              <w:rPr>
                <w:rFonts w:ascii="宋体" w:hAnsi="宋体" w:cs="宋体" w:eastAsia="宋体" w:hint="default"/>
                <w:sz w:val="21"/>
                <w:szCs w:val="21"/>
              </w:rPr>
            </w:pPr>
            <w:r>
              <w:rPr>
                <w:rFonts w:ascii="宋体" w:hAnsi="宋体" w:cs="宋体" w:eastAsia="宋体" w:hint="default"/>
                <w:spacing w:val="-2"/>
                <w:sz w:val="21"/>
                <w:szCs w:val="21"/>
              </w:rPr>
              <w:t>减：子公司及其他营业单位持有的现金和现金等价物</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6,371,701.22</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．取得子公司及其他营业单位支付的现金净额</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163,628,298.78</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104,700,000.00</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．取得子公司的净资产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162,768,422.70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91,579,400.83</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965,873,903.06</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553,663,481.82</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15,106,159.22</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16,253,215.79</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646,211,639.58</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476,353,539.90</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172,000,000.00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1,983,756.88</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二、处置子公司及其他营业单位的有关信息：</w:t>
            </w:r>
          </w:p>
        </w:tc>
        <w:tc>
          <w:tcPr>
            <w:tcW w:w="2040" w:type="dxa"/>
            <w:tcBorders>
              <w:top w:val="single" w:sz="4" w:space="0" w:color="000000"/>
              <w:left w:val="single" w:sz="4" w:space="0" w:color="000000"/>
              <w:bottom w:val="single" w:sz="4" w:space="0" w:color="000000"/>
              <w:right w:val="single" w:sz="4" w:space="0" w:color="000000"/>
            </w:tcBorders>
          </w:tcPr>
          <w:p>
            <w:pPr/>
          </w:p>
        </w:tc>
        <w:tc>
          <w:tcPr>
            <w:tcW w:w="2035"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．处置子公司及其他营业单位的价格</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75,000,000.00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288,200,001.80</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．处置子公司及其他营业单位收到的现金和现金等价物</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75,000,000.00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288,200,001.80</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right="300"/>
              <w:jc w:val="right"/>
              <w:rPr>
                <w:rFonts w:ascii="宋体" w:hAnsi="宋体" w:cs="宋体" w:eastAsia="宋体" w:hint="default"/>
                <w:sz w:val="21"/>
                <w:szCs w:val="21"/>
              </w:rPr>
            </w:pPr>
            <w:r>
              <w:rPr>
                <w:rFonts w:ascii="宋体" w:hAnsi="宋体" w:cs="宋体" w:eastAsia="宋体" w:hint="default"/>
                <w:spacing w:val="-2"/>
                <w:sz w:val="21"/>
                <w:szCs w:val="21"/>
              </w:rPr>
              <w:t>减：子公司及其他营业单位持有的现金和现金等价物</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48,460,288.37</w:t>
            </w:r>
          </w:p>
        </w:tc>
      </w:tr>
      <w:tr>
        <w:trPr>
          <w:trHeight w:val="494"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．处置子公司及其他营业单位收到的现金净额</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75,000,000.00</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239,739,713.43</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．处置子公司的净资产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194,369,315.42</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210,721,809.62</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165,305,924.27</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119,658,418.47</w:t>
            </w:r>
          </w:p>
        </w:tc>
      </w:tr>
      <w:tr>
        <w:trPr>
          <w:trHeight w:val="499" w:hRule="exact"/>
        </w:trPr>
        <w:tc>
          <w:tcPr>
            <w:tcW w:w="568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72"/>
              <w:ind w:left="547"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20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62,000,000.00</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pStyle w:val="BodyText"/>
        <w:spacing w:line="240" w:lineRule="auto" w:before="36"/>
        <w:ind w:left="565" w:right="0"/>
        <w:jc w:val="left"/>
      </w:pPr>
      <w:r>
        <w:rPr/>
        <w:t>（</w:t>
      </w:r>
      <w:r>
        <w:rPr>
          <w:rFonts w:ascii="Times New Roman" w:hAnsi="Times New Roman" w:cs="Times New Roman" w:eastAsia="Times New Roman" w:hint="default"/>
        </w:rPr>
        <w:t>3</w:t>
      </w:r>
      <w:r>
        <w:rPr/>
        <w:t>）现金和现金等价物的构成</w:t>
      </w:r>
    </w:p>
    <w:tbl>
      <w:tblPr>
        <w:tblW w:w="0" w:type="auto"/>
        <w:jc w:val="left"/>
        <w:tblInd w:w="123" w:type="dxa"/>
        <w:tblLayout w:type="fixed"/>
        <w:tblCellMar>
          <w:top w:w="0" w:type="dxa"/>
          <w:left w:w="0" w:type="dxa"/>
          <w:bottom w:w="0" w:type="dxa"/>
          <w:right w:w="0" w:type="dxa"/>
        </w:tblCellMar>
        <w:tblLook w:val="01E0"/>
      </w:tblPr>
      <w:tblGrid>
        <w:gridCol w:w="5683"/>
        <w:gridCol w:w="2040"/>
        <w:gridCol w:w="2035"/>
      </w:tblGrid>
      <w:tr>
        <w:trPr>
          <w:trHeight w:val="499" w:hRule="exact"/>
        </w:trPr>
        <w:tc>
          <w:tcPr>
            <w:tcW w:w="568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right="2614"/>
              <w:jc w:val="right"/>
              <w:rPr>
                <w:rFonts w:ascii="宋体" w:hAnsi="宋体" w:cs="宋体" w:eastAsia="宋体" w:hint="default"/>
                <w:sz w:val="21"/>
                <w:szCs w:val="21"/>
              </w:rPr>
            </w:pPr>
            <w:r>
              <w:rPr>
                <w:rFonts w:ascii="宋体" w:hAnsi="宋体" w:cs="宋体" w:eastAsia="宋体" w:hint="default"/>
                <w:sz w:val="21"/>
                <w:szCs w:val="21"/>
              </w:rPr>
              <w:t>项目</w:t>
            </w:r>
          </w:p>
        </w:tc>
        <w:tc>
          <w:tcPr>
            <w:tcW w:w="204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59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0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left="590"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94"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040" w:type="dxa"/>
            <w:tcBorders>
              <w:top w:val="single" w:sz="4" w:space="0" w:color="000000"/>
              <w:left w:val="single" w:sz="4" w:space="0" w:color="000000"/>
              <w:bottom w:val="single" w:sz="4" w:space="0" w:color="000000"/>
              <w:right w:val="single" w:sz="4" w:space="0" w:color="000000"/>
            </w:tcBorders>
          </w:tcPr>
          <w:p>
            <w:pPr/>
          </w:p>
        </w:tc>
        <w:tc>
          <w:tcPr>
            <w:tcW w:w="2035"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z w:val="21"/>
              </w:rPr>
              <w:t>231,497.86</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212,985.27</w:t>
            </w:r>
          </w:p>
        </w:tc>
      </w:tr>
      <w:tr>
        <w:trPr>
          <w:trHeight w:val="490"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right="2609"/>
              <w:jc w:val="right"/>
              <w:rPr>
                <w:rFonts w:ascii="宋体" w:hAnsi="宋体" w:cs="宋体" w:eastAsia="宋体" w:hint="default"/>
                <w:sz w:val="21"/>
                <w:szCs w:val="21"/>
              </w:rPr>
            </w:pPr>
            <w:r>
              <w:rPr>
                <w:rFonts w:ascii="宋体" w:hAnsi="宋体" w:cs="宋体" w:eastAsia="宋体" w:hint="default"/>
                <w:spacing w:val="-2"/>
                <w:sz w:val="21"/>
                <w:szCs w:val="21"/>
              </w:rPr>
              <w:t>可随时用于支付的银行存款</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170,905,542.38</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360,484,137.67</w:t>
            </w:r>
          </w:p>
        </w:tc>
      </w:tr>
      <w:tr>
        <w:trPr>
          <w:trHeight w:val="518" w:hRule="exact"/>
        </w:trPr>
        <w:tc>
          <w:tcPr>
            <w:tcW w:w="568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040" w:type="dxa"/>
            <w:tcBorders>
              <w:top w:val="single" w:sz="4" w:space="0" w:color="000000"/>
              <w:left w:val="single" w:sz="4" w:space="0" w:color="000000"/>
              <w:bottom w:val="single" w:sz="12" w:space="0" w:color="000000"/>
              <w:right w:val="single" w:sz="4" w:space="0" w:color="000000"/>
            </w:tcBorders>
          </w:tcPr>
          <w:p>
            <w:pPr/>
          </w:p>
        </w:tc>
        <w:tc>
          <w:tcPr>
            <w:tcW w:w="2035" w:type="dxa"/>
            <w:tcBorders>
              <w:top w:val="single" w:sz="4" w:space="0" w:color="000000"/>
              <w:left w:val="single" w:sz="4" w:space="0" w:color="000000"/>
              <w:bottom w:val="single" w:sz="12" w:space="0" w:color="000000"/>
              <w:right w:val="nil" w:sz="6" w:space="0" w:color="auto"/>
            </w:tcBorders>
          </w:tcPr>
          <w:p>
            <w:pPr/>
          </w:p>
        </w:tc>
      </w:tr>
    </w:tbl>
    <w:p>
      <w:pPr>
        <w:spacing w:after="0"/>
        <w:sectPr>
          <w:pgSz w:w="11900" w:h="16840"/>
          <w:pgMar w:header="762" w:footer="840" w:top="1000" w:bottom="1020" w:left="980" w:right="8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5683"/>
        <w:gridCol w:w="2040"/>
        <w:gridCol w:w="2035"/>
      </w:tblGrid>
      <w:tr>
        <w:trPr>
          <w:trHeight w:val="499" w:hRule="exact"/>
        </w:trPr>
        <w:tc>
          <w:tcPr>
            <w:tcW w:w="5683"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right="2614"/>
              <w:jc w:val="right"/>
              <w:rPr>
                <w:rFonts w:ascii="宋体" w:hAnsi="宋体" w:cs="宋体" w:eastAsia="宋体" w:hint="default"/>
                <w:sz w:val="21"/>
                <w:szCs w:val="21"/>
              </w:rPr>
            </w:pPr>
            <w:r>
              <w:rPr>
                <w:rFonts w:ascii="宋体" w:hAnsi="宋体" w:cs="宋体" w:eastAsia="宋体" w:hint="default"/>
                <w:sz w:val="21"/>
                <w:szCs w:val="21"/>
              </w:rPr>
              <w:t>项目</w:t>
            </w:r>
          </w:p>
        </w:tc>
        <w:tc>
          <w:tcPr>
            <w:tcW w:w="204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595"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03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left="590"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514" w:hRule="exact"/>
        </w:trPr>
        <w:tc>
          <w:tcPr>
            <w:tcW w:w="56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609"/>
              <w:jc w:val="right"/>
              <w:rPr>
                <w:rFonts w:ascii="宋体" w:hAnsi="宋体" w:cs="宋体" w:eastAsia="宋体" w:hint="default"/>
                <w:sz w:val="21"/>
                <w:szCs w:val="21"/>
              </w:rPr>
            </w:pPr>
            <w:r>
              <w:rPr>
                <w:rFonts w:ascii="宋体" w:hAnsi="宋体" w:cs="宋体" w:eastAsia="宋体" w:hint="default"/>
                <w:spacing w:val="-2"/>
                <w:sz w:val="21"/>
                <w:szCs w:val="21"/>
              </w:rPr>
              <w:t>其中：三个月内到期的债券投资</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w w:val="100"/>
                <w:sz w:val="21"/>
              </w:rPr>
              <w:t>-</w:t>
            </w:r>
          </w:p>
        </w:tc>
        <w:tc>
          <w:tcPr>
            <w:tcW w:w="203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8" w:hRule="exact"/>
        </w:trPr>
        <w:tc>
          <w:tcPr>
            <w:tcW w:w="568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609"/>
              <w:jc w:val="right"/>
              <w:rPr>
                <w:rFonts w:ascii="宋体" w:hAnsi="宋体" w:cs="宋体" w:eastAsia="宋体" w:hint="default"/>
                <w:sz w:val="21"/>
                <w:szCs w:val="21"/>
              </w:rPr>
            </w:pPr>
            <w:r>
              <w:rPr>
                <w:rFonts w:ascii="宋体" w:hAnsi="宋体" w:cs="宋体" w:eastAsia="宋体" w:hint="default"/>
                <w:spacing w:val="-2"/>
                <w:sz w:val="21"/>
                <w:szCs w:val="21"/>
              </w:rPr>
              <w:t>三、期末现金及现金等价物余额</w:t>
            </w:r>
          </w:p>
        </w:tc>
        <w:tc>
          <w:tcPr>
            <w:tcW w:w="20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171,137,040.24</w:t>
            </w:r>
          </w:p>
        </w:tc>
        <w:tc>
          <w:tcPr>
            <w:tcW w:w="203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360,697,122.94</w:t>
            </w:r>
          </w:p>
        </w:tc>
      </w:tr>
    </w:tbl>
    <w:p>
      <w:pPr>
        <w:spacing w:line="240" w:lineRule="auto" w:before="11"/>
        <w:rPr>
          <w:rFonts w:ascii="宋体" w:hAnsi="宋体" w:cs="宋体" w:eastAsia="宋体" w:hint="default"/>
          <w:sz w:val="11"/>
          <w:szCs w:val="11"/>
        </w:rPr>
      </w:pPr>
    </w:p>
    <w:p>
      <w:pPr>
        <w:pStyle w:val="BodyText"/>
        <w:spacing w:line="240" w:lineRule="auto" w:before="36"/>
        <w:ind w:left="565" w:right="0"/>
        <w:jc w:val="left"/>
      </w:pPr>
      <w:r>
        <w:rPr/>
        <w:t>现金和现金等价物不含母公司或集团内子公司使用受限制的现金和现金等价物。</w:t>
      </w:r>
    </w:p>
    <w:p>
      <w:pPr>
        <w:spacing w:after="0" w:line="240" w:lineRule="auto"/>
        <w:jc w:val="left"/>
        <w:sectPr>
          <w:pgSz w:w="11900" w:h="16840"/>
          <w:pgMar w:header="762" w:footer="840" w:top="1000" w:bottom="1020" w:left="980" w:right="880"/>
        </w:sectPr>
      </w:pPr>
    </w:p>
    <w:p>
      <w:pPr>
        <w:spacing w:line="240" w:lineRule="auto" w:before="5"/>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pgSz w:w="11900" w:h="16840"/>
          <w:pgMar w:header="762" w:footer="840" w:top="1000" w:bottom="1020" w:left="980" w:right="1020"/>
        </w:sectPr>
      </w:pPr>
    </w:p>
    <w:p>
      <w:pPr>
        <w:spacing w:line="240" w:lineRule="auto" w:before="9"/>
        <w:rPr>
          <w:rFonts w:ascii="Times New Roman" w:hAnsi="Times New Roman" w:cs="Times New Roman" w:eastAsia="Times New Roman" w:hint="default"/>
          <w:sz w:val="24"/>
          <w:szCs w:val="24"/>
        </w:rPr>
      </w:pPr>
    </w:p>
    <w:p>
      <w:pPr>
        <w:pStyle w:val="Heading6"/>
        <w:spacing w:line="335" w:lineRule="exact"/>
        <w:ind w:left="240" w:right="0"/>
        <w:jc w:val="left"/>
        <w:rPr>
          <w:b w:val="0"/>
          <w:bCs w:val="0"/>
        </w:rPr>
      </w:pPr>
      <w:r>
        <w:rPr/>
        <w:t>七、关联方及关联交易</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11"/>
        <w:rPr>
          <w:rFonts w:ascii="Microsoft JhengHei" w:hAnsi="Microsoft JhengHei" w:cs="Microsoft JhengHei" w:eastAsia="Microsoft JhengHei" w:hint="default"/>
          <w:b/>
          <w:bCs/>
          <w:sz w:val="16"/>
          <w:szCs w:val="16"/>
        </w:rPr>
      </w:pPr>
    </w:p>
    <w:p>
      <w:pPr>
        <w:pStyle w:val="Heading6"/>
        <w:spacing w:line="240" w:lineRule="auto"/>
        <w:ind w:left="240" w:right="0"/>
        <w:jc w:val="left"/>
        <w:rPr>
          <w:b w:val="0"/>
          <w:bCs w:val="0"/>
        </w:rPr>
      </w:pPr>
      <w:r>
        <w:rPr>
          <w:rFonts w:ascii="Times New Roman" w:hAnsi="Times New Roman" w:cs="Times New Roman" w:eastAsia="Times New Roman" w:hint="default"/>
        </w:rPr>
        <w:t>1</w:t>
      </w:r>
      <w:r>
        <w:rPr/>
        <w:t>、本企业的大股东情况</w:t>
      </w:r>
      <w:r>
        <w:rPr>
          <w:b w:val="0"/>
          <w:bCs w:val="0"/>
        </w:rPr>
      </w:r>
    </w:p>
    <w:tbl>
      <w:tblPr>
        <w:tblW w:w="0" w:type="auto"/>
        <w:jc w:val="left"/>
        <w:tblInd w:w="100" w:type="dxa"/>
        <w:tblLayout w:type="fixed"/>
        <w:tblCellMar>
          <w:top w:w="0" w:type="dxa"/>
          <w:left w:w="0" w:type="dxa"/>
          <w:bottom w:w="0" w:type="dxa"/>
          <w:right w:w="0" w:type="dxa"/>
        </w:tblCellMar>
        <w:tblLook w:val="01E0"/>
      </w:tblPr>
      <w:tblGrid>
        <w:gridCol w:w="2818"/>
        <w:gridCol w:w="1138"/>
        <w:gridCol w:w="1531"/>
        <w:gridCol w:w="946"/>
        <w:gridCol w:w="1022"/>
        <w:gridCol w:w="1550"/>
        <w:gridCol w:w="902"/>
        <w:gridCol w:w="1536"/>
        <w:gridCol w:w="1531"/>
        <w:gridCol w:w="1142"/>
      </w:tblGrid>
      <w:tr>
        <w:trPr>
          <w:trHeight w:val="520" w:hRule="exact"/>
        </w:trPr>
        <w:tc>
          <w:tcPr>
            <w:tcW w:w="2818" w:type="dxa"/>
            <w:tcBorders>
              <w:top w:val="single" w:sz="12" w:space="0" w:color="000000"/>
              <w:left w:val="nil" w:sz="6" w:space="0" w:color="auto"/>
              <w:bottom w:val="nil" w:sz="6" w:space="0" w:color="auto"/>
              <w:right w:val="single" w:sz="4" w:space="0" w:color="000000"/>
            </w:tcBorders>
          </w:tcPr>
          <w:p>
            <w:pPr/>
          </w:p>
        </w:tc>
        <w:tc>
          <w:tcPr>
            <w:tcW w:w="1138" w:type="dxa"/>
            <w:tcBorders>
              <w:top w:val="single" w:sz="12" w:space="0" w:color="000000"/>
              <w:left w:val="single" w:sz="4" w:space="0" w:color="000000"/>
              <w:bottom w:val="nil" w:sz="6" w:space="0" w:color="auto"/>
              <w:right w:val="single" w:sz="4" w:space="0" w:color="000000"/>
            </w:tcBorders>
          </w:tcPr>
          <w:p>
            <w:pPr/>
          </w:p>
        </w:tc>
        <w:tc>
          <w:tcPr>
            <w:tcW w:w="1531" w:type="dxa"/>
            <w:tcBorders>
              <w:top w:val="single" w:sz="12" w:space="0" w:color="000000"/>
              <w:left w:val="single" w:sz="4" w:space="0" w:color="000000"/>
              <w:bottom w:val="nil" w:sz="6" w:space="0" w:color="auto"/>
              <w:right w:val="single" w:sz="4" w:space="0" w:color="000000"/>
            </w:tcBorders>
          </w:tcPr>
          <w:p>
            <w:pPr/>
          </w:p>
        </w:tc>
        <w:tc>
          <w:tcPr>
            <w:tcW w:w="946" w:type="dxa"/>
            <w:tcBorders>
              <w:top w:val="single" w:sz="12" w:space="0" w:color="000000"/>
              <w:left w:val="single" w:sz="4" w:space="0" w:color="000000"/>
              <w:bottom w:val="nil" w:sz="6" w:space="0" w:color="auto"/>
              <w:right w:val="single" w:sz="4" w:space="0" w:color="000000"/>
            </w:tcBorders>
          </w:tcPr>
          <w:p>
            <w:pPr/>
          </w:p>
        </w:tc>
        <w:tc>
          <w:tcPr>
            <w:tcW w:w="1022" w:type="dxa"/>
            <w:tcBorders>
              <w:top w:val="single" w:sz="12" w:space="0" w:color="000000"/>
              <w:left w:val="single" w:sz="4" w:space="0" w:color="000000"/>
              <w:bottom w:val="nil" w:sz="6" w:space="0" w:color="auto"/>
              <w:right w:val="single" w:sz="4" w:space="0" w:color="000000"/>
            </w:tcBorders>
          </w:tcPr>
          <w:p>
            <w:pPr/>
          </w:p>
        </w:tc>
        <w:tc>
          <w:tcPr>
            <w:tcW w:w="1550" w:type="dxa"/>
            <w:tcBorders>
              <w:top w:val="single" w:sz="12" w:space="0" w:color="000000"/>
              <w:left w:val="single" w:sz="4" w:space="0" w:color="000000"/>
              <w:bottom w:val="nil" w:sz="6" w:space="0" w:color="auto"/>
              <w:right w:val="single" w:sz="4" w:space="0" w:color="000000"/>
            </w:tcBorders>
          </w:tcPr>
          <w:p>
            <w:pPr/>
          </w:p>
        </w:tc>
        <w:tc>
          <w:tcPr>
            <w:tcW w:w="9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70"/>
              <w:jc w:val="right"/>
              <w:rPr>
                <w:rFonts w:ascii="宋体" w:hAnsi="宋体" w:cs="宋体" w:eastAsia="宋体" w:hint="default"/>
                <w:sz w:val="18"/>
                <w:szCs w:val="18"/>
              </w:rPr>
            </w:pPr>
            <w:r>
              <w:rPr>
                <w:rFonts w:ascii="宋体" w:hAnsi="宋体" w:cs="宋体" w:eastAsia="宋体" w:hint="default"/>
                <w:spacing w:val="-2"/>
                <w:sz w:val="18"/>
                <w:szCs w:val="18"/>
              </w:rPr>
              <w:t>注册资</w:t>
            </w:r>
          </w:p>
        </w:tc>
        <w:tc>
          <w:tcPr>
            <w:tcW w:w="1536" w:type="dxa"/>
            <w:tcBorders>
              <w:top w:val="single" w:sz="12" w:space="0" w:color="000000"/>
              <w:left w:val="single" w:sz="4" w:space="0" w:color="000000"/>
              <w:bottom w:val="nil" w:sz="6" w:space="0" w:color="auto"/>
              <w:right w:val="single" w:sz="4" w:space="0" w:color="000000"/>
            </w:tcBorders>
          </w:tcPr>
          <w:p>
            <w:pPr/>
          </w:p>
        </w:tc>
        <w:tc>
          <w:tcPr>
            <w:tcW w:w="153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pacing w:val="-3"/>
                <w:sz w:val="18"/>
                <w:szCs w:val="18"/>
              </w:rPr>
              <w:t>母公司对本企业</w:t>
            </w:r>
          </w:p>
        </w:tc>
        <w:tc>
          <w:tcPr>
            <w:tcW w:w="1142" w:type="dxa"/>
            <w:tcBorders>
              <w:top w:val="single" w:sz="12" w:space="0" w:color="000000"/>
              <w:left w:val="single" w:sz="4" w:space="0" w:color="000000"/>
              <w:bottom w:val="nil" w:sz="6" w:space="0" w:color="auto"/>
              <w:right w:val="nil" w:sz="6" w:space="0" w:color="auto"/>
            </w:tcBorders>
          </w:tcPr>
          <w:p>
            <w:pPr/>
          </w:p>
        </w:tc>
      </w:tr>
      <w:tr>
        <w:trPr>
          <w:trHeight w:val="250" w:hRule="exact"/>
        </w:trPr>
        <w:tc>
          <w:tcPr>
            <w:tcW w:w="2818"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4" w:right="0"/>
              <w:jc w:val="center"/>
              <w:rPr>
                <w:rFonts w:ascii="宋体" w:hAnsi="宋体" w:cs="宋体" w:eastAsia="宋体" w:hint="default"/>
                <w:sz w:val="18"/>
                <w:szCs w:val="18"/>
              </w:rPr>
            </w:pPr>
            <w:r>
              <w:rPr>
                <w:rFonts w:ascii="宋体" w:hAnsi="宋体" w:cs="宋体" w:eastAsia="宋体" w:hint="default"/>
                <w:sz w:val="18"/>
                <w:szCs w:val="18"/>
              </w:rPr>
              <w:t>业务性质及</w:t>
            </w:r>
          </w:p>
        </w:tc>
        <w:tc>
          <w:tcPr>
            <w:tcW w:w="902" w:type="dxa"/>
            <w:tcBorders>
              <w:top w:val="nil" w:sz="6" w:space="0" w:color="auto"/>
              <w:left w:val="single" w:sz="4" w:space="0" w:color="000000"/>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spacing w:val="-3"/>
                <w:sz w:val="18"/>
                <w:szCs w:val="18"/>
              </w:rPr>
              <w:t>母公司对本企业</w:t>
            </w:r>
          </w:p>
        </w:tc>
        <w:tc>
          <w:tcPr>
            <w:tcW w:w="1531"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nil" w:sz="6" w:space="0" w:color="auto"/>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组织机构</w:t>
            </w:r>
          </w:p>
        </w:tc>
      </w:tr>
      <w:tr>
        <w:trPr>
          <w:trHeight w:val="250" w:hRule="exact"/>
        </w:trPr>
        <w:tc>
          <w:tcPr>
            <w:tcW w:w="2818" w:type="dxa"/>
            <w:tcBorders>
              <w:top w:val="nil" w:sz="6" w:space="0" w:color="auto"/>
              <w:left w:val="nil" w:sz="6" w:space="0" w:color="auto"/>
              <w:bottom w:val="nil" w:sz="6" w:space="0" w:color="auto"/>
              <w:right w:val="single" w:sz="4" w:space="0" w:color="000000"/>
            </w:tcBorders>
          </w:tcPr>
          <w:p>
            <w:pPr>
              <w:pStyle w:val="TableParagraph"/>
              <w:spacing w:line="216" w:lineRule="exact"/>
              <w:ind w:left="19"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1138"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946"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22"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7"/>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550" w:type="dxa"/>
            <w:tcBorders>
              <w:top w:val="nil" w:sz="6" w:space="0" w:color="auto"/>
              <w:left w:val="single" w:sz="4" w:space="0" w:color="000000"/>
              <w:bottom w:val="nil" w:sz="6" w:space="0" w:color="auto"/>
              <w:right w:val="single" w:sz="4" w:space="0" w:color="000000"/>
            </w:tcBorders>
          </w:tcPr>
          <w:p>
            <w:pPr/>
          </w:p>
        </w:tc>
        <w:tc>
          <w:tcPr>
            <w:tcW w:w="902"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170"/>
              <w:jc w:val="right"/>
              <w:rPr>
                <w:rFonts w:ascii="宋体" w:hAnsi="宋体" w:cs="宋体" w:eastAsia="宋体" w:hint="default"/>
                <w:sz w:val="18"/>
                <w:szCs w:val="18"/>
              </w:rPr>
            </w:pPr>
            <w:r>
              <w:rPr>
                <w:rFonts w:ascii="宋体" w:hAnsi="宋体" w:cs="宋体" w:eastAsia="宋体" w:hint="default"/>
                <w:spacing w:val="-2"/>
                <w:sz w:val="18"/>
                <w:szCs w:val="18"/>
              </w:rPr>
              <w:t>本（万</w:t>
            </w:r>
          </w:p>
        </w:tc>
        <w:tc>
          <w:tcPr>
            <w:tcW w:w="1536"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5" w:right="0"/>
              <w:jc w:val="center"/>
              <w:rPr>
                <w:rFonts w:ascii="宋体" w:hAnsi="宋体" w:cs="宋体" w:eastAsia="宋体" w:hint="default"/>
                <w:sz w:val="18"/>
                <w:szCs w:val="18"/>
              </w:rPr>
            </w:pPr>
            <w:r>
              <w:rPr>
                <w:rFonts w:ascii="宋体" w:hAnsi="宋体" w:cs="宋体" w:eastAsia="宋体" w:hint="default"/>
                <w:sz w:val="18"/>
                <w:szCs w:val="18"/>
              </w:rPr>
              <w:t>的表决权比例</w:t>
            </w:r>
          </w:p>
        </w:tc>
        <w:tc>
          <w:tcPr>
            <w:tcW w:w="1142" w:type="dxa"/>
            <w:tcBorders>
              <w:top w:val="nil" w:sz="6" w:space="0" w:color="auto"/>
              <w:left w:val="single" w:sz="4" w:space="0" w:color="000000"/>
              <w:bottom w:val="nil" w:sz="6" w:space="0" w:color="auto"/>
              <w:right w:val="nil" w:sz="6" w:space="0" w:color="auto"/>
            </w:tcBorders>
          </w:tcPr>
          <w:p>
            <w:pPr/>
          </w:p>
        </w:tc>
      </w:tr>
      <w:tr>
        <w:trPr>
          <w:trHeight w:val="255" w:hRule="exact"/>
        </w:trPr>
        <w:tc>
          <w:tcPr>
            <w:tcW w:w="2818" w:type="dxa"/>
            <w:tcBorders>
              <w:top w:val="nil" w:sz="6" w:space="0" w:color="auto"/>
              <w:left w:val="nil" w:sz="6" w:space="0" w:color="auto"/>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946" w:type="dxa"/>
            <w:tcBorders>
              <w:top w:val="nil" w:sz="6" w:space="0" w:color="auto"/>
              <w:left w:val="single" w:sz="4" w:space="0" w:color="000000"/>
              <w:bottom w:val="nil" w:sz="6" w:space="0" w:color="auto"/>
              <w:right w:val="single" w:sz="4" w:space="0" w:color="000000"/>
            </w:tcBorders>
          </w:tcPr>
          <w:p>
            <w:pPr/>
          </w:p>
        </w:tc>
        <w:tc>
          <w:tcPr>
            <w:tcW w:w="1022" w:type="dxa"/>
            <w:tcBorders>
              <w:top w:val="nil" w:sz="6" w:space="0" w:color="auto"/>
              <w:left w:val="single" w:sz="4" w:space="0" w:color="000000"/>
              <w:bottom w:val="nil" w:sz="6" w:space="0" w:color="auto"/>
              <w:right w:val="single" w:sz="4" w:space="0" w:color="000000"/>
            </w:tcBorders>
          </w:tcPr>
          <w:p>
            <w:pPr/>
          </w:p>
        </w:tc>
        <w:tc>
          <w:tcPr>
            <w:tcW w:w="1550"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经营范围</w:t>
            </w:r>
          </w:p>
        </w:tc>
        <w:tc>
          <w:tcPr>
            <w:tcW w:w="902" w:type="dxa"/>
            <w:tcBorders>
              <w:top w:val="nil" w:sz="6" w:space="0" w:color="auto"/>
              <w:left w:val="single" w:sz="4" w:space="0" w:color="000000"/>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29" w:lineRule="exact"/>
              <w:ind w:right="4"/>
              <w:jc w:val="center"/>
              <w:rPr>
                <w:rFonts w:ascii="Times New Roman" w:hAnsi="Times New Roman" w:cs="Times New Roman" w:eastAsia="Times New Roman" w:hint="default"/>
                <w:sz w:val="18"/>
                <w:szCs w:val="18"/>
              </w:rPr>
            </w:pPr>
            <w:r>
              <w:rPr>
                <w:rFonts w:ascii="宋体" w:hAnsi="宋体" w:cs="宋体" w:eastAsia="宋体" w:hint="default"/>
                <w:sz w:val="18"/>
                <w:szCs w:val="18"/>
              </w:rPr>
              <w:t>的持股比例</w:t>
            </w:r>
            <w:r>
              <w:rPr>
                <w:rFonts w:ascii="Times New Roman" w:hAnsi="Times New Roman" w:cs="Times New Roman" w:eastAsia="Times New Roman" w:hint="default"/>
                <w:sz w:val="18"/>
                <w:szCs w:val="18"/>
              </w:rPr>
              <w:t>(%)</w:t>
            </w:r>
          </w:p>
        </w:tc>
        <w:tc>
          <w:tcPr>
            <w:tcW w:w="1531"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nil" w:sz="6" w:space="0" w:color="auto"/>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sz w:val="18"/>
                <w:szCs w:val="18"/>
              </w:rPr>
              <w:t>代码</w:t>
            </w:r>
          </w:p>
        </w:tc>
      </w:tr>
      <w:tr>
        <w:trPr>
          <w:trHeight w:val="243" w:hRule="exact"/>
        </w:trPr>
        <w:tc>
          <w:tcPr>
            <w:tcW w:w="2818" w:type="dxa"/>
            <w:tcBorders>
              <w:top w:val="nil" w:sz="6" w:space="0" w:color="auto"/>
              <w:left w:val="nil" w:sz="6" w:space="0" w:color="auto"/>
              <w:bottom w:val="single" w:sz="4" w:space="0" w:color="000000"/>
              <w:right w:val="single" w:sz="4" w:space="0" w:color="000000"/>
            </w:tcBorders>
          </w:tcPr>
          <w:p>
            <w:pPr/>
          </w:p>
        </w:tc>
        <w:tc>
          <w:tcPr>
            <w:tcW w:w="1138" w:type="dxa"/>
            <w:tcBorders>
              <w:top w:val="nil" w:sz="6" w:space="0" w:color="auto"/>
              <w:left w:val="single" w:sz="4" w:space="0" w:color="000000"/>
              <w:bottom w:val="single" w:sz="4" w:space="0" w:color="000000"/>
              <w:right w:val="single" w:sz="4" w:space="0" w:color="000000"/>
            </w:tcBorders>
          </w:tcPr>
          <w:p>
            <w:pPr/>
          </w:p>
        </w:tc>
        <w:tc>
          <w:tcPr>
            <w:tcW w:w="1531" w:type="dxa"/>
            <w:tcBorders>
              <w:top w:val="nil" w:sz="6" w:space="0" w:color="auto"/>
              <w:left w:val="single" w:sz="4" w:space="0" w:color="000000"/>
              <w:bottom w:val="single" w:sz="4" w:space="0" w:color="000000"/>
              <w:right w:val="single" w:sz="4" w:space="0" w:color="000000"/>
            </w:tcBorders>
          </w:tcPr>
          <w:p>
            <w:pPr/>
          </w:p>
        </w:tc>
        <w:tc>
          <w:tcPr>
            <w:tcW w:w="946" w:type="dxa"/>
            <w:tcBorders>
              <w:top w:val="nil" w:sz="6" w:space="0" w:color="auto"/>
              <w:left w:val="single" w:sz="4" w:space="0" w:color="000000"/>
              <w:bottom w:val="single" w:sz="4" w:space="0" w:color="000000"/>
              <w:right w:val="single" w:sz="4" w:space="0" w:color="000000"/>
            </w:tcBorders>
          </w:tcPr>
          <w:p>
            <w:pPr/>
          </w:p>
        </w:tc>
        <w:tc>
          <w:tcPr>
            <w:tcW w:w="1022" w:type="dxa"/>
            <w:tcBorders>
              <w:top w:val="nil" w:sz="6" w:space="0" w:color="auto"/>
              <w:left w:val="single" w:sz="4" w:space="0" w:color="000000"/>
              <w:bottom w:val="single" w:sz="4" w:space="0" w:color="000000"/>
              <w:right w:val="single" w:sz="4" w:space="0" w:color="000000"/>
            </w:tcBorders>
          </w:tcPr>
          <w:p>
            <w:pPr/>
          </w:p>
        </w:tc>
        <w:tc>
          <w:tcPr>
            <w:tcW w:w="1550" w:type="dxa"/>
            <w:tcBorders>
              <w:top w:val="nil" w:sz="6" w:space="0" w:color="auto"/>
              <w:left w:val="single" w:sz="4" w:space="0" w:color="000000"/>
              <w:bottom w:val="single" w:sz="4" w:space="0" w:color="000000"/>
              <w:right w:val="single" w:sz="4" w:space="0" w:color="000000"/>
            </w:tcBorders>
          </w:tcPr>
          <w:p>
            <w:pPr/>
          </w:p>
        </w:tc>
        <w:tc>
          <w:tcPr>
            <w:tcW w:w="902" w:type="dxa"/>
            <w:tcBorders>
              <w:top w:val="nil" w:sz="6" w:space="0" w:color="auto"/>
              <w:left w:val="single" w:sz="4" w:space="0" w:color="000000"/>
              <w:bottom w:val="single" w:sz="4" w:space="0" w:color="000000"/>
              <w:right w:val="single" w:sz="4" w:space="0" w:color="000000"/>
            </w:tcBorders>
          </w:tcPr>
          <w:p>
            <w:pPr>
              <w:pStyle w:val="TableParagraph"/>
              <w:spacing w:line="211" w:lineRule="exact"/>
              <w:ind w:left="26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536" w:type="dxa"/>
            <w:tcBorders>
              <w:top w:val="nil" w:sz="6" w:space="0" w:color="auto"/>
              <w:left w:val="single" w:sz="4" w:space="0" w:color="000000"/>
              <w:bottom w:val="single" w:sz="4" w:space="0" w:color="000000"/>
              <w:right w:val="single" w:sz="4" w:space="0" w:color="000000"/>
            </w:tcBorders>
          </w:tcPr>
          <w:p>
            <w:pPr/>
          </w:p>
        </w:tc>
        <w:tc>
          <w:tcPr>
            <w:tcW w:w="153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7"/>
              <w:ind w:right="1"/>
              <w:jc w:val="center"/>
              <w:rPr>
                <w:rFonts w:ascii="Times New Roman" w:hAnsi="Times New Roman" w:cs="Times New Roman" w:eastAsia="Times New Roman" w:hint="default"/>
                <w:sz w:val="18"/>
                <w:szCs w:val="18"/>
              </w:rPr>
            </w:pPr>
            <w:r>
              <w:rPr>
                <w:rFonts w:ascii="Times New Roman"/>
                <w:sz w:val="18"/>
              </w:rPr>
              <w:t>(%)</w:t>
            </w:r>
          </w:p>
        </w:tc>
        <w:tc>
          <w:tcPr>
            <w:tcW w:w="1142" w:type="dxa"/>
            <w:tcBorders>
              <w:top w:val="nil" w:sz="6" w:space="0" w:color="auto"/>
              <w:left w:val="single" w:sz="4" w:space="0" w:color="000000"/>
              <w:bottom w:val="single" w:sz="4" w:space="0" w:color="000000"/>
              <w:right w:val="nil" w:sz="6" w:space="0" w:color="auto"/>
            </w:tcBorders>
          </w:tcPr>
          <w:p>
            <w:pPr/>
          </w:p>
        </w:tc>
      </w:tr>
      <w:tr>
        <w:trPr>
          <w:trHeight w:val="720" w:hRule="exact"/>
        </w:trPr>
        <w:tc>
          <w:tcPr>
            <w:tcW w:w="28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中国宝安集团控股有限公司</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第一大股东</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钟征宇</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0"/>
              <w:jc w:val="left"/>
              <w:rPr>
                <w:rFonts w:ascii="Microsoft JhengHei" w:hAnsi="Microsoft JhengHei" w:cs="Microsoft JhengHei" w:eastAsia="Microsoft JhengHei" w:hint="default"/>
                <w:b/>
                <w:bCs/>
                <w:sz w:val="11"/>
                <w:szCs w:val="11"/>
              </w:rPr>
            </w:pPr>
          </w:p>
          <w:p>
            <w:pPr>
              <w:pStyle w:val="TableParagraph"/>
              <w:spacing w:line="240" w:lineRule="auto"/>
              <w:ind w:left="499" w:right="132" w:hanging="356"/>
              <w:jc w:val="left"/>
              <w:rPr>
                <w:rFonts w:ascii="宋体" w:hAnsi="宋体" w:cs="宋体" w:eastAsia="宋体" w:hint="default"/>
                <w:sz w:val="18"/>
                <w:szCs w:val="18"/>
              </w:rPr>
            </w:pPr>
            <w:r>
              <w:rPr>
                <w:rFonts w:ascii="宋体" w:hAnsi="宋体" w:cs="宋体" w:eastAsia="宋体" w:hint="default"/>
                <w:spacing w:val="-3"/>
                <w:sz w:val="18"/>
                <w:szCs w:val="18"/>
              </w:rPr>
              <w:t>科技项目投资及</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开发等</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2000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19.80</w:t>
            </w:r>
          </w:p>
        </w:tc>
        <w:tc>
          <w:tcPr>
            <w:tcW w:w="1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19.80</w:t>
            </w:r>
          </w:p>
        </w:tc>
        <w:tc>
          <w:tcPr>
            <w:tcW w:w="114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
              <w:ind w:right="0"/>
              <w:jc w:val="left"/>
              <w:rPr>
                <w:rFonts w:ascii="Microsoft JhengHei" w:hAnsi="Microsoft JhengHei" w:cs="Microsoft JhengHei" w:eastAsia="Microsoft JhengHei" w:hint="default"/>
                <w:b/>
                <w:bCs/>
                <w:sz w:val="20"/>
                <w:szCs w:val="20"/>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22056854-6</w:t>
            </w:r>
          </w:p>
        </w:tc>
      </w:tr>
      <w:tr>
        <w:trPr>
          <w:trHeight w:val="518" w:hRule="exact"/>
        </w:trPr>
        <w:tc>
          <w:tcPr>
            <w:tcW w:w="28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深圳市东鸿信投资发展有限公司</w:t>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第二大股东</w:t>
            </w:r>
          </w:p>
        </w:tc>
        <w:tc>
          <w:tcPr>
            <w:tcW w:w="153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94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102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颜金辉</w:t>
            </w:r>
          </w:p>
        </w:tc>
        <w:tc>
          <w:tcPr>
            <w:tcW w:w="15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投资兴办实业</w:t>
            </w:r>
          </w:p>
        </w:tc>
        <w:tc>
          <w:tcPr>
            <w:tcW w:w="9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1000</w:t>
            </w:r>
          </w:p>
        </w:tc>
        <w:tc>
          <w:tcPr>
            <w:tcW w:w="15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14.89</w:t>
            </w:r>
          </w:p>
        </w:tc>
        <w:tc>
          <w:tcPr>
            <w:tcW w:w="153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14.89</w:t>
            </w:r>
          </w:p>
        </w:tc>
        <w:tc>
          <w:tcPr>
            <w:tcW w:w="114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71522062-1</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18"/>
          <w:szCs w:val="18"/>
        </w:rPr>
      </w:pPr>
    </w:p>
    <w:p>
      <w:pPr>
        <w:pStyle w:val="Heading6"/>
        <w:spacing w:line="335" w:lineRule="exact"/>
        <w:ind w:left="240" w:right="0"/>
        <w:jc w:val="left"/>
        <w:rPr>
          <w:b w:val="0"/>
          <w:bCs w:val="0"/>
        </w:rPr>
      </w:pPr>
      <w:r>
        <w:rPr>
          <w:rFonts w:ascii="Times New Roman" w:hAnsi="Times New Roman" w:cs="Times New Roman" w:eastAsia="Times New Roman" w:hint="default"/>
        </w:rPr>
        <w:t>2</w:t>
      </w:r>
      <w:r>
        <w:rPr/>
        <w:t>、本企业的子公司情况</w:t>
      </w:r>
      <w:r>
        <w:rPr>
          <w:b w:val="0"/>
          <w:bCs w:val="0"/>
        </w:rPr>
      </w:r>
    </w:p>
    <w:tbl>
      <w:tblPr>
        <w:tblW w:w="0" w:type="auto"/>
        <w:jc w:val="left"/>
        <w:tblInd w:w="100" w:type="dxa"/>
        <w:tblLayout w:type="fixed"/>
        <w:tblCellMar>
          <w:top w:w="0" w:type="dxa"/>
          <w:left w:w="0" w:type="dxa"/>
          <w:bottom w:w="0" w:type="dxa"/>
          <w:right w:w="0" w:type="dxa"/>
        </w:tblCellMar>
        <w:tblLook w:val="01E0"/>
      </w:tblPr>
      <w:tblGrid>
        <w:gridCol w:w="2976"/>
        <w:gridCol w:w="1224"/>
        <w:gridCol w:w="1358"/>
        <w:gridCol w:w="816"/>
        <w:gridCol w:w="1090"/>
        <w:gridCol w:w="1901"/>
        <w:gridCol w:w="902"/>
        <w:gridCol w:w="974"/>
        <w:gridCol w:w="974"/>
        <w:gridCol w:w="1896"/>
      </w:tblGrid>
      <w:tr>
        <w:trPr>
          <w:trHeight w:val="658" w:hRule="exact"/>
        </w:trPr>
        <w:tc>
          <w:tcPr>
            <w:tcW w:w="297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子公司全称</w:t>
            </w:r>
          </w:p>
        </w:tc>
        <w:tc>
          <w:tcPr>
            <w:tcW w:w="12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子公司类型</w:t>
            </w:r>
          </w:p>
        </w:tc>
        <w:tc>
          <w:tcPr>
            <w:tcW w:w="135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8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9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901" w:type="dxa"/>
            <w:tcBorders>
              <w:top w:val="single" w:sz="12" w:space="0" w:color="000000"/>
              <w:left w:val="single" w:sz="4" w:space="0" w:color="000000"/>
              <w:bottom w:val="single" w:sz="4" w:space="0" w:color="000000"/>
              <w:right w:val="single" w:sz="4" w:space="0" w:color="000000"/>
            </w:tcBorders>
          </w:tcPr>
          <w:p>
            <w:pPr>
              <w:pStyle w:val="TableParagraph"/>
              <w:spacing w:line="321" w:lineRule="auto" w:before="53"/>
              <w:ind w:left="580" w:right="497" w:hanging="92"/>
              <w:jc w:val="left"/>
              <w:rPr>
                <w:rFonts w:ascii="宋体" w:hAnsi="宋体" w:cs="宋体" w:eastAsia="宋体" w:hint="default"/>
                <w:sz w:val="18"/>
                <w:szCs w:val="18"/>
              </w:rPr>
            </w:pPr>
            <w:r>
              <w:rPr>
                <w:rFonts w:ascii="宋体" w:hAnsi="宋体" w:cs="宋体" w:eastAsia="宋体" w:hint="default"/>
                <w:spacing w:val="-2"/>
                <w:sz w:val="18"/>
                <w:szCs w:val="18"/>
              </w:rPr>
              <w:t>业务性质及</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经营范围</w:t>
            </w:r>
          </w:p>
        </w:tc>
        <w:tc>
          <w:tcPr>
            <w:tcW w:w="902" w:type="dxa"/>
            <w:tcBorders>
              <w:top w:val="single" w:sz="12" w:space="0" w:color="000000"/>
              <w:left w:val="single" w:sz="4" w:space="0" w:color="000000"/>
              <w:bottom w:val="single" w:sz="4" w:space="0" w:color="000000"/>
              <w:right w:val="single" w:sz="4" w:space="0" w:color="000000"/>
            </w:tcBorders>
          </w:tcPr>
          <w:p>
            <w:pPr>
              <w:pStyle w:val="TableParagraph"/>
              <w:spacing w:line="321" w:lineRule="auto" w:before="53"/>
              <w:ind w:left="355" w:right="170" w:hanging="178"/>
              <w:jc w:val="left"/>
              <w:rPr>
                <w:rFonts w:ascii="宋体" w:hAnsi="宋体" w:cs="宋体" w:eastAsia="宋体" w:hint="default"/>
                <w:sz w:val="18"/>
                <w:szCs w:val="18"/>
              </w:rPr>
            </w:pPr>
            <w:r>
              <w:rPr>
                <w:rFonts w:ascii="宋体" w:hAnsi="宋体" w:cs="宋体" w:eastAsia="宋体" w:hint="default"/>
                <w:sz w:val="18"/>
                <w:szCs w:val="18"/>
              </w:rPr>
              <w:t>注册资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321" w:lineRule="auto" w:before="53"/>
              <w:ind w:left="167" w:right="162"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w:t>
            </w:r>
            <w:r>
              <w:rPr>
                <w:rFonts w:ascii="宋体" w:hAnsi="宋体" w:cs="宋体" w:eastAsia="宋体" w:hint="default"/>
                <w:w w:val="101"/>
                <w:sz w:val="18"/>
                <w:szCs w:val="18"/>
              </w:rPr>
              <w:t> </w:t>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321" w:lineRule="auto" w:before="53"/>
              <w:ind w:left="163" w:right="167" w:firstLine="43"/>
              <w:jc w:val="left"/>
              <w:rPr>
                <w:rFonts w:ascii="Times New Roman" w:hAnsi="Times New Roman" w:cs="Times New Roman" w:eastAsia="Times New Roman" w:hint="default"/>
                <w:sz w:val="18"/>
                <w:szCs w:val="18"/>
              </w:rPr>
            </w:pPr>
            <w:r>
              <w:rPr>
                <w:rFonts w:ascii="宋体" w:hAnsi="宋体" w:cs="宋体" w:eastAsia="宋体" w:hint="default"/>
                <w:sz w:val="18"/>
                <w:szCs w:val="18"/>
              </w:rPr>
              <w:t>表决权</w:t>
            </w:r>
            <w:r>
              <w:rPr>
                <w:rFonts w:ascii="宋体" w:hAnsi="宋体" w:cs="宋体" w:eastAsia="宋体" w:hint="default"/>
                <w:w w:val="101"/>
                <w:sz w:val="18"/>
                <w:szCs w:val="18"/>
              </w:rPr>
              <w:t> </w:t>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89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Microsoft JhengHei" w:hAnsi="Microsoft JhengHei" w:cs="Microsoft JhengHei" w:eastAsia="Microsoft JhengHei" w:hint="default"/>
                <w:b/>
                <w:bCs/>
                <w:sz w:val="12"/>
                <w:szCs w:val="12"/>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514"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深圳市鸿基房地产有限公司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罗伟光</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房地产开发</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19245882-4</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深圳市凯方实业发展有限公司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邱瑞亨</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物资供销、兴办实业</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70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70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19238441-5</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深圳市凯方房地产开发有限公司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关振芳</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00" w:right="-5"/>
              <w:jc w:val="left"/>
              <w:rPr>
                <w:rFonts w:ascii="宋体" w:hAnsi="宋体" w:cs="宋体" w:eastAsia="宋体" w:hint="default"/>
                <w:sz w:val="18"/>
                <w:szCs w:val="18"/>
              </w:rPr>
            </w:pPr>
            <w:r>
              <w:rPr>
                <w:rFonts w:ascii="宋体" w:hAnsi="宋体" w:cs="宋体" w:eastAsia="宋体" w:hint="default"/>
                <w:spacing w:val="-4"/>
                <w:sz w:val="18"/>
                <w:szCs w:val="18"/>
              </w:rPr>
              <w:t>房地产开发、物业管理</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95</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95</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72854727-9</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深圳市鸿基物业管理有限公司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物业管理</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27933402-3</w:t>
            </w:r>
          </w:p>
        </w:tc>
      </w:tr>
      <w:tr>
        <w:trPr>
          <w:trHeight w:val="1013"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500" w:lineRule="exact" w:before="46"/>
              <w:ind w:left="124" w:right="-9"/>
              <w:jc w:val="left"/>
              <w:rPr>
                <w:rFonts w:ascii="宋体" w:hAnsi="宋体" w:cs="宋体" w:eastAsia="宋体" w:hint="default"/>
                <w:sz w:val="18"/>
                <w:szCs w:val="18"/>
              </w:rPr>
            </w:pPr>
            <w:r>
              <w:rPr>
                <w:rFonts w:ascii="宋体" w:hAnsi="宋体" w:cs="宋体" w:eastAsia="宋体" w:hint="default"/>
                <w:spacing w:val="6"/>
                <w:sz w:val="18"/>
                <w:szCs w:val="18"/>
              </w:rPr>
              <w:t>深圳市龙岗鸿基房地产开发有限公</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
              <w:ind w:right="0"/>
              <w:jc w:val="left"/>
              <w:rPr>
                <w:rFonts w:ascii="Microsoft JhengHei" w:hAnsi="Microsoft JhengHei" w:cs="Microsoft JhengHei" w:eastAsia="Microsoft JhengHei" w:hint="default"/>
                <w:b/>
                <w:bCs/>
                <w:sz w:val="9"/>
                <w:szCs w:val="9"/>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房地产开发</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5"/>
              <w:ind w:right="0"/>
              <w:jc w:val="left"/>
              <w:rPr>
                <w:rFonts w:ascii="Microsoft JhengHei" w:hAnsi="Microsoft JhengHei" w:cs="Microsoft JhengHei" w:eastAsia="Microsoft JhengHei" w:hint="default"/>
                <w:b/>
                <w:bCs/>
                <w:sz w:val="12"/>
                <w:szCs w:val="1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3,168</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0"/>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0"/>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ind w:right="0"/>
              <w:jc w:val="left"/>
              <w:rPr>
                <w:rFonts w:ascii="Microsoft JhengHei" w:hAnsi="Microsoft JhengHei" w:cs="Microsoft JhengHei" w:eastAsia="Microsoft JhengHei" w:hint="default"/>
                <w:b/>
                <w:bCs/>
                <w:sz w:val="18"/>
                <w:szCs w:val="18"/>
              </w:rPr>
            </w:pPr>
          </w:p>
          <w:p>
            <w:pPr>
              <w:pStyle w:val="TableParagraph"/>
              <w:spacing w:line="240" w:lineRule="auto" w:before="160"/>
              <w:ind w:right="7"/>
              <w:jc w:val="center"/>
              <w:rPr>
                <w:rFonts w:ascii="Times New Roman" w:hAnsi="Times New Roman" w:cs="Times New Roman" w:eastAsia="Times New Roman" w:hint="default"/>
                <w:sz w:val="18"/>
                <w:szCs w:val="18"/>
              </w:rPr>
            </w:pPr>
            <w:r>
              <w:rPr>
                <w:rFonts w:ascii="Times New Roman"/>
                <w:sz w:val="18"/>
              </w:rPr>
              <w:t>27952356-1</w:t>
            </w:r>
          </w:p>
        </w:tc>
      </w:tr>
      <w:tr>
        <w:trPr>
          <w:trHeight w:val="518" w:hRule="exact"/>
        </w:trPr>
        <w:tc>
          <w:tcPr>
            <w:tcW w:w="297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深圳市龙岗鸿基发展有限公司</w:t>
            </w:r>
          </w:p>
        </w:tc>
        <w:tc>
          <w:tcPr>
            <w:tcW w:w="12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物业出租及管理</w:t>
            </w:r>
          </w:p>
        </w:tc>
        <w:tc>
          <w:tcPr>
            <w:tcW w:w="9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870</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19247875-3</w:t>
            </w:r>
          </w:p>
        </w:tc>
      </w:tr>
    </w:tbl>
    <w:p>
      <w:pPr>
        <w:spacing w:after="0" w:line="240" w:lineRule="auto"/>
        <w:jc w:val="center"/>
        <w:rPr>
          <w:rFonts w:ascii="Times New Roman" w:hAnsi="Times New Roman" w:cs="Times New Roman" w:eastAsia="Times New Roman" w:hint="default"/>
          <w:sz w:val="18"/>
          <w:szCs w:val="18"/>
        </w:rPr>
        <w:sectPr>
          <w:headerReference w:type="default" r:id="rId38"/>
          <w:footerReference w:type="default" r:id="rId39"/>
          <w:pgSz w:w="16840" w:h="11900" w:orient="landscape"/>
          <w:pgMar w:header="756" w:footer="840" w:top="980" w:bottom="1020" w:left="1200" w:right="1260"/>
          <w:pgNumType w:start="116"/>
        </w:sectPr>
      </w:pPr>
    </w:p>
    <w:p>
      <w:pPr>
        <w:spacing w:line="240" w:lineRule="auto" w:before="3"/>
        <w:rPr>
          <w:rFonts w:ascii="Times New Roman" w:hAnsi="Times New Roman" w:cs="Times New Roman" w:eastAsia="Times New Roman" w:hint="default"/>
          <w:sz w:val="11"/>
          <w:szCs w:val="11"/>
        </w:rPr>
      </w:pPr>
    </w:p>
    <w:tbl>
      <w:tblPr>
        <w:tblW w:w="0" w:type="auto"/>
        <w:jc w:val="left"/>
        <w:tblInd w:w="100" w:type="dxa"/>
        <w:tblLayout w:type="fixed"/>
        <w:tblCellMar>
          <w:top w:w="0" w:type="dxa"/>
          <w:left w:w="0" w:type="dxa"/>
          <w:bottom w:w="0" w:type="dxa"/>
          <w:right w:w="0" w:type="dxa"/>
        </w:tblCellMar>
        <w:tblLook w:val="01E0"/>
      </w:tblPr>
      <w:tblGrid>
        <w:gridCol w:w="2976"/>
        <w:gridCol w:w="1224"/>
        <w:gridCol w:w="1358"/>
        <w:gridCol w:w="816"/>
        <w:gridCol w:w="1090"/>
        <w:gridCol w:w="1901"/>
        <w:gridCol w:w="902"/>
        <w:gridCol w:w="974"/>
        <w:gridCol w:w="974"/>
        <w:gridCol w:w="1896"/>
      </w:tblGrid>
      <w:tr>
        <w:trPr>
          <w:trHeight w:val="662" w:hRule="exact"/>
        </w:trPr>
        <w:tc>
          <w:tcPr>
            <w:tcW w:w="297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子公司全称</w:t>
            </w:r>
          </w:p>
        </w:tc>
        <w:tc>
          <w:tcPr>
            <w:tcW w:w="12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子公司类型</w:t>
            </w:r>
          </w:p>
        </w:tc>
        <w:tc>
          <w:tcPr>
            <w:tcW w:w="135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8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9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901" w:type="dxa"/>
            <w:tcBorders>
              <w:top w:val="single" w:sz="12" w:space="0" w:color="000000"/>
              <w:left w:val="single" w:sz="4" w:space="0" w:color="000000"/>
              <w:bottom w:val="single" w:sz="4" w:space="0" w:color="000000"/>
              <w:right w:val="single" w:sz="4" w:space="0" w:color="000000"/>
            </w:tcBorders>
          </w:tcPr>
          <w:p>
            <w:pPr>
              <w:pStyle w:val="TableParagraph"/>
              <w:spacing w:line="328" w:lineRule="auto" w:before="53"/>
              <w:ind w:left="580" w:right="497" w:hanging="92"/>
              <w:jc w:val="left"/>
              <w:rPr>
                <w:rFonts w:ascii="宋体" w:hAnsi="宋体" w:cs="宋体" w:eastAsia="宋体" w:hint="default"/>
                <w:sz w:val="18"/>
                <w:szCs w:val="18"/>
              </w:rPr>
            </w:pPr>
            <w:r>
              <w:rPr>
                <w:rFonts w:ascii="宋体" w:hAnsi="宋体" w:cs="宋体" w:eastAsia="宋体" w:hint="default"/>
                <w:spacing w:val="-2"/>
                <w:sz w:val="18"/>
                <w:szCs w:val="18"/>
              </w:rPr>
              <w:t>业务性质及</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经营范围</w:t>
            </w:r>
          </w:p>
        </w:tc>
        <w:tc>
          <w:tcPr>
            <w:tcW w:w="902" w:type="dxa"/>
            <w:tcBorders>
              <w:top w:val="single" w:sz="12" w:space="0" w:color="000000"/>
              <w:left w:val="single" w:sz="4" w:space="0" w:color="000000"/>
              <w:bottom w:val="single" w:sz="4" w:space="0" w:color="000000"/>
              <w:right w:val="single" w:sz="4" w:space="0" w:color="000000"/>
            </w:tcBorders>
          </w:tcPr>
          <w:p>
            <w:pPr>
              <w:pStyle w:val="TableParagraph"/>
              <w:spacing w:line="328" w:lineRule="auto" w:before="53"/>
              <w:ind w:left="355" w:right="170" w:hanging="178"/>
              <w:jc w:val="left"/>
              <w:rPr>
                <w:rFonts w:ascii="宋体" w:hAnsi="宋体" w:cs="宋体" w:eastAsia="宋体" w:hint="default"/>
                <w:sz w:val="18"/>
                <w:szCs w:val="18"/>
              </w:rPr>
            </w:pPr>
            <w:r>
              <w:rPr>
                <w:rFonts w:ascii="宋体" w:hAnsi="宋体" w:cs="宋体" w:eastAsia="宋体" w:hint="default"/>
                <w:sz w:val="18"/>
                <w:szCs w:val="18"/>
              </w:rPr>
              <w:t>注册资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322" w:lineRule="exact" w:before="6"/>
              <w:ind w:left="167" w:right="162"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w:t>
            </w:r>
            <w:r>
              <w:rPr>
                <w:rFonts w:ascii="宋体" w:hAnsi="宋体" w:cs="宋体" w:eastAsia="宋体" w:hint="default"/>
                <w:w w:val="101"/>
                <w:sz w:val="18"/>
                <w:szCs w:val="18"/>
              </w:rPr>
              <w:t> </w:t>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322" w:lineRule="exact" w:before="6"/>
              <w:ind w:left="163" w:right="167" w:firstLine="43"/>
              <w:jc w:val="left"/>
              <w:rPr>
                <w:rFonts w:ascii="Times New Roman" w:hAnsi="Times New Roman" w:cs="Times New Roman" w:eastAsia="Times New Roman" w:hint="default"/>
                <w:sz w:val="18"/>
                <w:szCs w:val="18"/>
              </w:rPr>
            </w:pPr>
            <w:r>
              <w:rPr>
                <w:rFonts w:ascii="宋体" w:hAnsi="宋体" w:cs="宋体" w:eastAsia="宋体" w:hint="default"/>
                <w:sz w:val="18"/>
                <w:szCs w:val="18"/>
              </w:rPr>
              <w:t>表决权</w:t>
            </w:r>
            <w:r>
              <w:rPr>
                <w:rFonts w:ascii="宋体" w:hAnsi="宋体" w:cs="宋体" w:eastAsia="宋体" w:hint="default"/>
                <w:w w:val="101"/>
                <w:sz w:val="18"/>
                <w:szCs w:val="18"/>
              </w:rPr>
              <w:t> </w:t>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89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西安深鸿基房地产开发有限公司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西安</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胡海峰</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7502164-1</w:t>
            </w:r>
          </w:p>
        </w:tc>
      </w:tr>
      <w:tr>
        <w:trPr>
          <w:trHeight w:val="485"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陕西宝安鸿基房地产开发有限公司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西安</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胡海峰</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55230683-3</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安徽宝安鸿基房地产开发有限公司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池洲</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周非</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56068089-2</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东莞市宜久房地产开发有限公司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东莞</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徐舒辉</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69972271-9</w:t>
            </w:r>
          </w:p>
        </w:tc>
      </w:tr>
      <w:tr>
        <w:trPr>
          <w:trHeight w:val="514"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东莞宝安鸿基房地产开发有限公司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东莞</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陈治达</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58292981-2</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湖南宝安鸿基房地产开发有限公司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湘潭</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陈峰伟</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58091599-4</w:t>
            </w:r>
          </w:p>
        </w:tc>
      </w:tr>
      <w:tr>
        <w:trPr>
          <w:trHeight w:val="1008"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500" w:lineRule="exact" w:before="46"/>
              <w:ind w:left="124" w:right="-4"/>
              <w:jc w:val="left"/>
              <w:rPr>
                <w:rFonts w:ascii="宋体" w:hAnsi="宋体" w:cs="宋体" w:eastAsia="宋体" w:hint="default"/>
                <w:sz w:val="18"/>
                <w:szCs w:val="18"/>
              </w:rPr>
            </w:pPr>
            <w:r>
              <w:rPr>
                <w:rFonts w:ascii="宋体" w:hAnsi="宋体" w:cs="宋体" w:eastAsia="宋体" w:hint="default"/>
                <w:spacing w:val="6"/>
                <w:sz w:val="18"/>
                <w:szCs w:val="18"/>
              </w:rPr>
              <w:t>惠东县宝安鸿基房地产开发有限公</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z w:val="18"/>
                <w:szCs w:val="18"/>
              </w:rPr>
              <w:t>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7"/>
              <w:jc w:val="center"/>
              <w:rPr>
                <w:rFonts w:ascii="宋体" w:hAnsi="宋体" w:cs="宋体" w:eastAsia="宋体" w:hint="default"/>
                <w:sz w:val="18"/>
                <w:szCs w:val="18"/>
              </w:rPr>
            </w:pPr>
            <w:r>
              <w:rPr>
                <w:rFonts w:ascii="宋体" w:hAnsi="宋体" w:cs="宋体" w:eastAsia="宋体" w:hint="default"/>
                <w:sz w:val="18"/>
                <w:szCs w:val="18"/>
              </w:rPr>
              <w:t>惠东</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4"/>
              <w:ind w:right="0"/>
              <w:jc w:val="center"/>
              <w:rPr>
                <w:rFonts w:ascii="宋体" w:hAnsi="宋体" w:cs="宋体" w:eastAsia="宋体" w:hint="default"/>
                <w:sz w:val="18"/>
                <w:szCs w:val="18"/>
              </w:rPr>
            </w:pPr>
            <w:r>
              <w:rPr>
                <w:rFonts w:ascii="宋体" w:hAnsi="宋体" w:cs="宋体" w:eastAsia="宋体" w:hint="default"/>
                <w:sz w:val="18"/>
                <w:szCs w:val="18"/>
              </w:rPr>
              <w:t>徐舒晖</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3"/>
              <w:ind w:right="98"/>
              <w:jc w:val="right"/>
              <w:rPr>
                <w:rFonts w:ascii="Times New Roman" w:hAnsi="Times New Roman" w:cs="Times New Roman" w:eastAsia="Times New Roman" w:hint="default"/>
                <w:sz w:val="18"/>
                <w:szCs w:val="18"/>
              </w:rPr>
            </w:pPr>
            <w:r>
              <w:rPr>
                <w:rFonts w:ascii="Times New Roman"/>
                <w:spacing w:val="-1"/>
                <w:sz w:val="18"/>
              </w:rPr>
              <w:t>1,000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3"/>
              <w:ind w:right="7"/>
              <w:jc w:val="center"/>
              <w:rPr>
                <w:rFonts w:ascii="Times New Roman" w:hAnsi="Times New Roman" w:cs="Times New Roman" w:eastAsia="Times New Roman" w:hint="default"/>
                <w:sz w:val="18"/>
                <w:szCs w:val="18"/>
              </w:rPr>
            </w:pPr>
            <w:r>
              <w:rPr>
                <w:rFonts w:ascii="Times New Roman"/>
                <w:sz w:val="18"/>
              </w:rPr>
              <w:t>58826971-2</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惠州市宝安房地产开发有限公司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惠州</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李洞明</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房地产开发销售</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77402025-9</w:t>
            </w:r>
          </w:p>
        </w:tc>
      </w:tr>
      <w:tr>
        <w:trPr>
          <w:trHeight w:val="514"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深圳市宝鹏物流有限公司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物流、货运代理</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55866507-9</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深圳市鸿基物流有限公司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物流</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11250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73881286-5</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深圳市鸿基集装箱运输有限公司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郭磊</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集装箱运输</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90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19220419-7</w:t>
            </w:r>
          </w:p>
        </w:tc>
      </w:tr>
      <w:tr>
        <w:trPr>
          <w:trHeight w:val="1013"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500" w:lineRule="exact" w:before="46"/>
              <w:ind w:left="124" w:right="-9"/>
              <w:jc w:val="left"/>
              <w:rPr>
                <w:rFonts w:ascii="宋体" w:hAnsi="宋体" w:cs="宋体" w:eastAsia="宋体" w:hint="default"/>
                <w:sz w:val="18"/>
                <w:szCs w:val="18"/>
              </w:rPr>
            </w:pPr>
            <w:r>
              <w:rPr>
                <w:rFonts w:ascii="宋体" w:hAnsi="宋体" w:cs="宋体" w:eastAsia="宋体" w:hint="default"/>
                <w:spacing w:val="6"/>
                <w:sz w:val="18"/>
                <w:szCs w:val="18"/>
              </w:rPr>
              <w:t>深圳市鸿永通国际货运代理有限公</w:t>
            </w:r>
            <w:r>
              <w:rPr>
                <w:rFonts w:ascii="宋体" w:hAnsi="宋体" w:cs="宋体" w:eastAsia="宋体" w:hint="default"/>
                <w:spacing w:val="-33"/>
                <w:sz w:val="18"/>
                <w:szCs w:val="18"/>
              </w:rPr>
              <w:t> </w:t>
            </w:r>
            <w:r>
              <w:rPr>
                <w:rFonts w:ascii="宋体" w:hAnsi="宋体" w:cs="宋体" w:eastAsia="宋体" w:hint="default"/>
                <w:spacing w:val="-33"/>
                <w:sz w:val="18"/>
                <w:szCs w:val="18"/>
              </w:rPr>
            </w:r>
            <w:r>
              <w:rPr>
                <w:rFonts w:ascii="宋体" w:hAnsi="宋体" w:cs="宋体" w:eastAsia="宋体" w:hint="default"/>
                <w:sz w:val="18"/>
                <w:szCs w:val="18"/>
              </w:rPr>
              <w:t>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黄旭辉</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货运代理</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3"/>
              <w:ind w:right="98"/>
              <w:jc w:val="right"/>
              <w:rPr>
                <w:rFonts w:ascii="Times New Roman" w:hAnsi="Times New Roman" w:cs="Times New Roman" w:eastAsia="Times New Roman" w:hint="default"/>
                <w:sz w:val="18"/>
                <w:szCs w:val="18"/>
              </w:rPr>
            </w:pPr>
            <w:r>
              <w:rPr>
                <w:rFonts w:ascii="Times New Roman"/>
                <w:sz w:val="18"/>
              </w:rPr>
              <w:t>500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3"/>
              <w:ind w:right="7"/>
              <w:jc w:val="center"/>
              <w:rPr>
                <w:rFonts w:ascii="Times New Roman" w:hAnsi="Times New Roman" w:cs="Times New Roman" w:eastAsia="Times New Roman" w:hint="default"/>
                <w:sz w:val="18"/>
                <w:szCs w:val="18"/>
              </w:rPr>
            </w:pPr>
            <w:r>
              <w:rPr>
                <w:rFonts w:ascii="Times New Roman"/>
                <w:sz w:val="18"/>
              </w:rPr>
              <w:t>73628923-0</w:t>
            </w:r>
          </w:p>
        </w:tc>
      </w:tr>
      <w:tr>
        <w:trPr>
          <w:trHeight w:val="1008"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香港鸿业发展有限公司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香港</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邱圣凯</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运输、贸易</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left="-10" w:right="98"/>
              <w:jc w:val="right"/>
              <w:rPr>
                <w:rFonts w:ascii="Times New Roman" w:hAnsi="Times New Roman" w:cs="Times New Roman" w:eastAsia="Times New Roman" w:hint="default"/>
                <w:sz w:val="18"/>
                <w:szCs w:val="18"/>
              </w:rPr>
            </w:pPr>
            <w:r>
              <w:rPr>
                <w:rFonts w:ascii="宋体" w:hAnsi="宋体" w:cs="宋体" w:eastAsia="宋体" w:hint="default"/>
                <w:sz w:val="18"/>
                <w:szCs w:val="18"/>
              </w:rPr>
              <w:t>港币</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1,000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95</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95</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500" w:lineRule="exact" w:before="46"/>
              <w:ind w:left="758" w:right="45" w:hanging="72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601558</w:t>
            </w:r>
            <w:r>
              <w:rPr>
                <w:rFonts w:ascii="宋体" w:hAnsi="宋体" w:cs="宋体" w:eastAsia="宋体" w:hint="default"/>
                <w:spacing w:val="-2"/>
                <w:sz w:val="18"/>
                <w:szCs w:val="18"/>
              </w:rPr>
              <w:t>（香港公司注册</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号）</w:t>
            </w:r>
          </w:p>
        </w:tc>
      </w:tr>
      <w:tr>
        <w:trPr>
          <w:trHeight w:val="523" w:hRule="exact"/>
        </w:trPr>
        <w:tc>
          <w:tcPr>
            <w:tcW w:w="297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福建升通网络传媒有限公司</w:t>
            </w:r>
          </w:p>
        </w:tc>
        <w:tc>
          <w:tcPr>
            <w:tcW w:w="12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福州</w:t>
            </w:r>
          </w:p>
        </w:tc>
        <w:tc>
          <w:tcPr>
            <w:tcW w:w="109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邱瑞亨</w:t>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增值电信服务</w:t>
            </w:r>
          </w:p>
        </w:tc>
        <w:tc>
          <w:tcPr>
            <w:tcW w:w="9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1600</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76617330-0</w:t>
            </w:r>
          </w:p>
        </w:tc>
      </w:tr>
    </w:tbl>
    <w:p>
      <w:pPr>
        <w:spacing w:after="0" w:line="240" w:lineRule="auto"/>
        <w:jc w:val="center"/>
        <w:rPr>
          <w:rFonts w:ascii="Times New Roman" w:hAnsi="Times New Roman" w:cs="Times New Roman" w:eastAsia="Times New Roman" w:hint="default"/>
          <w:sz w:val="18"/>
          <w:szCs w:val="18"/>
        </w:rPr>
        <w:sectPr>
          <w:pgSz w:w="16840" w:h="11900" w:orient="landscape"/>
          <w:pgMar w:header="756" w:footer="840" w:top="980" w:bottom="1020" w:left="1200" w:right="1280"/>
        </w:sectPr>
      </w:pPr>
    </w:p>
    <w:p>
      <w:pPr>
        <w:spacing w:line="240" w:lineRule="auto" w:before="3"/>
        <w:rPr>
          <w:rFonts w:ascii="Times New Roman" w:hAnsi="Times New Roman" w:cs="Times New Roman" w:eastAsia="Times New Roman" w:hint="default"/>
          <w:sz w:val="11"/>
          <w:szCs w:val="11"/>
        </w:rPr>
      </w:pPr>
    </w:p>
    <w:tbl>
      <w:tblPr>
        <w:tblW w:w="0" w:type="auto"/>
        <w:jc w:val="left"/>
        <w:tblInd w:w="140" w:type="dxa"/>
        <w:tblLayout w:type="fixed"/>
        <w:tblCellMar>
          <w:top w:w="0" w:type="dxa"/>
          <w:left w:w="0" w:type="dxa"/>
          <w:bottom w:w="0" w:type="dxa"/>
          <w:right w:w="0" w:type="dxa"/>
        </w:tblCellMar>
        <w:tblLook w:val="01E0"/>
      </w:tblPr>
      <w:tblGrid>
        <w:gridCol w:w="2976"/>
        <w:gridCol w:w="1224"/>
        <w:gridCol w:w="1358"/>
        <w:gridCol w:w="816"/>
        <w:gridCol w:w="1090"/>
        <w:gridCol w:w="1901"/>
        <w:gridCol w:w="902"/>
        <w:gridCol w:w="974"/>
        <w:gridCol w:w="974"/>
        <w:gridCol w:w="1896"/>
      </w:tblGrid>
      <w:tr>
        <w:trPr>
          <w:trHeight w:val="662" w:hRule="exact"/>
        </w:trPr>
        <w:tc>
          <w:tcPr>
            <w:tcW w:w="297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4" w:right="0"/>
              <w:jc w:val="center"/>
              <w:rPr>
                <w:rFonts w:ascii="宋体" w:hAnsi="宋体" w:cs="宋体" w:eastAsia="宋体" w:hint="default"/>
                <w:sz w:val="18"/>
                <w:szCs w:val="18"/>
              </w:rPr>
            </w:pPr>
            <w:r>
              <w:rPr>
                <w:rFonts w:ascii="宋体" w:hAnsi="宋体" w:cs="宋体" w:eastAsia="宋体" w:hint="default"/>
                <w:sz w:val="18"/>
                <w:szCs w:val="18"/>
              </w:rPr>
              <w:t>子公司全称</w:t>
            </w:r>
          </w:p>
        </w:tc>
        <w:tc>
          <w:tcPr>
            <w:tcW w:w="12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子公司类型</w:t>
            </w:r>
          </w:p>
        </w:tc>
        <w:tc>
          <w:tcPr>
            <w:tcW w:w="135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8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9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901" w:type="dxa"/>
            <w:tcBorders>
              <w:top w:val="single" w:sz="12" w:space="0" w:color="000000"/>
              <w:left w:val="single" w:sz="4" w:space="0" w:color="000000"/>
              <w:bottom w:val="single" w:sz="4" w:space="0" w:color="000000"/>
              <w:right w:val="single" w:sz="4" w:space="0" w:color="000000"/>
            </w:tcBorders>
          </w:tcPr>
          <w:p>
            <w:pPr>
              <w:pStyle w:val="TableParagraph"/>
              <w:spacing w:line="328" w:lineRule="auto" w:before="53"/>
              <w:ind w:left="580" w:right="497" w:hanging="92"/>
              <w:jc w:val="left"/>
              <w:rPr>
                <w:rFonts w:ascii="宋体" w:hAnsi="宋体" w:cs="宋体" w:eastAsia="宋体" w:hint="default"/>
                <w:sz w:val="18"/>
                <w:szCs w:val="18"/>
              </w:rPr>
            </w:pPr>
            <w:r>
              <w:rPr>
                <w:rFonts w:ascii="宋体" w:hAnsi="宋体" w:cs="宋体" w:eastAsia="宋体" w:hint="default"/>
                <w:spacing w:val="-2"/>
                <w:sz w:val="18"/>
                <w:szCs w:val="18"/>
              </w:rPr>
              <w:t>业务性质及</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经营范围</w:t>
            </w:r>
          </w:p>
        </w:tc>
        <w:tc>
          <w:tcPr>
            <w:tcW w:w="902" w:type="dxa"/>
            <w:tcBorders>
              <w:top w:val="single" w:sz="12" w:space="0" w:color="000000"/>
              <w:left w:val="single" w:sz="4" w:space="0" w:color="000000"/>
              <w:bottom w:val="single" w:sz="4" w:space="0" w:color="000000"/>
              <w:right w:val="single" w:sz="4" w:space="0" w:color="000000"/>
            </w:tcBorders>
          </w:tcPr>
          <w:p>
            <w:pPr>
              <w:pStyle w:val="TableParagraph"/>
              <w:spacing w:line="328" w:lineRule="auto" w:before="53"/>
              <w:ind w:left="355" w:right="170" w:hanging="178"/>
              <w:jc w:val="left"/>
              <w:rPr>
                <w:rFonts w:ascii="宋体" w:hAnsi="宋体" w:cs="宋体" w:eastAsia="宋体" w:hint="default"/>
                <w:sz w:val="18"/>
                <w:szCs w:val="18"/>
              </w:rPr>
            </w:pPr>
            <w:r>
              <w:rPr>
                <w:rFonts w:ascii="宋体" w:hAnsi="宋体" w:cs="宋体" w:eastAsia="宋体" w:hint="default"/>
                <w:sz w:val="18"/>
                <w:szCs w:val="18"/>
              </w:rPr>
              <w:t>注册资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本</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322" w:lineRule="exact" w:before="6"/>
              <w:ind w:left="167" w:right="162" w:firstLine="134"/>
              <w:jc w:val="left"/>
              <w:rPr>
                <w:rFonts w:ascii="Times New Roman" w:hAnsi="Times New Roman" w:cs="Times New Roman" w:eastAsia="Times New Roman" w:hint="default"/>
                <w:sz w:val="18"/>
                <w:szCs w:val="18"/>
              </w:rPr>
            </w:pPr>
            <w:r>
              <w:rPr>
                <w:rFonts w:ascii="宋体" w:hAnsi="宋体" w:cs="宋体" w:eastAsia="宋体" w:hint="default"/>
                <w:sz w:val="18"/>
                <w:szCs w:val="18"/>
              </w:rPr>
              <w:t>持股</w:t>
            </w:r>
            <w:r>
              <w:rPr>
                <w:rFonts w:ascii="宋体" w:hAnsi="宋体" w:cs="宋体" w:eastAsia="宋体" w:hint="default"/>
                <w:w w:val="101"/>
                <w:sz w:val="18"/>
                <w:szCs w:val="18"/>
              </w:rPr>
              <w:t> </w:t>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974" w:type="dxa"/>
            <w:tcBorders>
              <w:top w:val="single" w:sz="12" w:space="0" w:color="000000"/>
              <w:left w:val="single" w:sz="4" w:space="0" w:color="000000"/>
              <w:bottom w:val="single" w:sz="4" w:space="0" w:color="000000"/>
              <w:right w:val="single" w:sz="4" w:space="0" w:color="000000"/>
            </w:tcBorders>
          </w:tcPr>
          <w:p>
            <w:pPr>
              <w:pStyle w:val="TableParagraph"/>
              <w:spacing w:line="322" w:lineRule="exact" w:before="6"/>
              <w:ind w:left="163" w:right="167" w:firstLine="43"/>
              <w:jc w:val="left"/>
              <w:rPr>
                <w:rFonts w:ascii="Times New Roman" w:hAnsi="Times New Roman" w:cs="Times New Roman" w:eastAsia="Times New Roman" w:hint="default"/>
                <w:sz w:val="18"/>
                <w:szCs w:val="18"/>
              </w:rPr>
            </w:pPr>
            <w:r>
              <w:rPr>
                <w:rFonts w:ascii="宋体" w:hAnsi="宋体" w:cs="宋体" w:eastAsia="宋体" w:hint="default"/>
                <w:sz w:val="18"/>
                <w:szCs w:val="18"/>
              </w:rPr>
              <w:t>表决权</w:t>
            </w:r>
            <w:r>
              <w:rPr>
                <w:rFonts w:ascii="宋体" w:hAnsi="宋体" w:cs="宋体" w:eastAsia="宋体" w:hint="default"/>
                <w:w w:val="101"/>
                <w:sz w:val="18"/>
                <w:szCs w:val="18"/>
              </w:rPr>
              <w:t> </w:t>
            </w: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89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深圳市宝永发投资发展有限公司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投资兴办实业</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58158031-3</w:t>
            </w:r>
          </w:p>
        </w:tc>
      </w:tr>
      <w:tr>
        <w:trPr>
          <w:trHeight w:val="509" w:hRule="exact"/>
        </w:trPr>
        <w:tc>
          <w:tcPr>
            <w:tcW w:w="297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深圳市宝地投资发展有限公司</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投资兴办实业</w:t>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58274171-3</w:t>
            </w:r>
          </w:p>
        </w:tc>
      </w:tr>
      <w:tr>
        <w:trPr>
          <w:trHeight w:val="523" w:hRule="exact"/>
        </w:trPr>
        <w:tc>
          <w:tcPr>
            <w:tcW w:w="297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深圳市宝鹏投资发展有限公司</w:t>
            </w:r>
          </w:p>
        </w:tc>
        <w:tc>
          <w:tcPr>
            <w:tcW w:w="12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有限责任公司</w:t>
            </w:r>
          </w:p>
        </w:tc>
        <w:tc>
          <w:tcPr>
            <w:tcW w:w="8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深圳</w:t>
            </w:r>
          </w:p>
        </w:tc>
        <w:tc>
          <w:tcPr>
            <w:tcW w:w="109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陈汉忠</w:t>
            </w:r>
          </w:p>
        </w:tc>
        <w:tc>
          <w:tcPr>
            <w:tcW w:w="190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投资兴办实业</w:t>
            </w:r>
          </w:p>
        </w:tc>
        <w:tc>
          <w:tcPr>
            <w:tcW w:w="90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60</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100</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100</w:t>
            </w:r>
          </w:p>
        </w:tc>
        <w:tc>
          <w:tcPr>
            <w:tcW w:w="189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sz w:val="18"/>
              </w:rPr>
              <w:t>58271860-1</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6"/>
          <w:szCs w:val="16"/>
        </w:rPr>
      </w:pPr>
    </w:p>
    <w:p>
      <w:pPr>
        <w:pStyle w:val="Heading6"/>
        <w:spacing w:line="335" w:lineRule="exact"/>
        <w:ind w:left="280" w:right="0"/>
        <w:jc w:val="left"/>
        <w:rPr>
          <w:b w:val="0"/>
          <w:bCs w:val="0"/>
        </w:rPr>
      </w:pPr>
      <w:r>
        <w:rPr>
          <w:rFonts w:ascii="Times New Roman" w:hAnsi="Times New Roman" w:cs="Times New Roman" w:eastAsia="Times New Roman" w:hint="default"/>
        </w:rPr>
        <w:t>3</w:t>
      </w:r>
      <w:r>
        <w:rPr/>
        <w:t>、本企业的合营和联营企业情况</w:t>
      </w:r>
      <w:r>
        <w:rPr>
          <w:b w:val="0"/>
          <w:bCs w:val="0"/>
        </w:rPr>
      </w:r>
    </w:p>
    <w:tbl>
      <w:tblPr>
        <w:tblW w:w="0" w:type="auto"/>
        <w:jc w:val="left"/>
        <w:tblInd w:w="107" w:type="dxa"/>
        <w:tblLayout w:type="fixed"/>
        <w:tblCellMar>
          <w:top w:w="0" w:type="dxa"/>
          <w:left w:w="0" w:type="dxa"/>
          <w:bottom w:w="0" w:type="dxa"/>
          <w:right w:w="0" w:type="dxa"/>
        </w:tblCellMar>
        <w:tblLook w:val="01E0"/>
      </w:tblPr>
      <w:tblGrid>
        <w:gridCol w:w="2765"/>
        <w:gridCol w:w="1282"/>
        <w:gridCol w:w="974"/>
        <w:gridCol w:w="1186"/>
        <w:gridCol w:w="979"/>
        <w:gridCol w:w="907"/>
        <w:gridCol w:w="1536"/>
        <w:gridCol w:w="1526"/>
        <w:gridCol w:w="1378"/>
        <w:gridCol w:w="1776"/>
      </w:tblGrid>
      <w:tr>
        <w:trPr>
          <w:trHeight w:val="520" w:hRule="exact"/>
        </w:trPr>
        <w:tc>
          <w:tcPr>
            <w:tcW w:w="2765" w:type="dxa"/>
            <w:tcBorders>
              <w:top w:val="single" w:sz="12" w:space="0" w:color="000000"/>
              <w:left w:val="nil" w:sz="6" w:space="0" w:color="auto"/>
              <w:bottom w:val="nil" w:sz="6" w:space="0" w:color="auto"/>
              <w:right w:val="single" w:sz="4" w:space="0" w:color="000000"/>
            </w:tcBorders>
          </w:tcPr>
          <w:p>
            <w:pPr/>
          </w:p>
        </w:tc>
        <w:tc>
          <w:tcPr>
            <w:tcW w:w="1282" w:type="dxa"/>
            <w:tcBorders>
              <w:top w:val="single" w:sz="12" w:space="0" w:color="000000"/>
              <w:left w:val="single" w:sz="4" w:space="0" w:color="000000"/>
              <w:bottom w:val="nil" w:sz="6" w:space="0" w:color="auto"/>
              <w:right w:val="single" w:sz="4" w:space="0" w:color="000000"/>
            </w:tcBorders>
          </w:tcPr>
          <w:p>
            <w:pPr/>
          </w:p>
        </w:tc>
        <w:tc>
          <w:tcPr>
            <w:tcW w:w="974" w:type="dxa"/>
            <w:tcBorders>
              <w:top w:val="single" w:sz="12" w:space="0" w:color="000000"/>
              <w:left w:val="single" w:sz="4" w:space="0" w:color="000000"/>
              <w:bottom w:val="nil" w:sz="6" w:space="0" w:color="auto"/>
              <w:right w:val="single" w:sz="4" w:space="0" w:color="000000"/>
            </w:tcBorders>
          </w:tcPr>
          <w:p>
            <w:pPr/>
          </w:p>
        </w:tc>
        <w:tc>
          <w:tcPr>
            <w:tcW w:w="1186" w:type="dxa"/>
            <w:tcBorders>
              <w:top w:val="single" w:sz="12" w:space="0" w:color="000000"/>
              <w:left w:val="single" w:sz="4" w:space="0" w:color="000000"/>
              <w:bottom w:val="nil" w:sz="6" w:space="0" w:color="auto"/>
              <w:right w:val="single" w:sz="4" w:space="0" w:color="000000"/>
            </w:tcBorders>
          </w:tcPr>
          <w:p>
            <w:pPr/>
          </w:p>
        </w:tc>
        <w:tc>
          <w:tcPr>
            <w:tcW w:w="979" w:type="dxa"/>
            <w:tcBorders>
              <w:top w:val="single" w:sz="12" w:space="0" w:color="000000"/>
              <w:left w:val="single" w:sz="4" w:space="0" w:color="000000"/>
              <w:bottom w:val="nil" w:sz="6" w:space="0" w:color="auto"/>
              <w:right w:val="single" w:sz="4" w:space="0" w:color="000000"/>
            </w:tcBorders>
          </w:tcPr>
          <w:p>
            <w:pPr/>
          </w:p>
        </w:tc>
        <w:tc>
          <w:tcPr>
            <w:tcW w:w="907" w:type="dxa"/>
            <w:tcBorders>
              <w:top w:val="single" w:sz="12" w:space="0" w:color="000000"/>
              <w:left w:val="single" w:sz="4" w:space="0" w:color="000000"/>
              <w:bottom w:val="nil" w:sz="6" w:space="0" w:color="auto"/>
              <w:right w:val="single" w:sz="4" w:space="0" w:color="000000"/>
            </w:tcBorders>
          </w:tcPr>
          <w:p>
            <w:pPr/>
          </w:p>
        </w:tc>
        <w:tc>
          <w:tcPr>
            <w:tcW w:w="1536" w:type="dxa"/>
            <w:tcBorders>
              <w:top w:val="single" w:sz="12" w:space="0" w:color="000000"/>
              <w:left w:val="single" w:sz="4" w:space="0" w:color="000000"/>
              <w:bottom w:val="nil" w:sz="6" w:space="0" w:color="auto"/>
              <w:right w:val="single" w:sz="4" w:space="0" w:color="000000"/>
            </w:tcBorders>
          </w:tcPr>
          <w:p>
            <w:pPr/>
          </w:p>
        </w:tc>
        <w:tc>
          <w:tcPr>
            <w:tcW w:w="15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pacing w:val="-3"/>
                <w:sz w:val="18"/>
                <w:szCs w:val="18"/>
              </w:rPr>
              <w:t>本企业在被投资</w:t>
            </w:r>
          </w:p>
        </w:tc>
        <w:tc>
          <w:tcPr>
            <w:tcW w:w="1378" w:type="dxa"/>
            <w:tcBorders>
              <w:top w:val="single" w:sz="12" w:space="0" w:color="000000"/>
              <w:left w:val="single" w:sz="4" w:space="0" w:color="000000"/>
              <w:bottom w:val="nil" w:sz="6" w:space="0" w:color="auto"/>
              <w:right w:val="single" w:sz="4" w:space="0" w:color="000000"/>
            </w:tcBorders>
          </w:tcPr>
          <w:p>
            <w:pPr/>
          </w:p>
        </w:tc>
        <w:tc>
          <w:tcPr>
            <w:tcW w:w="1776" w:type="dxa"/>
            <w:tcBorders>
              <w:top w:val="single" w:sz="12" w:space="0" w:color="000000"/>
              <w:left w:val="single" w:sz="4" w:space="0" w:color="000000"/>
              <w:bottom w:val="nil" w:sz="6" w:space="0" w:color="auto"/>
              <w:right w:val="nil" w:sz="6" w:space="0" w:color="auto"/>
            </w:tcBorders>
          </w:tcPr>
          <w:p>
            <w:pPr/>
          </w:p>
        </w:tc>
      </w:tr>
      <w:tr>
        <w:trPr>
          <w:trHeight w:val="250" w:hRule="exact"/>
        </w:trPr>
        <w:tc>
          <w:tcPr>
            <w:tcW w:w="2765" w:type="dxa"/>
            <w:tcBorders>
              <w:top w:val="nil" w:sz="6" w:space="0" w:color="auto"/>
              <w:left w:val="nil" w:sz="6" w:space="0" w:color="auto"/>
              <w:bottom w:val="nil" w:sz="6" w:space="0" w:color="auto"/>
              <w:right w:val="single" w:sz="4" w:space="0" w:color="000000"/>
            </w:tcBorders>
          </w:tcPr>
          <w:p>
            <w:pPr/>
          </w:p>
        </w:tc>
        <w:tc>
          <w:tcPr>
            <w:tcW w:w="1282" w:type="dxa"/>
            <w:tcBorders>
              <w:top w:val="nil" w:sz="6" w:space="0" w:color="auto"/>
              <w:left w:val="single" w:sz="4" w:space="0" w:color="000000"/>
              <w:bottom w:val="nil" w:sz="6" w:space="0" w:color="auto"/>
              <w:right w:val="single" w:sz="4" w:space="0" w:color="000000"/>
            </w:tcBorders>
          </w:tcPr>
          <w:p>
            <w:pPr/>
          </w:p>
        </w:tc>
        <w:tc>
          <w:tcPr>
            <w:tcW w:w="974" w:type="dxa"/>
            <w:tcBorders>
              <w:top w:val="nil" w:sz="6" w:space="0" w:color="auto"/>
              <w:left w:val="single" w:sz="4" w:space="0" w:color="000000"/>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86"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sz w:val="18"/>
                <w:szCs w:val="18"/>
              </w:rPr>
              <w:t>本企业持</w:t>
            </w:r>
          </w:p>
        </w:tc>
        <w:tc>
          <w:tcPr>
            <w:tcW w:w="1526"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50" w:hRule="exact"/>
        </w:trPr>
        <w:tc>
          <w:tcPr>
            <w:tcW w:w="2765" w:type="dxa"/>
            <w:tcBorders>
              <w:top w:val="nil" w:sz="6" w:space="0" w:color="auto"/>
              <w:left w:val="nil" w:sz="6" w:space="0" w:color="auto"/>
              <w:bottom w:val="nil" w:sz="6" w:space="0" w:color="auto"/>
              <w:right w:val="single" w:sz="4" w:space="0" w:color="000000"/>
            </w:tcBorders>
          </w:tcPr>
          <w:p>
            <w:pPr>
              <w:pStyle w:val="TableParagraph"/>
              <w:spacing w:line="216" w:lineRule="exact"/>
              <w:ind w:left="753" w:right="0"/>
              <w:jc w:val="left"/>
              <w:rPr>
                <w:rFonts w:ascii="宋体" w:hAnsi="宋体" w:cs="宋体" w:eastAsia="宋体" w:hint="default"/>
                <w:sz w:val="18"/>
                <w:szCs w:val="18"/>
              </w:rPr>
            </w:pPr>
            <w:r>
              <w:rPr>
                <w:rFonts w:ascii="宋体" w:hAnsi="宋体" w:cs="宋体" w:eastAsia="宋体" w:hint="default"/>
                <w:spacing w:val="-3"/>
                <w:sz w:val="18"/>
                <w:szCs w:val="18"/>
              </w:rPr>
              <w:t>被投资单位名称</w:t>
            </w:r>
          </w:p>
        </w:tc>
        <w:tc>
          <w:tcPr>
            <w:tcW w:w="1282"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1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979"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907" w:type="dxa"/>
            <w:tcBorders>
              <w:top w:val="nil" w:sz="6" w:space="0" w:color="auto"/>
              <w:left w:val="single" w:sz="4" w:space="0" w:color="000000"/>
              <w:bottom w:val="nil" w:sz="6" w:space="0" w:color="auto"/>
              <w:right w:val="single" w:sz="4" w:space="0" w:color="000000"/>
            </w:tcBorders>
          </w:tcPr>
          <w:p>
            <w:pPr/>
          </w:p>
        </w:tc>
        <w:tc>
          <w:tcPr>
            <w:tcW w:w="1536" w:type="dxa"/>
            <w:tcBorders>
              <w:top w:val="nil" w:sz="6" w:space="0" w:color="auto"/>
              <w:left w:val="single" w:sz="4" w:space="0" w:color="000000"/>
              <w:bottom w:val="nil" w:sz="6" w:space="0" w:color="auto"/>
              <w:right w:val="single" w:sz="4" w:space="0" w:color="000000"/>
            </w:tcBorders>
          </w:tcPr>
          <w:p>
            <w:pPr/>
          </w:p>
        </w:tc>
        <w:tc>
          <w:tcPr>
            <w:tcW w:w="1526"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5" w:right="0"/>
              <w:jc w:val="center"/>
              <w:rPr>
                <w:rFonts w:ascii="宋体" w:hAnsi="宋体" w:cs="宋体" w:eastAsia="宋体" w:hint="default"/>
                <w:sz w:val="18"/>
                <w:szCs w:val="18"/>
              </w:rPr>
            </w:pPr>
            <w:r>
              <w:rPr>
                <w:rFonts w:ascii="宋体" w:hAnsi="宋体" w:cs="宋体" w:eastAsia="宋体" w:hint="default"/>
                <w:spacing w:val="-3"/>
                <w:sz w:val="18"/>
                <w:szCs w:val="18"/>
              </w:rPr>
              <w:t>单位表决权比例</w:t>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16" w:lineRule="exact"/>
              <w:ind w:right="319"/>
              <w:jc w:val="right"/>
              <w:rPr>
                <w:rFonts w:ascii="宋体" w:hAnsi="宋体" w:cs="宋体" w:eastAsia="宋体" w:hint="default"/>
                <w:sz w:val="18"/>
                <w:szCs w:val="18"/>
              </w:rPr>
            </w:pPr>
            <w:r>
              <w:rPr>
                <w:rFonts w:ascii="宋体" w:hAnsi="宋体" w:cs="宋体" w:eastAsia="宋体" w:hint="default"/>
                <w:spacing w:val="-2"/>
                <w:sz w:val="18"/>
                <w:szCs w:val="18"/>
              </w:rPr>
              <w:t>关联关系</w:t>
            </w:r>
          </w:p>
        </w:tc>
        <w:tc>
          <w:tcPr>
            <w:tcW w:w="1776" w:type="dxa"/>
            <w:tcBorders>
              <w:top w:val="nil" w:sz="6" w:space="0" w:color="auto"/>
              <w:left w:val="single" w:sz="4" w:space="0" w:color="000000"/>
              <w:bottom w:val="nil" w:sz="6" w:space="0" w:color="auto"/>
              <w:right w:val="nil" w:sz="6" w:space="0" w:color="auto"/>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264" w:hRule="exact"/>
        </w:trPr>
        <w:tc>
          <w:tcPr>
            <w:tcW w:w="2765" w:type="dxa"/>
            <w:tcBorders>
              <w:top w:val="nil" w:sz="6" w:space="0" w:color="auto"/>
              <w:left w:val="nil" w:sz="6" w:space="0" w:color="auto"/>
              <w:bottom w:val="nil" w:sz="6" w:space="0" w:color="auto"/>
              <w:right w:val="single" w:sz="4" w:space="0" w:color="000000"/>
            </w:tcBorders>
          </w:tcPr>
          <w:p>
            <w:pPr/>
          </w:p>
        </w:tc>
        <w:tc>
          <w:tcPr>
            <w:tcW w:w="1282" w:type="dxa"/>
            <w:tcBorders>
              <w:top w:val="nil" w:sz="6" w:space="0" w:color="auto"/>
              <w:left w:val="single" w:sz="4" w:space="0" w:color="000000"/>
              <w:bottom w:val="nil" w:sz="6" w:space="0" w:color="auto"/>
              <w:right w:val="single" w:sz="4" w:space="0" w:color="000000"/>
            </w:tcBorders>
          </w:tcPr>
          <w:p>
            <w:pPr/>
          </w:p>
        </w:tc>
        <w:tc>
          <w:tcPr>
            <w:tcW w:w="974" w:type="dxa"/>
            <w:tcBorders>
              <w:top w:val="nil" w:sz="6" w:space="0" w:color="auto"/>
              <w:left w:val="single" w:sz="4" w:space="0" w:color="000000"/>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
        </w:tc>
        <w:tc>
          <w:tcPr>
            <w:tcW w:w="979" w:type="dxa"/>
            <w:tcBorders>
              <w:top w:val="nil" w:sz="6" w:space="0" w:color="auto"/>
              <w:left w:val="single" w:sz="4" w:space="0" w:color="000000"/>
              <w:bottom w:val="nil" w:sz="6" w:space="0" w:color="auto"/>
              <w:right w:val="single" w:sz="4" w:space="0" w:color="000000"/>
            </w:tcBorders>
          </w:tcPr>
          <w:p>
            <w:pPr/>
          </w:p>
        </w:tc>
        <w:tc>
          <w:tcPr>
            <w:tcW w:w="907"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86"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536" w:type="dxa"/>
            <w:tcBorders>
              <w:top w:val="nil" w:sz="6" w:space="0" w:color="auto"/>
              <w:left w:val="single" w:sz="4" w:space="0" w:color="000000"/>
              <w:bottom w:val="nil" w:sz="6" w:space="0" w:color="auto"/>
              <w:right w:val="single" w:sz="4" w:space="0" w:color="000000"/>
            </w:tcBorders>
          </w:tcPr>
          <w:p>
            <w:pPr>
              <w:pStyle w:val="TableParagraph"/>
              <w:spacing w:line="229" w:lineRule="exact"/>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股比例</w:t>
            </w:r>
            <w:r>
              <w:rPr>
                <w:rFonts w:ascii="Times New Roman" w:hAnsi="Times New Roman" w:cs="Times New Roman" w:eastAsia="Times New Roman" w:hint="default"/>
                <w:sz w:val="18"/>
                <w:szCs w:val="18"/>
              </w:rPr>
              <w:t>(%)</w:t>
            </w:r>
          </w:p>
        </w:tc>
        <w:tc>
          <w:tcPr>
            <w:tcW w:w="1526" w:type="dxa"/>
            <w:tcBorders>
              <w:top w:val="nil" w:sz="6" w:space="0" w:color="auto"/>
              <w:left w:val="single" w:sz="4" w:space="0" w:color="000000"/>
              <w:bottom w:val="nil" w:sz="6" w:space="0" w:color="auto"/>
              <w:right w:val="single" w:sz="4" w:space="0" w:color="000000"/>
            </w:tcBorders>
          </w:tcPr>
          <w:p>
            <w:pPr/>
          </w:p>
        </w:tc>
        <w:tc>
          <w:tcPr>
            <w:tcW w:w="1378" w:type="dxa"/>
            <w:tcBorders>
              <w:top w:val="nil" w:sz="6" w:space="0" w:color="auto"/>
              <w:left w:val="single" w:sz="4" w:space="0" w:color="000000"/>
              <w:bottom w:val="nil" w:sz="6" w:space="0" w:color="auto"/>
              <w:right w:val="single" w:sz="4" w:space="0" w:color="000000"/>
            </w:tcBorders>
          </w:tcPr>
          <w:p>
            <w:pPr/>
          </w:p>
        </w:tc>
        <w:tc>
          <w:tcPr>
            <w:tcW w:w="1776" w:type="dxa"/>
            <w:tcBorders>
              <w:top w:val="nil" w:sz="6" w:space="0" w:color="auto"/>
              <w:left w:val="single" w:sz="4" w:space="0" w:color="000000"/>
              <w:bottom w:val="nil" w:sz="6" w:space="0" w:color="auto"/>
              <w:right w:val="nil" w:sz="6" w:space="0" w:color="auto"/>
            </w:tcBorders>
          </w:tcPr>
          <w:p>
            <w:pPr/>
          </w:p>
        </w:tc>
      </w:tr>
      <w:tr>
        <w:trPr>
          <w:trHeight w:val="238" w:hRule="exact"/>
        </w:trPr>
        <w:tc>
          <w:tcPr>
            <w:tcW w:w="2765" w:type="dxa"/>
            <w:tcBorders>
              <w:top w:val="nil" w:sz="6" w:space="0" w:color="auto"/>
              <w:left w:val="nil" w:sz="6" w:space="0" w:color="auto"/>
              <w:bottom w:val="single" w:sz="4" w:space="0" w:color="000000"/>
              <w:right w:val="single" w:sz="4" w:space="0" w:color="000000"/>
            </w:tcBorders>
          </w:tcPr>
          <w:p>
            <w:pPr/>
          </w:p>
        </w:tc>
        <w:tc>
          <w:tcPr>
            <w:tcW w:w="1282" w:type="dxa"/>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
        </w:tc>
        <w:tc>
          <w:tcPr>
            <w:tcW w:w="1186" w:type="dxa"/>
            <w:tcBorders>
              <w:top w:val="nil" w:sz="6" w:space="0" w:color="auto"/>
              <w:left w:val="single" w:sz="4" w:space="0" w:color="000000"/>
              <w:bottom w:val="single" w:sz="4" w:space="0" w:color="000000"/>
              <w:right w:val="single" w:sz="4" w:space="0" w:color="000000"/>
            </w:tcBorders>
          </w:tcPr>
          <w:p>
            <w:pPr/>
          </w:p>
        </w:tc>
        <w:tc>
          <w:tcPr>
            <w:tcW w:w="979" w:type="dxa"/>
            <w:tcBorders>
              <w:top w:val="nil" w:sz="6" w:space="0" w:color="auto"/>
              <w:left w:val="single" w:sz="4" w:space="0" w:color="000000"/>
              <w:bottom w:val="single" w:sz="4" w:space="0" w:color="000000"/>
              <w:right w:val="single" w:sz="4" w:space="0" w:color="000000"/>
            </w:tcBorders>
          </w:tcPr>
          <w:p>
            <w:pPr/>
          </w:p>
        </w:tc>
        <w:tc>
          <w:tcPr>
            <w:tcW w:w="907" w:type="dxa"/>
            <w:tcBorders>
              <w:top w:val="nil" w:sz="6" w:space="0" w:color="auto"/>
              <w:left w:val="single" w:sz="4" w:space="0" w:color="000000"/>
              <w:bottom w:val="single" w:sz="4" w:space="0" w:color="000000"/>
              <w:right w:val="single" w:sz="4" w:space="0" w:color="000000"/>
            </w:tcBorders>
          </w:tcPr>
          <w:p>
            <w:pPr/>
          </w:p>
        </w:tc>
        <w:tc>
          <w:tcPr>
            <w:tcW w:w="1536" w:type="dxa"/>
            <w:tcBorders>
              <w:top w:val="nil" w:sz="6" w:space="0" w:color="auto"/>
              <w:left w:val="single" w:sz="4" w:space="0" w:color="000000"/>
              <w:bottom w:val="single" w:sz="4" w:space="0" w:color="000000"/>
              <w:right w:val="single" w:sz="4" w:space="0" w:color="000000"/>
            </w:tcBorders>
          </w:tcPr>
          <w:p>
            <w:pPr/>
          </w:p>
        </w:tc>
        <w:tc>
          <w:tcPr>
            <w:tcW w:w="152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
              <w:ind w:right="4"/>
              <w:jc w:val="center"/>
              <w:rPr>
                <w:rFonts w:ascii="Times New Roman" w:hAnsi="Times New Roman" w:cs="Times New Roman" w:eastAsia="Times New Roman" w:hint="default"/>
                <w:sz w:val="18"/>
                <w:szCs w:val="18"/>
              </w:rPr>
            </w:pPr>
            <w:r>
              <w:rPr>
                <w:rFonts w:ascii="Times New Roman"/>
                <w:sz w:val="18"/>
              </w:rPr>
              <w:t>(%)</w:t>
            </w:r>
          </w:p>
        </w:tc>
        <w:tc>
          <w:tcPr>
            <w:tcW w:w="1378" w:type="dxa"/>
            <w:tcBorders>
              <w:top w:val="nil" w:sz="6" w:space="0" w:color="auto"/>
              <w:left w:val="single" w:sz="4" w:space="0" w:color="000000"/>
              <w:bottom w:val="single" w:sz="4" w:space="0" w:color="000000"/>
              <w:right w:val="single" w:sz="4" w:space="0" w:color="000000"/>
            </w:tcBorders>
          </w:tcPr>
          <w:p>
            <w:pPr/>
          </w:p>
        </w:tc>
        <w:tc>
          <w:tcPr>
            <w:tcW w:w="1776" w:type="dxa"/>
            <w:tcBorders>
              <w:top w:val="nil" w:sz="6" w:space="0" w:color="auto"/>
              <w:left w:val="single" w:sz="4" w:space="0" w:color="000000"/>
              <w:bottom w:val="single" w:sz="4" w:space="0" w:color="000000"/>
              <w:right w:val="nil" w:sz="6" w:space="0" w:color="auto"/>
            </w:tcBorders>
          </w:tcPr>
          <w:p>
            <w:pPr/>
          </w:p>
        </w:tc>
      </w:tr>
      <w:tr>
        <w:trPr>
          <w:trHeight w:val="509" w:hRule="exact"/>
        </w:trPr>
        <w:tc>
          <w:tcPr>
            <w:tcW w:w="27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深圳市深威驳运有限公司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参股子公司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深圳市</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施天</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联营</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1200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45</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319"/>
              <w:jc w:val="right"/>
              <w:rPr>
                <w:rFonts w:ascii="宋体" w:hAnsi="宋体" w:cs="宋体" w:eastAsia="宋体" w:hint="default"/>
                <w:sz w:val="18"/>
                <w:szCs w:val="18"/>
              </w:rPr>
            </w:pPr>
            <w:r>
              <w:rPr>
                <w:rFonts w:ascii="宋体" w:hAnsi="宋体" w:cs="宋体" w:eastAsia="宋体" w:hint="default"/>
                <w:spacing w:val="-2"/>
                <w:sz w:val="18"/>
                <w:szCs w:val="18"/>
              </w:rPr>
              <w:t>重大影响</w:t>
            </w:r>
          </w:p>
        </w:tc>
        <w:tc>
          <w:tcPr>
            <w:tcW w:w="17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192187745</w:t>
            </w:r>
          </w:p>
        </w:tc>
      </w:tr>
      <w:tr>
        <w:trPr>
          <w:trHeight w:val="509" w:hRule="exact"/>
        </w:trPr>
        <w:tc>
          <w:tcPr>
            <w:tcW w:w="27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深圳市鸿基雅喆电梯有限公司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参股子公司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深圳市</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关汉雄</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联营</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150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319"/>
              <w:jc w:val="right"/>
              <w:rPr>
                <w:rFonts w:ascii="宋体" w:hAnsi="宋体" w:cs="宋体" w:eastAsia="宋体" w:hint="default"/>
                <w:sz w:val="18"/>
                <w:szCs w:val="18"/>
              </w:rPr>
            </w:pPr>
            <w:r>
              <w:rPr>
                <w:rFonts w:ascii="宋体" w:hAnsi="宋体" w:cs="宋体" w:eastAsia="宋体" w:hint="default"/>
                <w:spacing w:val="-2"/>
                <w:sz w:val="18"/>
                <w:szCs w:val="18"/>
              </w:rPr>
              <w:t>重大影响</w:t>
            </w:r>
          </w:p>
        </w:tc>
        <w:tc>
          <w:tcPr>
            <w:tcW w:w="17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796648805</w:t>
            </w:r>
          </w:p>
        </w:tc>
      </w:tr>
      <w:tr>
        <w:trPr>
          <w:trHeight w:val="514" w:hRule="exact"/>
        </w:trPr>
        <w:tc>
          <w:tcPr>
            <w:tcW w:w="276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深圳市泉源实业发展有限公司</w:t>
            </w:r>
          </w:p>
        </w:tc>
        <w:tc>
          <w:tcPr>
            <w:tcW w:w="12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参股子公司</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深圳市</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周健民</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联营</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200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319"/>
              <w:jc w:val="right"/>
              <w:rPr>
                <w:rFonts w:ascii="宋体" w:hAnsi="宋体" w:cs="宋体" w:eastAsia="宋体" w:hint="default"/>
                <w:sz w:val="18"/>
                <w:szCs w:val="18"/>
              </w:rPr>
            </w:pPr>
            <w:r>
              <w:rPr>
                <w:rFonts w:ascii="宋体" w:hAnsi="宋体" w:cs="宋体" w:eastAsia="宋体" w:hint="default"/>
                <w:spacing w:val="-2"/>
                <w:sz w:val="18"/>
                <w:szCs w:val="18"/>
              </w:rPr>
              <w:t>重大影响</w:t>
            </w:r>
          </w:p>
        </w:tc>
        <w:tc>
          <w:tcPr>
            <w:tcW w:w="177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72616511</w:t>
            </w:r>
          </w:p>
        </w:tc>
      </w:tr>
      <w:tr>
        <w:trPr>
          <w:trHeight w:val="518" w:hRule="exact"/>
        </w:trPr>
        <w:tc>
          <w:tcPr>
            <w:tcW w:w="276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pacing w:val="-3"/>
                <w:sz w:val="18"/>
                <w:szCs w:val="18"/>
              </w:rPr>
              <w:t>福建东南广播电视网络有限公司</w:t>
            </w:r>
          </w:p>
        </w:tc>
        <w:tc>
          <w:tcPr>
            <w:tcW w:w="12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参股子公司</w:t>
            </w:r>
          </w:p>
        </w:tc>
        <w:tc>
          <w:tcPr>
            <w:tcW w:w="9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福州市</w:t>
            </w:r>
          </w:p>
        </w:tc>
        <w:tc>
          <w:tcPr>
            <w:tcW w:w="11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龙辉</w:t>
            </w:r>
          </w:p>
        </w:tc>
        <w:tc>
          <w:tcPr>
            <w:tcW w:w="97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联营</w:t>
            </w:r>
          </w:p>
        </w:tc>
        <w:tc>
          <w:tcPr>
            <w:tcW w:w="90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9396</w:t>
            </w:r>
          </w:p>
        </w:tc>
        <w:tc>
          <w:tcPr>
            <w:tcW w:w="15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38.69</w:t>
            </w:r>
          </w:p>
        </w:tc>
        <w:tc>
          <w:tcPr>
            <w:tcW w:w="152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38.69</w:t>
            </w:r>
          </w:p>
        </w:tc>
        <w:tc>
          <w:tcPr>
            <w:tcW w:w="137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319"/>
              <w:jc w:val="right"/>
              <w:rPr>
                <w:rFonts w:ascii="宋体" w:hAnsi="宋体" w:cs="宋体" w:eastAsia="宋体" w:hint="default"/>
                <w:sz w:val="18"/>
                <w:szCs w:val="18"/>
              </w:rPr>
            </w:pPr>
            <w:r>
              <w:rPr>
                <w:rFonts w:ascii="宋体" w:hAnsi="宋体" w:cs="宋体" w:eastAsia="宋体" w:hint="default"/>
                <w:spacing w:val="-2"/>
                <w:sz w:val="18"/>
                <w:szCs w:val="18"/>
              </w:rPr>
              <w:t>重大影响</w:t>
            </w:r>
          </w:p>
        </w:tc>
        <w:tc>
          <w:tcPr>
            <w:tcW w:w="177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7"/>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15816324</w:t>
            </w:r>
            <w:r>
              <w:rPr>
                <w:rFonts w:ascii="宋体" w:hAnsi="宋体" w:cs="宋体" w:eastAsia="宋体" w:hint="default"/>
                <w:sz w:val="18"/>
                <w:szCs w:val="18"/>
              </w:rPr>
              <w:t>－</w:t>
            </w:r>
            <w:r>
              <w:rPr>
                <w:rFonts w:ascii="Times New Roman" w:hAnsi="Times New Roman" w:cs="Times New Roman" w:eastAsia="Times New Roman" w:hint="default"/>
                <w:sz w:val="18"/>
                <w:szCs w:val="18"/>
              </w:rPr>
              <w:t>8</w:t>
            </w:r>
          </w:p>
        </w:tc>
      </w:tr>
    </w:tbl>
    <w:p>
      <w:pPr>
        <w:spacing w:after="0" w:line="240" w:lineRule="auto"/>
        <w:jc w:val="center"/>
        <w:rPr>
          <w:rFonts w:ascii="Times New Roman" w:hAnsi="Times New Roman" w:cs="Times New Roman" w:eastAsia="Times New Roman" w:hint="default"/>
          <w:sz w:val="18"/>
          <w:szCs w:val="18"/>
        </w:rPr>
        <w:sectPr>
          <w:pgSz w:w="16840" w:h="11900" w:orient="landscape"/>
          <w:pgMar w:header="756" w:footer="840" w:top="980" w:bottom="1020" w:left="1160" w:right="112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left="240" w:right="0"/>
        <w:jc w:val="left"/>
        <w:rPr>
          <w:b w:val="0"/>
          <w:bCs w:val="0"/>
        </w:rPr>
      </w:pPr>
      <w:r>
        <w:rPr>
          <w:rFonts w:ascii="Times New Roman" w:hAnsi="Times New Roman" w:cs="Times New Roman" w:eastAsia="Times New Roman" w:hint="default"/>
        </w:rPr>
        <w:t>4</w:t>
      </w:r>
      <w:r>
        <w:rPr/>
        <w:t>、本企业的其他关联方情况</w:t>
      </w:r>
      <w:r>
        <w:rPr>
          <w:b w:val="0"/>
          <w:bCs w:val="0"/>
        </w:rPr>
      </w:r>
    </w:p>
    <w:tbl>
      <w:tblPr>
        <w:tblW w:w="0" w:type="auto"/>
        <w:jc w:val="left"/>
        <w:tblInd w:w="100" w:type="dxa"/>
        <w:tblLayout w:type="fixed"/>
        <w:tblCellMar>
          <w:top w:w="0" w:type="dxa"/>
          <w:left w:w="0" w:type="dxa"/>
          <w:bottom w:w="0" w:type="dxa"/>
          <w:right w:w="0" w:type="dxa"/>
        </w:tblCellMar>
        <w:tblLook w:val="01E0"/>
      </w:tblPr>
      <w:tblGrid>
        <w:gridCol w:w="4075"/>
        <w:gridCol w:w="7954"/>
        <w:gridCol w:w="2160"/>
      </w:tblGrid>
      <w:tr>
        <w:trPr>
          <w:trHeight w:val="518" w:hRule="exact"/>
        </w:trPr>
        <w:tc>
          <w:tcPr>
            <w:tcW w:w="4075"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310" w:right="0"/>
              <w:jc w:val="left"/>
              <w:rPr>
                <w:rFonts w:ascii="宋体" w:hAnsi="宋体" w:cs="宋体" w:eastAsia="宋体" w:hint="default"/>
                <w:sz w:val="21"/>
                <w:szCs w:val="21"/>
              </w:rPr>
            </w:pPr>
            <w:r>
              <w:rPr>
                <w:rFonts w:ascii="宋体" w:hAnsi="宋体" w:cs="宋体" w:eastAsia="宋体" w:hint="default"/>
                <w:sz w:val="21"/>
                <w:szCs w:val="21"/>
              </w:rPr>
              <w:t>其他关联方名称</w:t>
            </w:r>
          </w:p>
        </w:tc>
        <w:tc>
          <w:tcPr>
            <w:tcW w:w="79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5" w:right="0"/>
              <w:jc w:val="center"/>
              <w:rPr>
                <w:rFonts w:ascii="宋体" w:hAnsi="宋体" w:cs="宋体" w:eastAsia="宋体" w:hint="default"/>
                <w:sz w:val="21"/>
                <w:szCs w:val="21"/>
              </w:rPr>
            </w:pPr>
            <w:r>
              <w:rPr>
                <w:rFonts w:ascii="宋体" w:hAnsi="宋体" w:cs="宋体" w:eastAsia="宋体" w:hint="default"/>
                <w:sz w:val="21"/>
                <w:szCs w:val="21"/>
              </w:rPr>
              <w:t>其他关联方与本公司关系</w:t>
            </w:r>
          </w:p>
        </w:tc>
        <w:tc>
          <w:tcPr>
            <w:tcW w:w="2160"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right="444"/>
              <w:jc w:val="right"/>
              <w:rPr>
                <w:rFonts w:ascii="宋体" w:hAnsi="宋体" w:cs="宋体" w:eastAsia="宋体" w:hint="default"/>
                <w:sz w:val="21"/>
                <w:szCs w:val="21"/>
              </w:rPr>
            </w:pPr>
            <w:r>
              <w:rPr>
                <w:rFonts w:ascii="宋体" w:hAnsi="宋体" w:cs="宋体" w:eastAsia="宋体" w:hint="default"/>
                <w:spacing w:val="-1"/>
                <w:sz w:val="21"/>
                <w:szCs w:val="21"/>
              </w:rPr>
              <w:t>组织机构代码</w:t>
            </w:r>
          </w:p>
        </w:tc>
      </w:tr>
      <w:tr>
        <w:trPr>
          <w:trHeight w:val="509"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105" w:right="0"/>
              <w:jc w:val="left"/>
              <w:rPr>
                <w:rFonts w:ascii="宋体" w:hAnsi="宋体" w:cs="宋体" w:eastAsia="宋体" w:hint="default"/>
                <w:sz w:val="21"/>
                <w:szCs w:val="21"/>
              </w:rPr>
            </w:pPr>
            <w:r>
              <w:rPr>
                <w:rFonts w:ascii="宋体" w:hAnsi="宋体" w:cs="宋体" w:eastAsia="宋体" w:hint="default"/>
                <w:sz w:val="21"/>
                <w:szCs w:val="21"/>
              </w:rPr>
              <w:t>持有本公司</w:t>
            </w:r>
            <w:r>
              <w:rPr>
                <w:rFonts w:ascii="宋体" w:hAnsi="宋体" w:cs="宋体" w:eastAsia="宋体" w:hint="default"/>
                <w:spacing w:val="12"/>
                <w:sz w:val="21"/>
                <w:szCs w:val="21"/>
              </w:rPr>
              <w:t> </w:t>
            </w:r>
            <w:r>
              <w:rPr>
                <w:rFonts w:ascii="Times New Roman" w:hAnsi="Times New Roman" w:cs="Times New Roman" w:eastAsia="Times New Roman" w:hint="default"/>
                <w:spacing w:val="-2"/>
                <w:sz w:val="21"/>
                <w:szCs w:val="21"/>
              </w:rPr>
              <w:t>19.80</w:t>
            </w:r>
            <w:r>
              <w:rPr>
                <w:rFonts w:ascii="宋体" w:hAnsi="宋体" w:cs="宋体" w:eastAsia="宋体" w:hint="default"/>
                <w:spacing w:val="-2"/>
                <w:sz w:val="21"/>
                <w:szCs w:val="21"/>
              </w:rPr>
              <w:t>％股份的第一大股东</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中国宝安集团控股有限公司之控股股东</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1"/>
              <w:ind w:right="474"/>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19219665</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X</w:t>
            </w:r>
          </w:p>
        </w:tc>
      </w:tr>
      <w:tr>
        <w:trPr>
          <w:trHeight w:val="514"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中国宝安集团投资有限公司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中国宝安集团股份有限公司之控股子公司</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542" w:right="0"/>
              <w:jc w:val="left"/>
              <w:rPr>
                <w:rFonts w:ascii="Times New Roman" w:hAnsi="Times New Roman" w:cs="Times New Roman" w:eastAsia="Times New Roman" w:hint="default"/>
                <w:sz w:val="21"/>
                <w:szCs w:val="21"/>
              </w:rPr>
            </w:pPr>
            <w:r>
              <w:rPr>
                <w:rFonts w:ascii="Times New Roman"/>
                <w:sz w:val="21"/>
              </w:rPr>
              <w:t>10120271-X</w:t>
            </w:r>
          </w:p>
        </w:tc>
      </w:tr>
      <w:tr>
        <w:trPr>
          <w:trHeight w:val="509"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深圳市新鸿泰投资发展有限公司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105" w:right="0"/>
              <w:jc w:val="left"/>
              <w:rPr>
                <w:rFonts w:ascii="宋体" w:hAnsi="宋体" w:cs="宋体" w:eastAsia="宋体" w:hint="default"/>
                <w:sz w:val="21"/>
                <w:szCs w:val="21"/>
              </w:rPr>
            </w:pPr>
            <w:r>
              <w:rPr>
                <w:rFonts w:ascii="宋体" w:hAnsi="宋体" w:cs="宋体" w:eastAsia="宋体" w:hint="default"/>
                <w:sz w:val="21"/>
                <w:szCs w:val="21"/>
              </w:rPr>
              <w:t>持有本公司</w:t>
            </w:r>
            <w:r>
              <w:rPr>
                <w:rFonts w:ascii="宋体" w:hAnsi="宋体" w:cs="宋体" w:eastAsia="宋体" w:hint="default"/>
                <w:spacing w:val="10"/>
                <w:sz w:val="21"/>
                <w:szCs w:val="21"/>
              </w:rPr>
              <w:t> </w:t>
            </w:r>
            <w:r>
              <w:rPr>
                <w:rFonts w:ascii="Times New Roman" w:hAnsi="Times New Roman" w:cs="Times New Roman" w:eastAsia="Times New Roman" w:hint="default"/>
                <w:spacing w:val="-2"/>
                <w:sz w:val="21"/>
                <w:szCs w:val="21"/>
              </w:rPr>
              <w:t>14.89</w:t>
            </w:r>
            <w:r>
              <w:rPr>
                <w:rFonts w:ascii="宋体" w:hAnsi="宋体" w:cs="宋体" w:eastAsia="宋体" w:hint="default"/>
                <w:spacing w:val="-2"/>
                <w:sz w:val="21"/>
                <w:szCs w:val="21"/>
              </w:rPr>
              <w:t>％股份的第二大股东</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深圳市东鸿信投资发展有限公司之母公司</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1"/>
              <w:ind w:right="497"/>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19228942</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6</w:t>
            </w:r>
          </w:p>
        </w:tc>
      </w:tr>
      <w:tr>
        <w:trPr>
          <w:trHeight w:val="509"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深圳市赛德隆投资发展有限公司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105" w:right="0"/>
              <w:jc w:val="left"/>
              <w:rPr>
                <w:rFonts w:ascii="宋体" w:hAnsi="宋体" w:cs="宋体" w:eastAsia="宋体" w:hint="default"/>
                <w:sz w:val="21"/>
                <w:szCs w:val="21"/>
              </w:rPr>
            </w:pPr>
            <w:r>
              <w:rPr>
                <w:rFonts w:ascii="宋体" w:hAnsi="宋体" w:cs="宋体" w:eastAsia="宋体" w:hint="default"/>
                <w:sz w:val="21"/>
                <w:szCs w:val="21"/>
              </w:rPr>
              <w:t>拥有本公司控股子公司深圳市凯方实业发展有限公司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30%</w:t>
            </w:r>
            <w:r>
              <w:rPr>
                <w:rFonts w:ascii="宋体" w:hAnsi="宋体" w:cs="宋体" w:eastAsia="宋体" w:hint="default"/>
                <w:sz w:val="21"/>
                <w:szCs w:val="21"/>
              </w:rPr>
              <w:t>股权</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1"/>
              <w:ind w:right="497"/>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70849934</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5</w:t>
            </w:r>
          </w:p>
        </w:tc>
      </w:tr>
      <w:tr>
        <w:trPr>
          <w:trHeight w:val="509"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西安鸿腾生物科技有限责任公司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本公司已进入清算程序的子公司</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left="566" w:right="0"/>
              <w:jc w:val="left"/>
              <w:rPr>
                <w:rFonts w:ascii="Times New Roman" w:hAnsi="Times New Roman" w:cs="Times New Roman" w:eastAsia="Times New Roman" w:hint="default"/>
                <w:sz w:val="21"/>
                <w:szCs w:val="21"/>
              </w:rPr>
            </w:pPr>
            <w:r>
              <w:rPr>
                <w:rFonts w:ascii="Times New Roman"/>
                <w:sz w:val="21"/>
              </w:rPr>
              <w:t>19222892-2</w:t>
            </w:r>
          </w:p>
        </w:tc>
      </w:tr>
      <w:tr>
        <w:trPr>
          <w:trHeight w:val="514"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深圳鸿南建筑机械工程有限公司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本公司已进入清算程序的子公司</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4075"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深圳市鸿基广源贸易有限公司</w:t>
            </w:r>
          </w:p>
        </w:tc>
        <w:tc>
          <w:tcPr>
            <w:tcW w:w="7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本公司已进入清算程序的子公司</w:t>
            </w:r>
          </w:p>
        </w:tc>
        <w:tc>
          <w:tcPr>
            <w:tcW w:w="216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1"/>
              <w:ind w:right="497"/>
              <w:jc w:val="righ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27926017</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5</w:t>
            </w:r>
          </w:p>
        </w:tc>
      </w:tr>
      <w:tr>
        <w:trPr>
          <w:trHeight w:val="518" w:hRule="exact"/>
        </w:trPr>
        <w:tc>
          <w:tcPr>
            <w:tcW w:w="4075"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深运工贸翠苑旅店</w:t>
            </w:r>
          </w:p>
        </w:tc>
        <w:tc>
          <w:tcPr>
            <w:tcW w:w="79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本公司已进入清算程序的分支机构</w:t>
            </w:r>
          </w:p>
        </w:tc>
        <w:tc>
          <w:tcPr>
            <w:tcW w:w="21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w:t>
            </w:r>
          </w:p>
        </w:tc>
      </w:tr>
    </w:tbl>
    <w:p>
      <w:pPr>
        <w:spacing w:after="0" w:line="240" w:lineRule="auto"/>
        <w:jc w:val="center"/>
        <w:rPr>
          <w:rFonts w:ascii="Times New Roman" w:hAnsi="Times New Roman" w:cs="Times New Roman" w:eastAsia="Times New Roman" w:hint="default"/>
          <w:sz w:val="21"/>
          <w:szCs w:val="21"/>
        </w:rPr>
        <w:sectPr>
          <w:pgSz w:w="16840" w:h="11900" w:orient="landscape"/>
          <w:pgMar w:header="756" w:footer="840" w:top="980" w:bottom="1020" w:left="1200" w:right="1200"/>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14"/>
          <w:szCs w:val="14"/>
        </w:rPr>
      </w:pPr>
    </w:p>
    <w:p>
      <w:pPr>
        <w:pStyle w:val="Heading6"/>
        <w:spacing w:line="335" w:lineRule="exact"/>
        <w:ind w:left="595" w:right="0"/>
        <w:jc w:val="left"/>
        <w:rPr>
          <w:b w:val="0"/>
          <w:bCs w:val="0"/>
        </w:rPr>
      </w:pPr>
      <w:r>
        <w:rPr>
          <w:rFonts w:ascii="Times New Roman" w:hAnsi="Times New Roman" w:cs="Times New Roman" w:eastAsia="Times New Roman" w:hint="default"/>
        </w:rPr>
        <w:t>5</w:t>
      </w:r>
      <w:r>
        <w:rPr/>
        <w:t>、关联交易情况</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5" w:lineRule="auto"/>
        <w:ind w:left="172" w:right="161" w:firstLine="422"/>
        <w:jc w:val="both"/>
      </w:pPr>
      <w:r>
        <w:rPr/>
        <w:t>本公司与中国宝安集团股份有限公司协商确定受让惠州市宝安房地产开发有限公司</w:t>
      </w:r>
      <w:r>
        <w:rPr>
          <w:spacing w:val="11"/>
        </w:rPr>
        <w:t> </w:t>
      </w:r>
      <w:r>
        <w:rPr>
          <w:rFonts w:ascii="Times New Roman" w:hAnsi="Times New Roman" w:cs="Times New Roman" w:eastAsia="Times New Roman" w:hint="default"/>
        </w:rPr>
        <w:t>100%</w:t>
      </w:r>
      <w:r>
        <w:rPr/>
        <w:t>股权，双方</w:t>
      </w:r>
      <w:r>
        <w:rPr>
          <w:w w:val="100"/>
        </w:rPr>
        <w:t> </w:t>
      </w:r>
      <w:r>
        <w:rPr/>
        <w:t>协商确定转受让价格为人民币 </w:t>
      </w:r>
      <w:r>
        <w:rPr>
          <w:rFonts w:ascii="Times New Roman" w:hAnsi="Times New Roman" w:cs="Times New Roman" w:eastAsia="Times New Roman" w:hint="default"/>
        </w:rPr>
        <w:t>17,000 </w:t>
      </w:r>
      <w:r>
        <w:rPr/>
        <w:t>万元，该项交易经公司第六届董事局第二十六次临时会议、</w:t>
      </w:r>
      <w:r>
        <w:rPr>
          <w:rFonts w:ascii="Times New Roman" w:hAnsi="Times New Roman" w:cs="Times New Roman" w:eastAsia="Times New Roman" w:hint="default"/>
        </w:rPr>
        <w:t>2012</w:t>
      </w:r>
      <w:r>
        <w:rPr>
          <w:rFonts w:ascii="Times New Roman" w:hAnsi="Times New Roman" w:cs="Times New Roman" w:eastAsia="Times New Roman" w:hint="default"/>
          <w:spacing w:val="-23"/>
        </w:rPr>
        <w:t> </w:t>
      </w:r>
      <w:r>
        <w:rPr/>
        <w:t>年</w:t>
      </w:r>
      <w:r>
        <w:rPr>
          <w:w w:val="100"/>
        </w:rPr>
        <w:t> </w:t>
      </w:r>
      <w:r>
        <w:rPr/>
        <w:t>第一次临时股东大会审议通过，交易情况详见附注十一、</w:t>
      </w:r>
      <w:r>
        <w:rPr>
          <w:rFonts w:ascii="Times New Roman" w:hAnsi="Times New Roman" w:cs="Times New Roman" w:eastAsia="Times New Roman" w:hint="default"/>
        </w:rPr>
        <w:t>2</w:t>
      </w:r>
      <w:r>
        <w:rPr/>
        <w:t>。</w:t>
      </w:r>
    </w:p>
    <w:p>
      <w:pPr>
        <w:spacing w:line="240" w:lineRule="auto" w:before="0"/>
        <w:rPr>
          <w:rFonts w:ascii="宋体" w:hAnsi="宋体" w:cs="宋体" w:eastAsia="宋体" w:hint="default"/>
          <w:sz w:val="22"/>
          <w:szCs w:val="22"/>
        </w:rPr>
      </w:pPr>
    </w:p>
    <w:p>
      <w:pPr>
        <w:pStyle w:val="Heading6"/>
        <w:spacing w:line="240" w:lineRule="auto" w:before="183"/>
        <w:ind w:left="595" w:right="0"/>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85" w:right="0"/>
        <w:jc w:val="left"/>
      </w:pPr>
      <w:r>
        <w:rPr/>
        <w:t>（</w:t>
      </w:r>
      <w:r>
        <w:rPr>
          <w:rFonts w:ascii="Times New Roman" w:hAnsi="Times New Roman" w:cs="Times New Roman" w:eastAsia="Times New Roman" w:hint="default"/>
        </w:rPr>
        <w:t>1</w:t>
      </w:r>
      <w:r>
        <w:rPr/>
        <w:t>）上市公司应收关联方款项</w:t>
      </w:r>
    </w:p>
    <w:tbl>
      <w:tblPr>
        <w:tblW w:w="0" w:type="auto"/>
        <w:jc w:val="left"/>
        <w:tblInd w:w="115" w:type="dxa"/>
        <w:tblLayout w:type="fixed"/>
        <w:tblCellMar>
          <w:top w:w="0" w:type="dxa"/>
          <w:left w:w="0" w:type="dxa"/>
          <w:bottom w:w="0" w:type="dxa"/>
          <w:right w:w="0" w:type="dxa"/>
        </w:tblCellMar>
        <w:tblLook w:val="01E0"/>
      </w:tblPr>
      <w:tblGrid>
        <w:gridCol w:w="1243"/>
        <w:gridCol w:w="2909"/>
        <w:gridCol w:w="1392"/>
        <w:gridCol w:w="1387"/>
        <w:gridCol w:w="1392"/>
        <w:gridCol w:w="1387"/>
      </w:tblGrid>
      <w:tr>
        <w:trPr>
          <w:trHeight w:val="523" w:hRule="exact"/>
        </w:trPr>
        <w:tc>
          <w:tcPr>
            <w:tcW w:w="1243"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206"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2909"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779"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779"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1243" w:type="dxa"/>
            <w:vMerge/>
            <w:tcBorders>
              <w:left w:val="nil" w:sz="6" w:space="0" w:color="auto"/>
              <w:bottom w:val="single" w:sz="4" w:space="0" w:color="000000"/>
              <w:right w:val="single" w:sz="4" w:space="0" w:color="000000"/>
            </w:tcBorders>
          </w:tcPr>
          <w:p>
            <w:pPr/>
          </w:p>
        </w:tc>
        <w:tc>
          <w:tcPr>
            <w:tcW w:w="2909" w:type="dxa"/>
            <w:vMerge/>
            <w:tcBorders>
              <w:left w:val="single" w:sz="4" w:space="0" w:color="000000"/>
              <w:bottom w:val="single" w:sz="4" w:space="0" w:color="000000"/>
              <w:right w:val="single" w:sz="4" w:space="0" w:color="000000"/>
            </w:tcBorders>
          </w:tcPr>
          <w:p>
            <w:pP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6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63"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6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63"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09" w:hRule="exact"/>
        </w:trPr>
        <w:tc>
          <w:tcPr>
            <w:tcW w:w="1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4"/>
              <w:jc w:val="center"/>
              <w:rPr>
                <w:rFonts w:ascii="宋体" w:hAnsi="宋体" w:cs="宋体" w:eastAsia="宋体" w:hint="default"/>
                <w:sz w:val="21"/>
                <w:szCs w:val="21"/>
              </w:rPr>
            </w:pPr>
            <w:r>
              <w:rPr>
                <w:rFonts w:ascii="宋体" w:hAnsi="宋体" w:cs="宋体" w:eastAsia="宋体" w:hint="default"/>
                <w:sz w:val="21"/>
                <w:szCs w:val="21"/>
              </w:rPr>
              <w:t>其他应收款</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深圳市赛德隆投资有限公司</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31,388,461.73</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25,110,769.38</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31,388,461.73</w:t>
            </w:r>
          </w:p>
        </w:tc>
        <w:tc>
          <w:tcPr>
            <w:tcW w:w="13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25,110,769.38</w:t>
            </w:r>
          </w:p>
        </w:tc>
      </w:tr>
      <w:tr>
        <w:trPr>
          <w:trHeight w:val="509" w:hRule="exact"/>
        </w:trPr>
        <w:tc>
          <w:tcPr>
            <w:tcW w:w="1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4"/>
              <w:jc w:val="center"/>
              <w:rPr>
                <w:rFonts w:ascii="宋体" w:hAnsi="宋体" w:cs="宋体" w:eastAsia="宋体" w:hint="default"/>
                <w:sz w:val="21"/>
                <w:szCs w:val="21"/>
              </w:rPr>
            </w:pPr>
            <w:r>
              <w:rPr>
                <w:rFonts w:ascii="宋体" w:hAnsi="宋体" w:cs="宋体" w:eastAsia="宋体" w:hint="default"/>
                <w:sz w:val="21"/>
                <w:szCs w:val="21"/>
              </w:rPr>
              <w:t>其他应收款</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深圳市泉源实业发展有限公司</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3,750,000.00</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3,750,000.00</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3,750,000.00</w:t>
            </w:r>
          </w:p>
        </w:tc>
        <w:tc>
          <w:tcPr>
            <w:tcW w:w="13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3,750,000.00</w:t>
            </w:r>
          </w:p>
        </w:tc>
      </w:tr>
      <w:tr>
        <w:trPr>
          <w:trHeight w:val="514" w:hRule="exact"/>
        </w:trPr>
        <w:tc>
          <w:tcPr>
            <w:tcW w:w="124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94"/>
              <w:jc w:val="center"/>
              <w:rPr>
                <w:rFonts w:ascii="宋体" w:hAnsi="宋体" w:cs="宋体" w:eastAsia="宋体" w:hint="default"/>
                <w:sz w:val="21"/>
                <w:szCs w:val="21"/>
              </w:rPr>
            </w:pPr>
            <w:r>
              <w:rPr>
                <w:rFonts w:ascii="宋体" w:hAnsi="宋体" w:cs="宋体" w:eastAsia="宋体" w:hint="default"/>
                <w:sz w:val="21"/>
                <w:szCs w:val="21"/>
              </w:rPr>
              <w:t>其他应收款</w:t>
            </w:r>
          </w:p>
        </w:tc>
        <w:tc>
          <w:tcPr>
            <w:tcW w:w="2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深圳市鸿基广源贸易有限公司</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3,260,739.46</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3,260,739.46</w:t>
            </w:r>
          </w:p>
        </w:tc>
        <w:tc>
          <w:tcPr>
            <w:tcW w:w="1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3,260,739.46</w:t>
            </w:r>
          </w:p>
        </w:tc>
        <w:tc>
          <w:tcPr>
            <w:tcW w:w="138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sz w:val="21"/>
              </w:rPr>
              <w:t>3,260,739.46</w:t>
            </w:r>
          </w:p>
        </w:tc>
      </w:tr>
      <w:tr>
        <w:trPr>
          <w:trHeight w:val="518" w:hRule="exact"/>
        </w:trPr>
        <w:tc>
          <w:tcPr>
            <w:tcW w:w="124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909" w:type="dxa"/>
            <w:tcBorders>
              <w:top w:val="single" w:sz="4" w:space="0" w:color="000000"/>
              <w:left w:val="single" w:sz="4" w:space="0" w:color="000000"/>
              <w:bottom w:val="single" w:sz="12" w:space="0" w:color="000000"/>
              <w:right w:val="single" w:sz="4" w:space="0" w:color="000000"/>
            </w:tcBorders>
          </w:tcPr>
          <w:p>
            <w:pPr/>
          </w:p>
        </w:tc>
        <w:tc>
          <w:tcPr>
            <w:tcW w:w="13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b/>
                <w:sz w:val="21"/>
              </w:rPr>
              <w:t>38,399,201.19</w:t>
            </w:r>
            <w:r>
              <w:rPr>
                <w:rFonts w:ascii="Times New Roman"/>
                <w:sz w:val="21"/>
              </w:rPr>
            </w:r>
          </w:p>
        </w:tc>
        <w:tc>
          <w:tcPr>
            <w:tcW w:w="138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b/>
                <w:sz w:val="21"/>
              </w:rPr>
              <w:t>32,121,508.84</w:t>
            </w:r>
            <w:r>
              <w:rPr>
                <w:rFonts w:ascii="Times New Roman"/>
                <w:sz w:val="21"/>
              </w:rPr>
            </w:r>
          </w:p>
        </w:tc>
        <w:tc>
          <w:tcPr>
            <w:tcW w:w="13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b/>
                <w:sz w:val="21"/>
              </w:rPr>
              <w:t>38,399,201.19</w:t>
            </w:r>
            <w:r>
              <w:rPr>
                <w:rFonts w:ascii="Times New Roman"/>
                <w:sz w:val="21"/>
              </w:rPr>
            </w:r>
          </w:p>
        </w:tc>
        <w:tc>
          <w:tcPr>
            <w:tcW w:w="138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7"/>
              <w:jc w:val="right"/>
              <w:rPr>
                <w:rFonts w:ascii="Times New Roman" w:hAnsi="Times New Roman" w:cs="Times New Roman" w:eastAsia="Times New Roman" w:hint="default"/>
                <w:sz w:val="21"/>
                <w:szCs w:val="21"/>
              </w:rPr>
            </w:pPr>
            <w:r>
              <w:rPr>
                <w:rFonts w:ascii="Times New Roman"/>
                <w:b/>
                <w:sz w:val="21"/>
              </w:rPr>
              <w:t>32,121,508.84</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85" w:right="0"/>
        <w:jc w:val="left"/>
      </w:pPr>
      <w:r>
        <w:rPr/>
        <w:t>（</w:t>
      </w:r>
      <w:r>
        <w:rPr>
          <w:rFonts w:ascii="Times New Roman" w:hAnsi="Times New Roman" w:cs="Times New Roman" w:eastAsia="Times New Roman" w:hint="default"/>
        </w:rPr>
        <w:t>2</w:t>
      </w:r>
      <w:r>
        <w:rPr/>
        <w:t>）上市公司应付关联方款项</w:t>
      </w:r>
    </w:p>
    <w:tbl>
      <w:tblPr>
        <w:tblW w:w="0" w:type="auto"/>
        <w:jc w:val="left"/>
        <w:tblInd w:w="115" w:type="dxa"/>
        <w:tblLayout w:type="fixed"/>
        <w:tblCellMar>
          <w:top w:w="0" w:type="dxa"/>
          <w:left w:w="0" w:type="dxa"/>
          <w:bottom w:w="0" w:type="dxa"/>
          <w:right w:w="0" w:type="dxa"/>
        </w:tblCellMar>
        <w:tblLook w:val="01E0"/>
      </w:tblPr>
      <w:tblGrid>
        <w:gridCol w:w="1805"/>
        <w:gridCol w:w="3101"/>
        <w:gridCol w:w="2405"/>
        <w:gridCol w:w="2400"/>
      </w:tblGrid>
      <w:tr>
        <w:trPr>
          <w:trHeight w:val="523" w:hRule="exact"/>
        </w:trPr>
        <w:tc>
          <w:tcPr>
            <w:tcW w:w="180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310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240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2"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40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772"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509" w:hRule="exact"/>
        </w:trPr>
        <w:tc>
          <w:tcPr>
            <w:tcW w:w="18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深运工贸翠苑旅店</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242,742.91</w:t>
            </w:r>
          </w:p>
        </w:tc>
        <w:tc>
          <w:tcPr>
            <w:tcW w:w="24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242,742.91</w:t>
            </w:r>
          </w:p>
        </w:tc>
      </w:tr>
      <w:tr>
        <w:trPr>
          <w:trHeight w:val="509" w:hRule="exact"/>
        </w:trPr>
        <w:tc>
          <w:tcPr>
            <w:tcW w:w="18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深圳市鸿基雅喆电梯有限公司</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560,000.00</w:t>
            </w:r>
          </w:p>
        </w:tc>
        <w:tc>
          <w:tcPr>
            <w:tcW w:w="24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sz w:val="21"/>
              </w:rPr>
              <w:t>560,000.00</w:t>
            </w:r>
          </w:p>
        </w:tc>
      </w:tr>
      <w:tr>
        <w:trPr>
          <w:trHeight w:val="509" w:hRule="exact"/>
        </w:trPr>
        <w:tc>
          <w:tcPr>
            <w:tcW w:w="180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中国宝安集团股份有限公司</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333,425,431.96</w:t>
            </w:r>
          </w:p>
        </w:tc>
        <w:tc>
          <w:tcPr>
            <w:tcW w:w="240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w w:val="100"/>
                <w:sz w:val="21"/>
              </w:rPr>
              <w:t>-</w:t>
            </w:r>
          </w:p>
        </w:tc>
      </w:tr>
      <w:tr>
        <w:trPr>
          <w:trHeight w:val="523" w:hRule="exact"/>
        </w:trPr>
        <w:tc>
          <w:tcPr>
            <w:tcW w:w="180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3101" w:type="dxa"/>
            <w:tcBorders>
              <w:top w:val="single" w:sz="4" w:space="0" w:color="000000"/>
              <w:left w:val="single" w:sz="4" w:space="0" w:color="000000"/>
              <w:bottom w:val="single" w:sz="12" w:space="0" w:color="000000"/>
              <w:right w:val="single" w:sz="4" w:space="0" w:color="000000"/>
            </w:tcBorders>
          </w:tcPr>
          <w:p>
            <w:pPr/>
          </w:p>
        </w:tc>
        <w:tc>
          <w:tcPr>
            <w:tcW w:w="240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b/>
                <w:spacing w:val="-1"/>
                <w:sz w:val="21"/>
              </w:rPr>
              <w:t>334,228,174.87</w:t>
            </w:r>
            <w:r>
              <w:rPr>
                <w:rFonts w:ascii="Times New Roman"/>
                <w:spacing w:val="-1"/>
                <w:sz w:val="21"/>
              </w:rPr>
            </w:r>
          </w:p>
        </w:tc>
        <w:tc>
          <w:tcPr>
            <w:tcW w:w="240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8"/>
              <w:jc w:val="right"/>
              <w:rPr>
                <w:rFonts w:ascii="Times New Roman" w:hAnsi="Times New Roman" w:cs="Times New Roman" w:eastAsia="Times New Roman" w:hint="default"/>
                <w:sz w:val="21"/>
                <w:szCs w:val="21"/>
              </w:rPr>
            </w:pPr>
            <w:r>
              <w:rPr>
                <w:rFonts w:ascii="Times New Roman"/>
                <w:b/>
                <w:sz w:val="21"/>
              </w:rPr>
              <w:t>802,742.91</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17"/>
        <w:ind w:left="595" w:right="0"/>
        <w:jc w:val="left"/>
        <w:rPr>
          <w:b w:val="0"/>
          <w:bCs w:val="0"/>
        </w:rPr>
      </w:pPr>
      <w:r>
        <w:rPr/>
        <w:t>八、或有事项</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6"/>
          <w:szCs w:val="16"/>
        </w:rPr>
      </w:pPr>
    </w:p>
    <w:p>
      <w:pPr>
        <w:pStyle w:val="Heading6"/>
        <w:spacing w:line="240" w:lineRule="auto"/>
        <w:ind w:left="595" w:right="0"/>
        <w:jc w:val="left"/>
        <w:rPr>
          <w:b w:val="0"/>
          <w:bCs w:val="0"/>
        </w:rPr>
      </w:pPr>
      <w:r>
        <w:rPr>
          <w:rFonts w:ascii="Times New Roman" w:hAnsi="Times New Roman" w:cs="Times New Roman" w:eastAsia="Times New Roman" w:hint="default"/>
        </w:rPr>
        <w:t>1</w:t>
      </w:r>
      <w:r>
        <w:rPr/>
        <w:t>、未决诉讼仲裁形成的或有负债及其财务影响</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BodyText"/>
        <w:spacing w:line="240" w:lineRule="auto"/>
        <w:ind w:left="595" w:right="0"/>
        <w:jc w:val="left"/>
      </w:pPr>
      <w:r>
        <w:rPr/>
        <w:t>（</w:t>
      </w:r>
      <w:r>
        <w:rPr>
          <w:rFonts w:ascii="Times New Roman" w:hAnsi="Times New Roman" w:cs="Times New Roman" w:eastAsia="Times New Roman" w:hint="default"/>
        </w:rPr>
        <w:t>1</w:t>
      </w:r>
      <w:r>
        <w:rPr/>
        <w:t>）或有负债</w:t>
      </w:r>
    </w:p>
    <w:p>
      <w:pPr>
        <w:spacing w:line="240" w:lineRule="auto" w:before="12"/>
        <w:rPr>
          <w:rFonts w:ascii="宋体" w:hAnsi="宋体" w:cs="宋体" w:eastAsia="宋体" w:hint="default"/>
          <w:sz w:val="15"/>
          <w:szCs w:val="15"/>
        </w:rPr>
      </w:pPr>
    </w:p>
    <w:p>
      <w:pPr>
        <w:pStyle w:val="BodyText"/>
        <w:spacing w:line="240" w:lineRule="auto"/>
        <w:ind w:left="595" w:right="0"/>
        <w:jc w:val="left"/>
      </w:pPr>
      <w:r>
        <w:rPr/>
        <w:t>截止</w:t>
      </w:r>
      <w:r>
        <w:rPr>
          <w:spacing w:val="-52"/>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日，本公司无未决诉讼仲裁形成的或有负债。</w:t>
      </w:r>
    </w:p>
    <w:p>
      <w:pPr>
        <w:spacing w:line="240" w:lineRule="auto" w:before="12"/>
        <w:rPr>
          <w:rFonts w:ascii="宋体" w:hAnsi="宋体" w:cs="宋体" w:eastAsia="宋体" w:hint="default"/>
          <w:sz w:val="15"/>
          <w:szCs w:val="15"/>
        </w:rPr>
      </w:pPr>
    </w:p>
    <w:p>
      <w:pPr>
        <w:pStyle w:val="BodyText"/>
        <w:spacing w:line="412" w:lineRule="auto"/>
        <w:ind w:left="595" w:right="0"/>
        <w:jc w:val="left"/>
      </w:pPr>
      <w:r>
        <w:rPr/>
        <w:t>（</w:t>
      </w:r>
      <w:r>
        <w:rPr>
          <w:rFonts w:ascii="Times New Roman" w:hAnsi="Times New Roman" w:cs="Times New Roman" w:eastAsia="Times New Roman" w:hint="default"/>
        </w:rPr>
        <w:t>2</w:t>
      </w:r>
      <w:r>
        <w:rPr/>
        <w:t>）其他</w:t>
      </w:r>
      <w:r>
        <w:rPr>
          <w:spacing w:val="-100"/>
        </w:rPr>
        <w:t> </w:t>
      </w:r>
      <w:r>
        <w:rPr>
          <w:spacing w:val="-6"/>
          <w:w w:val="100"/>
        </w:rPr>
        <w:t>本公司控股子公司深圳市凯方实业发展有限公司（以下简称</w:t>
      </w:r>
      <w:r>
        <w:rPr>
          <w:rFonts w:ascii="Times New Roman" w:hAnsi="Times New Roman" w:cs="Times New Roman" w:eastAsia="Times New Roman" w:hint="default"/>
          <w:spacing w:val="-6"/>
          <w:w w:val="100"/>
        </w:rPr>
        <w:t>“</w:t>
      </w:r>
      <w:r>
        <w:rPr>
          <w:spacing w:val="-6"/>
          <w:w w:val="100"/>
        </w:rPr>
        <w:t>凯方实业公司</w:t>
      </w:r>
      <w:r>
        <w:rPr>
          <w:rFonts w:ascii="Times New Roman" w:hAnsi="Times New Roman" w:cs="Times New Roman" w:eastAsia="Times New Roman" w:hint="default"/>
          <w:spacing w:val="-6"/>
          <w:w w:val="100"/>
        </w:rPr>
        <w:t>”</w:t>
      </w:r>
      <w:r>
        <w:rPr>
          <w:spacing w:val="-6"/>
          <w:w w:val="100"/>
        </w:rPr>
        <w:t>），上期诉讼持有凯方实业</w:t>
      </w:r>
    </w:p>
    <w:p>
      <w:pPr>
        <w:spacing w:after="0" w:line="412" w:lineRule="auto"/>
        <w:jc w:val="left"/>
        <w:sectPr>
          <w:headerReference w:type="default" r:id="rId40"/>
          <w:footerReference w:type="default" r:id="rId41"/>
          <w:pgSz w:w="11900" w:h="16840"/>
          <w:pgMar w:header="762" w:footer="840" w:top="1000" w:bottom="1020" w:left="960" w:right="960"/>
          <w:pgNumType w:start="1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12" w:lineRule="auto" w:before="36"/>
        <w:ind w:left="252" w:right="113"/>
        <w:jc w:val="left"/>
      </w:pPr>
      <w:r>
        <w:rPr>
          <w:spacing w:val="4"/>
        </w:rPr>
        <w:t>公司</w:t>
      </w:r>
      <w:r>
        <w:rPr>
          <w:spacing w:val="83"/>
        </w:rPr>
        <w:t> </w:t>
      </w:r>
      <w:r>
        <w:rPr>
          <w:rFonts w:ascii="Times New Roman" w:hAnsi="Times New Roman" w:cs="Times New Roman" w:eastAsia="Times New Roman" w:hint="default"/>
          <w:spacing w:val="5"/>
        </w:rPr>
        <w:t>30%</w:t>
      </w:r>
      <w:r>
        <w:rPr>
          <w:spacing w:val="5"/>
        </w:rPr>
        <w:t>股权的股东深圳市赛德隆投资发展有限公司（以下简称</w:t>
      </w:r>
      <w:r>
        <w:rPr>
          <w:rFonts w:ascii="Times New Roman" w:hAnsi="Times New Roman" w:cs="Times New Roman" w:eastAsia="Times New Roman" w:hint="default"/>
          <w:spacing w:val="5"/>
        </w:rPr>
        <w:t>“</w:t>
      </w:r>
      <w:r>
        <w:rPr>
          <w:spacing w:val="5"/>
        </w:rPr>
        <w:t>赛德隆公司</w:t>
      </w:r>
      <w:r>
        <w:rPr>
          <w:rFonts w:ascii="Times New Roman" w:hAnsi="Times New Roman" w:cs="Times New Roman" w:eastAsia="Times New Roman" w:hint="default"/>
          <w:spacing w:val="5"/>
        </w:rPr>
        <w:t>”</w:t>
      </w:r>
      <w:r>
        <w:rPr>
          <w:spacing w:val="5"/>
        </w:rPr>
        <w:t>）借款合同（借款金额</w:t>
      </w:r>
      <w:r>
        <w:rPr>
          <w:spacing w:val="-87"/>
        </w:rPr>
        <w:t> </w:t>
      </w:r>
      <w:r>
        <w:rPr>
          <w:spacing w:val="-87"/>
        </w:rPr>
      </w:r>
      <w:r>
        <w:rPr>
          <w:rFonts w:ascii="Times New Roman" w:hAnsi="Times New Roman" w:cs="Times New Roman" w:eastAsia="Times New Roman" w:hint="default"/>
        </w:rPr>
        <w:t>31,388,461.73 </w:t>
      </w:r>
      <w:r>
        <w:rPr>
          <w:spacing w:val="-3"/>
        </w:rPr>
        <w:t>元，其中公司已计提坏帐准备 </w:t>
      </w:r>
      <w:r>
        <w:rPr>
          <w:rFonts w:ascii="Times New Roman" w:hAnsi="Times New Roman" w:cs="Times New Roman" w:eastAsia="Times New Roman" w:hint="default"/>
        </w:rPr>
        <w:t>25,110,769.38</w:t>
      </w:r>
      <w:r>
        <w:rPr>
          <w:rFonts w:ascii="Times New Roman" w:hAnsi="Times New Roman" w:cs="Times New Roman" w:eastAsia="Times New Roman" w:hint="default"/>
          <w:spacing w:val="-4"/>
        </w:rPr>
        <w:t> </w:t>
      </w:r>
      <w:r>
        <w:rPr>
          <w:spacing w:val="-4"/>
        </w:rPr>
        <w:t>元）纠纷一案，广东省深圳市福田区人民法院已</w:t>
      </w:r>
    </w:p>
    <w:p>
      <w:pPr>
        <w:pStyle w:val="BodyText"/>
        <w:spacing w:line="240" w:lineRule="auto" w:before="41"/>
        <w:ind w:left="252" w:right="0"/>
        <w:jc w:val="left"/>
      </w:pPr>
      <w:r>
        <w:rPr/>
        <w:t>于</w:t>
      </w:r>
      <w:r>
        <w:rPr>
          <w:spacing w:val="-55"/>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2"/>
        </w:rPr>
        <w:t> </w:t>
      </w:r>
      <w:r>
        <w:rPr/>
        <w:t>月作出民事判决，驳回凯方实业公司的诉讼请求。凯方实业公司不服判决，于</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p>
    <w:p>
      <w:pPr>
        <w:spacing w:line="240" w:lineRule="auto" w:before="4"/>
        <w:rPr>
          <w:rFonts w:ascii="宋体" w:hAnsi="宋体" w:cs="宋体" w:eastAsia="宋体" w:hint="default"/>
          <w:sz w:val="16"/>
          <w:szCs w:val="16"/>
        </w:rPr>
      </w:pPr>
    </w:p>
    <w:p>
      <w:pPr>
        <w:pStyle w:val="BodyText"/>
        <w:spacing w:line="240" w:lineRule="auto"/>
        <w:ind w:left="252" w:right="114"/>
        <w:jc w:val="left"/>
      </w:pP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t>日进一步补充证据，向深圳市中级人民法院提起上诉。</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left="675" w:right="114"/>
        <w:jc w:val="left"/>
        <w:rPr>
          <w:b w:val="0"/>
          <w:bCs w:val="0"/>
        </w:rPr>
      </w:pPr>
      <w:r>
        <w:rPr>
          <w:rFonts w:ascii="Times New Roman" w:hAnsi="Times New Roman" w:cs="Times New Roman" w:eastAsia="Times New Roman" w:hint="default"/>
        </w:rPr>
        <w:t>2</w:t>
      </w:r>
      <w:r>
        <w:rPr/>
        <w:t>、为其他单位提供债务担保形成的或有负债及其财务影响</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65" w:right="0"/>
        <w:jc w:val="left"/>
      </w:pPr>
      <w:r>
        <w:rPr/>
        <w:t>本公司按房地产经营惯例为商品房承购人提供抵押贷款担保。担保类型为阶段性担保。截止 </w:t>
      </w:r>
      <w:r>
        <w:rPr>
          <w:rFonts w:ascii="Times New Roman" w:hAnsi="Times New Roman" w:cs="Times New Roman" w:eastAsia="Times New Roman" w:hint="default"/>
        </w:rPr>
        <w:t>2012</w:t>
      </w:r>
      <w:r>
        <w:rPr>
          <w:rFonts w:ascii="Times New Roman" w:hAnsi="Times New Roman" w:cs="Times New Roman" w:eastAsia="Times New Roman" w:hint="default"/>
          <w:spacing w:val="38"/>
        </w:rPr>
        <w:t> </w:t>
      </w:r>
      <w:r>
        <w:rPr/>
        <w:t>年</w:t>
      </w:r>
    </w:p>
    <w:p>
      <w:pPr>
        <w:spacing w:line="240" w:lineRule="auto" w:before="12"/>
        <w:rPr>
          <w:rFonts w:ascii="宋体" w:hAnsi="宋体" w:cs="宋体" w:eastAsia="宋体" w:hint="default"/>
          <w:sz w:val="15"/>
          <w:szCs w:val="15"/>
        </w:rPr>
      </w:pPr>
    </w:p>
    <w:p>
      <w:pPr>
        <w:pStyle w:val="BodyText"/>
        <w:spacing w:line="412" w:lineRule="auto"/>
        <w:ind w:left="252" w:right="111"/>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日，共承担阶段性担保额为</w:t>
      </w:r>
      <w:r>
        <w:rPr>
          <w:spacing w:val="-47"/>
        </w:rPr>
        <w:t> </w:t>
      </w:r>
      <w:r>
        <w:rPr>
          <w:rFonts w:ascii="Times New Roman" w:hAnsi="Times New Roman" w:cs="Times New Roman" w:eastAsia="Times New Roman" w:hint="default"/>
        </w:rPr>
        <w:t>8,755.12</w:t>
      </w:r>
      <w:r>
        <w:rPr>
          <w:rFonts w:ascii="Times New Roman" w:hAnsi="Times New Roman" w:cs="Times New Roman" w:eastAsia="Times New Roman" w:hint="default"/>
          <w:spacing w:val="6"/>
        </w:rPr>
        <w:t> </w:t>
      </w:r>
      <w:r>
        <w:rPr/>
        <w:t>万元。担保期限自保证合同生效之日起至商品房抵押登记办</w:t>
      </w:r>
      <w:r>
        <w:rPr>
          <w:w w:val="100"/>
        </w:rPr>
        <w:t> </w:t>
      </w:r>
      <w:r>
        <w:rPr/>
        <w:t>妥以及房产证交银行执管之日止。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pStyle w:val="Heading6"/>
        <w:spacing w:line="240" w:lineRule="auto"/>
        <w:ind w:left="675" w:right="114"/>
        <w:jc w:val="left"/>
        <w:rPr>
          <w:b w:val="0"/>
          <w:bCs w:val="0"/>
        </w:rPr>
      </w:pPr>
      <w:r>
        <w:rPr>
          <w:rFonts w:ascii="Times New Roman" w:hAnsi="Times New Roman" w:cs="Times New Roman" w:eastAsia="Times New Roman" w:hint="default"/>
        </w:rPr>
        <w:t>3</w:t>
      </w:r>
      <w:r>
        <w:rPr/>
        <w:t>、为控股子公司提供贷款担保</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75" w:right="114"/>
        <w:jc w:val="left"/>
      </w:pPr>
      <w:r>
        <w:rPr/>
        <w:t>截止</w:t>
      </w:r>
      <w:r>
        <w:rPr>
          <w:spacing w:val="-52"/>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2"/>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日，本公司为控股子公司提供担保如下：</w:t>
      </w:r>
    </w:p>
    <w:tbl>
      <w:tblPr>
        <w:tblW w:w="0" w:type="auto"/>
        <w:jc w:val="left"/>
        <w:tblInd w:w="113" w:type="dxa"/>
        <w:tblLayout w:type="fixed"/>
        <w:tblCellMar>
          <w:top w:w="0" w:type="dxa"/>
          <w:left w:w="0" w:type="dxa"/>
          <w:bottom w:w="0" w:type="dxa"/>
          <w:right w:w="0" w:type="dxa"/>
        </w:tblCellMar>
        <w:tblLook w:val="01E0"/>
      </w:tblPr>
      <w:tblGrid>
        <w:gridCol w:w="682"/>
        <w:gridCol w:w="2851"/>
        <w:gridCol w:w="2976"/>
        <w:gridCol w:w="1291"/>
        <w:gridCol w:w="1824"/>
      </w:tblGrid>
      <w:tr>
        <w:trPr>
          <w:trHeight w:val="739" w:hRule="exact"/>
        </w:trPr>
        <w:tc>
          <w:tcPr>
            <w:tcW w:w="682"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285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担保人</w:t>
            </w:r>
          </w:p>
        </w:tc>
        <w:tc>
          <w:tcPr>
            <w:tcW w:w="297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担保对象</w:t>
            </w:r>
          </w:p>
        </w:tc>
        <w:tc>
          <w:tcPr>
            <w:tcW w:w="129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7"/>
              <w:ind w:left="273" w:right="0"/>
              <w:jc w:val="left"/>
              <w:rPr>
                <w:rFonts w:ascii="宋体" w:hAnsi="宋体" w:cs="宋体" w:eastAsia="宋体" w:hint="default"/>
                <w:sz w:val="18"/>
                <w:szCs w:val="18"/>
              </w:rPr>
            </w:pPr>
            <w:r>
              <w:rPr>
                <w:rFonts w:ascii="宋体" w:hAnsi="宋体" w:cs="宋体" w:eastAsia="宋体" w:hint="default"/>
                <w:sz w:val="18"/>
                <w:szCs w:val="18"/>
              </w:rPr>
              <w:t>担保金额</w:t>
            </w:r>
          </w:p>
          <w:p>
            <w:pPr>
              <w:pStyle w:val="TableParagraph"/>
              <w:spacing w:line="240" w:lineRule="auto" w:before="124"/>
              <w:ind w:left="27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824"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担保起止日期</w:t>
            </w:r>
          </w:p>
        </w:tc>
      </w:tr>
      <w:tr>
        <w:trPr>
          <w:trHeight w:val="514" w:hRule="exact"/>
        </w:trPr>
        <w:tc>
          <w:tcPr>
            <w:tcW w:w="6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w w:val="101"/>
                <w:sz w:val="18"/>
              </w:rPr>
              <w:t>1</w:t>
            </w:r>
            <w:r>
              <w:rPr>
                <w:rFonts w:ascii="Times New Roman"/>
                <w:sz w:val="18"/>
              </w:rPr>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center"/>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深圳市宝鹏物流有限公司</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2,000.00</w:t>
            </w:r>
          </w:p>
        </w:tc>
        <w:tc>
          <w:tcPr>
            <w:tcW w:w="1824" w:type="dxa"/>
            <w:vMerge w:val="restart"/>
            <w:tcBorders>
              <w:top w:val="single" w:sz="4" w:space="0" w:color="000000"/>
              <w:left w:val="single" w:sz="4" w:space="0" w:color="000000"/>
              <w:right w:val="nil" w:sz="6" w:space="0" w:color="auto"/>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477" w:lineRule="auto"/>
              <w:ind w:left="100" w:right="104"/>
              <w:jc w:val="both"/>
              <w:rPr>
                <w:rFonts w:ascii="宋体" w:hAnsi="宋体" w:cs="宋体" w:eastAsia="宋体" w:hint="default"/>
                <w:sz w:val="18"/>
                <w:szCs w:val="18"/>
              </w:rPr>
            </w:pPr>
            <w:r>
              <w:rPr>
                <w:rFonts w:ascii="宋体" w:hAnsi="宋体" w:cs="宋体" w:eastAsia="宋体" w:hint="default"/>
                <w:sz w:val="18"/>
                <w:szCs w:val="18"/>
              </w:rPr>
              <w:t>主</w:t>
            </w:r>
            <w:r>
              <w:rPr>
                <w:rFonts w:ascii="宋体" w:hAnsi="宋体" w:cs="宋体" w:eastAsia="宋体" w:hint="default"/>
                <w:spacing w:val="-63"/>
                <w:sz w:val="18"/>
                <w:szCs w:val="18"/>
              </w:rPr>
              <w:t> </w:t>
            </w:r>
            <w:r>
              <w:rPr>
                <w:rFonts w:ascii="宋体" w:hAnsi="宋体" w:cs="宋体" w:eastAsia="宋体" w:hint="default"/>
                <w:sz w:val="18"/>
                <w:szCs w:val="18"/>
              </w:rPr>
              <w:t>合</w:t>
            </w:r>
            <w:r>
              <w:rPr>
                <w:rFonts w:ascii="宋体" w:hAnsi="宋体" w:cs="宋体" w:eastAsia="宋体" w:hint="default"/>
                <w:spacing w:val="-63"/>
                <w:sz w:val="18"/>
                <w:szCs w:val="18"/>
              </w:rPr>
              <w:t> </w:t>
            </w:r>
            <w:r>
              <w:rPr>
                <w:rFonts w:ascii="宋体" w:hAnsi="宋体" w:cs="宋体" w:eastAsia="宋体" w:hint="default"/>
                <w:spacing w:val="9"/>
                <w:sz w:val="18"/>
                <w:szCs w:val="18"/>
              </w:rPr>
              <w:t>同约</w:t>
            </w:r>
            <w:r>
              <w:rPr>
                <w:rFonts w:ascii="宋体" w:hAnsi="宋体" w:cs="宋体" w:eastAsia="宋体" w:hint="default"/>
                <w:spacing w:val="-63"/>
                <w:sz w:val="18"/>
                <w:szCs w:val="18"/>
              </w:rPr>
              <w:t> </w:t>
            </w:r>
            <w:r>
              <w:rPr>
                <w:rFonts w:ascii="宋体" w:hAnsi="宋体" w:cs="宋体" w:eastAsia="宋体" w:hint="default"/>
                <w:spacing w:val="9"/>
                <w:sz w:val="18"/>
                <w:szCs w:val="18"/>
              </w:rPr>
              <w:t>定的</w:t>
            </w:r>
            <w:r>
              <w:rPr>
                <w:rFonts w:ascii="宋体" w:hAnsi="宋体" w:cs="宋体" w:eastAsia="宋体" w:hint="default"/>
                <w:spacing w:val="-63"/>
                <w:sz w:val="18"/>
                <w:szCs w:val="18"/>
              </w:rPr>
              <w:t> </w:t>
            </w:r>
            <w:r>
              <w:rPr>
                <w:rFonts w:ascii="宋体" w:hAnsi="宋体" w:cs="宋体" w:eastAsia="宋体" w:hint="default"/>
                <w:spacing w:val="9"/>
                <w:sz w:val="18"/>
                <w:szCs w:val="18"/>
              </w:rPr>
              <w:t>债务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履</w:t>
            </w:r>
            <w:r>
              <w:rPr>
                <w:rFonts w:ascii="宋体" w:hAnsi="宋体" w:cs="宋体" w:eastAsia="宋体" w:hint="default"/>
                <w:spacing w:val="-63"/>
                <w:sz w:val="18"/>
                <w:szCs w:val="18"/>
              </w:rPr>
              <w:t> </w:t>
            </w:r>
            <w:r>
              <w:rPr>
                <w:rFonts w:ascii="宋体" w:hAnsi="宋体" w:cs="宋体" w:eastAsia="宋体" w:hint="default"/>
                <w:sz w:val="18"/>
                <w:szCs w:val="18"/>
              </w:rPr>
              <w:t>行</w:t>
            </w:r>
            <w:r>
              <w:rPr>
                <w:rFonts w:ascii="宋体" w:hAnsi="宋体" w:cs="宋体" w:eastAsia="宋体" w:hint="default"/>
                <w:spacing w:val="-63"/>
                <w:sz w:val="18"/>
                <w:szCs w:val="18"/>
              </w:rPr>
              <w:t> </w:t>
            </w:r>
            <w:r>
              <w:rPr>
                <w:rFonts w:ascii="宋体" w:hAnsi="宋体" w:cs="宋体" w:eastAsia="宋体" w:hint="default"/>
                <w:spacing w:val="9"/>
                <w:sz w:val="18"/>
                <w:szCs w:val="18"/>
              </w:rPr>
              <w:t>期限</w:t>
            </w:r>
            <w:r>
              <w:rPr>
                <w:rFonts w:ascii="宋体" w:hAnsi="宋体" w:cs="宋体" w:eastAsia="宋体" w:hint="default"/>
                <w:spacing w:val="-63"/>
                <w:sz w:val="18"/>
                <w:szCs w:val="18"/>
              </w:rPr>
              <w:t> </w:t>
            </w:r>
            <w:r>
              <w:rPr>
                <w:rFonts w:ascii="宋体" w:hAnsi="宋体" w:cs="宋体" w:eastAsia="宋体" w:hint="default"/>
                <w:spacing w:val="9"/>
                <w:sz w:val="18"/>
                <w:szCs w:val="18"/>
              </w:rPr>
              <w:t>届满</w:t>
            </w:r>
            <w:r>
              <w:rPr>
                <w:rFonts w:ascii="宋体" w:hAnsi="宋体" w:cs="宋体" w:eastAsia="宋体" w:hint="default"/>
                <w:spacing w:val="-63"/>
                <w:sz w:val="18"/>
                <w:szCs w:val="18"/>
              </w:rPr>
              <w:t> </w:t>
            </w:r>
            <w:r>
              <w:rPr>
                <w:rFonts w:ascii="宋体" w:hAnsi="宋体" w:cs="宋体" w:eastAsia="宋体" w:hint="default"/>
                <w:spacing w:val="9"/>
                <w:sz w:val="18"/>
                <w:szCs w:val="18"/>
              </w:rPr>
              <w:t>之日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起两年</w:t>
            </w:r>
          </w:p>
        </w:tc>
      </w:tr>
      <w:tr>
        <w:trPr>
          <w:trHeight w:val="509" w:hRule="exact"/>
        </w:trPr>
        <w:tc>
          <w:tcPr>
            <w:tcW w:w="68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w w:val="101"/>
                <w:sz w:val="18"/>
              </w:rPr>
              <w:t>2</w:t>
            </w:r>
            <w:r>
              <w:rPr>
                <w:rFonts w:ascii="Times New Roman"/>
                <w:sz w:val="18"/>
              </w:rPr>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3"/>
              <w:jc w:val="center"/>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深圳市鸿基物流有限公司</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18,850.00</w:t>
            </w:r>
          </w:p>
        </w:tc>
        <w:tc>
          <w:tcPr>
            <w:tcW w:w="1824" w:type="dxa"/>
            <w:vMerge/>
            <w:tcBorders>
              <w:left w:val="single" w:sz="4" w:space="0" w:color="000000"/>
              <w:right w:val="nil" w:sz="6" w:space="0" w:color="auto"/>
            </w:tcBorders>
          </w:tcPr>
          <w:p>
            <w:pPr/>
          </w:p>
        </w:tc>
      </w:tr>
      <w:tr>
        <w:trPr>
          <w:trHeight w:val="509" w:hRule="exact"/>
        </w:trPr>
        <w:tc>
          <w:tcPr>
            <w:tcW w:w="6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w w:val="101"/>
                <w:sz w:val="18"/>
              </w:rPr>
              <w:t>3</w:t>
            </w:r>
            <w:r>
              <w:rPr>
                <w:rFonts w:ascii="Times New Roman"/>
                <w:sz w:val="18"/>
              </w:rPr>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center"/>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惠州市宝安房地产开发有限公司</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45,000.00</w:t>
            </w:r>
          </w:p>
        </w:tc>
        <w:tc>
          <w:tcPr>
            <w:tcW w:w="1824" w:type="dxa"/>
            <w:vMerge/>
            <w:tcBorders>
              <w:left w:val="single" w:sz="4" w:space="0" w:color="000000"/>
              <w:right w:val="nil" w:sz="6" w:space="0" w:color="auto"/>
            </w:tcBorders>
          </w:tcPr>
          <w:p>
            <w:pPr/>
          </w:p>
        </w:tc>
      </w:tr>
      <w:tr>
        <w:trPr>
          <w:trHeight w:val="509" w:hRule="exact"/>
        </w:trPr>
        <w:tc>
          <w:tcPr>
            <w:tcW w:w="682"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19" w:right="0"/>
              <w:jc w:val="center"/>
              <w:rPr>
                <w:rFonts w:ascii="Times New Roman" w:hAnsi="Times New Roman" w:cs="Times New Roman" w:eastAsia="Times New Roman" w:hint="default"/>
                <w:sz w:val="18"/>
                <w:szCs w:val="18"/>
              </w:rPr>
            </w:pPr>
            <w:r>
              <w:rPr>
                <w:rFonts w:ascii="Times New Roman"/>
                <w:w w:val="101"/>
                <w:sz w:val="18"/>
              </w:rPr>
              <w:t>4</w:t>
            </w:r>
            <w:r>
              <w:rPr>
                <w:rFonts w:ascii="Times New Roman"/>
                <w:sz w:val="18"/>
              </w:rPr>
            </w:r>
          </w:p>
        </w:tc>
        <w:tc>
          <w:tcPr>
            <w:tcW w:w="2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3"/>
              <w:jc w:val="center"/>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3"/>
                <w:sz w:val="18"/>
                <w:szCs w:val="18"/>
              </w:rPr>
              <w:t>湖南宝安鸿基房地产开发有限公司</w:t>
            </w:r>
          </w:p>
        </w:tc>
        <w:tc>
          <w:tcPr>
            <w:tcW w:w="12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9,000.00</w:t>
            </w:r>
          </w:p>
        </w:tc>
        <w:tc>
          <w:tcPr>
            <w:tcW w:w="1824" w:type="dxa"/>
            <w:vMerge/>
            <w:tcBorders>
              <w:left w:val="single" w:sz="4" w:space="0" w:color="000000"/>
              <w:bottom w:val="single" w:sz="4" w:space="0" w:color="000000"/>
              <w:right w:val="nil" w:sz="6" w:space="0" w:color="auto"/>
            </w:tcBorders>
          </w:tcPr>
          <w:p>
            <w:pPr/>
          </w:p>
        </w:tc>
      </w:tr>
      <w:tr>
        <w:trPr>
          <w:trHeight w:val="523" w:hRule="exact"/>
        </w:trPr>
        <w:tc>
          <w:tcPr>
            <w:tcW w:w="682" w:type="dxa"/>
            <w:tcBorders>
              <w:top w:val="single" w:sz="4" w:space="0" w:color="000000"/>
              <w:left w:val="nil" w:sz="6" w:space="0" w:color="auto"/>
              <w:bottom w:val="single" w:sz="12" w:space="0" w:color="000000"/>
              <w:right w:val="single" w:sz="4" w:space="0" w:color="000000"/>
            </w:tcBorders>
          </w:tcPr>
          <w:p>
            <w:pPr/>
          </w:p>
        </w:tc>
        <w:tc>
          <w:tcPr>
            <w:tcW w:w="285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2976" w:type="dxa"/>
            <w:tcBorders>
              <w:top w:val="single" w:sz="4" w:space="0" w:color="000000"/>
              <w:left w:val="single" w:sz="4" w:space="0" w:color="000000"/>
              <w:bottom w:val="single" w:sz="12" w:space="0" w:color="000000"/>
              <w:right w:val="single" w:sz="4" w:space="0" w:color="000000"/>
            </w:tcBorders>
          </w:tcPr>
          <w:p>
            <w:pPr/>
          </w:p>
        </w:tc>
        <w:tc>
          <w:tcPr>
            <w:tcW w:w="129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74,850.00</w:t>
            </w:r>
            <w:r>
              <w:rPr>
                <w:rFonts w:ascii="Times New Roman"/>
                <w:spacing w:val="-1"/>
                <w:sz w:val="18"/>
              </w:rPr>
            </w:r>
          </w:p>
        </w:tc>
        <w:tc>
          <w:tcPr>
            <w:tcW w:w="1824" w:type="dxa"/>
            <w:tcBorders>
              <w:top w:val="single" w:sz="4" w:space="0" w:color="000000"/>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17"/>
        <w:ind w:left="675" w:right="114"/>
        <w:jc w:val="left"/>
        <w:rPr>
          <w:b w:val="0"/>
          <w:bCs w:val="0"/>
        </w:rPr>
      </w:pPr>
      <w:r>
        <w:rPr/>
        <w:t>九、承诺事项</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6"/>
          <w:szCs w:val="16"/>
        </w:rPr>
      </w:pPr>
    </w:p>
    <w:p>
      <w:pPr>
        <w:pStyle w:val="Heading6"/>
        <w:spacing w:line="240" w:lineRule="auto"/>
        <w:ind w:left="665" w:right="114"/>
        <w:jc w:val="left"/>
        <w:rPr>
          <w:b w:val="0"/>
          <w:bCs w:val="0"/>
        </w:rPr>
      </w:pPr>
      <w:r>
        <w:rPr/>
        <w:t>经营租赁承诺：</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65" w:right="114"/>
        <w:jc w:val="left"/>
      </w:pPr>
      <w:r>
        <w:rPr/>
        <w:t>至资产负债表日止，本公司对外签订的不可撤销的经营租赁合约情况如下：</w:t>
      </w:r>
    </w:p>
    <w:p>
      <w:pPr>
        <w:spacing w:line="240" w:lineRule="auto" w:before="11"/>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002"/>
        <w:gridCol w:w="1992"/>
        <w:gridCol w:w="1968"/>
        <w:gridCol w:w="1906"/>
        <w:gridCol w:w="1786"/>
      </w:tblGrid>
      <w:tr>
        <w:trPr>
          <w:trHeight w:val="518" w:hRule="exact"/>
        </w:trPr>
        <w:tc>
          <w:tcPr>
            <w:tcW w:w="2002"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9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460" w:right="0"/>
              <w:jc w:val="left"/>
              <w:rPr>
                <w:rFonts w:ascii="宋体" w:hAnsi="宋体" w:cs="宋体" w:eastAsia="宋体" w:hint="default"/>
                <w:sz w:val="21"/>
                <w:szCs w:val="21"/>
              </w:rPr>
            </w:pPr>
            <w:r>
              <w:rPr>
                <w:rFonts w:ascii="宋体" w:hAnsi="宋体" w:cs="宋体" w:eastAsia="宋体" w:hint="default"/>
                <w:sz w:val="21"/>
                <w:szCs w:val="21"/>
              </w:rPr>
              <w:t>合同总金额</w:t>
            </w:r>
          </w:p>
        </w:tc>
        <w:tc>
          <w:tcPr>
            <w:tcW w:w="565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预计租金支出</w:t>
            </w:r>
          </w:p>
        </w:tc>
      </w:tr>
      <w:tr>
        <w:trPr>
          <w:trHeight w:val="509" w:hRule="exact"/>
        </w:trPr>
        <w:tc>
          <w:tcPr>
            <w:tcW w:w="2002" w:type="dxa"/>
            <w:vMerge/>
            <w:tcBorders>
              <w:left w:val="nil" w:sz="6" w:space="0" w:color="auto"/>
              <w:bottom w:val="single" w:sz="4" w:space="0" w:color="000000"/>
              <w:right w:val="single" w:sz="4" w:space="0" w:color="000000"/>
            </w:tcBorders>
          </w:tcPr>
          <w:p>
            <w:pPr/>
          </w:p>
        </w:tc>
        <w:tc>
          <w:tcPr>
            <w:tcW w:w="1992" w:type="dxa"/>
            <w:vMerge/>
            <w:tcBorders>
              <w:left w:val="single" w:sz="4" w:space="0" w:color="000000"/>
              <w:bottom w:val="single" w:sz="4" w:space="0" w:color="000000"/>
              <w:right w:val="single" w:sz="4" w:space="0" w:color="000000"/>
            </w:tcBorders>
          </w:tcPr>
          <w:p>
            <w:pP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3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年内支付</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38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年支付</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1"/>
              <w:ind w:left="3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年以后</w:t>
            </w:r>
          </w:p>
        </w:tc>
      </w:tr>
      <w:tr>
        <w:trPr>
          <w:trHeight w:val="514" w:hRule="exact"/>
        </w:trPr>
        <w:tc>
          <w:tcPr>
            <w:tcW w:w="2002"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办公室租入</w:t>
            </w:r>
          </w:p>
        </w:tc>
        <w:tc>
          <w:tcPr>
            <w:tcW w:w="1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658,104.00</w:t>
            </w: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534,904.00</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123,200.00</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r>
        <w:trPr>
          <w:trHeight w:val="518" w:hRule="exact"/>
        </w:trPr>
        <w:tc>
          <w:tcPr>
            <w:tcW w:w="200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土地租入</w:t>
            </w:r>
          </w:p>
        </w:tc>
        <w:tc>
          <w:tcPr>
            <w:tcW w:w="19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21,080,400.00</w:t>
            </w:r>
          </w:p>
        </w:tc>
        <w:tc>
          <w:tcPr>
            <w:tcW w:w="196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2,108,040.00</w:t>
            </w:r>
          </w:p>
        </w:tc>
        <w:tc>
          <w:tcPr>
            <w:tcW w:w="19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2,433,648.00</w:t>
            </w:r>
          </w:p>
        </w:tc>
        <w:tc>
          <w:tcPr>
            <w:tcW w:w="178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16,538,712.00</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880" w:right="10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2002"/>
        <w:gridCol w:w="1992"/>
        <w:gridCol w:w="1968"/>
        <w:gridCol w:w="1906"/>
        <w:gridCol w:w="1786"/>
      </w:tblGrid>
      <w:tr>
        <w:trPr>
          <w:trHeight w:val="518" w:hRule="exact"/>
        </w:trPr>
        <w:tc>
          <w:tcPr>
            <w:tcW w:w="2002"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9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460" w:right="0"/>
              <w:jc w:val="left"/>
              <w:rPr>
                <w:rFonts w:ascii="宋体" w:hAnsi="宋体" w:cs="宋体" w:eastAsia="宋体" w:hint="default"/>
                <w:sz w:val="21"/>
                <w:szCs w:val="21"/>
              </w:rPr>
            </w:pPr>
            <w:r>
              <w:rPr>
                <w:rFonts w:ascii="宋体" w:hAnsi="宋体" w:cs="宋体" w:eastAsia="宋体" w:hint="default"/>
                <w:sz w:val="21"/>
                <w:szCs w:val="21"/>
              </w:rPr>
              <w:t>合同总金额</w:t>
            </w:r>
          </w:p>
        </w:tc>
        <w:tc>
          <w:tcPr>
            <w:tcW w:w="565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预计租金支出</w:t>
            </w:r>
          </w:p>
        </w:tc>
      </w:tr>
      <w:tr>
        <w:trPr>
          <w:trHeight w:val="514" w:hRule="exact"/>
        </w:trPr>
        <w:tc>
          <w:tcPr>
            <w:tcW w:w="2002" w:type="dxa"/>
            <w:vMerge/>
            <w:tcBorders>
              <w:left w:val="nil" w:sz="6" w:space="0" w:color="auto"/>
              <w:bottom w:val="single" w:sz="4" w:space="0" w:color="000000"/>
              <w:right w:val="single" w:sz="4" w:space="0" w:color="000000"/>
            </w:tcBorders>
          </w:tcPr>
          <w:p>
            <w:pPr/>
          </w:p>
        </w:tc>
        <w:tc>
          <w:tcPr>
            <w:tcW w:w="1992" w:type="dxa"/>
            <w:vMerge/>
            <w:tcBorders>
              <w:left w:val="single" w:sz="4" w:space="0" w:color="000000"/>
              <w:bottom w:val="single" w:sz="4" w:space="0" w:color="000000"/>
              <w:right w:val="single" w:sz="4" w:space="0" w:color="000000"/>
            </w:tcBorders>
          </w:tcPr>
          <w:p>
            <w:pPr/>
          </w:p>
        </w:tc>
        <w:tc>
          <w:tcPr>
            <w:tcW w:w="1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3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年内支付</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1"/>
              <w:ind w:left="38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年支付</w:t>
            </w:r>
          </w:p>
        </w:tc>
        <w:tc>
          <w:tcPr>
            <w:tcW w:w="178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91"/>
              <w:ind w:left="3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年以后</w:t>
            </w:r>
          </w:p>
        </w:tc>
      </w:tr>
      <w:tr>
        <w:trPr>
          <w:trHeight w:val="518" w:hRule="exact"/>
        </w:trPr>
        <w:tc>
          <w:tcPr>
            <w:tcW w:w="200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99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662" w:right="0"/>
              <w:jc w:val="left"/>
              <w:rPr>
                <w:rFonts w:ascii="Times New Roman" w:hAnsi="Times New Roman" w:cs="Times New Roman" w:eastAsia="Times New Roman" w:hint="default"/>
                <w:sz w:val="21"/>
                <w:szCs w:val="21"/>
              </w:rPr>
            </w:pPr>
            <w:r>
              <w:rPr>
                <w:rFonts w:ascii="Times New Roman"/>
                <w:b/>
                <w:sz w:val="21"/>
              </w:rPr>
              <w:t>21,738,504.00</w:t>
            </w:r>
            <w:r>
              <w:rPr>
                <w:rFonts w:ascii="Times New Roman"/>
                <w:sz w:val="21"/>
              </w:rPr>
            </w:r>
          </w:p>
        </w:tc>
        <w:tc>
          <w:tcPr>
            <w:tcW w:w="196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743" w:right="0"/>
              <w:jc w:val="left"/>
              <w:rPr>
                <w:rFonts w:ascii="Times New Roman" w:hAnsi="Times New Roman" w:cs="Times New Roman" w:eastAsia="Times New Roman" w:hint="default"/>
                <w:sz w:val="21"/>
                <w:szCs w:val="21"/>
              </w:rPr>
            </w:pPr>
            <w:r>
              <w:rPr>
                <w:rFonts w:ascii="Times New Roman"/>
                <w:b/>
                <w:sz w:val="21"/>
              </w:rPr>
              <w:t>2,642,944.00</w:t>
            </w:r>
            <w:r>
              <w:rPr>
                <w:rFonts w:ascii="Times New Roman"/>
                <w:sz w:val="21"/>
              </w:rPr>
            </w:r>
          </w:p>
        </w:tc>
        <w:tc>
          <w:tcPr>
            <w:tcW w:w="190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681" w:right="0"/>
              <w:jc w:val="left"/>
              <w:rPr>
                <w:rFonts w:ascii="Times New Roman" w:hAnsi="Times New Roman" w:cs="Times New Roman" w:eastAsia="Times New Roman" w:hint="default"/>
                <w:sz w:val="21"/>
                <w:szCs w:val="21"/>
              </w:rPr>
            </w:pPr>
            <w:r>
              <w:rPr>
                <w:rFonts w:ascii="Times New Roman"/>
                <w:b/>
                <w:sz w:val="21"/>
              </w:rPr>
              <w:t>2,556,848.00</w:t>
            </w:r>
            <w:r>
              <w:rPr>
                <w:rFonts w:ascii="Times New Roman"/>
                <w:sz w:val="21"/>
              </w:rPr>
            </w:r>
          </w:p>
        </w:tc>
        <w:tc>
          <w:tcPr>
            <w:tcW w:w="178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60" w:right="0"/>
              <w:jc w:val="left"/>
              <w:rPr>
                <w:rFonts w:ascii="Times New Roman" w:hAnsi="Times New Roman" w:cs="Times New Roman" w:eastAsia="Times New Roman" w:hint="default"/>
                <w:sz w:val="21"/>
                <w:szCs w:val="21"/>
              </w:rPr>
            </w:pPr>
            <w:r>
              <w:rPr>
                <w:rFonts w:ascii="Times New Roman"/>
                <w:b/>
                <w:sz w:val="21"/>
              </w:rPr>
              <w:t>16,538,712.00</w:t>
            </w:r>
            <w:r>
              <w:rPr>
                <w:rFonts w:ascii="Times New Roman"/>
                <w:sz w:val="21"/>
              </w:rPr>
            </w:r>
          </w:p>
        </w:tc>
      </w:tr>
    </w:tbl>
    <w:p>
      <w:pPr>
        <w:spacing w:line="240" w:lineRule="auto" w:before="11"/>
        <w:rPr>
          <w:rFonts w:ascii="宋体" w:hAnsi="宋体" w:cs="宋体" w:eastAsia="宋体" w:hint="default"/>
          <w:sz w:val="11"/>
          <w:szCs w:val="11"/>
        </w:rPr>
      </w:pPr>
    </w:p>
    <w:p>
      <w:pPr>
        <w:pStyle w:val="BodyText"/>
        <w:spacing w:line="240" w:lineRule="auto" w:before="36"/>
        <w:ind w:left="565" w:right="0"/>
        <w:jc w:val="left"/>
      </w:pPr>
      <w:r>
        <w:rPr/>
        <w:t>以上约定的土地租金支出金额中，为本公司之子公司物流公司承租的深圳市盐田区田坳 </w:t>
      </w:r>
      <w:r>
        <w:rPr>
          <w:rFonts w:ascii="Times New Roman" w:hAnsi="Times New Roman" w:cs="Times New Roman" w:eastAsia="Times New Roman" w:hint="default"/>
        </w:rPr>
        <w:t>27,134 </w:t>
      </w:r>
      <w:r>
        <w:rPr>
          <w:rFonts w:ascii="Times New Roman" w:hAnsi="Times New Roman" w:cs="Times New Roman" w:eastAsia="Times New Roman" w:hint="default"/>
          <w:spacing w:val="40"/>
        </w:rPr>
        <w:t> </w:t>
      </w:r>
      <w:r>
        <w:rPr/>
        <w:t>平方</w:t>
      </w:r>
    </w:p>
    <w:p>
      <w:pPr>
        <w:spacing w:line="240" w:lineRule="auto" w:before="12"/>
        <w:rPr>
          <w:rFonts w:ascii="宋体" w:hAnsi="宋体" w:cs="宋体" w:eastAsia="宋体" w:hint="default"/>
          <w:sz w:val="15"/>
          <w:szCs w:val="15"/>
        </w:rPr>
      </w:pPr>
    </w:p>
    <w:p>
      <w:pPr>
        <w:pStyle w:val="BodyText"/>
        <w:spacing w:line="240" w:lineRule="auto"/>
        <w:ind w:right="0"/>
        <w:jc w:val="both"/>
        <w:rPr>
          <w:rFonts w:ascii="Times New Roman" w:hAnsi="Times New Roman" w:cs="Times New Roman" w:eastAsia="Times New Roman" w:hint="default"/>
        </w:rPr>
      </w:pPr>
      <w:r>
        <w:rPr>
          <w:spacing w:val="-3"/>
        </w:rPr>
        <w:t>米，根据租赁双方于</w:t>
      </w:r>
      <w:r>
        <w:rPr>
          <w:spacing w:val="-5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spacing w:val="-3"/>
        </w:rPr>
        <w:t>日签订的租赁合同约定，租赁期限为</w:t>
      </w:r>
      <w:r>
        <w:rPr>
          <w:spacing w:val="-50"/>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3"/>
        </w:rPr>
        <w:t> </w:t>
      </w:r>
      <w:r>
        <w:rPr/>
        <w:t>年</w:t>
      </w:r>
      <w:r>
        <w:rPr>
          <w:rFonts w:ascii="Times New Roman" w:hAnsi="Times New Roman" w:cs="Times New Roman" w:eastAsia="Times New Roman" w:hint="default"/>
        </w:rPr>
        <w:t>(</w:t>
      </w:r>
      <w:r>
        <w:rPr/>
        <w:t>自</w:t>
      </w:r>
      <w:r>
        <w:rPr>
          <w:spacing w:val="-5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月</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spacing w:val="-3"/>
        </w:rPr>
        <w:t>日至</w:t>
      </w:r>
      <w:r>
        <w:rPr>
          <w:spacing w:val="-50"/>
        </w:rPr>
        <w:t> </w:t>
      </w:r>
      <w:r>
        <w:rPr>
          <w:rFonts w:ascii="Times New Roman" w:hAnsi="Times New Roman" w:cs="Times New Roman" w:eastAsia="Times New Roman" w:hint="default"/>
        </w:rPr>
        <w:t>2022</w:t>
      </w:r>
    </w:p>
    <w:p>
      <w:pPr>
        <w:spacing w:line="240" w:lineRule="auto" w:before="6"/>
        <w:rPr>
          <w:rFonts w:ascii="Times New Roman" w:hAnsi="Times New Roman" w:cs="Times New Roman" w:eastAsia="Times New Roman" w:hint="default"/>
          <w:sz w:val="18"/>
          <w:szCs w:val="18"/>
        </w:rPr>
      </w:pPr>
    </w:p>
    <w:p>
      <w:pPr>
        <w:pStyle w:val="BodyText"/>
        <w:spacing w:line="240" w:lineRule="auto"/>
        <w:ind w:right="0"/>
        <w:jc w:val="both"/>
      </w:pPr>
      <w:r>
        <w:rPr/>
        <w:t>年</w:t>
      </w:r>
      <w:r>
        <w:rPr>
          <w:spacing w:val="-42"/>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w:t>
      </w:r>
      <w:r>
        <w:rPr>
          <w:spacing w:val="-42"/>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t>日止</w:t>
      </w:r>
      <w:r>
        <w:rPr>
          <w:rFonts w:ascii="Times New Roman" w:hAnsi="Times New Roman" w:cs="Times New Roman" w:eastAsia="Times New Roman" w:hint="default"/>
        </w:rPr>
        <w:t>)</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5"/>
        </w:rPr>
        <w:t> </w:t>
      </w:r>
      <w:r>
        <w:rPr/>
        <w:t>年月租金为</w:t>
      </w:r>
      <w:r>
        <w:rPr>
          <w:spacing w:val="-42"/>
        </w:rPr>
        <w:t> </w:t>
      </w:r>
      <w:r>
        <w:rPr>
          <w:rFonts w:ascii="Times New Roman" w:hAnsi="Times New Roman" w:cs="Times New Roman" w:eastAsia="Times New Roman" w:hint="default"/>
        </w:rPr>
        <w:t>175,670.00</w:t>
      </w:r>
      <w:r>
        <w:rPr>
          <w:rFonts w:ascii="Times New Roman" w:hAnsi="Times New Roman" w:cs="Times New Roman" w:eastAsia="Times New Roman" w:hint="default"/>
          <w:spacing w:val="9"/>
        </w:rPr>
        <w:t> </w:t>
      </w:r>
      <w:r>
        <w:rPr/>
        <w:t>元，租金自合同签订之日起一年内不变，第二年根据市价</w:t>
      </w:r>
    </w:p>
    <w:p>
      <w:pPr>
        <w:spacing w:line="240" w:lineRule="auto" w:before="12"/>
        <w:rPr>
          <w:rFonts w:ascii="宋体" w:hAnsi="宋体" w:cs="宋体" w:eastAsia="宋体" w:hint="default"/>
          <w:sz w:val="15"/>
          <w:szCs w:val="15"/>
        </w:rPr>
      </w:pPr>
    </w:p>
    <w:p>
      <w:pPr>
        <w:pStyle w:val="BodyText"/>
        <w:spacing w:line="240" w:lineRule="auto"/>
        <w:ind w:right="0"/>
        <w:jc w:val="both"/>
      </w:pPr>
      <w:r>
        <w:rPr>
          <w:w w:val="100"/>
        </w:rPr>
        <w:t>重新调整</w:t>
      </w:r>
      <w:r>
        <w:rPr>
          <w:spacing w:val="-5"/>
          <w:w w:val="100"/>
        </w:rPr>
        <w:t>租</w:t>
      </w:r>
      <w:r>
        <w:rPr>
          <w:w w:val="100"/>
        </w:rPr>
        <w:t>金</w:t>
      </w:r>
      <w:r>
        <w:rPr>
          <w:spacing w:val="-92"/>
          <w:w w:val="100"/>
        </w:rPr>
        <w:t>，</w:t>
      </w:r>
      <w:r>
        <w:rPr>
          <w:w w:val="100"/>
        </w:rPr>
        <w:t>以后</w:t>
      </w:r>
      <w:r>
        <w:rPr>
          <w:spacing w:val="-5"/>
          <w:w w:val="100"/>
        </w:rPr>
        <w:t>每</w:t>
      </w:r>
      <w:r>
        <w:rPr>
          <w:w w:val="100"/>
        </w:rPr>
        <w:t>次重新</w:t>
      </w:r>
      <w:r>
        <w:rPr>
          <w:spacing w:val="-5"/>
          <w:w w:val="100"/>
        </w:rPr>
        <w:t>按</w:t>
      </w:r>
      <w:r>
        <w:rPr>
          <w:w w:val="100"/>
        </w:rPr>
        <w:t>市价调</w:t>
      </w:r>
      <w:r>
        <w:rPr>
          <w:spacing w:val="-5"/>
          <w:w w:val="100"/>
        </w:rPr>
        <w:t>整</w:t>
      </w:r>
      <w:r>
        <w:rPr>
          <w:w w:val="100"/>
        </w:rPr>
        <w:t>租金标</w:t>
      </w:r>
      <w:r>
        <w:rPr>
          <w:spacing w:val="-5"/>
          <w:w w:val="100"/>
        </w:rPr>
        <w:t>准的</w:t>
      </w:r>
      <w:r>
        <w:rPr>
          <w:w w:val="100"/>
        </w:rPr>
        <w:t>时间间隔为</w:t>
      </w:r>
      <w:r>
        <w:rPr>
          <w:spacing w:val="-57"/>
        </w:rPr>
        <w:t> </w:t>
      </w:r>
      <w:r>
        <w:rPr>
          <w:rFonts w:ascii="Times New Roman" w:hAnsi="Times New Roman" w:cs="Times New Roman" w:eastAsia="Times New Roman" w:hint="default"/>
          <w:w w:val="100"/>
        </w:rPr>
        <w:t>5</w:t>
      </w:r>
      <w:r>
        <w:rPr>
          <w:rFonts w:ascii="Times New Roman" w:hAnsi="Times New Roman" w:cs="Times New Roman" w:eastAsia="Times New Roman" w:hint="default"/>
        </w:rPr>
        <w:t> </w:t>
      </w:r>
      <w:r>
        <w:rPr>
          <w:w w:val="100"/>
        </w:rPr>
        <w:t>年</w:t>
      </w:r>
      <w:r>
        <w:rPr>
          <w:spacing w:val="-92"/>
          <w:w w:val="100"/>
        </w:rPr>
        <w:t>，</w:t>
      </w:r>
      <w:r>
        <w:rPr>
          <w:rFonts w:ascii="Times New Roman" w:hAnsi="Times New Roman" w:cs="Times New Roman" w:eastAsia="Times New Roman" w:hint="default"/>
          <w:w w:val="100"/>
        </w:rPr>
        <w:t>2013</w:t>
      </w:r>
      <w:r>
        <w:rPr>
          <w:rFonts w:ascii="Times New Roman" w:hAnsi="Times New Roman" w:cs="Times New Roman" w:eastAsia="Times New Roman" w:hint="default"/>
          <w:spacing w:val="-5"/>
        </w:rPr>
        <w:t> </w:t>
      </w:r>
      <w:r>
        <w:rPr>
          <w:w w:val="100"/>
        </w:rPr>
        <w:t>年协议</w:t>
      </w:r>
      <w:r>
        <w:rPr>
          <w:spacing w:val="-5"/>
          <w:w w:val="100"/>
        </w:rPr>
        <w:t>价</w:t>
      </w:r>
      <w:r>
        <w:rPr>
          <w:w w:val="100"/>
        </w:rPr>
        <w:t>为每月</w:t>
      </w:r>
      <w:r>
        <w:rPr>
          <w:spacing w:val="-53"/>
        </w:rPr>
        <w:t> </w:t>
      </w:r>
      <w:r>
        <w:rPr>
          <w:rFonts w:ascii="Times New Roman" w:hAnsi="Times New Roman" w:cs="Times New Roman" w:eastAsia="Times New Roman" w:hint="default"/>
          <w:w w:val="100"/>
        </w:rPr>
        <w:t>2</w:t>
      </w:r>
      <w:r>
        <w:rPr>
          <w:rFonts w:ascii="Times New Roman" w:hAnsi="Times New Roman" w:cs="Times New Roman" w:eastAsia="Times New Roman" w:hint="default"/>
          <w:spacing w:val="-5"/>
          <w:w w:val="100"/>
        </w:rPr>
        <w:t>0</w:t>
      </w:r>
      <w:r>
        <w:rPr>
          <w:rFonts w:ascii="Times New Roman" w:hAnsi="Times New Roman" w:cs="Times New Roman" w:eastAsia="Times New Roman" w:hint="default"/>
          <w:w w:val="100"/>
        </w:rPr>
        <w:t>2,804.00</w:t>
      </w:r>
      <w:r>
        <w:rPr>
          <w:rFonts w:ascii="Times New Roman" w:hAnsi="Times New Roman" w:cs="Times New Roman" w:eastAsia="Times New Roman" w:hint="default"/>
          <w:spacing w:val="-5"/>
        </w:rPr>
        <w:t> </w:t>
      </w:r>
      <w:r>
        <w:rPr>
          <w:w w:val="100"/>
        </w:rPr>
        <w:t>元。</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0"/>
        <w:jc w:val="left"/>
        <w:rPr>
          <w:b w:val="0"/>
          <w:bCs w:val="0"/>
        </w:rPr>
      </w:pPr>
      <w:r>
        <w:rPr/>
        <w:t>十、资产负债表日后事项</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6"/>
          <w:szCs w:val="16"/>
        </w:rPr>
      </w:pPr>
    </w:p>
    <w:p>
      <w:pPr>
        <w:pStyle w:val="Heading6"/>
        <w:spacing w:line="240" w:lineRule="auto"/>
        <w:ind w:right="0"/>
        <w:jc w:val="left"/>
        <w:rPr>
          <w:b w:val="0"/>
          <w:bCs w:val="0"/>
        </w:rPr>
      </w:pPr>
      <w:r>
        <w:rPr>
          <w:rFonts w:ascii="Times New Roman" w:hAnsi="Times New Roman" w:cs="Times New Roman" w:eastAsia="Times New Roman" w:hint="default"/>
        </w:rPr>
        <w:t>1</w:t>
      </w:r>
      <w:r>
        <w:rPr/>
        <w:t>、资产负债表日后利润分配情况说明</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BodyText"/>
        <w:spacing w:line="240" w:lineRule="auto"/>
        <w:ind w:left="575" w:right="0"/>
        <w:jc w:val="left"/>
        <w:rPr>
          <w:rFonts w:ascii="Times New Roman" w:hAnsi="Times New Roman" w:cs="Times New Roman" w:eastAsia="Times New Roman" w:hint="default"/>
        </w:rPr>
      </w:pPr>
      <w:r>
        <w:rPr>
          <w:rFonts w:ascii="Times New Roman" w:hAnsi="Times New Roman" w:cs="Times New Roman" w:eastAsia="Times New Roman" w:hint="default"/>
        </w:rPr>
        <w:t>2013</w:t>
      </w:r>
      <w:r>
        <w:rPr>
          <w:rFonts w:ascii="Times New Roman" w:hAnsi="Times New Roman" w:cs="Times New Roman" w:eastAsia="Times New Roman" w:hint="default"/>
          <w:spacing w:val="10"/>
        </w:rPr>
        <w:t> </w:t>
      </w:r>
      <w:r>
        <w:rPr/>
        <w:t>年</w:t>
      </w:r>
      <w:r>
        <w:rPr>
          <w:spacing w:val="-43"/>
        </w:rPr>
        <w:t> </w:t>
      </w:r>
      <w:r>
        <w:rPr>
          <w:rFonts w:ascii="Times New Roman" w:hAnsi="Times New Roman" w:cs="Times New Roman" w:eastAsia="Times New Roman" w:hint="default"/>
        </w:rPr>
        <w:t>3</w:t>
      </w:r>
      <w:r>
        <w:rPr>
          <w:rFonts w:ascii="Times New Roman" w:hAnsi="Times New Roman" w:cs="Times New Roman" w:eastAsia="Times New Roman" w:hint="default"/>
          <w:spacing w:val="9"/>
        </w:rPr>
        <w:t> </w:t>
      </w:r>
      <w:r>
        <w:rPr/>
        <w:t>月</w:t>
      </w:r>
      <w:r>
        <w:rPr>
          <w:spacing w:val="-43"/>
        </w:rPr>
        <w:t> </w:t>
      </w:r>
      <w:r>
        <w:rPr>
          <w:rFonts w:ascii="Times New Roman" w:hAnsi="Times New Roman" w:cs="Times New Roman" w:eastAsia="Times New Roman" w:hint="default"/>
        </w:rPr>
        <w:t>27</w:t>
      </w:r>
      <w:r>
        <w:rPr>
          <w:rFonts w:ascii="Times New Roman" w:hAnsi="Times New Roman" w:cs="Times New Roman" w:eastAsia="Times New Roman" w:hint="default"/>
          <w:spacing w:val="9"/>
        </w:rPr>
        <w:t> </w:t>
      </w:r>
      <w:r>
        <w:rPr/>
        <w:t>日，本公司第七届董事会第十三次会议通过</w:t>
      </w:r>
      <w:r>
        <w:rPr>
          <w:spacing w:val="-4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0"/>
        </w:rPr>
        <w:t> </w:t>
      </w:r>
      <w:r>
        <w:rPr/>
        <w:t>年度利润分配方案，以本公司</w:t>
      </w:r>
      <w:r>
        <w:rPr>
          <w:spacing w:val="-43"/>
        </w:rPr>
        <w:t> </w:t>
      </w:r>
      <w:r>
        <w:rPr>
          <w:rFonts w:ascii="Times New Roman" w:hAnsi="Times New Roman" w:cs="Times New Roman" w:eastAsia="Times New Roman" w:hint="default"/>
        </w:rPr>
        <w:t>2012</w:t>
      </w:r>
    </w:p>
    <w:p>
      <w:pPr>
        <w:spacing w:line="240" w:lineRule="auto" w:before="2"/>
        <w:rPr>
          <w:rFonts w:ascii="Times New Roman" w:hAnsi="Times New Roman" w:cs="Times New Roman" w:eastAsia="Times New Roman" w:hint="default"/>
          <w:sz w:val="18"/>
          <w:szCs w:val="18"/>
        </w:rPr>
      </w:pPr>
    </w:p>
    <w:p>
      <w:pPr>
        <w:pStyle w:val="BodyText"/>
        <w:spacing w:line="412" w:lineRule="auto"/>
        <w:ind w:right="202"/>
        <w:jc w:val="both"/>
      </w:pPr>
      <w:r>
        <w:rPr>
          <w:w w:val="100"/>
        </w:rPr>
        <w:t>年末总股本</w:t>
      </w:r>
      <w:r>
        <w:rPr>
          <w:spacing w:val="-50"/>
          <w:w w:val="100"/>
        </w:rPr>
        <w:t> </w:t>
      </w:r>
      <w:r>
        <w:rPr>
          <w:rFonts w:ascii="Times New Roman" w:hAnsi="Times New Roman" w:cs="Times New Roman" w:eastAsia="Times New Roman" w:hint="default"/>
          <w:spacing w:val="-1"/>
          <w:w w:val="100"/>
        </w:rPr>
        <w:t>469,593,364</w:t>
      </w:r>
      <w:r>
        <w:rPr>
          <w:rFonts w:ascii="Times New Roman" w:hAnsi="Times New Roman" w:cs="Times New Roman" w:eastAsia="Times New Roman" w:hint="default"/>
          <w:spacing w:val="2"/>
          <w:w w:val="100"/>
        </w:rPr>
        <w:t> </w:t>
      </w:r>
      <w:r>
        <w:rPr>
          <w:spacing w:val="-5"/>
          <w:w w:val="100"/>
        </w:rPr>
        <w:t>股为基数，每</w:t>
      </w:r>
      <w:r>
        <w:rPr>
          <w:spacing w:val="-55"/>
          <w:w w:val="100"/>
        </w:rPr>
        <w:t> </w:t>
      </w:r>
      <w:r>
        <w:rPr>
          <w:rFonts w:ascii="Times New Roman" w:hAnsi="Times New Roman" w:cs="Times New Roman" w:eastAsia="Times New Roman" w:hint="default"/>
          <w:w w:val="100"/>
        </w:rPr>
        <w:t>10</w:t>
      </w:r>
      <w:r>
        <w:rPr>
          <w:rFonts w:ascii="Times New Roman" w:hAnsi="Times New Roman" w:cs="Times New Roman" w:eastAsia="Times New Roman" w:hint="default"/>
          <w:spacing w:val="2"/>
          <w:w w:val="100"/>
        </w:rPr>
        <w:t> </w:t>
      </w:r>
      <w:r>
        <w:rPr>
          <w:spacing w:val="-1"/>
          <w:w w:val="100"/>
        </w:rPr>
        <w:t>股派发红利</w:t>
      </w:r>
      <w:r>
        <w:rPr>
          <w:spacing w:val="-55"/>
          <w:w w:val="100"/>
        </w:rPr>
        <w:t> </w:t>
      </w:r>
      <w:r>
        <w:rPr>
          <w:rFonts w:ascii="Times New Roman" w:hAnsi="Times New Roman" w:cs="Times New Roman" w:eastAsia="Times New Roman" w:hint="default"/>
          <w:w w:val="100"/>
        </w:rPr>
        <w:t>0.4</w:t>
      </w:r>
      <w:r>
        <w:rPr>
          <w:rFonts w:ascii="Times New Roman" w:hAnsi="Times New Roman" w:cs="Times New Roman" w:eastAsia="Times New Roman" w:hint="default"/>
          <w:spacing w:val="2"/>
          <w:w w:val="100"/>
        </w:rPr>
        <w:t> </w:t>
      </w:r>
      <w:r>
        <w:rPr>
          <w:spacing w:val="-9"/>
          <w:w w:val="100"/>
        </w:rPr>
        <w:t>元（含税）。该利润分配方案需经股东大会批准后</w:t>
      </w:r>
      <w:r>
        <w:rPr>
          <w:w w:val="100"/>
        </w:rPr>
        <w:t> </w:t>
      </w:r>
      <w:r>
        <w:rPr/>
        <w:t>实行。</w:t>
      </w:r>
    </w:p>
    <w:p>
      <w:pPr>
        <w:pStyle w:val="Heading6"/>
        <w:spacing w:line="240" w:lineRule="auto" w:before="6"/>
        <w:ind w:right="0"/>
        <w:jc w:val="left"/>
        <w:rPr>
          <w:b w:val="0"/>
          <w:bCs w:val="0"/>
        </w:rPr>
      </w:pPr>
      <w:r>
        <w:rPr>
          <w:rFonts w:ascii="Times New Roman" w:hAnsi="Times New Roman" w:cs="Times New Roman" w:eastAsia="Times New Roman" w:hint="default"/>
        </w:rPr>
        <w:t>2</w:t>
      </w:r>
      <w:r>
        <w:rPr/>
        <w:t>、其他资产负债表日后事项说明</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12" w:lineRule="auto"/>
        <w:ind w:left="575" w:right="189"/>
        <w:jc w:val="left"/>
      </w:pPr>
      <w:r>
        <w:rPr/>
        <w:t>（</w:t>
      </w:r>
      <w:r>
        <w:rPr>
          <w:rFonts w:ascii="Times New Roman" w:hAnsi="Times New Roman" w:cs="Times New Roman" w:eastAsia="Times New Roman" w:hint="default"/>
        </w:rPr>
        <w:t>1</w:t>
      </w:r>
      <w:r>
        <w:rPr/>
        <w:t>）关于全资子公司获得土地使用权情况</w:t>
      </w:r>
      <w:r>
        <w:rPr>
          <w:w w:val="100"/>
        </w:rPr>
        <w:t> </w:t>
      </w:r>
      <w:r>
        <w:rPr/>
        <w:t>公司全资控股子公司</w:t>
      </w:r>
      <w:r>
        <w:rPr>
          <w:rFonts w:ascii="Times New Roman" w:hAnsi="Times New Roman" w:cs="Times New Roman" w:eastAsia="Times New Roman" w:hint="default"/>
        </w:rPr>
        <w:t>—</w:t>
      </w:r>
      <w:r>
        <w:rPr/>
        <w:t>陕西宝安鸿基房地产开发有限公司于 </w:t>
      </w:r>
      <w:r>
        <w:rPr>
          <w:rFonts w:ascii="Times New Roman" w:hAnsi="Times New Roman" w:cs="Times New Roman" w:eastAsia="Times New Roman" w:hint="default"/>
        </w:rPr>
        <w:t>2013</w:t>
      </w:r>
      <w:r>
        <w:rPr>
          <w:rFonts w:ascii="Times New Roman" w:hAnsi="Times New Roman" w:cs="Times New Roman" w:eastAsia="Times New Roman" w:hint="default"/>
          <w:spacing w:val="28"/>
        </w:rPr>
        <w:t> </w:t>
      </w:r>
      <w:r>
        <w:rPr/>
        <w:t>年通过挂牌竞买方式获取西安阎良</w:t>
      </w:r>
    </w:p>
    <w:p>
      <w:pPr>
        <w:pStyle w:val="BodyText"/>
        <w:spacing w:line="412" w:lineRule="auto" w:before="46"/>
        <w:ind w:right="149"/>
        <w:jc w:val="both"/>
      </w:pPr>
      <w:r>
        <w:rPr>
          <w:rFonts w:ascii="Times New Roman" w:hAnsi="Times New Roman" w:cs="Times New Roman" w:eastAsia="Times New Roman" w:hint="default"/>
        </w:rPr>
        <w:t>YL3-(14)-4</w:t>
      </w:r>
      <w:r>
        <w:rPr>
          <w:rFonts w:ascii="Times New Roman" w:hAnsi="Times New Roman" w:cs="Times New Roman" w:eastAsia="Times New Roman" w:hint="default"/>
          <w:spacing w:val="-1"/>
        </w:rPr>
        <w:t> </w:t>
      </w:r>
      <w:r>
        <w:rPr/>
        <w:t>地块国有建设用地使用权，宗地总面积为</w:t>
      </w:r>
      <w:r>
        <w:rPr>
          <w:spacing w:val="-59"/>
        </w:rPr>
        <w:t> </w:t>
      </w:r>
      <w:r>
        <w:rPr>
          <w:rFonts w:ascii="Times New Roman" w:hAnsi="Times New Roman" w:cs="Times New Roman" w:eastAsia="Times New Roman" w:hint="default"/>
        </w:rPr>
        <w:t>130,760.83</w:t>
      </w:r>
      <w:r>
        <w:rPr>
          <w:rFonts w:ascii="Times New Roman" w:hAnsi="Times New Roman" w:cs="Times New Roman" w:eastAsia="Times New Roman" w:hint="default"/>
          <w:spacing w:val="-1"/>
        </w:rPr>
        <w:t> </w:t>
      </w:r>
      <w:r>
        <w:rPr/>
        <w:t>平方米，成交总价为人民币</w:t>
      </w:r>
      <w:r>
        <w:rPr>
          <w:spacing w:val="-53"/>
        </w:rPr>
        <w:t> </w:t>
      </w:r>
      <w:r>
        <w:rPr>
          <w:rFonts w:ascii="Times New Roman" w:hAnsi="Times New Roman" w:cs="Times New Roman" w:eastAsia="Times New Roman" w:hint="default"/>
        </w:rPr>
        <w:t>15,500</w:t>
      </w:r>
      <w:r>
        <w:rPr>
          <w:rFonts w:ascii="Times New Roman" w:hAnsi="Times New Roman" w:cs="Times New Roman" w:eastAsia="Times New Roman" w:hint="default"/>
          <w:spacing w:val="-1"/>
        </w:rPr>
        <w:t> </w:t>
      </w:r>
      <w:r>
        <w:rPr/>
        <w:t>万元。</w:t>
      </w:r>
      <w:r>
        <w:rPr>
          <w:w w:val="100"/>
        </w:rPr>
        <w:t> </w:t>
      </w:r>
      <w:r>
        <w:rPr/>
        <w:t>该地块位于西安市阎良区阎关路西延段北侧，地块容积率不小于 </w:t>
      </w:r>
      <w:r>
        <w:rPr>
          <w:rFonts w:ascii="Times New Roman" w:hAnsi="Times New Roman" w:cs="Times New Roman" w:eastAsia="Times New Roman" w:hint="default"/>
        </w:rPr>
        <w:t>1.0 </w:t>
      </w:r>
      <w:r>
        <w:rPr/>
        <w:t>不大于</w:t>
      </w:r>
      <w:r>
        <w:rPr>
          <w:spacing w:val="-77"/>
        </w:rPr>
        <w:t> </w:t>
      </w:r>
      <w:r>
        <w:rPr>
          <w:rFonts w:ascii="Times New Roman" w:hAnsi="Times New Roman" w:cs="Times New Roman" w:eastAsia="Times New Roman" w:hint="default"/>
        </w:rPr>
        <w:t>2.75</w:t>
      </w:r>
      <w:r>
        <w:rPr/>
        <w:t>，宗地用途为住宅（使用</w:t>
      </w:r>
      <w:r>
        <w:rPr>
          <w:w w:val="100"/>
        </w:rPr>
        <w:t> 年限</w:t>
      </w:r>
      <w:r>
        <w:rPr>
          <w:spacing w:val="-52"/>
          <w:w w:val="100"/>
        </w:rPr>
        <w:t> </w:t>
      </w:r>
      <w:r>
        <w:rPr>
          <w:rFonts w:ascii="Times New Roman" w:hAnsi="Times New Roman" w:cs="Times New Roman" w:eastAsia="Times New Roman" w:hint="default"/>
          <w:w w:val="100"/>
        </w:rPr>
        <w:t>70</w:t>
      </w:r>
      <w:r>
        <w:rPr>
          <w:rFonts w:ascii="Times New Roman" w:hAnsi="Times New Roman" w:cs="Times New Roman" w:eastAsia="Times New Roman" w:hint="default"/>
          <w:spacing w:val="2"/>
          <w:w w:val="100"/>
        </w:rPr>
        <w:t> </w:t>
      </w:r>
      <w:r>
        <w:rPr>
          <w:spacing w:val="-12"/>
          <w:w w:val="100"/>
        </w:rPr>
        <w:t>年）、商业（使用年限</w:t>
      </w:r>
      <w:r>
        <w:rPr>
          <w:spacing w:val="-56"/>
          <w:w w:val="100"/>
        </w:rPr>
        <w:t> </w:t>
      </w:r>
      <w:r>
        <w:rPr>
          <w:rFonts w:ascii="Times New Roman" w:hAnsi="Times New Roman" w:cs="Times New Roman" w:eastAsia="Times New Roman" w:hint="default"/>
          <w:w w:val="100"/>
        </w:rPr>
        <w:t>40</w:t>
      </w:r>
      <w:r>
        <w:rPr>
          <w:rFonts w:ascii="Times New Roman" w:hAnsi="Times New Roman" w:cs="Times New Roman" w:eastAsia="Times New Roman" w:hint="default"/>
          <w:spacing w:val="2"/>
          <w:w w:val="100"/>
        </w:rPr>
        <w:t> </w:t>
      </w:r>
      <w:r>
        <w:rPr>
          <w:spacing w:val="-13"/>
          <w:w w:val="100"/>
        </w:rPr>
        <w:t>年），地上总建筑面积</w:t>
      </w:r>
      <w:r>
        <w:rPr>
          <w:spacing w:val="-52"/>
          <w:w w:val="100"/>
        </w:rPr>
        <w:t> </w:t>
      </w:r>
      <w:r>
        <w:rPr>
          <w:rFonts w:ascii="Times New Roman" w:hAnsi="Times New Roman" w:cs="Times New Roman" w:eastAsia="Times New Roman" w:hint="default"/>
          <w:w w:val="100"/>
        </w:rPr>
        <w:t>359,600</w:t>
      </w:r>
      <w:r>
        <w:rPr>
          <w:rFonts w:ascii="Times New Roman" w:hAnsi="Times New Roman" w:cs="Times New Roman" w:eastAsia="Times New Roman" w:hint="default"/>
          <w:spacing w:val="2"/>
          <w:w w:val="100"/>
        </w:rPr>
        <w:t> </w:t>
      </w:r>
      <w:r>
        <w:rPr>
          <w:spacing w:val="-2"/>
          <w:w w:val="100"/>
        </w:rPr>
        <w:t>平方米。</w:t>
      </w:r>
    </w:p>
    <w:p>
      <w:pPr>
        <w:pStyle w:val="BodyText"/>
        <w:spacing w:line="240" w:lineRule="auto" w:before="41"/>
        <w:ind w:left="575" w:right="0"/>
        <w:jc w:val="left"/>
      </w:pPr>
      <w:r>
        <w:rPr/>
        <w:t>（</w:t>
      </w:r>
      <w:r>
        <w:rPr>
          <w:rFonts w:ascii="Times New Roman" w:hAnsi="Times New Roman" w:cs="Times New Roman" w:eastAsia="Times New Roman" w:hint="default"/>
        </w:rPr>
        <w:t>2</w:t>
      </w:r>
      <w:r>
        <w:rPr/>
        <w:t>）关于公司获得罗湖区鸿基迅达工业区更新单元土地使用权的情况</w:t>
      </w:r>
    </w:p>
    <w:p>
      <w:pPr>
        <w:spacing w:line="240" w:lineRule="auto" w:before="12"/>
        <w:rPr>
          <w:rFonts w:ascii="宋体" w:hAnsi="宋体" w:cs="宋体" w:eastAsia="宋体" w:hint="default"/>
          <w:sz w:val="15"/>
          <w:szCs w:val="15"/>
        </w:rPr>
      </w:pPr>
    </w:p>
    <w:p>
      <w:pPr>
        <w:pStyle w:val="BodyText"/>
        <w:spacing w:line="427" w:lineRule="auto"/>
        <w:ind w:right="202" w:firstLine="422"/>
        <w:jc w:val="both"/>
      </w:pPr>
      <w:r>
        <w:rPr/>
        <w:t>公司于</w:t>
      </w:r>
      <w:r>
        <w:rPr>
          <w:spacing w:val="-34"/>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8"/>
        </w:rPr>
        <w:t> </w:t>
      </w:r>
      <w:r>
        <w:rPr/>
        <w:t>年已与深圳市规划和国土资源委员会第一直属管理局签订了</w:t>
      </w:r>
      <w:r>
        <w:rPr>
          <w:spacing w:val="-39"/>
        </w:rPr>
        <w:t> </w:t>
      </w:r>
      <w:r>
        <w:rPr>
          <w:rFonts w:ascii="Times New Roman" w:hAnsi="Times New Roman" w:cs="Times New Roman" w:eastAsia="Times New Roman" w:hint="default"/>
        </w:rPr>
        <w:t>H407-0115</w:t>
      </w:r>
      <w:r>
        <w:rPr>
          <w:rFonts w:ascii="Times New Roman" w:hAnsi="Times New Roman" w:cs="Times New Roman" w:eastAsia="Times New Roman" w:hint="default"/>
          <w:spacing w:val="18"/>
        </w:rPr>
        <w:t> </w:t>
      </w:r>
      <w:r>
        <w:rPr/>
        <w:t>地块（即公司原</w:t>
      </w:r>
      <w:r>
        <w:rPr>
          <w:w w:val="100"/>
        </w:rPr>
        <w:t> </w:t>
      </w:r>
      <w:r>
        <w:rPr>
          <w:spacing w:val="-2"/>
          <w:w w:val="100"/>
        </w:rPr>
        <w:t>申报的东晓草埔金稻田路鸿基迅达工业区更新单元）的《土地使用权出让合同书》，公司获得了该项土地</w:t>
      </w:r>
      <w:r>
        <w:rPr>
          <w:spacing w:val="-99"/>
          <w:w w:val="100"/>
        </w:rPr>
        <w:t> </w:t>
      </w:r>
      <w:r>
        <w:rPr>
          <w:spacing w:val="-99"/>
          <w:w w:val="100"/>
        </w:rPr>
      </w:r>
      <w:r>
        <w:rPr>
          <w:spacing w:val="-3"/>
        </w:rPr>
        <w:t>使用权，该地块面积约为 </w:t>
      </w:r>
      <w:r>
        <w:rPr>
          <w:rFonts w:ascii="Times New Roman" w:hAnsi="Times New Roman" w:cs="Times New Roman" w:eastAsia="Times New Roman" w:hint="default"/>
        </w:rPr>
        <w:t>6693.37 </w:t>
      </w:r>
      <w:r>
        <w:rPr>
          <w:spacing w:val="-4"/>
        </w:rPr>
        <w:t>平方米，使用年限为 </w:t>
      </w:r>
      <w:r>
        <w:rPr>
          <w:rFonts w:ascii="Times New Roman" w:hAnsi="Times New Roman" w:cs="Times New Roman" w:eastAsia="Times New Roman" w:hint="default"/>
        </w:rPr>
        <w:t>70</w:t>
      </w:r>
      <w:r>
        <w:rPr>
          <w:rFonts w:ascii="Times New Roman" w:hAnsi="Times New Roman" w:cs="Times New Roman" w:eastAsia="Times New Roman" w:hint="default"/>
          <w:spacing w:val="-29"/>
        </w:rPr>
        <w:t> </w:t>
      </w:r>
      <w:r>
        <w:rPr>
          <w:spacing w:val="-4"/>
        </w:rPr>
        <w:t>年，土地用途为二类居住用地，土地性质为商品</w:t>
      </w:r>
    </w:p>
    <w:p>
      <w:pPr>
        <w:pStyle w:val="BodyText"/>
        <w:spacing w:line="240" w:lineRule="auto" w:before="27"/>
        <w:ind w:right="0"/>
        <w:jc w:val="both"/>
      </w:pPr>
      <w:r>
        <w:rPr/>
        <w:t>房，建筑容积率≦</w:t>
      </w:r>
      <w:r>
        <w:rPr>
          <w:rFonts w:ascii="Times New Roman" w:hAnsi="Times New Roman" w:cs="Times New Roman" w:eastAsia="Times New Roman" w:hint="default"/>
        </w:rPr>
        <w:t>3.66</w:t>
      </w:r>
      <w:r>
        <w:rPr/>
        <w:t>，计入容积率总建筑面积不超过</w:t>
      </w:r>
      <w:r>
        <w:rPr>
          <w:spacing w:val="-48"/>
        </w:rPr>
        <w:t> </w:t>
      </w:r>
      <w:r>
        <w:rPr>
          <w:rFonts w:ascii="Times New Roman" w:hAnsi="Times New Roman" w:cs="Times New Roman" w:eastAsia="Times New Roman" w:hint="default"/>
        </w:rPr>
        <w:t>24525</w:t>
      </w:r>
      <w:r>
        <w:rPr>
          <w:rFonts w:ascii="Times New Roman" w:hAnsi="Times New Roman" w:cs="Times New Roman" w:eastAsia="Times New Roman" w:hint="default"/>
          <w:spacing w:val="4"/>
        </w:rPr>
        <w:t> </w:t>
      </w:r>
      <w:r>
        <w:rPr/>
        <w:t>平方米（住宅</w:t>
      </w:r>
      <w:r>
        <w:rPr>
          <w:spacing w:val="-48"/>
        </w:rPr>
        <w:t> </w:t>
      </w:r>
      <w:r>
        <w:rPr>
          <w:rFonts w:ascii="Times New Roman" w:hAnsi="Times New Roman" w:cs="Times New Roman" w:eastAsia="Times New Roman" w:hint="default"/>
        </w:rPr>
        <w:t>24425</w:t>
      </w:r>
      <w:r>
        <w:rPr>
          <w:rFonts w:ascii="Times New Roman" w:hAnsi="Times New Roman" w:cs="Times New Roman" w:eastAsia="Times New Roman" w:hint="default"/>
          <w:spacing w:val="4"/>
        </w:rPr>
        <w:t> </w:t>
      </w:r>
      <w:r>
        <w:rPr/>
        <w:t>平方米，其中市场商品</w:t>
      </w:r>
    </w:p>
    <w:p>
      <w:pPr>
        <w:spacing w:line="240" w:lineRule="auto" w:before="12"/>
        <w:rPr>
          <w:rFonts w:ascii="宋体" w:hAnsi="宋体" w:cs="宋体" w:eastAsia="宋体" w:hint="default"/>
          <w:sz w:val="15"/>
          <w:szCs w:val="15"/>
        </w:rPr>
      </w:pPr>
    </w:p>
    <w:p>
      <w:pPr>
        <w:pStyle w:val="BodyText"/>
        <w:spacing w:line="240" w:lineRule="auto"/>
        <w:ind w:right="0"/>
        <w:jc w:val="both"/>
      </w:pPr>
      <w:r>
        <w:rPr>
          <w:w w:val="100"/>
        </w:rPr>
        <w:t>房</w:t>
      </w:r>
      <w:r>
        <w:rPr>
          <w:spacing w:val="-53"/>
        </w:rPr>
        <w:t> </w:t>
      </w:r>
      <w:r>
        <w:rPr>
          <w:rFonts w:ascii="Times New Roman" w:hAnsi="Times New Roman" w:cs="Times New Roman" w:eastAsia="Times New Roman" w:hint="default"/>
          <w:w w:val="100"/>
        </w:rPr>
        <w:t>18315</w:t>
      </w:r>
      <w:r>
        <w:rPr>
          <w:rFonts w:ascii="Times New Roman" w:hAnsi="Times New Roman" w:cs="Times New Roman" w:eastAsia="Times New Roman" w:hint="default"/>
        </w:rPr>
        <w:t> </w:t>
      </w:r>
      <w:r>
        <w:rPr>
          <w:spacing w:val="-5"/>
          <w:w w:val="100"/>
        </w:rPr>
        <w:t>平</w:t>
      </w:r>
      <w:r>
        <w:rPr>
          <w:w w:val="100"/>
        </w:rPr>
        <w:t>方</w:t>
      </w:r>
      <w:r>
        <w:rPr>
          <w:spacing w:val="-1"/>
          <w:w w:val="100"/>
        </w:rPr>
        <w:t>米</w:t>
      </w:r>
      <w:r>
        <w:rPr>
          <w:w w:val="100"/>
        </w:rPr>
        <w:t>、</w:t>
      </w:r>
      <w:r>
        <w:rPr>
          <w:spacing w:val="-5"/>
          <w:w w:val="100"/>
        </w:rPr>
        <w:t>安</w:t>
      </w:r>
      <w:r>
        <w:rPr>
          <w:w w:val="100"/>
        </w:rPr>
        <w:t>居</w:t>
      </w:r>
      <w:r>
        <w:rPr>
          <w:spacing w:val="-1"/>
          <w:w w:val="100"/>
        </w:rPr>
        <w:t>型</w:t>
      </w:r>
      <w:r>
        <w:rPr>
          <w:w w:val="100"/>
        </w:rPr>
        <w:t>商</w:t>
      </w:r>
      <w:r>
        <w:rPr>
          <w:spacing w:val="-5"/>
          <w:w w:val="100"/>
        </w:rPr>
        <w:t>品</w:t>
      </w:r>
      <w:r>
        <w:rPr>
          <w:w w:val="100"/>
        </w:rPr>
        <w:t>房</w:t>
      </w:r>
      <w:r>
        <w:rPr>
          <w:spacing w:val="-53"/>
        </w:rPr>
        <w:t> </w:t>
      </w:r>
      <w:r>
        <w:rPr>
          <w:rFonts w:ascii="Times New Roman" w:hAnsi="Times New Roman" w:cs="Times New Roman" w:eastAsia="Times New Roman" w:hint="default"/>
          <w:w w:val="100"/>
        </w:rPr>
        <w:t>6</w:t>
      </w:r>
      <w:r>
        <w:rPr>
          <w:rFonts w:ascii="Times New Roman" w:hAnsi="Times New Roman" w:cs="Times New Roman" w:eastAsia="Times New Roman" w:hint="default"/>
          <w:spacing w:val="-10"/>
          <w:w w:val="100"/>
        </w:rPr>
        <w:t>1</w:t>
      </w:r>
      <w:r>
        <w:rPr>
          <w:rFonts w:ascii="Times New Roman" w:hAnsi="Times New Roman" w:cs="Times New Roman" w:eastAsia="Times New Roman" w:hint="default"/>
          <w:w w:val="100"/>
        </w:rPr>
        <w:t>10</w:t>
      </w:r>
      <w:r>
        <w:rPr>
          <w:rFonts w:ascii="Times New Roman" w:hAnsi="Times New Roman" w:cs="Times New Roman" w:eastAsia="Times New Roman" w:hint="default"/>
        </w:rPr>
        <w:t> </w:t>
      </w:r>
      <w:r>
        <w:rPr>
          <w:w w:val="100"/>
        </w:rPr>
        <w:t>平</w:t>
      </w:r>
      <w:r>
        <w:rPr>
          <w:spacing w:val="-5"/>
          <w:w w:val="100"/>
        </w:rPr>
        <w:t>方</w:t>
      </w:r>
      <w:r>
        <w:rPr>
          <w:spacing w:val="-1"/>
          <w:w w:val="100"/>
        </w:rPr>
        <w:t>米</w:t>
      </w:r>
      <w:r>
        <w:rPr>
          <w:spacing w:val="-106"/>
          <w:w w:val="100"/>
        </w:rPr>
        <w:t>）</w:t>
      </w:r>
      <w:r>
        <w:rPr>
          <w:w w:val="100"/>
        </w:rPr>
        <w:t>。</w:t>
      </w:r>
    </w:p>
    <w:p>
      <w:pPr>
        <w:spacing w:line="240" w:lineRule="auto" w:before="12"/>
        <w:rPr>
          <w:rFonts w:ascii="宋体" w:hAnsi="宋体" w:cs="宋体" w:eastAsia="宋体" w:hint="default"/>
          <w:sz w:val="15"/>
          <w:szCs w:val="15"/>
        </w:rPr>
      </w:pPr>
    </w:p>
    <w:p>
      <w:pPr>
        <w:pStyle w:val="BodyText"/>
        <w:spacing w:line="240" w:lineRule="auto"/>
        <w:ind w:left="575" w:right="0"/>
        <w:jc w:val="left"/>
      </w:pPr>
      <w:r>
        <w:rPr/>
        <w:t>（</w:t>
      </w:r>
      <w:r>
        <w:rPr>
          <w:rFonts w:ascii="Times New Roman" w:hAnsi="Times New Roman" w:cs="Times New Roman" w:eastAsia="Times New Roman" w:hint="default"/>
        </w:rPr>
        <w:t>3</w:t>
      </w:r>
      <w:r>
        <w:rPr/>
        <w:t>）公司拟处置子公司情况</w:t>
      </w:r>
    </w:p>
    <w:p>
      <w:pPr>
        <w:spacing w:after="0" w:line="240" w:lineRule="auto"/>
        <w:jc w:val="left"/>
        <w:sectPr>
          <w:pgSz w:w="11900" w:h="16840"/>
          <w:pgMar w:header="762" w:footer="840" w:top="1000" w:bottom="1020" w:left="980" w:right="9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20" w:lineRule="auto" w:before="36"/>
        <w:ind w:right="114" w:firstLine="422"/>
        <w:jc w:val="both"/>
      </w:pPr>
      <w:r>
        <w:rPr/>
        <w:t>本公司全资子公司深圳市龙岗鸿基发展有限公司（以下简称</w:t>
      </w:r>
      <w:r>
        <w:rPr>
          <w:rFonts w:ascii="Times New Roman" w:hAnsi="Times New Roman" w:cs="Times New Roman" w:eastAsia="Times New Roman" w:hint="default"/>
        </w:rPr>
        <w:t>“</w:t>
      </w:r>
      <w:r>
        <w:rPr/>
        <w:t>龙岗鸿基发展公司</w:t>
      </w:r>
      <w:r>
        <w:rPr>
          <w:rFonts w:ascii="Times New Roman" w:hAnsi="Times New Roman" w:cs="Times New Roman" w:eastAsia="Times New Roman" w:hint="default"/>
        </w:rPr>
        <w:t>”</w:t>
      </w:r>
      <w:r>
        <w:rPr/>
        <w:t>）于</w:t>
      </w:r>
      <w:r>
        <w:rPr>
          <w:spacing w:val="-3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8"/>
        </w:rPr>
        <w:t> </w:t>
      </w:r>
      <w:r>
        <w:rPr/>
        <w:t>年</w:t>
      </w:r>
      <w:r>
        <w:rPr>
          <w:spacing w:val="-39"/>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8"/>
        </w:rPr>
        <w:t> </w:t>
      </w:r>
      <w:r>
        <w:rPr/>
        <w:t>月</w:t>
      </w:r>
      <w:r>
        <w:rPr>
          <w:spacing w:val="-39"/>
        </w:rPr>
        <w:t> </w:t>
      </w:r>
      <w:r>
        <w:rPr>
          <w:rFonts w:ascii="Times New Roman" w:hAnsi="Times New Roman" w:cs="Times New Roman" w:eastAsia="Times New Roman" w:hint="default"/>
        </w:rPr>
        <w:t>6</w:t>
      </w:r>
      <w:r>
        <w:rPr>
          <w:rFonts w:ascii="Times New Roman" w:hAnsi="Times New Roman" w:cs="Times New Roman" w:eastAsia="Times New Roman" w:hint="default"/>
          <w:w w:val="100"/>
        </w:rPr>
        <w:t> </w:t>
      </w:r>
      <w:r>
        <w:rPr>
          <w:spacing w:val="-2"/>
          <w:w w:val="100"/>
        </w:rPr>
        <w:t>日与自然人钟淑英签署了《深圳市宝鹏投资发展有限公司股权转让协议》，龙岗鸿基发展公司将持有的深</w:t>
      </w:r>
      <w:r>
        <w:rPr>
          <w:spacing w:val="-97"/>
          <w:w w:val="100"/>
        </w:rPr>
        <w:t> </w:t>
      </w:r>
      <w:r>
        <w:rPr>
          <w:spacing w:val="-97"/>
          <w:w w:val="100"/>
        </w:rPr>
      </w:r>
      <w:r>
        <w:rPr>
          <w:spacing w:val="-2"/>
        </w:rPr>
        <w:t>圳市宝鹏投资发展有限公司（以下简称</w:t>
      </w:r>
      <w:r>
        <w:rPr>
          <w:rFonts w:ascii="Times New Roman" w:hAnsi="Times New Roman" w:cs="Times New Roman" w:eastAsia="Times New Roman" w:hint="default"/>
          <w:spacing w:val="-2"/>
        </w:rPr>
        <w:t>“</w:t>
      </w:r>
      <w:r>
        <w:rPr>
          <w:spacing w:val="-2"/>
        </w:rPr>
        <w:t>宝鹏公司</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100%</w:t>
      </w:r>
      <w:r>
        <w:rPr>
          <w:spacing w:val="-2"/>
        </w:rPr>
        <w:t>的股权转让予钟淑英，股权转让价格以经审计、</w:t>
      </w:r>
      <w:r>
        <w:rPr>
          <w:spacing w:val="-9"/>
        </w:rPr>
        <w:t> </w:t>
      </w:r>
      <w:r>
        <w:rPr>
          <w:spacing w:val="-9"/>
        </w:rPr>
      </w:r>
      <w:r>
        <w:rPr/>
        <w:t>评估后的宝鹏公司</w:t>
      </w:r>
      <w:r>
        <w:rPr>
          <w:spacing w:val="-51"/>
        </w:rPr>
        <w:t> </w:t>
      </w:r>
      <w:r>
        <w:rPr>
          <w:rFonts w:ascii="Times New Roman" w:hAnsi="Times New Roman" w:cs="Times New Roman" w:eastAsia="Times New Roman" w:hint="default"/>
        </w:rPr>
        <w:t>100%</w:t>
      </w:r>
      <w:r>
        <w:rPr/>
        <w:t>股东权益资产估值为依据，协商确定转让价格为</w:t>
      </w:r>
      <w:r>
        <w:rPr>
          <w:spacing w:val="-56"/>
        </w:rPr>
        <w:t> </w:t>
      </w:r>
      <w:r>
        <w:rPr>
          <w:rFonts w:ascii="Times New Roman" w:hAnsi="Times New Roman" w:cs="Times New Roman" w:eastAsia="Times New Roman" w:hint="default"/>
        </w:rPr>
        <w:t>6050</w:t>
      </w:r>
      <w:r>
        <w:rPr>
          <w:rFonts w:ascii="Times New Roman" w:hAnsi="Times New Roman" w:cs="Times New Roman" w:eastAsia="Times New Roman" w:hint="default"/>
          <w:spacing w:val="1"/>
        </w:rPr>
        <w:t> </w:t>
      </w:r>
      <w:r>
        <w:rPr>
          <w:spacing w:val="-4"/>
        </w:rPr>
        <w:t>万元，股权转让后，龙岗发</w:t>
      </w:r>
      <w:r>
        <w:rPr>
          <w:spacing w:val="-103"/>
        </w:rPr>
        <w:t> </w:t>
      </w:r>
      <w:r>
        <w:rPr>
          <w:spacing w:val="-103"/>
        </w:rPr>
      </w:r>
      <w:r>
        <w:rPr/>
        <w:t>展公司不再持有宝鹏公司股权，工商变更登记手续已于</w:t>
      </w:r>
      <w:r>
        <w:rPr>
          <w:spacing w:val="-53"/>
        </w:rPr>
        <w:t> </w:t>
      </w:r>
      <w:r>
        <w:rPr>
          <w:rFonts w:ascii="Times New Roman" w:hAnsi="Times New Roman" w:cs="Times New Roman" w:eastAsia="Times New Roman" w:hint="default"/>
        </w:rPr>
        <w:t>2013 </w:t>
      </w:r>
      <w:r>
        <w:rPr/>
        <w:t>年</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月</w:t>
      </w:r>
      <w:r>
        <w:rPr>
          <w:spacing w:val="-53"/>
        </w:rPr>
        <w:t> </w:t>
      </w:r>
      <w:r>
        <w:rPr>
          <w:rFonts w:ascii="Times New Roman" w:hAnsi="Times New Roman" w:cs="Times New Roman" w:eastAsia="Times New Roman" w:hint="default"/>
        </w:rPr>
        <w:t>9 </w:t>
      </w:r>
      <w:r>
        <w:rPr/>
        <w:t>日办理完毕。</w:t>
      </w:r>
    </w:p>
    <w:p>
      <w:pPr>
        <w:spacing w:line="240" w:lineRule="auto" w:before="0"/>
        <w:rPr>
          <w:rFonts w:ascii="宋体" w:hAnsi="宋体" w:cs="宋体" w:eastAsia="宋体" w:hint="default"/>
          <w:sz w:val="22"/>
          <w:szCs w:val="22"/>
        </w:rPr>
      </w:pPr>
    </w:p>
    <w:p>
      <w:pPr>
        <w:pStyle w:val="Heading6"/>
        <w:spacing w:line="240" w:lineRule="auto" w:before="178"/>
        <w:ind w:right="0"/>
        <w:jc w:val="left"/>
        <w:rPr>
          <w:b w:val="0"/>
          <w:bCs w:val="0"/>
        </w:rPr>
      </w:pPr>
      <w:r>
        <w:rPr/>
        <w:t>十一、其他重要事项</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6"/>
          <w:szCs w:val="16"/>
        </w:rPr>
      </w:pPr>
    </w:p>
    <w:p>
      <w:pPr>
        <w:pStyle w:val="Heading6"/>
        <w:spacing w:line="240" w:lineRule="auto"/>
        <w:ind w:right="0"/>
        <w:jc w:val="left"/>
        <w:rPr>
          <w:b w:val="0"/>
          <w:bCs w:val="0"/>
        </w:rPr>
      </w:pPr>
      <w:r>
        <w:rPr>
          <w:rFonts w:ascii="Times New Roman" w:hAnsi="Times New Roman" w:cs="Times New Roman" w:eastAsia="Times New Roman" w:hint="default"/>
        </w:rPr>
        <w:t>1</w:t>
      </w:r>
      <w:r>
        <w:rPr/>
        <w:t>、本公司被证监会立案调查、行政处罚情况</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BodyText"/>
        <w:spacing w:line="412" w:lineRule="auto"/>
        <w:ind w:right="182" w:firstLine="422"/>
        <w:jc w:val="both"/>
      </w:pPr>
      <w:r>
        <w:rPr/>
        <w:t>本公司于</w:t>
      </w:r>
      <w:r>
        <w:rPr>
          <w:spacing w:val="-5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2"/>
        </w:rPr>
        <w:t> </w:t>
      </w:r>
      <w:r>
        <w:rPr/>
        <w:t>年</w:t>
      </w:r>
      <w:r>
        <w:rPr>
          <w:spacing w:val="-55"/>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2"/>
        </w:rPr>
        <w:t> </w:t>
      </w:r>
      <w:r>
        <w:rPr/>
        <w:t>月</w:t>
      </w:r>
      <w:r>
        <w:rPr>
          <w:spacing w:val="-55"/>
        </w:rPr>
        <w:t> </w:t>
      </w:r>
      <w:r>
        <w:rPr>
          <w:rFonts w:ascii="Times New Roman" w:hAnsi="Times New Roman" w:cs="Times New Roman" w:eastAsia="Times New Roman" w:hint="default"/>
        </w:rPr>
        <w:t>4</w:t>
      </w:r>
      <w:r>
        <w:rPr>
          <w:rFonts w:ascii="Times New Roman" w:hAnsi="Times New Roman" w:cs="Times New Roman" w:eastAsia="Times New Roman" w:hint="default"/>
          <w:spacing w:val="-7"/>
        </w:rPr>
        <w:t> </w:t>
      </w:r>
      <w:r>
        <w:rPr/>
        <w:t>日被中国证券监督管理委员会深圳稽查局立案调查，本期收到中国证券监督</w:t>
      </w:r>
      <w:r>
        <w:rPr>
          <w:w w:val="100"/>
        </w:rPr>
        <w:t> </w:t>
      </w:r>
      <w:r>
        <w:rPr/>
        <w:t>管理委员会《行政处罚决定书》</w:t>
      </w:r>
      <w:r>
        <w:rPr>
          <w:rFonts w:ascii="Times New Roman" w:hAnsi="Times New Roman" w:cs="Times New Roman" w:eastAsia="Times New Roman" w:hint="default"/>
        </w:rPr>
        <w:t>([2012]53</w:t>
      </w:r>
      <w:r>
        <w:rPr>
          <w:rFonts w:ascii="Times New Roman" w:hAnsi="Times New Roman" w:cs="Times New Roman" w:eastAsia="Times New Roman" w:hint="default"/>
          <w:spacing w:val="7"/>
        </w:rPr>
        <w:t> </w:t>
      </w:r>
      <w:r>
        <w:rPr>
          <w:spacing w:val="-3"/>
        </w:rPr>
        <w:t>号</w:t>
      </w:r>
      <w:r>
        <w:rPr>
          <w:rFonts w:ascii="Times New Roman" w:hAnsi="Times New Roman" w:cs="Times New Roman" w:eastAsia="Times New Roman" w:hint="default"/>
          <w:spacing w:val="-3"/>
        </w:rPr>
        <w:t>)</w:t>
      </w:r>
      <w:r>
        <w:rPr>
          <w:spacing w:val="-3"/>
        </w:rPr>
        <w:t>，本公司被责令改正、警告，并处罚款</w:t>
      </w:r>
      <w:r>
        <w:rPr>
          <w:spacing w:val="-46"/>
        </w:rPr>
        <w:t> </w:t>
      </w:r>
      <w:r>
        <w:rPr>
          <w:rFonts w:ascii="Times New Roman" w:hAnsi="Times New Roman" w:cs="Times New Roman" w:eastAsia="Times New Roman" w:hint="default"/>
        </w:rPr>
        <w:t>60</w:t>
      </w:r>
      <w:r>
        <w:rPr>
          <w:rFonts w:ascii="Times New Roman" w:hAnsi="Times New Roman" w:cs="Times New Roman" w:eastAsia="Times New Roman" w:hint="default"/>
          <w:spacing w:val="12"/>
        </w:rPr>
        <w:t> </w:t>
      </w:r>
      <w:r>
        <w:rPr>
          <w:spacing w:val="-3"/>
        </w:rPr>
        <w:t>万元，同时本公司</w:t>
      </w:r>
      <w:r>
        <w:rPr>
          <w:spacing w:val="-101"/>
        </w:rPr>
        <w:t> </w:t>
      </w:r>
      <w:r>
        <w:rPr>
          <w:spacing w:val="-101"/>
        </w:rPr>
      </w:r>
      <w:r>
        <w:rPr/>
        <w:t>部分前任董事、监事、高管亦被处以警告及罚款，详情请参见本公司</w:t>
      </w:r>
      <w:r>
        <w:rPr>
          <w:spacing w:val="-37"/>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4"/>
        </w:rPr>
        <w:t> </w:t>
      </w:r>
      <w:r>
        <w:rPr/>
        <w:t>年</w:t>
      </w:r>
      <w:r>
        <w:rPr>
          <w:spacing w:val="-37"/>
        </w:rPr>
        <w:t> </w:t>
      </w:r>
      <w:r>
        <w:rPr>
          <w:rFonts w:ascii="Times New Roman" w:hAnsi="Times New Roman" w:cs="Times New Roman" w:eastAsia="Times New Roman" w:hint="default"/>
          <w:spacing w:val="-3"/>
        </w:rPr>
        <w:t>12</w:t>
      </w:r>
      <w:r>
        <w:rPr>
          <w:rFonts w:ascii="Times New Roman" w:hAnsi="Times New Roman" w:cs="Times New Roman" w:eastAsia="Times New Roman" w:hint="default"/>
          <w:spacing w:val="14"/>
        </w:rPr>
        <w:t> </w:t>
      </w:r>
      <w:r>
        <w:rPr/>
        <w:t>月</w:t>
      </w:r>
      <w:r>
        <w:rPr>
          <w:spacing w:val="-37"/>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t>日刊登于巨潮资讯</w:t>
      </w:r>
    </w:p>
    <w:p>
      <w:pPr>
        <w:pStyle w:val="BodyText"/>
        <w:spacing w:line="240" w:lineRule="auto" w:before="41"/>
        <w:ind w:right="0"/>
        <w:jc w:val="both"/>
      </w:pPr>
      <w:r>
        <w:rPr>
          <w:w w:val="100"/>
        </w:rPr>
        <w:t>网的《关</w:t>
      </w:r>
      <w:r>
        <w:rPr>
          <w:spacing w:val="-5"/>
          <w:w w:val="100"/>
        </w:rPr>
        <w:t>于</w:t>
      </w:r>
      <w:r>
        <w:rPr>
          <w:w w:val="100"/>
        </w:rPr>
        <w:t>收到中</w:t>
      </w:r>
      <w:r>
        <w:rPr>
          <w:spacing w:val="-5"/>
          <w:w w:val="100"/>
        </w:rPr>
        <w:t>国</w:t>
      </w:r>
      <w:r>
        <w:rPr>
          <w:w w:val="100"/>
        </w:rPr>
        <w:t>证券监</w:t>
      </w:r>
      <w:r>
        <w:rPr>
          <w:spacing w:val="-5"/>
          <w:w w:val="100"/>
        </w:rPr>
        <w:t>督</w:t>
      </w:r>
      <w:r>
        <w:rPr>
          <w:w w:val="100"/>
        </w:rPr>
        <w:t>管理委</w:t>
      </w:r>
      <w:r>
        <w:rPr>
          <w:spacing w:val="-5"/>
          <w:w w:val="100"/>
        </w:rPr>
        <w:t>员</w:t>
      </w:r>
      <w:r>
        <w:rPr>
          <w:w w:val="100"/>
        </w:rPr>
        <w:t>会处罚</w:t>
      </w:r>
      <w:r>
        <w:rPr>
          <w:spacing w:val="-5"/>
          <w:w w:val="100"/>
        </w:rPr>
        <w:t>决</w:t>
      </w:r>
      <w:r>
        <w:rPr>
          <w:w w:val="100"/>
        </w:rPr>
        <w:t>定</w:t>
      </w:r>
      <w:r>
        <w:rPr>
          <w:spacing w:val="-5"/>
          <w:w w:val="100"/>
        </w:rPr>
        <w:t>书</w:t>
      </w:r>
      <w:r>
        <w:rPr>
          <w:w w:val="100"/>
        </w:rPr>
        <w:t>的公告</w:t>
      </w:r>
      <w:r>
        <w:rPr>
          <w:spacing w:val="-106"/>
          <w:w w:val="100"/>
        </w:rPr>
        <w:t>》</w:t>
      </w:r>
      <w:r>
        <w:rPr>
          <w:spacing w:val="-1"/>
          <w:w w:val="100"/>
        </w:rPr>
        <w:t>。</w:t>
      </w:r>
      <w:r>
        <w:rPr>
          <w:spacing w:val="-5"/>
          <w:w w:val="100"/>
        </w:rPr>
        <w:t>罚</w:t>
      </w:r>
      <w:r>
        <w:rPr>
          <w:spacing w:val="-1"/>
          <w:w w:val="100"/>
        </w:rPr>
        <w:t>款</w:t>
      </w:r>
      <w:r>
        <w:rPr>
          <w:w w:val="100"/>
        </w:rPr>
        <w:t>已于</w:t>
      </w:r>
      <w:r>
        <w:rPr>
          <w:spacing w:val="-53"/>
        </w:rPr>
        <w:t> </w:t>
      </w:r>
      <w:r>
        <w:rPr>
          <w:rFonts w:ascii="Times New Roman" w:hAnsi="Times New Roman" w:cs="Times New Roman" w:eastAsia="Times New Roman" w:hint="default"/>
          <w:spacing w:val="-5"/>
          <w:w w:val="100"/>
        </w:rPr>
        <w:t>2</w:t>
      </w:r>
      <w:r>
        <w:rPr>
          <w:rFonts w:ascii="Times New Roman" w:hAnsi="Times New Roman" w:cs="Times New Roman" w:eastAsia="Times New Roman" w:hint="default"/>
          <w:w w:val="100"/>
        </w:rPr>
        <w:t>013</w:t>
      </w:r>
      <w:r>
        <w:rPr>
          <w:rFonts w:ascii="Times New Roman" w:hAnsi="Times New Roman" w:cs="Times New Roman" w:eastAsia="Times New Roman" w:hint="default"/>
        </w:rPr>
        <w:t> </w:t>
      </w:r>
      <w:r>
        <w:rPr>
          <w:w w:val="100"/>
        </w:rPr>
        <w:t>年</w:t>
      </w:r>
      <w:r>
        <w:rPr>
          <w:spacing w:val="-53"/>
        </w:rPr>
        <w:t> </w:t>
      </w:r>
      <w:r>
        <w:rPr>
          <w:rFonts w:ascii="Times New Roman" w:hAnsi="Times New Roman" w:cs="Times New Roman" w:eastAsia="Times New Roman" w:hint="default"/>
          <w:w w:val="100"/>
        </w:rPr>
        <w:t>1</w:t>
      </w:r>
      <w:r>
        <w:rPr>
          <w:rFonts w:ascii="Times New Roman" w:hAnsi="Times New Roman" w:cs="Times New Roman" w:eastAsia="Times New Roman" w:hint="default"/>
          <w:spacing w:val="-5"/>
        </w:rPr>
        <w:t> </w:t>
      </w:r>
      <w:r>
        <w:rPr>
          <w:w w:val="100"/>
        </w:rPr>
        <w:t>月缴纳。</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0"/>
        <w:jc w:val="left"/>
        <w:rPr>
          <w:b w:val="0"/>
          <w:bCs w:val="0"/>
        </w:rPr>
      </w:pPr>
      <w:r>
        <w:rPr>
          <w:rFonts w:ascii="Times New Roman" w:hAnsi="Times New Roman" w:cs="Times New Roman" w:eastAsia="Times New Roman" w:hint="default"/>
        </w:rPr>
        <w:t>2</w:t>
      </w:r>
      <w:r>
        <w:rPr/>
        <w:t>、本期新增子公司情况</w:t>
      </w:r>
      <w:r>
        <w:rPr>
          <w:b w:val="0"/>
          <w:bCs w:val="0"/>
        </w:rPr>
      </w:r>
    </w:p>
    <w:p>
      <w:pPr>
        <w:spacing w:line="240" w:lineRule="auto" w:before="14"/>
        <w:rPr>
          <w:rFonts w:ascii="Microsoft JhengHei" w:hAnsi="Microsoft JhengHei" w:cs="Microsoft JhengHei" w:eastAsia="Microsoft JhengHei" w:hint="default"/>
          <w:b/>
          <w:bCs/>
          <w:sz w:val="11"/>
          <w:szCs w:val="11"/>
        </w:rPr>
      </w:pPr>
    </w:p>
    <w:p>
      <w:pPr>
        <w:pStyle w:val="BodyText"/>
        <w:spacing w:line="412" w:lineRule="auto"/>
        <w:ind w:right="182" w:firstLine="422"/>
        <w:jc w:val="both"/>
      </w:pPr>
      <w:r>
        <w:rPr>
          <w:spacing w:val="-2"/>
        </w:rPr>
        <w:t>本期本公司与第一大股东之控股股东中国宝安集团股份有限公司（以下简称</w:t>
      </w:r>
      <w:r>
        <w:rPr>
          <w:rFonts w:ascii="Times New Roman" w:hAnsi="Times New Roman" w:cs="Times New Roman" w:eastAsia="Times New Roman" w:hint="default"/>
          <w:spacing w:val="-2"/>
        </w:rPr>
        <w:t>“</w:t>
      </w:r>
      <w:r>
        <w:rPr>
          <w:spacing w:val="-2"/>
        </w:rPr>
        <w:t>中国宝安集团</w:t>
      </w:r>
      <w:r>
        <w:rPr>
          <w:rFonts w:ascii="Times New Roman" w:hAnsi="Times New Roman" w:cs="Times New Roman" w:eastAsia="Times New Roman" w:hint="default"/>
          <w:spacing w:val="-2"/>
        </w:rPr>
        <w:t>”</w:t>
      </w:r>
      <w:r>
        <w:rPr>
          <w:spacing w:val="-2"/>
        </w:rPr>
        <w:t>）及中国</w:t>
      </w:r>
      <w:r>
        <w:rPr>
          <w:w w:val="100"/>
        </w:rPr>
        <w:t> </w:t>
      </w:r>
      <w:r>
        <w:rPr>
          <w:spacing w:val="-4"/>
          <w:w w:val="100"/>
        </w:rPr>
        <w:t>宝安集团投资有限公司签署《惠州市宝安房地产开发有限公司股权转让协议》，本公司以</w:t>
      </w:r>
      <w:r>
        <w:rPr>
          <w:w w:val="100"/>
        </w:rPr>
        <w:t> </w:t>
      </w:r>
      <w:r>
        <w:rPr>
          <w:rFonts w:ascii="Times New Roman" w:hAnsi="Times New Roman" w:cs="Times New Roman" w:eastAsia="Times New Roman" w:hint="default"/>
          <w:w w:val="100"/>
        </w:rPr>
        <w:t>17,000</w:t>
      </w:r>
      <w:r>
        <w:rPr>
          <w:rFonts w:ascii="Times New Roman" w:hAnsi="Times New Roman" w:cs="Times New Roman" w:eastAsia="Times New Roman" w:hint="default"/>
          <w:spacing w:val="-25"/>
          <w:w w:val="100"/>
        </w:rPr>
        <w:t> </w:t>
      </w:r>
      <w:r>
        <w:rPr>
          <w:w w:val="100"/>
        </w:rPr>
        <w:t>万元受让</w:t>
      </w:r>
    </w:p>
    <w:p>
      <w:pPr>
        <w:pStyle w:val="BodyText"/>
        <w:spacing w:line="412" w:lineRule="auto" w:before="41"/>
        <w:ind w:right="182"/>
        <w:jc w:val="both"/>
      </w:pPr>
      <w:r>
        <w:rPr/>
        <w:t>惠州宝安房地产开发有限公司（以下简称</w:t>
      </w:r>
      <w:r>
        <w:rPr>
          <w:rFonts w:ascii="Times New Roman" w:hAnsi="Times New Roman" w:cs="Times New Roman" w:eastAsia="Times New Roman" w:hint="default"/>
        </w:rPr>
        <w:t>“</w:t>
      </w:r>
      <w:r>
        <w:rPr/>
        <w:t>惠州宝安地产</w:t>
      </w:r>
      <w:r>
        <w:rPr>
          <w:rFonts w:ascii="Times New Roman" w:hAnsi="Times New Roman" w:cs="Times New Roman" w:eastAsia="Times New Roman" w:hint="default"/>
        </w:rPr>
        <w:t>”</w:t>
      </w:r>
      <w:r>
        <w:rPr/>
        <w:t>）</w:t>
      </w:r>
      <w:r>
        <w:rPr>
          <w:rFonts w:ascii="Times New Roman" w:hAnsi="Times New Roman" w:cs="Times New Roman" w:eastAsia="Times New Roman" w:hint="default"/>
        </w:rPr>
        <w:t>100%</w:t>
      </w:r>
      <w:r>
        <w:rPr/>
        <w:t>股权，其中以 </w:t>
      </w:r>
      <w:r>
        <w:rPr>
          <w:rFonts w:ascii="Times New Roman" w:hAnsi="Times New Roman" w:cs="Times New Roman" w:eastAsia="Times New Roman" w:hint="default"/>
        </w:rPr>
        <w:t>16,966</w:t>
      </w:r>
      <w:r>
        <w:rPr>
          <w:rFonts w:ascii="Times New Roman" w:hAnsi="Times New Roman" w:cs="Times New Roman" w:eastAsia="Times New Roman" w:hint="default"/>
          <w:spacing w:val="29"/>
        </w:rPr>
        <w:t> </w:t>
      </w:r>
      <w:r>
        <w:rPr/>
        <w:t>万元受让中国宝安</w:t>
      </w:r>
      <w:r>
        <w:rPr>
          <w:w w:val="100"/>
        </w:rPr>
        <w:t> </w:t>
      </w:r>
      <w:r>
        <w:rPr/>
        <w:t>集团所持</w:t>
      </w:r>
      <w:r>
        <w:rPr>
          <w:spacing w:val="-37"/>
        </w:rPr>
        <w:t> </w:t>
      </w:r>
      <w:r>
        <w:rPr>
          <w:rFonts w:ascii="Times New Roman" w:hAnsi="Times New Roman" w:cs="Times New Roman" w:eastAsia="Times New Roman" w:hint="default"/>
        </w:rPr>
        <w:t>99.8%</w:t>
      </w:r>
      <w:r>
        <w:rPr/>
        <w:t>的惠州宝安地产股权，以</w:t>
      </w:r>
      <w:r>
        <w:rPr>
          <w:spacing w:val="-37"/>
        </w:rPr>
        <w:t> </w:t>
      </w:r>
      <w:r>
        <w:rPr>
          <w:rFonts w:ascii="Times New Roman" w:hAnsi="Times New Roman" w:cs="Times New Roman" w:eastAsia="Times New Roman" w:hint="default"/>
          <w:spacing w:val="-3"/>
        </w:rPr>
        <w:t>34</w:t>
      </w:r>
      <w:r>
        <w:rPr>
          <w:rFonts w:ascii="Times New Roman" w:hAnsi="Times New Roman" w:cs="Times New Roman" w:eastAsia="Times New Roman" w:hint="default"/>
        </w:rPr>
        <w:t> </w:t>
      </w:r>
      <w:r>
        <w:rPr/>
        <w:t>万元受让中国宝安集团投资有限公司所持</w:t>
      </w:r>
      <w:r>
        <w:rPr>
          <w:spacing w:val="-37"/>
        </w:rPr>
        <w:t> </w:t>
      </w:r>
      <w:r>
        <w:rPr>
          <w:rFonts w:ascii="Times New Roman" w:hAnsi="Times New Roman" w:cs="Times New Roman" w:eastAsia="Times New Roman" w:hint="default"/>
        </w:rPr>
        <w:t>0.2%</w:t>
      </w:r>
      <w:r>
        <w:rPr/>
        <w:t>的惠州宝安地</w:t>
      </w:r>
      <w:r>
        <w:rPr>
          <w:w w:val="100"/>
        </w:rPr>
        <w:t> </w:t>
      </w:r>
      <w:r>
        <w:rPr/>
        <w:t>产股权，协议生效日为</w:t>
      </w:r>
      <w:r>
        <w:rPr>
          <w:spacing w:val="-5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8"/>
        </w:rPr>
        <w:t> </w:t>
      </w:r>
      <w:r>
        <w:rPr/>
        <w:t>年</w:t>
      </w:r>
      <w:r>
        <w:rPr>
          <w:spacing w:val="-56"/>
        </w:rPr>
        <w:t> </w:t>
      </w:r>
      <w:r>
        <w:rPr>
          <w:rFonts w:ascii="Times New Roman" w:hAnsi="Times New Roman" w:cs="Times New Roman" w:eastAsia="Times New Roman" w:hint="default"/>
        </w:rPr>
        <w:t>6</w:t>
      </w:r>
      <w:r>
        <w:rPr>
          <w:rFonts w:ascii="Times New Roman" w:hAnsi="Times New Roman" w:cs="Times New Roman" w:eastAsia="Times New Roman" w:hint="default"/>
          <w:spacing w:val="-3"/>
        </w:rPr>
        <w:t> </w:t>
      </w:r>
      <w:r>
        <w:rPr/>
        <w:t>月</w:t>
      </w:r>
      <w:r>
        <w:rPr>
          <w:spacing w:val="-56"/>
        </w:rPr>
        <w:t> </w:t>
      </w:r>
      <w:r>
        <w:rPr>
          <w:rFonts w:ascii="Times New Roman" w:hAnsi="Times New Roman" w:cs="Times New Roman" w:eastAsia="Times New Roman" w:hint="default"/>
          <w:spacing w:val="-3"/>
        </w:rPr>
        <w:t>20 </w:t>
      </w:r>
      <w:r>
        <w:rPr/>
        <w:t>日。截止本期末，该股权受让款项本公司已按协议全部付清，并已</w:t>
      </w:r>
    </w:p>
    <w:p>
      <w:pPr>
        <w:pStyle w:val="BodyText"/>
        <w:spacing w:line="240" w:lineRule="auto" w:before="41"/>
        <w:ind w:right="0"/>
        <w:jc w:val="both"/>
      </w:pPr>
      <w:r>
        <w:rPr/>
        <w:t>于</w:t>
      </w:r>
      <w:r>
        <w:rPr>
          <w:spacing w:val="-53"/>
        </w:rPr>
        <w:t> </w:t>
      </w:r>
      <w:r>
        <w:rPr>
          <w:rFonts w:ascii="Times New Roman" w:hAnsi="Times New Roman" w:cs="Times New Roman" w:eastAsia="Times New Roman" w:hint="default"/>
        </w:rPr>
        <w:t>2012 </w:t>
      </w:r>
      <w:r>
        <w:rPr/>
        <w:t>年</w:t>
      </w:r>
      <w:r>
        <w:rPr>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53"/>
        </w:rPr>
        <w:t> </w:t>
      </w:r>
      <w:r>
        <w:rPr>
          <w:rFonts w:ascii="Times New Roman" w:hAnsi="Times New Roman" w:cs="Times New Roman" w:eastAsia="Times New Roman" w:hint="default"/>
        </w:rPr>
        <w:t>21 </w:t>
      </w:r>
      <w:r>
        <w:rPr/>
        <w:t>日办理了股权工商变更登记过户手续，股权款已支付完毕。</w:t>
      </w:r>
    </w:p>
    <w:p>
      <w:pPr>
        <w:spacing w:line="240" w:lineRule="auto" w:before="0"/>
        <w:rPr>
          <w:rFonts w:ascii="宋体" w:hAnsi="宋体" w:cs="宋体" w:eastAsia="宋体" w:hint="default"/>
          <w:sz w:val="22"/>
          <w:szCs w:val="22"/>
        </w:rPr>
      </w:pPr>
    </w:p>
    <w:p>
      <w:pPr>
        <w:spacing w:line="240" w:lineRule="auto" w:before="4"/>
        <w:rPr>
          <w:rFonts w:ascii="宋体" w:hAnsi="宋体" w:cs="宋体" w:eastAsia="宋体" w:hint="default"/>
          <w:sz w:val="27"/>
          <w:szCs w:val="27"/>
        </w:rPr>
      </w:pPr>
    </w:p>
    <w:p>
      <w:pPr>
        <w:pStyle w:val="Heading6"/>
        <w:spacing w:line="240" w:lineRule="auto"/>
        <w:ind w:right="0"/>
        <w:jc w:val="left"/>
        <w:rPr>
          <w:b w:val="0"/>
          <w:bCs w:val="0"/>
        </w:rPr>
      </w:pPr>
      <w:r>
        <w:rPr>
          <w:rFonts w:ascii="Times New Roman" w:hAnsi="Times New Roman" w:cs="Times New Roman" w:eastAsia="Times New Roman" w:hint="default"/>
        </w:rPr>
        <w:t>3</w:t>
      </w:r>
      <w:r>
        <w:rPr/>
        <w:t>、公司历史遗留法人股清查清收情况</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424" w:lineRule="auto"/>
        <w:ind w:right="177" w:firstLine="422"/>
        <w:jc w:val="both"/>
      </w:pPr>
      <w:r>
        <w:rPr/>
        <w:t>公司于 </w:t>
      </w:r>
      <w:r>
        <w:rPr>
          <w:rFonts w:ascii="Times New Roman" w:hAnsi="Times New Roman" w:cs="Times New Roman" w:eastAsia="Times New Roman" w:hint="default"/>
        </w:rPr>
        <w:t>2010</w:t>
      </w:r>
      <w:r>
        <w:rPr>
          <w:rFonts w:ascii="Times New Roman" w:hAnsi="Times New Roman" w:cs="Times New Roman" w:eastAsia="Times New Roman" w:hint="default"/>
          <w:spacing w:val="33"/>
        </w:rPr>
        <w:t> </w:t>
      </w:r>
      <w:r>
        <w:rPr/>
        <w:t>年度对法人股事项展开清查清收工作，并对已查明的法人股进行了前期会计差错更正并</w:t>
      </w:r>
      <w:r>
        <w:rPr>
          <w:w w:val="100"/>
        </w:rPr>
        <w:t> </w:t>
      </w:r>
      <w:r>
        <w:rPr>
          <w:spacing w:val="-2"/>
        </w:rPr>
        <w:t>追溯调整，本公司基于稳健性原则对已查明应收的法人股相关款项及代缴税款已全额计提了坏帐准备。本</w:t>
      </w:r>
      <w:r>
        <w:rPr>
          <w:spacing w:val="-35"/>
        </w:rPr>
        <w:t> </w:t>
      </w:r>
      <w:r>
        <w:rPr>
          <w:spacing w:val="-35"/>
        </w:rPr>
      </w:r>
      <w:r>
        <w:rPr/>
        <w:t>期本公司继续加大力度对已查明的应收款项及代缴税款进行后续追收工作。</w:t>
      </w:r>
    </w:p>
    <w:p>
      <w:pPr>
        <w:spacing w:after="0" w:line="424" w:lineRule="auto"/>
        <w:jc w:val="both"/>
        <w:sectPr>
          <w:pgSz w:w="11900" w:h="16840"/>
          <w:pgMar w:header="762" w:footer="840" w:top="1000" w:bottom="1020" w:left="980" w:right="9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left="780" w:right="0"/>
        <w:jc w:val="left"/>
        <w:rPr>
          <w:b w:val="0"/>
          <w:bCs w:val="0"/>
        </w:rPr>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年度利润分配方案实施情况</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75" w:right="0"/>
        <w:jc w:val="left"/>
        <w:rPr>
          <w:rFonts w:ascii="Times New Roman" w:hAnsi="Times New Roman" w:cs="Times New Roman" w:eastAsia="Times New Roman" w:hint="default"/>
        </w:rPr>
      </w:pPr>
      <w:r>
        <w:rPr/>
        <w:t>经</w:t>
      </w:r>
      <w:r>
        <w:rPr>
          <w:spacing w:val="-37"/>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5"/>
        </w:rPr>
        <w:t> </w:t>
      </w:r>
      <w:r>
        <w:rPr/>
        <w:t>年</w:t>
      </w:r>
      <w:r>
        <w:rPr>
          <w:spacing w:val="-37"/>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月</w:t>
      </w:r>
      <w:r>
        <w:rPr>
          <w:spacing w:val="-37"/>
        </w:rPr>
        <w:t> </w:t>
      </w:r>
      <w:r>
        <w:rPr>
          <w:rFonts w:ascii="Times New Roman" w:hAnsi="Times New Roman" w:cs="Times New Roman" w:eastAsia="Times New Roman" w:hint="default"/>
        </w:rPr>
        <w:t>26</w:t>
      </w:r>
      <w:r>
        <w:rPr>
          <w:rFonts w:ascii="Times New Roman" w:hAnsi="Times New Roman" w:cs="Times New Roman" w:eastAsia="Times New Roman" w:hint="default"/>
          <w:spacing w:val="15"/>
        </w:rPr>
        <w:t> </w:t>
      </w:r>
      <w:r>
        <w:rPr/>
        <w:t>日召开的公司</w:t>
      </w:r>
      <w:r>
        <w:rPr>
          <w:spacing w:val="-3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5"/>
        </w:rPr>
        <w:t> </w:t>
      </w:r>
      <w:r>
        <w:rPr/>
        <w:t>年年度股东大会审议通过了</w:t>
      </w:r>
      <w:r>
        <w:rPr>
          <w:spacing w:val="-37"/>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5"/>
        </w:rPr>
        <w:t> </w:t>
      </w:r>
      <w:r>
        <w:rPr/>
        <w:t>年度利润分配方案，以</w:t>
      </w:r>
      <w:r>
        <w:rPr>
          <w:spacing w:val="-42"/>
        </w:rPr>
        <w:t> </w:t>
      </w:r>
      <w:r>
        <w:rPr>
          <w:rFonts w:ascii="Times New Roman" w:hAnsi="Times New Roman" w:cs="Times New Roman" w:eastAsia="Times New Roman" w:hint="default"/>
          <w:spacing w:val="-3"/>
        </w:rPr>
        <w:t>2011</w:t>
      </w:r>
    </w:p>
    <w:p>
      <w:pPr>
        <w:spacing w:line="240" w:lineRule="auto" w:before="2"/>
        <w:rPr>
          <w:rFonts w:ascii="Times New Roman" w:hAnsi="Times New Roman" w:cs="Times New Roman" w:eastAsia="Times New Roman" w:hint="default"/>
          <w:sz w:val="18"/>
          <w:szCs w:val="18"/>
        </w:rPr>
      </w:pPr>
    </w:p>
    <w:p>
      <w:pPr>
        <w:pStyle w:val="BodyText"/>
        <w:spacing w:line="240" w:lineRule="auto"/>
        <w:ind w:left="252" w:right="0"/>
        <w:jc w:val="left"/>
      </w:pPr>
      <w:r>
        <w:rPr>
          <w:w w:val="100"/>
        </w:rPr>
        <w:t>年末总</w:t>
      </w:r>
      <w:r>
        <w:rPr>
          <w:spacing w:val="-5"/>
          <w:w w:val="100"/>
        </w:rPr>
        <w:t>股</w:t>
      </w:r>
      <w:r>
        <w:rPr>
          <w:w w:val="100"/>
        </w:rPr>
        <w:t>本</w:t>
      </w:r>
      <w:r>
        <w:rPr>
          <w:spacing w:val="-43"/>
        </w:rPr>
        <w:t> </w:t>
      </w:r>
      <w:r>
        <w:rPr>
          <w:rFonts w:ascii="Times New Roman" w:hAnsi="Times New Roman" w:cs="Times New Roman" w:eastAsia="Times New Roman" w:hint="default"/>
          <w:w w:val="100"/>
        </w:rPr>
        <w:t>469,5</w:t>
      </w:r>
      <w:r>
        <w:rPr>
          <w:rFonts w:ascii="Times New Roman" w:hAnsi="Times New Roman" w:cs="Times New Roman" w:eastAsia="Times New Roman" w:hint="default"/>
          <w:spacing w:val="-5"/>
          <w:w w:val="100"/>
        </w:rPr>
        <w:t>9</w:t>
      </w:r>
      <w:r>
        <w:rPr>
          <w:rFonts w:ascii="Times New Roman" w:hAnsi="Times New Roman" w:cs="Times New Roman" w:eastAsia="Times New Roman" w:hint="default"/>
          <w:w w:val="100"/>
        </w:rPr>
        <w:t>3,3</w:t>
      </w:r>
      <w:r>
        <w:rPr>
          <w:rFonts w:ascii="Times New Roman" w:hAnsi="Times New Roman" w:cs="Times New Roman" w:eastAsia="Times New Roman" w:hint="default"/>
          <w:spacing w:val="-5"/>
          <w:w w:val="100"/>
        </w:rPr>
        <w:t>6</w:t>
      </w:r>
      <w:r>
        <w:rPr>
          <w:rFonts w:ascii="Times New Roman" w:hAnsi="Times New Roman" w:cs="Times New Roman" w:eastAsia="Times New Roman" w:hint="default"/>
          <w:w w:val="100"/>
        </w:rPr>
        <w:t>4</w:t>
      </w:r>
      <w:r>
        <w:rPr>
          <w:rFonts w:ascii="Times New Roman" w:hAnsi="Times New Roman" w:cs="Times New Roman" w:eastAsia="Times New Roman" w:hint="default"/>
          <w:spacing w:val="9"/>
        </w:rPr>
        <w:t> </w:t>
      </w:r>
      <w:r>
        <w:rPr>
          <w:w w:val="100"/>
        </w:rPr>
        <w:t>股为</w:t>
      </w:r>
      <w:r>
        <w:rPr>
          <w:spacing w:val="-5"/>
          <w:w w:val="100"/>
        </w:rPr>
        <w:t>基</w:t>
      </w:r>
      <w:r>
        <w:rPr>
          <w:w w:val="100"/>
        </w:rPr>
        <w:t>数</w:t>
      </w:r>
      <w:r>
        <w:rPr>
          <w:spacing w:val="-5"/>
          <w:w w:val="100"/>
        </w:rPr>
        <w:t>，</w:t>
      </w:r>
      <w:r>
        <w:rPr>
          <w:w w:val="100"/>
        </w:rPr>
        <w:t>每</w:t>
      </w:r>
      <w:r>
        <w:rPr>
          <w:spacing w:val="-43"/>
        </w:rPr>
        <w:t> </w:t>
      </w:r>
      <w:r>
        <w:rPr>
          <w:rFonts w:ascii="Times New Roman" w:hAnsi="Times New Roman" w:cs="Times New Roman" w:eastAsia="Times New Roman" w:hint="default"/>
          <w:w w:val="100"/>
        </w:rPr>
        <w:t>10</w:t>
      </w:r>
      <w:r>
        <w:rPr>
          <w:rFonts w:ascii="Times New Roman" w:hAnsi="Times New Roman" w:cs="Times New Roman" w:eastAsia="Times New Roman" w:hint="default"/>
          <w:spacing w:val="5"/>
        </w:rPr>
        <w:t> </w:t>
      </w:r>
      <w:r>
        <w:rPr>
          <w:w w:val="100"/>
        </w:rPr>
        <w:t>股派发</w:t>
      </w:r>
      <w:r>
        <w:rPr>
          <w:spacing w:val="-5"/>
          <w:w w:val="100"/>
        </w:rPr>
        <w:t>现金</w:t>
      </w:r>
      <w:r>
        <w:rPr>
          <w:w w:val="100"/>
        </w:rPr>
        <w:t>红利</w:t>
      </w:r>
      <w:r>
        <w:rPr>
          <w:spacing w:val="-43"/>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5"/>
          <w:w w:val="100"/>
        </w:rPr>
        <w:t>.</w:t>
      </w:r>
      <w:r>
        <w:rPr>
          <w:rFonts w:ascii="Times New Roman" w:hAnsi="Times New Roman" w:cs="Times New Roman" w:eastAsia="Times New Roman" w:hint="default"/>
          <w:w w:val="100"/>
        </w:rPr>
        <w:t>3</w:t>
      </w:r>
      <w:r>
        <w:rPr>
          <w:rFonts w:ascii="Times New Roman" w:hAnsi="Times New Roman" w:cs="Times New Roman" w:eastAsia="Times New Roman" w:hint="default"/>
          <w:spacing w:val="9"/>
        </w:rPr>
        <w:t> </w:t>
      </w:r>
      <w:r>
        <w:rPr>
          <w:w w:val="100"/>
        </w:rPr>
        <w:t>元</w:t>
      </w:r>
      <w:r>
        <w:rPr>
          <w:spacing w:val="-5"/>
          <w:w w:val="100"/>
        </w:rPr>
        <w:t>（</w:t>
      </w:r>
      <w:r>
        <w:rPr>
          <w:w w:val="100"/>
        </w:rPr>
        <w:t>含税</w:t>
      </w:r>
      <w:r>
        <w:rPr>
          <w:spacing w:val="-106"/>
          <w:w w:val="100"/>
        </w:rPr>
        <w:t>）</w:t>
      </w:r>
      <w:r>
        <w:rPr>
          <w:spacing w:val="-1"/>
          <w:w w:val="100"/>
        </w:rPr>
        <w:t>。</w:t>
      </w:r>
      <w:r>
        <w:rPr>
          <w:rFonts w:ascii="Times New Roman" w:hAnsi="Times New Roman" w:cs="Times New Roman" w:eastAsia="Times New Roman" w:hint="default"/>
          <w:w w:val="100"/>
        </w:rPr>
        <w:t>2</w:t>
      </w:r>
      <w:r>
        <w:rPr>
          <w:rFonts w:ascii="Times New Roman" w:hAnsi="Times New Roman" w:cs="Times New Roman" w:eastAsia="Times New Roman" w:hint="default"/>
          <w:spacing w:val="-5"/>
          <w:w w:val="100"/>
        </w:rPr>
        <w:t>0</w:t>
      </w:r>
      <w:r>
        <w:rPr>
          <w:rFonts w:ascii="Times New Roman" w:hAnsi="Times New Roman" w:cs="Times New Roman" w:eastAsia="Times New Roman" w:hint="default"/>
          <w:w w:val="100"/>
        </w:rPr>
        <w:t>12</w:t>
      </w:r>
      <w:r>
        <w:rPr>
          <w:rFonts w:ascii="Times New Roman" w:hAnsi="Times New Roman" w:cs="Times New Roman" w:eastAsia="Times New Roman" w:hint="default"/>
          <w:spacing w:val="5"/>
        </w:rPr>
        <w:t> </w:t>
      </w:r>
      <w:r>
        <w:rPr>
          <w:w w:val="100"/>
        </w:rPr>
        <w:t>年</w:t>
      </w:r>
      <w:r>
        <w:rPr>
          <w:spacing w:val="-48"/>
        </w:rPr>
        <w:t> </w:t>
      </w:r>
      <w:r>
        <w:rPr>
          <w:rFonts w:ascii="Times New Roman" w:hAnsi="Times New Roman" w:cs="Times New Roman" w:eastAsia="Times New Roman" w:hint="default"/>
          <w:w w:val="100"/>
        </w:rPr>
        <w:t>8</w:t>
      </w:r>
      <w:r>
        <w:rPr>
          <w:rFonts w:ascii="Times New Roman" w:hAnsi="Times New Roman" w:cs="Times New Roman" w:eastAsia="Times New Roman" w:hint="default"/>
          <w:spacing w:val="9"/>
        </w:rPr>
        <w:t> </w:t>
      </w:r>
      <w:r>
        <w:rPr>
          <w:w w:val="100"/>
        </w:rPr>
        <w:t>月</w:t>
      </w:r>
      <w:r>
        <w:rPr>
          <w:spacing w:val="-48"/>
        </w:rPr>
        <w:t> </w:t>
      </w:r>
      <w:r>
        <w:rPr>
          <w:rFonts w:ascii="Times New Roman" w:hAnsi="Times New Roman" w:cs="Times New Roman" w:eastAsia="Times New Roman" w:hint="default"/>
          <w:w w:val="100"/>
        </w:rPr>
        <w:t>3</w:t>
      </w:r>
      <w:r>
        <w:rPr>
          <w:rFonts w:ascii="Times New Roman" w:hAnsi="Times New Roman" w:cs="Times New Roman" w:eastAsia="Times New Roman" w:hint="default"/>
          <w:spacing w:val="9"/>
        </w:rPr>
        <w:t> </w:t>
      </w:r>
      <w:r>
        <w:rPr>
          <w:w w:val="100"/>
        </w:rPr>
        <w:t>日</w:t>
      </w:r>
      <w:r>
        <w:rPr>
          <w:spacing w:val="-5"/>
          <w:w w:val="100"/>
        </w:rPr>
        <w:t>，</w:t>
      </w:r>
      <w:r>
        <w:rPr>
          <w:w w:val="100"/>
        </w:rPr>
        <w:t>本公</w:t>
      </w:r>
      <w:r>
        <w:rPr>
          <w:spacing w:val="-5"/>
          <w:w w:val="100"/>
        </w:rPr>
        <w:t>司</w:t>
      </w:r>
      <w:r>
        <w:rPr>
          <w:w w:val="100"/>
        </w:rPr>
        <w:t>已完</w:t>
      </w:r>
    </w:p>
    <w:p>
      <w:pPr>
        <w:spacing w:line="240" w:lineRule="auto" w:before="4"/>
        <w:rPr>
          <w:rFonts w:ascii="宋体" w:hAnsi="宋体" w:cs="宋体" w:eastAsia="宋体" w:hint="default"/>
          <w:sz w:val="16"/>
          <w:szCs w:val="16"/>
        </w:rPr>
      </w:pPr>
    </w:p>
    <w:p>
      <w:pPr>
        <w:pStyle w:val="BodyText"/>
        <w:spacing w:line="240" w:lineRule="auto"/>
        <w:ind w:left="252" w:right="0"/>
        <w:jc w:val="left"/>
      </w:pPr>
      <w:r>
        <w:rPr/>
        <w:t>成了</w:t>
      </w:r>
      <w:r>
        <w:rPr>
          <w:spacing w:val="-52"/>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年的权益分派，实际派发含税现金红利</w:t>
      </w:r>
      <w:r>
        <w:rPr>
          <w:spacing w:val="2"/>
        </w:rPr>
        <w:t> </w:t>
      </w:r>
      <w:r>
        <w:rPr>
          <w:rFonts w:ascii="Times New Roman" w:hAnsi="Times New Roman" w:cs="Times New Roman" w:eastAsia="Times New Roman" w:hint="default"/>
        </w:rPr>
        <w:t>14,087,800.92</w:t>
      </w:r>
      <w:r>
        <w:rPr>
          <w:rFonts w:ascii="Times New Roman" w:hAnsi="Times New Roman" w:cs="Times New Roman" w:eastAsia="Times New Roman" w:hint="default"/>
          <w:spacing w:val="1"/>
        </w:rPr>
        <w:t> </w:t>
      </w:r>
      <w:r>
        <w:rPr>
          <w:spacing w:val="-3"/>
        </w:rPr>
        <w:t>元。</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left="675" w:right="0"/>
        <w:jc w:val="left"/>
        <w:rPr>
          <w:b w:val="0"/>
          <w:bCs w:val="0"/>
        </w:rPr>
      </w:pPr>
      <w:r>
        <w:rPr>
          <w:rFonts w:ascii="Times New Roman" w:hAnsi="Times New Roman" w:cs="Times New Roman" w:eastAsia="Times New Roman" w:hint="default"/>
        </w:rPr>
        <w:t>5</w:t>
      </w:r>
      <w:r>
        <w:rPr/>
        <w:t>、以公允价值计量的资产和负债</w:t>
      </w:r>
      <w:r>
        <w:rPr>
          <w:b w:val="0"/>
          <w:bCs w:val="0"/>
        </w:rPr>
      </w:r>
    </w:p>
    <w:tbl>
      <w:tblPr>
        <w:tblW w:w="0" w:type="auto"/>
        <w:jc w:val="left"/>
        <w:tblInd w:w="113" w:type="dxa"/>
        <w:tblLayout w:type="fixed"/>
        <w:tblCellMar>
          <w:top w:w="0" w:type="dxa"/>
          <w:left w:w="0" w:type="dxa"/>
          <w:bottom w:w="0" w:type="dxa"/>
          <w:right w:w="0" w:type="dxa"/>
        </w:tblCellMar>
        <w:tblLook w:val="01E0"/>
      </w:tblPr>
      <w:tblGrid>
        <w:gridCol w:w="2506"/>
        <w:gridCol w:w="1459"/>
        <w:gridCol w:w="1234"/>
        <w:gridCol w:w="1762"/>
        <w:gridCol w:w="1411"/>
        <w:gridCol w:w="1498"/>
      </w:tblGrid>
      <w:tr>
        <w:trPr>
          <w:trHeight w:val="525" w:hRule="exact"/>
        </w:trPr>
        <w:tc>
          <w:tcPr>
            <w:tcW w:w="2506" w:type="dxa"/>
            <w:tcBorders>
              <w:top w:val="single" w:sz="12" w:space="0" w:color="000000"/>
              <w:left w:val="nil" w:sz="6" w:space="0" w:color="auto"/>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期初金额</w:t>
            </w:r>
          </w:p>
        </w:tc>
        <w:tc>
          <w:tcPr>
            <w:tcW w:w="12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left="163" w:right="0"/>
              <w:jc w:val="left"/>
              <w:rPr>
                <w:rFonts w:ascii="宋体" w:hAnsi="宋体" w:cs="宋体" w:eastAsia="宋体" w:hint="default"/>
                <w:sz w:val="18"/>
                <w:szCs w:val="18"/>
              </w:rPr>
            </w:pPr>
            <w:r>
              <w:rPr>
                <w:rFonts w:ascii="宋体" w:hAnsi="宋体" w:cs="宋体" w:eastAsia="宋体" w:hint="default"/>
                <w:sz w:val="18"/>
                <w:szCs w:val="18"/>
              </w:rPr>
              <w:t>本期公允价</w:t>
            </w:r>
          </w:p>
        </w:tc>
        <w:tc>
          <w:tcPr>
            <w:tcW w:w="17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left="244" w:right="0"/>
              <w:jc w:val="left"/>
              <w:rPr>
                <w:rFonts w:ascii="宋体" w:hAnsi="宋体" w:cs="宋体" w:eastAsia="宋体" w:hint="default"/>
                <w:sz w:val="18"/>
                <w:szCs w:val="18"/>
              </w:rPr>
            </w:pPr>
            <w:r>
              <w:rPr>
                <w:rFonts w:ascii="宋体" w:hAnsi="宋体" w:cs="宋体" w:eastAsia="宋体" w:hint="default"/>
                <w:spacing w:val="-3"/>
                <w:sz w:val="18"/>
                <w:szCs w:val="18"/>
              </w:rPr>
              <w:t>计入权益的累计</w:t>
            </w:r>
          </w:p>
        </w:tc>
        <w:tc>
          <w:tcPr>
            <w:tcW w:w="14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left="244" w:right="0"/>
              <w:jc w:val="left"/>
              <w:rPr>
                <w:rFonts w:ascii="宋体" w:hAnsi="宋体" w:cs="宋体" w:eastAsia="宋体" w:hint="default"/>
                <w:sz w:val="18"/>
                <w:szCs w:val="18"/>
              </w:rPr>
            </w:pPr>
            <w:r>
              <w:rPr>
                <w:rFonts w:ascii="宋体" w:hAnsi="宋体" w:cs="宋体" w:eastAsia="宋体" w:hint="default"/>
                <w:sz w:val="18"/>
                <w:szCs w:val="18"/>
              </w:rPr>
              <w:t>本期计提的</w:t>
            </w:r>
          </w:p>
        </w:tc>
        <w:tc>
          <w:tcPr>
            <w:tcW w:w="1498" w:type="dxa"/>
            <w:tcBorders>
              <w:top w:val="single" w:sz="12" w:space="0" w:color="000000"/>
              <w:left w:val="single" w:sz="4" w:space="0" w:color="000000"/>
              <w:bottom w:val="nil" w:sz="6" w:space="0" w:color="auto"/>
              <w:right w:val="nil" w:sz="6" w:space="0" w:color="auto"/>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期末金额</w:t>
            </w:r>
          </w:p>
        </w:tc>
      </w:tr>
      <w:tr>
        <w:trPr>
          <w:trHeight w:val="214" w:hRule="exact"/>
        </w:trPr>
        <w:tc>
          <w:tcPr>
            <w:tcW w:w="2506" w:type="dxa"/>
            <w:tcBorders>
              <w:top w:val="nil" w:sz="6" w:space="0" w:color="auto"/>
              <w:left w:val="nil" w:sz="6" w:space="0" w:color="auto"/>
              <w:bottom w:val="single" w:sz="4" w:space="0" w:color="000000"/>
              <w:right w:val="single" w:sz="4" w:space="0" w:color="000000"/>
            </w:tcBorders>
          </w:tcPr>
          <w:p>
            <w:pPr/>
          </w:p>
        </w:tc>
        <w:tc>
          <w:tcPr>
            <w:tcW w:w="1459" w:type="dxa"/>
            <w:tcBorders>
              <w:top w:val="nil" w:sz="6" w:space="0" w:color="auto"/>
              <w:left w:val="single" w:sz="4" w:space="0" w:color="000000"/>
              <w:bottom w:val="single" w:sz="4" w:space="0" w:color="000000"/>
              <w:right w:val="single" w:sz="4" w:space="0" w:color="000000"/>
            </w:tcBorders>
          </w:tcPr>
          <w:p>
            <w:pPr/>
          </w:p>
        </w:tc>
        <w:tc>
          <w:tcPr>
            <w:tcW w:w="1234"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left="158"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1762"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left="331" w:right="0"/>
              <w:jc w:val="left"/>
              <w:rPr>
                <w:rFonts w:ascii="宋体" w:hAnsi="宋体" w:cs="宋体" w:eastAsia="宋体" w:hint="default"/>
                <w:sz w:val="18"/>
                <w:szCs w:val="18"/>
              </w:rPr>
            </w:pPr>
            <w:r>
              <w:rPr>
                <w:rFonts w:ascii="宋体" w:hAnsi="宋体" w:cs="宋体" w:eastAsia="宋体" w:hint="default"/>
                <w:sz w:val="18"/>
                <w:szCs w:val="18"/>
              </w:rPr>
              <w:t>公允价值变动</w:t>
            </w:r>
          </w:p>
        </w:tc>
        <w:tc>
          <w:tcPr>
            <w:tcW w:w="1411"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right="7"/>
              <w:jc w:val="center"/>
              <w:rPr>
                <w:rFonts w:ascii="宋体" w:hAnsi="宋体" w:cs="宋体" w:eastAsia="宋体" w:hint="default"/>
                <w:sz w:val="18"/>
                <w:szCs w:val="18"/>
              </w:rPr>
            </w:pPr>
            <w:r>
              <w:rPr>
                <w:rFonts w:ascii="宋体" w:hAnsi="宋体" w:cs="宋体" w:eastAsia="宋体" w:hint="default"/>
                <w:sz w:val="18"/>
                <w:szCs w:val="18"/>
              </w:rPr>
              <w:t>减值</w:t>
            </w:r>
          </w:p>
        </w:tc>
        <w:tc>
          <w:tcPr>
            <w:tcW w:w="1498" w:type="dxa"/>
            <w:tcBorders>
              <w:top w:val="nil" w:sz="6" w:space="0" w:color="auto"/>
              <w:left w:val="single" w:sz="4" w:space="0" w:color="000000"/>
              <w:bottom w:val="single" w:sz="4" w:space="0" w:color="000000"/>
              <w:right w:val="nil" w:sz="6" w:space="0" w:color="auto"/>
            </w:tcBorders>
          </w:tcPr>
          <w:p>
            <w:pPr/>
          </w:p>
        </w:tc>
      </w:tr>
      <w:tr>
        <w:trPr>
          <w:trHeight w:val="514"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金融资产</w:t>
            </w:r>
          </w:p>
        </w:tc>
        <w:tc>
          <w:tcPr>
            <w:tcW w:w="7363" w:type="dxa"/>
            <w:gridSpan w:val="5"/>
            <w:tcBorders>
              <w:top w:val="single" w:sz="4" w:space="0" w:color="000000"/>
              <w:left w:val="single" w:sz="4" w:space="0" w:color="000000"/>
              <w:bottom w:val="single" w:sz="4" w:space="0" w:color="000000"/>
              <w:right w:val="nil" w:sz="6" w:space="0" w:color="auto"/>
            </w:tcBorders>
          </w:tcPr>
          <w:p>
            <w:pPr/>
          </w:p>
        </w:tc>
      </w:tr>
      <w:tr>
        <w:trPr>
          <w:trHeight w:val="475" w:hRule="exact"/>
        </w:trPr>
        <w:tc>
          <w:tcPr>
            <w:tcW w:w="2506"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9"/>
                <w:sz w:val="18"/>
                <w:szCs w:val="18"/>
              </w:rPr>
              <w:t>以公允价值计量且其变动</w:t>
            </w:r>
          </w:p>
        </w:tc>
        <w:tc>
          <w:tcPr>
            <w:tcW w:w="1459" w:type="dxa"/>
            <w:tcBorders>
              <w:top w:val="single" w:sz="4" w:space="0" w:color="000000"/>
              <w:left w:val="single" w:sz="4" w:space="0" w:color="000000"/>
              <w:bottom w:val="nil" w:sz="6" w:space="0" w:color="auto"/>
              <w:right w:val="single" w:sz="4" w:space="0" w:color="000000"/>
            </w:tcBorders>
          </w:tcPr>
          <w:p>
            <w:pPr/>
          </w:p>
        </w:tc>
        <w:tc>
          <w:tcPr>
            <w:tcW w:w="1234" w:type="dxa"/>
            <w:tcBorders>
              <w:top w:val="single" w:sz="4" w:space="0" w:color="000000"/>
              <w:left w:val="single" w:sz="4" w:space="0" w:color="000000"/>
              <w:bottom w:val="nil" w:sz="6" w:space="0" w:color="auto"/>
              <w:right w:val="single" w:sz="4" w:space="0" w:color="000000"/>
            </w:tcBorders>
          </w:tcPr>
          <w:p>
            <w:pPr/>
          </w:p>
        </w:tc>
        <w:tc>
          <w:tcPr>
            <w:tcW w:w="1762" w:type="dxa"/>
            <w:tcBorders>
              <w:top w:val="single" w:sz="4" w:space="0" w:color="000000"/>
              <w:left w:val="single" w:sz="4" w:space="0" w:color="000000"/>
              <w:bottom w:val="nil" w:sz="6" w:space="0" w:color="auto"/>
              <w:right w:val="single" w:sz="4" w:space="0" w:color="000000"/>
            </w:tcBorders>
          </w:tcPr>
          <w:p>
            <w:pPr/>
          </w:p>
        </w:tc>
        <w:tc>
          <w:tcPr>
            <w:tcW w:w="1411" w:type="dxa"/>
            <w:tcBorders>
              <w:top w:val="single" w:sz="4" w:space="0" w:color="000000"/>
              <w:left w:val="single" w:sz="4" w:space="0" w:color="000000"/>
              <w:bottom w:val="nil" w:sz="6" w:space="0" w:color="auto"/>
              <w:right w:val="single" w:sz="4" w:space="0" w:color="000000"/>
            </w:tcBorders>
          </w:tcPr>
          <w:p>
            <w:pPr/>
          </w:p>
        </w:tc>
        <w:tc>
          <w:tcPr>
            <w:tcW w:w="1498" w:type="dxa"/>
            <w:tcBorders>
              <w:top w:val="single" w:sz="4" w:space="0" w:color="000000"/>
              <w:left w:val="single" w:sz="4" w:space="0" w:color="000000"/>
              <w:bottom w:val="nil" w:sz="6" w:space="0" w:color="auto"/>
              <w:right w:val="nil" w:sz="6" w:space="0" w:color="auto"/>
            </w:tcBorders>
          </w:tcPr>
          <w:p>
            <w:pPr/>
          </w:p>
        </w:tc>
      </w:tr>
      <w:tr>
        <w:trPr>
          <w:trHeight w:val="233"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3" w:lineRule="exact"/>
              <w:ind w:left="124" w:right="0"/>
              <w:jc w:val="left"/>
              <w:rPr>
                <w:rFonts w:ascii="宋体" w:hAnsi="宋体" w:cs="宋体" w:eastAsia="宋体" w:hint="default"/>
                <w:sz w:val="18"/>
                <w:szCs w:val="18"/>
              </w:rPr>
            </w:pPr>
            <w:r>
              <w:rPr>
                <w:rFonts w:ascii="宋体" w:hAnsi="宋体" w:cs="宋体" w:eastAsia="宋体" w:hint="default"/>
                <w:spacing w:val="-8"/>
                <w:sz w:val="18"/>
                <w:szCs w:val="18"/>
              </w:rPr>
              <w:t>计入当期损益的金融资产（不</w:t>
            </w:r>
          </w:p>
        </w:tc>
        <w:tc>
          <w:tcPr>
            <w:tcW w:w="14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238" w:hRule="exact"/>
        </w:trPr>
        <w:tc>
          <w:tcPr>
            <w:tcW w:w="2506" w:type="dxa"/>
            <w:tcBorders>
              <w:top w:val="nil" w:sz="6" w:space="0" w:color="auto"/>
              <w:left w:val="nil" w:sz="6" w:space="0" w:color="auto"/>
              <w:bottom w:val="single" w:sz="4" w:space="0" w:color="000000"/>
              <w:right w:val="single" w:sz="4" w:space="0" w:color="000000"/>
            </w:tcBorders>
          </w:tcPr>
          <w:p>
            <w:pPr>
              <w:pStyle w:val="TableParagraph"/>
              <w:spacing w:line="206" w:lineRule="exact"/>
              <w:ind w:left="124" w:right="0"/>
              <w:jc w:val="left"/>
              <w:rPr>
                <w:rFonts w:ascii="宋体" w:hAnsi="宋体" w:cs="宋体" w:eastAsia="宋体" w:hint="default"/>
                <w:sz w:val="18"/>
                <w:szCs w:val="18"/>
              </w:rPr>
            </w:pPr>
            <w:r>
              <w:rPr>
                <w:rFonts w:ascii="宋体" w:hAnsi="宋体" w:cs="宋体" w:eastAsia="宋体" w:hint="default"/>
                <w:sz w:val="18"/>
                <w:szCs w:val="18"/>
              </w:rPr>
              <w:t>含衍生金融资产）</w:t>
            </w:r>
          </w:p>
        </w:tc>
        <w:tc>
          <w:tcPr>
            <w:tcW w:w="1459" w:type="dxa"/>
            <w:tcBorders>
              <w:top w:val="nil" w:sz="6" w:space="0" w:color="auto"/>
              <w:left w:val="single" w:sz="4" w:space="0" w:color="000000"/>
              <w:bottom w:val="single" w:sz="4" w:space="0" w:color="000000"/>
              <w:right w:val="single" w:sz="4" w:space="0" w:color="000000"/>
            </w:tcBorders>
          </w:tcPr>
          <w:p>
            <w:pPr/>
          </w:p>
        </w:tc>
        <w:tc>
          <w:tcPr>
            <w:tcW w:w="1234" w:type="dxa"/>
            <w:tcBorders>
              <w:top w:val="nil" w:sz="6" w:space="0" w:color="auto"/>
              <w:left w:val="single" w:sz="4" w:space="0" w:color="000000"/>
              <w:bottom w:val="single" w:sz="4" w:space="0" w:color="000000"/>
              <w:right w:val="single" w:sz="4" w:space="0" w:color="000000"/>
            </w:tcBorders>
          </w:tcPr>
          <w:p>
            <w:pPr/>
          </w:p>
        </w:tc>
        <w:tc>
          <w:tcPr>
            <w:tcW w:w="1762" w:type="dxa"/>
            <w:tcBorders>
              <w:top w:val="nil" w:sz="6" w:space="0" w:color="auto"/>
              <w:left w:val="single" w:sz="4" w:space="0" w:color="000000"/>
              <w:bottom w:val="single" w:sz="4" w:space="0" w:color="000000"/>
              <w:right w:val="single" w:sz="4" w:space="0" w:color="000000"/>
            </w:tcBorders>
          </w:tcPr>
          <w:p>
            <w:pPr/>
          </w:p>
        </w:tc>
        <w:tc>
          <w:tcPr>
            <w:tcW w:w="1411" w:type="dxa"/>
            <w:tcBorders>
              <w:top w:val="nil" w:sz="6" w:space="0" w:color="auto"/>
              <w:left w:val="single" w:sz="4" w:space="0" w:color="000000"/>
              <w:bottom w:val="single" w:sz="4" w:space="0" w:color="000000"/>
              <w:right w:val="single" w:sz="4" w:space="0" w:color="000000"/>
            </w:tcBorders>
          </w:tcPr>
          <w:p>
            <w:pPr/>
          </w:p>
        </w:tc>
        <w:tc>
          <w:tcPr>
            <w:tcW w:w="1498" w:type="dxa"/>
            <w:tcBorders>
              <w:top w:val="nil" w:sz="6" w:space="0" w:color="auto"/>
              <w:left w:val="single" w:sz="4" w:space="0" w:color="000000"/>
              <w:bottom w:val="single" w:sz="4" w:space="0" w:color="000000"/>
              <w:right w:val="nil" w:sz="6" w:space="0" w:color="auto"/>
            </w:tcBorders>
          </w:tcPr>
          <w:p>
            <w:pPr/>
          </w:p>
        </w:tc>
      </w:tr>
      <w:tr>
        <w:trPr>
          <w:trHeight w:val="514"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衍生金融资产</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33,437,762.52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21,628,610.33</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32,276,398.62</w:t>
            </w:r>
          </w:p>
        </w:tc>
      </w:tr>
      <w:tr>
        <w:trPr>
          <w:trHeight w:val="509"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33,437,762.52</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21,628,610.33</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spacing w:val="-1"/>
                <w:sz w:val="18"/>
              </w:rPr>
              <w:t>32,276,398.62</w:t>
            </w:r>
          </w:p>
        </w:tc>
      </w:tr>
      <w:tr>
        <w:trPr>
          <w:trHeight w:val="509"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生产性生物资产</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2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9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8" w:hRule="exact"/>
        </w:trPr>
        <w:tc>
          <w:tcPr>
            <w:tcW w:w="250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0"/>
                <w:szCs w:val="10"/>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上述合计</w:t>
            </w:r>
            <w:r>
              <w:rPr>
                <w:rFonts w:ascii="Microsoft JhengHei" w:hAnsi="Microsoft JhengHei" w:cs="Microsoft JhengHei" w:eastAsia="Microsoft JhengHei" w:hint="default"/>
                <w:sz w:val="18"/>
                <w:szCs w:val="18"/>
              </w:rPr>
            </w:r>
          </w:p>
        </w:tc>
        <w:tc>
          <w:tcPr>
            <w:tcW w:w="145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33,437,762.52</w:t>
            </w:r>
            <w:r>
              <w:rPr>
                <w:rFonts w:ascii="Times New Roman"/>
                <w:spacing w:val="-1"/>
                <w:sz w:val="18"/>
              </w:rPr>
            </w:r>
          </w:p>
        </w:tc>
        <w:tc>
          <w:tcPr>
            <w:tcW w:w="12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76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21,628,610.33</w:t>
            </w:r>
            <w:r>
              <w:rPr>
                <w:rFonts w:ascii="Times New Roman"/>
                <w:spacing w:val="-1"/>
                <w:sz w:val="18"/>
              </w:rPr>
            </w:r>
          </w:p>
        </w:tc>
        <w:tc>
          <w:tcPr>
            <w:tcW w:w="141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49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6"/>
                <w:szCs w:val="16"/>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1"/>
                <w:sz w:val="18"/>
              </w:rPr>
              <w:t>32,276,398.62</w:t>
            </w:r>
            <w:r>
              <w:rPr>
                <w:rFonts w:ascii="Times New Roman"/>
                <w:spacing w:val="-1"/>
                <w:sz w:val="18"/>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18"/>
          <w:szCs w:val="18"/>
        </w:rPr>
      </w:pPr>
    </w:p>
    <w:p>
      <w:pPr>
        <w:pStyle w:val="Heading6"/>
        <w:spacing w:line="335" w:lineRule="exact"/>
        <w:ind w:left="675" w:right="0"/>
        <w:jc w:val="left"/>
        <w:rPr>
          <w:b w:val="0"/>
          <w:bCs w:val="0"/>
        </w:rPr>
      </w:pPr>
      <w:r>
        <w:rPr/>
        <w:t>十二、母公司财务报表主要项目注释</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6"/>
        <w:rPr>
          <w:rFonts w:ascii="Microsoft JhengHei" w:hAnsi="Microsoft JhengHei" w:cs="Microsoft JhengHei" w:eastAsia="Microsoft JhengHei" w:hint="default"/>
          <w:b/>
          <w:bCs/>
          <w:sz w:val="16"/>
          <w:szCs w:val="16"/>
        </w:rPr>
      </w:pPr>
    </w:p>
    <w:p>
      <w:pPr>
        <w:pStyle w:val="Heading6"/>
        <w:spacing w:line="240" w:lineRule="auto"/>
        <w:ind w:left="675" w:right="0"/>
        <w:jc w:val="left"/>
        <w:rPr>
          <w:b w:val="0"/>
          <w:bCs w:val="0"/>
        </w:rPr>
      </w:pPr>
      <w:r>
        <w:rPr>
          <w:rFonts w:ascii="Times New Roman" w:hAnsi="Times New Roman" w:cs="Times New Roman" w:eastAsia="Times New Roman" w:hint="default"/>
        </w:rPr>
        <w:t>1</w:t>
      </w:r>
      <w:r>
        <w:rPr/>
        <w:t>、应收账款</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675" w:right="0"/>
        <w:jc w:val="left"/>
      </w:pPr>
      <w:r>
        <w:rPr/>
        <w:t>（</w:t>
      </w:r>
      <w:r>
        <w:rPr>
          <w:rFonts w:ascii="Times New Roman" w:hAnsi="Times New Roman" w:cs="Times New Roman" w:eastAsia="Times New Roman" w:hint="default"/>
        </w:rPr>
        <w:t>1</w:t>
      </w:r>
      <w:r>
        <w:rPr/>
        <w:t>）应收账款按种类披露</w:t>
      </w:r>
    </w:p>
    <w:tbl>
      <w:tblPr>
        <w:tblW w:w="0" w:type="auto"/>
        <w:jc w:val="left"/>
        <w:tblInd w:w="223" w:type="dxa"/>
        <w:tblLayout w:type="fixed"/>
        <w:tblCellMar>
          <w:top w:w="0" w:type="dxa"/>
          <w:left w:w="0" w:type="dxa"/>
          <w:bottom w:w="0" w:type="dxa"/>
          <w:right w:w="0" w:type="dxa"/>
        </w:tblCellMar>
        <w:tblLook w:val="01E0"/>
      </w:tblPr>
      <w:tblGrid>
        <w:gridCol w:w="4267"/>
        <w:gridCol w:w="1560"/>
        <w:gridCol w:w="1133"/>
        <w:gridCol w:w="1560"/>
        <w:gridCol w:w="1133"/>
      </w:tblGrid>
      <w:tr>
        <w:trPr>
          <w:trHeight w:val="480" w:hRule="exact"/>
        </w:trPr>
        <w:tc>
          <w:tcPr>
            <w:tcW w:w="426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38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70" w:hRule="exact"/>
        </w:trPr>
        <w:tc>
          <w:tcPr>
            <w:tcW w:w="4267"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9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70" w:hRule="exact"/>
        </w:trPr>
        <w:tc>
          <w:tcPr>
            <w:tcW w:w="4267" w:type="dxa"/>
            <w:vMerge/>
            <w:tcBorders>
              <w:left w:val="nil" w:sz="6" w:space="0" w:color="auto"/>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09"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23"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130,687.40</w:t>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6,534.37</w:t>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5.00%</w:t>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880" w:right="8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23" w:type="dxa"/>
        <w:tblLayout w:type="fixed"/>
        <w:tblCellMar>
          <w:top w:w="0" w:type="dxa"/>
          <w:left w:w="0" w:type="dxa"/>
          <w:bottom w:w="0" w:type="dxa"/>
          <w:right w:w="0" w:type="dxa"/>
        </w:tblCellMar>
        <w:tblLook w:val="01E0"/>
      </w:tblPr>
      <w:tblGrid>
        <w:gridCol w:w="4267"/>
        <w:gridCol w:w="1560"/>
        <w:gridCol w:w="1133"/>
        <w:gridCol w:w="1560"/>
        <w:gridCol w:w="1133"/>
      </w:tblGrid>
      <w:tr>
        <w:trPr>
          <w:trHeight w:val="480" w:hRule="exact"/>
        </w:trPr>
        <w:tc>
          <w:tcPr>
            <w:tcW w:w="426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38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70" w:hRule="exact"/>
        </w:trPr>
        <w:tc>
          <w:tcPr>
            <w:tcW w:w="4267"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9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70" w:hRule="exact"/>
        </w:trPr>
        <w:tc>
          <w:tcPr>
            <w:tcW w:w="4267" w:type="dxa"/>
            <w:vMerge/>
            <w:tcBorders>
              <w:left w:val="nil" w:sz="6" w:space="0" w:color="auto"/>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28"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33"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130,687.40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6,534.37</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5.00%</w:t>
            </w:r>
          </w:p>
        </w:tc>
      </w:tr>
      <w:tr>
        <w:trPr>
          <w:trHeight w:val="528"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42"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130,687.40</w:t>
            </w:r>
            <w:r>
              <w:rPr>
                <w:rFonts w:ascii="Times New Roman"/>
                <w:spacing w:val="-1"/>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6,534.37</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13"/>
              <w:jc w:val="right"/>
              <w:rPr>
                <w:rFonts w:ascii="Times New Roman" w:hAnsi="Times New Roman" w:cs="Times New Roman" w:eastAsia="Times New Roman" w:hint="default"/>
                <w:sz w:val="18"/>
                <w:szCs w:val="18"/>
              </w:rPr>
            </w:pPr>
            <w:r>
              <w:rPr>
                <w:rFonts w:ascii="Times New Roman"/>
                <w:b/>
                <w:spacing w:val="-2"/>
                <w:sz w:val="18"/>
              </w:rPr>
              <w:t>0.00%</w:t>
            </w:r>
            <w:r>
              <w:rPr>
                <w:rFonts w:ascii="Times New Roman"/>
                <w:spacing w:val="-2"/>
                <w:sz w:val="18"/>
              </w:rPr>
            </w:r>
          </w:p>
        </w:tc>
      </w:tr>
    </w:tbl>
    <w:p>
      <w:pPr>
        <w:spacing w:line="240" w:lineRule="auto" w:before="4"/>
        <w:rPr>
          <w:rFonts w:ascii="宋体" w:hAnsi="宋体" w:cs="宋体" w:eastAsia="宋体" w:hint="default"/>
          <w:sz w:val="13"/>
          <w:szCs w:val="13"/>
        </w:rPr>
      </w:pPr>
    </w:p>
    <w:p>
      <w:pPr>
        <w:pStyle w:val="BodyText"/>
        <w:spacing w:line="240" w:lineRule="auto" w:before="36"/>
        <w:ind w:right="3657"/>
        <w:jc w:val="left"/>
      </w:pPr>
      <w:r>
        <w:rPr/>
        <w:t>续上表</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4267"/>
        <w:gridCol w:w="1560"/>
        <w:gridCol w:w="1133"/>
        <w:gridCol w:w="1560"/>
        <w:gridCol w:w="1133"/>
      </w:tblGrid>
      <w:tr>
        <w:trPr>
          <w:trHeight w:val="542" w:hRule="exact"/>
        </w:trPr>
        <w:tc>
          <w:tcPr>
            <w:tcW w:w="4267"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386"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28" w:hRule="exact"/>
        </w:trPr>
        <w:tc>
          <w:tcPr>
            <w:tcW w:w="4267"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693"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33" w:hRule="exact"/>
        </w:trPr>
        <w:tc>
          <w:tcPr>
            <w:tcW w:w="4267" w:type="dxa"/>
            <w:vMerge/>
            <w:tcBorders>
              <w:left w:val="nil" w:sz="6" w:space="0" w:color="auto"/>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28"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28"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112,503.00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5,625.15</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5.00%</w:t>
            </w:r>
          </w:p>
        </w:tc>
      </w:tr>
      <w:tr>
        <w:trPr>
          <w:trHeight w:val="533"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28"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112,503.00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5,625.15</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5.00%</w:t>
            </w:r>
          </w:p>
        </w:tc>
      </w:tr>
      <w:tr>
        <w:trPr>
          <w:trHeight w:val="533" w:hRule="exact"/>
        </w:trPr>
        <w:tc>
          <w:tcPr>
            <w:tcW w:w="426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单项金额虽不重大但单项计提坏账准备的应收账款</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38" w:hRule="exact"/>
        </w:trPr>
        <w:tc>
          <w:tcPr>
            <w:tcW w:w="426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2"/>
                <w:sz w:val="18"/>
              </w:rPr>
              <w:t>112,503.00</w:t>
            </w:r>
            <w:r>
              <w:rPr>
                <w:rFonts w:ascii="Times New Roman"/>
                <w:spacing w:val="-2"/>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5,625.15</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13"/>
              <w:jc w:val="right"/>
              <w:rPr>
                <w:rFonts w:ascii="Times New Roman" w:hAnsi="Times New Roman" w:cs="Times New Roman" w:eastAsia="Times New Roman" w:hint="default"/>
                <w:sz w:val="18"/>
                <w:szCs w:val="18"/>
              </w:rPr>
            </w:pPr>
            <w:r>
              <w:rPr>
                <w:rFonts w:ascii="Times New Roman"/>
                <w:b/>
                <w:spacing w:val="-2"/>
                <w:sz w:val="18"/>
              </w:rPr>
              <w:t>0.00%</w:t>
            </w:r>
            <w:r>
              <w:rPr>
                <w:rFonts w:ascii="Times New Roman"/>
                <w:spacing w:val="-2"/>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ind w:left="575" w:right="3657"/>
        <w:jc w:val="left"/>
      </w:pPr>
      <w:r>
        <w:rPr/>
        <w:t>组合中，按账龄分析法计提坏账准备的应收账款：</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1574"/>
        <w:gridCol w:w="1464"/>
        <w:gridCol w:w="936"/>
        <w:gridCol w:w="1570"/>
        <w:gridCol w:w="1416"/>
        <w:gridCol w:w="1133"/>
        <w:gridCol w:w="1560"/>
      </w:tblGrid>
      <w:tr>
        <w:trPr>
          <w:trHeight w:val="542"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28" w:hRule="exact"/>
        </w:trPr>
        <w:tc>
          <w:tcPr>
            <w:tcW w:w="1574" w:type="dxa"/>
            <w:vMerge/>
            <w:tcBorders>
              <w:left w:val="nil" w:sz="6" w:space="0" w:color="auto"/>
              <w:right w:val="single" w:sz="4" w:space="0" w:color="000000"/>
            </w:tcBorders>
          </w:tcPr>
          <w:p>
            <w:pPr/>
          </w:p>
        </w:tc>
        <w:tc>
          <w:tcPr>
            <w:tcW w:w="2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5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528"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4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1570"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51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37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60" w:type="dxa"/>
            <w:vMerge/>
            <w:tcBorders>
              <w:left w:val="single" w:sz="4" w:space="0" w:color="000000"/>
              <w:bottom w:val="single" w:sz="4" w:space="0" w:color="000000"/>
              <w:right w:val="nil" w:sz="6" w:space="0" w:color="auto"/>
            </w:tcBorders>
          </w:tcPr>
          <w:p>
            <w:pPr/>
          </w:p>
        </w:tc>
      </w:tr>
      <w:tr>
        <w:trPr>
          <w:trHeight w:val="542"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17"/>
                <w:sz w:val="18"/>
                <w:szCs w:val="18"/>
              </w:rPr>
              <w:t> </w:t>
            </w:r>
            <w:r>
              <w:rPr>
                <w:rFonts w:ascii="宋体" w:hAnsi="宋体" w:cs="宋体" w:eastAsia="宋体" w:hint="default"/>
                <w:w w:val="101"/>
                <w:sz w:val="18"/>
                <w:szCs w:val="18"/>
              </w:rPr>
              <w:t>年</w:t>
            </w:r>
            <w:r>
              <w:rPr>
                <w:rFonts w:ascii="宋体" w:hAnsi="宋体" w:cs="宋体" w:eastAsia="宋体" w:hint="default"/>
                <w:spacing w:val="-5"/>
                <w:w w:val="101"/>
                <w:sz w:val="18"/>
                <w:szCs w:val="18"/>
              </w:rPr>
              <w:t>以</w:t>
            </w:r>
            <w:r>
              <w:rPr>
                <w:rFonts w:ascii="宋体" w:hAnsi="宋体" w:cs="宋体" w:eastAsia="宋体" w:hint="default"/>
                <w:spacing w:val="-92"/>
                <w:w w:val="101"/>
                <w:sz w:val="18"/>
                <w:szCs w:val="18"/>
              </w:rPr>
              <w:t>内</w:t>
            </w:r>
            <w:r>
              <w:rPr>
                <w:rFonts w:ascii="宋体" w:hAnsi="宋体" w:cs="宋体" w:eastAsia="宋体" w:hint="default"/>
                <w:spacing w:val="-5"/>
                <w:w w:val="101"/>
                <w:sz w:val="18"/>
                <w:szCs w:val="18"/>
              </w:rPr>
              <w:t>（</w:t>
            </w:r>
            <w:r>
              <w:rPr>
                <w:rFonts w:ascii="宋体" w:hAnsi="宋体" w:cs="宋体" w:eastAsia="宋体" w:hint="default"/>
                <w:w w:val="101"/>
                <w:sz w:val="18"/>
                <w:szCs w:val="18"/>
              </w:rPr>
              <w:t>含</w:t>
            </w:r>
            <w:r>
              <w:rPr>
                <w:rFonts w:ascii="宋体" w:hAnsi="宋体" w:cs="宋体" w:eastAsia="宋体" w:hint="default"/>
                <w:spacing w:val="-62"/>
                <w:sz w:val="18"/>
                <w:szCs w:val="18"/>
              </w:rPr>
              <w:t> </w:t>
            </w: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21"/>
                <w:sz w:val="18"/>
                <w:szCs w:val="18"/>
              </w:rPr>
              <w:t> </w:t>
            </w:r>
            <w:r>
              <w:rPr>
                <w:rFonts w:ascii="宋体" w:hAnsi="宋体" w:cs="宋体" w:eastAsia="宋体" w:hint="default"/>
                <w:w w:val="101"/>
                <w:sz w:val="18"/>
                <w:szCs w:val="18"/>
              </w:rPr>
              <w:t>年）</w:t>
            </w:r>
            <w:r>
              <w:rPr>
                <w:rFonts w:ascii="宋体" w:hAnsi="宋体" w:cs="宋体" w:eastAsia="宋体" w:hint="default"/>
                <w:sz w:val="18"/>
                <w:szCs w:val="18"/>
              </w:rPr>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537" w:right="0"/>
              <w:jc w:val="left"/>
              <w:rPr>
                <w:rFonts w:ascii="Times New Roman" w:hAnsi="Times New Roman" w:cs="Times New Roman" w:eastAsia="Times New Roman" w:hint="default"/>
                <w:sz w:val="18"/>
                <w:szCs w:val="18"/>
              </w:rPr>
            </w:pPr>
            <w:r>
              <w:rPr>
                <w:rFonts w:ascii="Times New Roman"/>
                <w:sz w:val="18"/>
              </w:rPr>
              <w:t>130,687.40</w:t>
            </w:r>
          </w:p>
        </w:tc>
        <w:tc>
          <w:tcPr>
            <w:tcW w:w="9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100.00%</w:t>
            </w:r>
          </w:p>
        </w:tc>
        <w:tc>
          <w:tcPr>
            <w:tcW w:w="15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825" w:right="0"/>
              <w:jc w:val="left"/>
              <w:rPr>
                <w:rFonts w:ascii="Times New Roman" w:hAnsi="Times New Roman" w:cs="Times New Roman" w:eastAsia="Times New Roman" w:hint="default"/>
                <w:sz w:val="18"/>
                <w:szCs w:val="18"/>
              </w:rPr>
            </w:pPr>
            <w:r>
              <w:rPr>
                <w:rFonts w:ascii="Times New Roman"/>
                <w:sz w:val="18"/>
              </w:rPr>
              <w:t>6,534.37</w:t>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494" w:right="0"/>
              <w:jc w:val="left"/>
              <w:rPr>
                <w:rFonts w:ascii="Times New Roman" w:hAnsi="Times New Roman" w:cs="Times New Roman" w:eastAsia="Times New Roman" w:hint="default"/>
                <w:sz w:val="18"/>
                <w:szCs w:val="18"/>
              </w:rPr>
            </w:pPr>
            <w:r>
              <w:rPr>
                <w:rFonts w:ascii="Times New Roman"/>
                <w:sz w:val="18"/>
              </w:rPr>
              <w:t>112,503.00</w:t>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374" w:right="0"/>
              <w:jc w:val="left"/>
              <w:rPr>
                <w:rFonts w:ascii="Times New Roman" w:hAnsi="Times New Roman" w:cs="Times New Roman" w:eastAsia="Times New Roman" w:hint="default"/>
                <w:sz w:val="18"/>
                <w:szCs w:val="18"/>
              </w:rPr>
            </w:pPr>
            <w:r>
              <w:rPr>
                <w:rFonts w:ascii="Times New Roman"/>
                <w:sz w:val="18"/>
              </w:rPr>
              <w:t>100.00%</w:t>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816" w:right="0"/>
              <w:jc w:val="left"/>
              <w:rPr>
                <w:rFonts w:ascii="Times New Roman" w:hAnsi="Times New Roman" w:cs="Times New Roman" w:eastAsia="Times New Roman" w:hint="default"/>
                <w:sz w:val="18"/>
                <w:szCs w:val="18"/>
              </w:rPr>
            </w:pPr>
            <w:r>
              <w:rPr>
                <w:rFonts w:ascii="Times New Roman"/>
                <w:sz w:val="18"/>
              </w:rPr>
              <w:t>5,625.15</w:t>
            </w:r>
          </w:p>
        </w:tc>
      </w:tr>
    </w:tbl>
    <w:p>
      <w:pPr>
        <w:spacing w:line="240" w:lineRule="auto" w:before="4"/>
        <w:rPr>
          <w:rFonts w:ascii="宋体" w:hAnsi="宋体" w:cs="宋体" w:eastAsia="宋体" w:hint="default"/>
          <w:sz w:val="13"/>
          <w:szCs w:val="13"/>
        </w:rPr>
      </w:pPr>
    </w:p>
    <w:p>
      <w:pPr>
        <w:pStyle w:val="BodyText"/>
        <w:spacing w:line="240" w:lineRule="auto" w:before="36"/>
        <w:ind w:left="575" w:right="0"/>
        <w:jc w:val="left"/>
      </w:pPr>
      <w:r>
        <w:rPr/>
        <w:t>（</w:t>
      </w:r>
      <w:r>
        <w:rPr>
          <w:rFonts w:ascii="Times New Roman" w:hAnsi="Times New Roman" w:cs="Times New Roman" w:eastAsia="Times New Roman" w:hint="default"/>
        </w:rPr>
        <w:t>2</w:t>
      </w:r>
      <w:r>
        <w:rPr/>
        <w:t>）本报告期无已大额计提坏账准备的转回或应收账款收回。</w:t>
      </w:r>
    </w:p>
    <w:p>
      <w:pPr>
        <w:spacing w:line="240" w:lineRule="auto" w:before="5"/>
        <w:rPr>
          <w:rFonts w:ascii="宋体" w:hAnsi="宋体" w:cs="宋体" w:eastAsia="宋体" w:hint="default"/>
          <w:sz w:val="17"/>
          <w:szCs w:val="17"/>
        </w:rPr>
      </w:pPr>
    </w:p>
    <w:p>
      <w:pPr>
        <w:pStyle w:val="BodyText"/>
        <w:spacing w:line="240" w:lineRule="auto"/>
        <w:ind w:left="565" w:right="3657"/>
        <w:jc w:val="left"/>
      </w:pPr>
      <w:r>
        <w:rPr/>
        <w:t>（</w:t>
      </w:r>
      <w:r>
        <w:rPr>
          <w:rFonts w:ascii="Times New Roman" w:hAnsi="Times New Roman" w:cs="Times New Roman" w:eastAsia="Times New Roman" w:hint="default"/>
        </w:rPr>
        <w:t>3</w:t>
      </w:r>
      <w:r>
        <w:rPr/>
        <w:t>）本报告期无实际核销的应收账款。</w:t>
      </w:r>
    </w:p>
    <w:p>
      <w:pPr>
        <w:spacing w:line="240" w:lineRule="auto" w:before="10"/>
        <w:rPr>
          <w:rFonts w:ascii="宋体" w:hAnsi="宋体" w:cs="宋体" w:eastAsia="宋体" w:hint="default"/>
          <w:sz w:val="17"/>
          <w:szCs w:val="17"/>
        </w:rPr>
      </w:pPr>
    </w:p>
    <w:p>
      <w:pPr>
        <w:pStyle w:val="BodyText"/>
        <w:spacing w:line="240" w:lineRule="auto"/>
        <w:ind w:left="565" w:right="0"/>
        <w:jc w:val="left"/>
      </w:pPr>
      <w:r>
        <w:rPr/>
        <w:t>（</w:t>
      </w:r>
      <w:r>
        <w:rPr>
          <w:rFonts w:ascii="Times New Roman" w:hAnsi="Times New Roman" w:cs="Times New Roman" w:eastAsia="Times New Roman" w:hint="default"/>
        </w:rPr>
        <w:t>4</w:t>
      </w:r>
      <w:r>
        <w:rPr/>
        <w:t>）截至</w:t>
      </w:r>
      <w:r>
        <w:rPr>
          <w:spacing w:val="-5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4"/>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日，应收账款中无持有公司</w:t>
      </w:r>
      <w:r>
        <w:rPr>
          <w:spacing w:val="-54"/>
        </w:rPr>
        <w:t> </w:t>
      </w:r>
      <w:r>
        <w:rPr>
          <w:rFonts w:ascii="Times New Roman" w:hAnsi="Times New Roman" w:cs="Times New Roman" w:eastAsia="Times New Roman" w:hint="default"/>
        </w:rPr>
        <w:t>5%</w:t>
      </w:r>
      <w:r>
        <w:rPr/>
        <w:t>（含</w:t>
      </w:r>
      <w:r>
        <w:rPr>
          <w:spacing w:val="-54"/>
        </w:rPr>
        <w:t> </w:t>
      </w:r>
      <w:r>
        <w:rPr>
          <w:rFonts w:ascii="Times New Roman" w:hAnsi="Times New Roman" w:cs="Times New Roman" w:eastAsia="Times New Roman" w:hint="default"/>
        </w:rPr>
        <w:t>5%</w:t>
      </w:r>
      <w:r>
        <w:rPr/>
        <w:t>）以上表决权股份的股东欠款。</w:t>
      </w:r>
    </w:p>
    <w:p>
      <w:pPr>
        <w:spacing w:after="0" w:line="240" w:lineRule="auto"/>
        <w:jc w:val="left"/>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6"/>
          <w:szCs w:val="26"/>
        </w:rPr>
      </w:pPr>
    </w:p>
    <w:p>
      <w:pPr>
        <w:pStyle w:val="BodyText"/>
        <w:spacing w:line="240" w:lineRule="auto" w:before="36"/>
        <w:ind w:left="565" w:right="3657"/>
        <w:jc w:val="left"/>
      </w:pPr>
      <w:r>
        <w:rPr/>
        <w:t>（</w:t>
      </w:r>
      <w:r>
        <w:rPr>
          <w:rFonts w:ascii="Times New Roman" w:hAnsi="Times New Roman" w:cs="Times New Roman" w:eastAsia="Times New Roman" w:hint="default"/>
        </w:rPr>
        <w:t>5</w:t>
      </w:r>
      <w:r>
        <w:rPr/>
        <w:t>）应收账款金额明细</w:t>
      </w:r>
    </w:p>
    <w:tbl>
      <w:tblPr>
        <w:tblW w:w="0" w:type="auto"/>
        <w:jc w:val="left"/>
        <w:tblInd w:w="123" w:type="dxa"/>
        <w:tblLayout w:type="fixed"/>
        <w:tblCellMar>
          <w:top w:w="0" w:type="dxa"/>
          <w:left w:w="0" w:type="dxa"/>
          <w:bottom w:w="0" w:type="dxa"/>
          <w:right w:w="0" w:type="dxa"/>
        </w:tblCellMar>
        <w:tblLook w:val="01E0"/>
      </w:tblPr>
      <w:tblGrid>
        <w:gridCol w:w="2424"/>
        <w:gridCol w:w="1603"/>
        <w:gridCol w:w="1608"/>
        <w:gridCol w:w="1608"/>
        <w:gridCol w:w="2410"/>
      </w:tblGrid>
      <w:tr>
        <w:trPr>
          <w:trHeight w:val="518" w:hRule="exact"/>
        </w:trPr>
        <w:tc>
          <w:tcPr>
            <w:tcW w:w="242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160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与本公司关系</w:t>
            </w:r>
          </w:p>
        </w:tc>
        <w:tc>
          <w:tcPr>
            <w:tcW w:w="16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590"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6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年限</w:t>
            </w:r>
          </w:p>
        </w:tc>
        <w:tc>
          <w:tcPr>
            <w:tcW w:w="241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1"/>
              <w:jc w:val="right"/>
              <w:rPr>
                <w:rFonts w:ascii="宋体" w:hAnsi="宋体" w:cs="宋体" w:eastAsia="宋体" w:hint="default"/>
                <w:sz w:val="21"/>
                <w:szCs w:val="21"/>
              </w:rPr>
            </w:pPr>
            <w:r>
              <w:rPr>
                <w:rFonts w:ascii="宋体" w:hAnsi="宋体" w:cs="宋体" w:eastAsia="宋体" w:hint="default"/>
                <w:spacing w:val="-1"/>
                <w:sz w:val="21"/>
                <w:szCs w:val="21"/>
              </w:rPr>
              <w:t>占应收账款总额的比例</w:t>
            </w:r>
          </w:p>
        </w:tc>
      </w:tr>
      <w:tr>
        <w:trPr>
          <w:trHeight w:val="523" w:hRule="exact"/>
        </w:trPr>
        <w:tc>
          <w:tcPr>
            <w:tcW w:w="242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自然人（应收租金）</w:t>
            </w:r>
          </w:p>
        </w:tc>
        <w:tc>
          <w:tcPr>
            <w:tcW w:w="160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47" w:right="0"/>
              <w:jc w:val="left"/>
              <w:rPr>
                <w:rFonts w:ascii="Times New Roman" w:hAnsi="Times New Roman" w:cs="Times New Roman" w:eastAsia="Times New Roman" w:hint="default"/>
                <w:sz w:val="21"/>
                <w:szCs w:val="21"/>
              </w:rPr>
            </w:pPr>
            <w:r>
              <w:rPr>
                <w:rFonts w:ascii="Times New Roman"/>
                <w:sz w:val="21"/>
              </w:rPr>
              <w:t>130,687.40</w:t>
            </w:r>
          </w:p>
        </w:tc>
        <w:tc>
          <w:tcPr>
            <w:tcW w:w="16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1"/>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年以内</w:t>
            </w:r>
          </w:p>
        </w:tc>
        <w:tc>
          <w:tcPr>
            <w:tcW w:w="241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22"/>
        <w:ind w:right="3657"/>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3657"/>
        <w:jc w:val="left"/>
      </w:pPr>
      <w:r>
        <w:rPr/>
        <w:t>（</w:t>
      </w:r>
      <w:r>
        <w:rPr>
          <w:rFonts w:ascii="Times New Roman" w:hAnsi="Times New Roman" w:cs="Times New Roman" w:eastAsia="Times New Roman" w:hint="default"/>
        </w:rPr>
        <w:t>1</w:t>
      </w:r>
      <w:r>
        <w:rPr/>
        <w:t>）其他应收款按种类披露</w:t>
      </w:r>
    </w:p>
    <w:tbl>
      <w:tblPr>
        <w:tblW w:w="0" w:type="auto"/>
        <w:jc w:val="left"/>
        <w:tblInd w:w="123" w:type="dxa"/>
        <w:tblLayout w:type="fixed"/>
        <w:tblCellMar>
          <w:top w:w="0" w:type="dxa"/>
          <w:left w:w="0" w:type="dxa"/>
          <w:bottom w:w="0" w:type="dxa"/>
          <w:right w:w="0" w:type="dxa"/>
        </w:tblCellMar>
        <w:tblLook w:val="01E0"/>
      </w:tblPr>
      <w:tblGrid>
        <w:gridCol w:w="4411"/>
        <w:gridCol w:w="1555"/>
        <w:gridCol w:w="1138"/>
        <w:gridCol w:w="1416"/>
        <w:gridCol w:w="1133"/>
      </w:tblGrid>
      <w:tr>
        <w:trPr>
          <w:trHeight w:val="523" w:hRule="exact"/>
        </w:trPr>
        <w:tc>
          <w:tcPr>
            <w:tcW w:w="441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42"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528" w:hRule="exact"/>
        </w:trPr>
        <w:tc>
          <w:tcPr>
            <w:tcW w:w="441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4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28" w:hRule="exact"/>
        </w:trPr>
        <w:tc>
          <w:tcPr>
            <w:tcW w:w="4411" w:type="dxa"/>
            <w:vMerge/>
            <w:tcBorders>
              <w:left w:val="nil" w:sz="6" w:space="0" w:color="auto"/>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14"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1,083,790,011.63</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99.60%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182,129,730.47</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16.80%</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4,288,443.20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0.39%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3,866,663.21</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90.16%</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334,861.31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1,674.31</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0.50%</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3,953,581.89</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0.36%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3,864,988.90</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97.76%</w:t>
            </w:r>
          </w:p>
        </w:tc>
      </w:tr>
      <w:tr>
        <w:trPr>
          <w:trHeight w:val="514"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57,000.00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57,000.00</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2"/>
                <w:sz w:val="18"/>
              </w:rPr>
              <w:t>100.00%</w:t>
            </w:r>
          </w:p>
        </w:tc>
      </w:tr>
      <w:tr>
        <w:trPr>
          <w:trHeight w:val="518"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2"/>
                <w:sz w:val="18"/>
              </w:rPr>
              <w:t>1,088,135,454.83</w:t>
            </w:r>
            <w:r>
              <w:rPr>
                <w:rFonts w:ascii="Times New Roman"/>
                <w:spacing w:val="-2"/>
                <w:sz w:val="18"/>
              </w:rPr>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186,053,393.68</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13"/>
              <w:jc w:val="right"/>
              <w:rPr>
                <w:rFonts w:ascii="Times New Roman" w:hAnsi="Times New Roman" w:cs="Times New Roman" w:eastAsia="Times New Roman" w:hint="default"/>
                <w:sz w:val="18"/>
                <w:szCs w:val="18"/>
              </w:rPr>
            </w:pPr>
            <w:r>
              <w:rPr>
                <w:rFonts w:ascii="Times New Roman"/>
                <w:b/>
                <w:spacing w:val="-2"/>
                <w:sz w:val="18"/>
              </w:rPr>
              <w:t>0.00%</w:t>
            </w:r>
            <w:r>
              <w:rPr>
                <w:rFonts w:ascii="Times New Roman"/>
                <w:spacing w:val="-2"/>
                <w:sz w:val="18"/>
              </w:rPr>
            </w:r>
          </w:p>
        </w:tc>
      </w:tr>
    </w:tbl>
    <w:p>
      <w:pPr>
        <w:spacing w:line="240" w:lineRule="auto" w:before="2"/>
        <w:rPr>
          <w:rFonts w:ascii="宋体" w:hAnsi="宋体" w:cs="宋体" w:eastAsia="宋体" w:hint="default"/>
          <w:sz w:val="13"/>
          <w:szCs w:val="13"/>
        </w:rPr>
      </w:pPr>
    </w:p>
    <w:p>
      <w:pPr>
        <w:pStyle w:val="BodyText"/>
        <w:spacing w:line="240" w:lineRule="auto" w:before="36"/>
        <w:ind w:left="575" w:right="3657"/>
        <w:jc w:val="left"/>
      </w:pPr>
      <w:r>
        <w:rPr/>
        <w:t>续上表</w:t>
      </w:r>
    </w:p>
    <w:p>
      <w:pPr>
        <w:spacing w:line="240" w:lineRule="auto" w:before="7"/>
        <w:rPr>
          <w:rFonts w:ascii="宋体" w:hAnsi="宋体" w:cs="宋体" w:eastAsia="宋体" w:hint="default"/>
          <w:sz w:val="2"/>
          <w:szCs w:val="2"/>
        </w:rPr>
      </w:pPr>
    </w:p>
    <w:tbl>
      <w:tblPr>
        <w:tblW w:w="0" w:type="auto"/>
        <w:jc w:val="left"/>
        <w:tblInd w:w="123" w:type="dxa"/>
        <w:tblLayout w:type="fixed"/>
        <w:tblCellMar>
          <w:top w:w="0" w:type="dxa"/>
          <w:left w:w="0" w:type="dxa"/>
          <w:bottom w:w="0" w:type="dxa"/>
          <w:right w:w="0" w:type="dxa"/>
        </w:tblCellMar>
        <w:tblLook w:val="01E0"/>
      </w:tblPr>
      <w:tblGrid>
        <w:gridCol w:w="4411"/>
        <w:gridCol w:w="1555"/>
        <w:gridCol w:w="1138"/>
        <w:gridCol w:w="1416"/>
        <w:gridCol w:w="1133"/>
      </w:tblGrid>
      <w:tr>
        <w:trPr>
          <w:trHeight w:val="523" w:hRule="exact"/>
        </w:trPr>
        <w:tc>
          <w:tcPr>
            <w:tcW w:w="441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2"/>
                <w:szCs w:val="22"/>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5242" w:type="dxa"/>
            <w:gridSpan w:val="4"/>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28" w:hRule="exact"/>
        </w:trPr>
        <w:tc>
          <w:tcPr>
            <w:tcW w:w="4411" w:type="dxa"/>
            <w:vMerge/>
            <w:tcBorders>
              <w:left w:val="nil" w:sz="6" w:space="0" w:color="auto"/>
              <w:right w:val="single" w:sz="4" w:space="0" w:color="000000"/>
            </w:tcBorders>
          </w:tcPr>
          <w:p>
            <w:pP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549" w:type="dxa"/>
            <w:gridSpan w:val="2"/>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2"/>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533" w:hRule="exact"/>
        </w:trPr>
        <w:tc>
          <w:tcPr>
            <w:tcW w:w="4411" w:type="dxa"/>
            <w:vMerge/>
            <w:tcBorders>
              <w:left w:val="nil" w:sz="6" w:space="0" w:color="auto"/>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单项金额重大并单项计提坏账准备的应收账款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944,404,234.27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99.54%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194,738,302.94</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20.62%</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按组合计提坏账准备的应收账款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4,383,836.08</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0.46%</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3,919,410.18</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89.41%</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未逾期款项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466,509.97</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0.05%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2,284.07</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0.50%</w:t>
            </w:r>
          </w:p>
        </w:tc>
      </w:tr>
      <w:tr>
        <w:trPr>
          <w:trHeight w:val="514"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已逾期款项</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3,917,326.11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0.41%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3,917,126.11</w:t>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99.99%</w:t>
            </w:r>
          </w:p>
        </w:tc>
      </w:tr>
      <w:tr>
        <w:trPr>
          <w:trHeight w:val="509"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单项金额虽不重大但单项计提坏账准备的应收账款</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8"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55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948,788,070.35</w:t>
            </w:r>
            <w:r>
              <w:rPr>
                <w:rFonts w:ascii="Times New Roman"/>
                <w:spacing w:val="-1"/>
                <w:sz w:val="18"/>
              </w:rPr>
            </w:r>
          </w:p>
        </w:tc>
        <w:tc>
          <w:tcPr>
            <w:tcW w:w="11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198,657,713.12</w:t>
            </w:r>
            <w:r>
              <w:rPr>
                <w:rFonts w:ascii="Times New Roman"/>
                <w:spacing w:val="-1"/>
                <w:sz w:val="18"/>
              </w:rPr>
            </w:r>
          </w:p>
        </w:tc>
        <w:tc>
          <w:tcPr>
            <w:tcW w:w="1133"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13"/>
              <w:jc w:val="right"/>
              <w:rPr>
                <w:rFonts w:ascii="Times New Roman" w:hAnsi="Times New Roman" w:cs="Times New Roman" w:eastAsia="Times New Roman" w:hint="default"/>
                <w:sz w:val="18"/>
                <w:szCs w:val="18"/>
              </w:rPr>
            </w:pPr>
            <w:r>
              <w:rPr>
                <w:rFonts w:ascii="Times New Roman"/>
                <w:b/>
                <w:spacing w:val="-2"/>
                <w:sz w:val="18"/>
              </w:rPr>
              <w:t>20.94%</w:t>
            </w:r>
            <w:r>
              <w:rPr>
                <w:rFonts w:ascii="Times New Roman"/>
                <w:spacing w:val="-2"/>
                <w:sz w:val="18"/>
              </w:rPr>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980" w:right="10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left="675" w:right="0"/>
        <w:jc w:val="left"/>
      </w:pPr>
      <w:r>
        <w:rPr/>
        <w:t>组合中，按账龄分析法计提坏账准备的其他应收款：</w:t>
      </w: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1574"/>
        <w:gridCol w:w="1464"/>
        <w:gridCol w:w="936"/>
        <w:gridCol w:w="1570"/>
        <w:gridCol w:w="1416"/>
        <w:gridCol w:w="1133"/>
        <w:gridCol w:w="1560"/>
      </w:tblGrid>
      <w:tr>
        <w:trPr>
          <w:trHeight w:val="523" w:hRule="exact"/>
        </w:trPr>
        <w:tc>
          <w:tcPr>
            <w:tcW w:w="1574"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970"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9"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509" w:hRule="exact"/>
        </w:trPr>
        <w:tc>
          <w:tcPr>
            <w:tcW w:w="1574" w:type="dxa"/>
            <w:vMerge/>
            <w:tcBorders>
              <w:left w:val="nil" w:sz="6" w:space="0" w:color="auto"/>
              <w:right w:val="single" w:sz="4" w:space="0" w:color="000000"/>
            </w:tcBorders>
          </w:tcPr>
          <w:p>
            <w:pPr/>
          </w:p>
        </w:tc>
        <w:tc>
          <w:tcPr>
            <w:tcW w:w="24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5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509" w:hRule="exact"/>
        </w:trPr>
        <w:tc>
          <w:tcPr>
            <w:tcW w:w="1574" w:type="dxa"/>
            <w:vMerge/>
            <w:tcBorders>
              <w:left w:val="nil" w:sz="6" w:space="0" w:color="auto"/>
              <w:bottom w:val="single" w:sz="4" w:space="0" w:color="000000"/>
              <w:right w:val="single" w:sz="4" w:space="0" w:color="000000"/>
            </w:tcBorders>
          </w:tcPr>
          <w:p>
            <w:pP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48"/>
              <w:jc w:val="right"/>
              <w:rPr>
                <w:rFonts w:ascii="Times New Roman" w:hAnsi="Times New Roman" w:cs="Times New Roman" w:eastAsia="Times New Roman" w:hint="default"/>
                <w:sz w:val="18"/>
                <w:szCs w:val="18"/>
              </w:rPr>
            </w:pPr>
            <w:r>
              <w:rPr>
                <w:rFonts w:ascii="宋体" w:hAnsi="宋体" w:cs="宋体" w:eastAsia="宋体" w:hint="default"/>
                <w:spacing w:val="-2"/>
                <w:sz w:val="18"/>
                <w:szCs w:val="18"/>
              </w:rPr>
              <w:t>比例</w:t>
            </w:r>
            <w:r>
              <w:rPr>
                <w:rFonts w:ascii="Times New Roman" w:hAnsi="Times New Roman" w:cs="Times New Roman" w:eastAsia="Times New Roman" w:hint="default"/>
                <w:spacing w:val="-2"/>
                <w:sz w:val="18"/>
                <w:szCs w:val="18"/>
              </w:rPr>
              <w:t>(%)</w:t>
            </w:r>
          </w:p>
        </w:tc>
        <w:tc>
          <w:tcPr>
            <w:tcW w:w="1570"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p>
        </w:tc>
        <w:tc>
          <w:tcPr>
            <w:tcW w:w="1560" w:type="dxa"/>
            <w:vMerge/>
            <w:tcBorders>
              <w:left w:val="single" w:sz="4" w:space="0" w:color="000000"/>
              <w:bottom w:val="single" w:sz="4" w:space="0" w:color="000000"/>
              <w:right w:val="nil" w:sz="6" w:space="0" w:color="auto"/>
            </w:tcBorders>
          </w:tcPr>
          <w:p>
            <w:pP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17"/>
                <w:sz w:val="18"/>
                <w:szCs w:val="18"/>
              </w:rPr>
              <w:t> </w:t>
            </w:r>
            <w:r>
              <w:rPr>
                <w:rFonts w:ascii="宋体" w:hAnsi="宋体" w:cs="宋体" w:eastAsia="宋体" w:hint="default"/>
                <w:w w:val="101"/>
                <w:sz w:val="18"/>
                <w:szCs w:val="18"/>
              </w:rPr>
              <w:t>年</w:t>
            </w:r>
            <w:r>
              <w:rPr>
                <w:rFonts w:ascii="宋体" w:hAnsi="宋体" w:cs="宋体" w:eastAsia="宋体" w:hint="default"/>
                <w:spacing w:val="-5"/>
                <w:w w:val="101"/>
                <w:sz w:val="18"/>
                <w:szCs w:val="18"/>
              </w:rPr>
              <w:t>以</w:t>
            </w:r>
            <w:r>
              <w:rPr>
                <w:rFonts w:ascii="宋体" w:hAnsi="宋体" w:cs="宋体" w:eastAsia="宋体" w:hint="default"/>
                <w:spacing w:val="-92"/>
                <w:w w:val="101"/>
                <w:sz w:val="18"/>
                <w:szCs w:val="18"/>
              </w:rPr>
              <w:t>内</w:t>
            </w:r>
            <w:r>
              <w:rPr>
                <w:rFonts w:ascii="宋体" w:hAnsi="宋体" w:cs="宋体" w:eastAsia="宋体" w:hint="default"/>
                <w:spacing w:val="-5"/>
                <w:w w:val="101"/>
                <w:sz w:val="18"/>
                <w:szCs w:val="18"/>
              </w:rPr>
              <w:t>（</w:t>
            </w:r>
            <w:r>
              <w:rPr>
                <w:rFonts w:ascii="宋体" w:hAnsi="宋体" w:cs="宋体" w:eastAsia="宋体" w:hint="default"/>
                <w:w w:val="101"/>
                <w:sz w:val="18"/>
                <w:szCs w:val="18"/>
              </w:rPr>
              <w:t>含</w:t>
            </w:r>
            <w:r>
              <w:rPr>
                <w:rFonts w:ascii="宋体" w:hAnsi="宋体" w:cs="宋体" w:eastAsia="宋体" w:hint="default"/>
                <w:spacing w:val="-62"/>
                <w:sz w:val="18"/>
                <w:szCs w:val="18"/>
              </w:rPr>
              <w:t> </w:t>
            </w:r>
            <w:r>
              <w:rPr>
                <w:rFonts w:ascii="Times New Roman" w:hAnsi="Times New Roman" w:cs="Times New Roman" w:eastAsia="Times New Roman" w:hint="default"/>
                <w:w w:val="101"/>
                <w:sz w:val="18"/>
                <w:szCs w:val="18"/>
              </w:rPr>
              <w:t>1</w:t>
            </w:r>
            <w:r>
              <w:rPr>
                <w:rFonts w:ascii="Times New Roman" w:hAnsi="Times New Roman" w:cs="Times New Roman" w:eastAsia="Times New Roman" w:hint="default"/>
                <w:spacing w:val="-21"/>
                <w:sz w:val="18"/>
                <w:szCs w:val="18"/>
              </w:rPr>
              <w:t> </w:t>
            </w:r>
            <w:r>
              <w:rPr>
                <w:rFonts w:ascii="宋体" w:hAnsi="宋体" w:cs="宋体" w:eastAsia="宋体" w:hint="default"/>
                <w:w w:val="101"/>
                <w:sz w:val="18"/>
                <w:szCs w:val="18"/>
              </w:rPr>
              <w:t>年）</w:t>
            </w:r>
            <w:r>
              <w:rPr>
                <w:rFonts w:ascii="宋体" w:hAnsi="宋体" w:cs="宋体" w:eastAsia="宋体" w:hint="default"/>
                <w:sz w:val="18"/>
                <w:szCs w:val="18"/>
              </w:rPr>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93,255.78</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2.36%</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4,662.79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57,000.00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1.46%</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56,800.00</w:t>
            </w:r>
          </w:p>
        </w:tc>
      </w:tr>
      <w:tr>
        <w:trPr>
          <w:trHeight w:val="509"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157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年以上</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3,860,326.11</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97.64%</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3,860,326.11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3,860,326.11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98.54%</w:t>
            </w:r>
          </w:p>
        </w:tc>
        <w:tc>
          <w:tcPr>
            <w:tcW w:w="1560"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3,860,326.11</w:t>
            </w:r>
          </w:p>
        </w:tc>
      </w:tr>
      <w:tr>
        <w:trPr>
          <w:trHeight w:val="518" w:hRule="exact"/>
        </w:trPr>
        <w:tc>
          <w:tcPr>
            <w:tcW w:w="157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4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3,953,581.89</w:t>
            </w:r>
            <w:r>
              <w:rPr>
                <w:rFonts w:ascii="Times New Roman"/>
                <w:spacing w:val="-1"/>
                <w:sz w:val="18"/>
              </w:rPr>
            </w:r>
          </w:p>
        </w:tc>
        <w:tc>
          <w:tcPr>
            <w:tcW w:w="93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7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3,864,988.90</w:t>
            </w:r>
            <w:r>
              <w:rPr>
                <w:rFonts w:ascii="Times New Roman"/>
                <w:spacing w:val="-1"/>
                <w:sz w:val="18"/>
              </w:rPr>
            </w:r>
          </w:p>
        </w:tc>
        <w:tc>
          <w:tcPr>
            <w:tcW w:w="14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3,917,326.11</w:t>
            </w:r>
            <w:r>
              <w:rPr>
                <w:rFonts w:ascii="Times New Roman"/>
                <w:spacing w:val="-2"/>
                <w:sz w:val="18"/>
              </w:rPr>
            </w:r>
          </w:p>
        </w:tc>
        <w:tc>
          <w:tcPr>
            <w:tcW w:w="113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100.00%</w:t>
            </w:r>
            <w:r>
              <w:rPr>
                <w:rFonts w:ascii="Times New Roman"/>
                <w:spacing w:val="-2"/>
                <w:sz w:val="18"/>
              </w:rPr>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2"/>
                <w:sz w:val="18"/>
              </w:rPr>
              <w:t>3,917,126.11</w:t>
            </w:r>
            <w:r>
              <w:rPr>
                <w:rFonts w:ascii="Times New Roman"/>
                <w:spacing w:val="-2"/>
                <w:sz w:val="18"/>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7"/>
        <w:ind w:left="675" w:right="0"/>
        <w:jc w:val="left"/>
      </w:pPr>
      <w:r>
        <w:rPr/>
        <w:t>组合中，采用余额百分比法计提坏账准备的其他应收款：</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1613"/>
        <w:gridCol w:w="1358"/>
        <w:gridCol w:w="1358"/>
        <w:gridCol w:w="1358"/>
        <w:gridCol w:w="1358"/>
        <w:gridCol w:w="1358"/>
        <w:gridCol w:w="1358"/>
      </w:tblGrid>
      <w:tr>
        <w:trPr>
          <w:trHeight w:val="523" w:hRule="exact"/>
        </w:trPr>
        <w:tc>
          <w:tcPr>
            <w:tcW w:w="1613"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14"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4075" w:type="dxa"/>
            <w:gridSpan w:val="3"/>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期末数</w:t>
            </w:r>
          </w:p>
        </w:tc>
        <w:tc>
          <w:tcPr>
            <w:tcW w:w="4075" w:type="dxa"/>
            <w:gridSpan w:val="3"/>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期初数</w:t>
            </w:r>
          </w:p>
        </w:tc>
      </w:tr>
      <w:tr>
        <w:trPr>
          <w:trHeight w:val="509" w:hRule="exact"/>
        </w:trPr>
        <w:tc>
          <w:tcPr>
            <w:tcW w:w="1613" w:type="dxa"/>
            <w:vMerge/>
            <w:tcBorders>
              <w:left w:val="nil" w:sz="6" w:space="0" w:color="auto"/>
              <w:bottom w:val="single" w:sz="4" w:space="0" w:color="000000"/>
              <w:right w:val="single" w:sz="4" w:space="0" w:color="000000"/>
            </w:tcBorders>
          </w:tcPr>
          <w:p>
            <w:pP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9"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9"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9"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49"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计提比例</w:t>
            </w:r>
          </w:p>
        </w:tc>
        <w:tc>
          <w:tcPr>
            <w:tcW w:w="135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54"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523" w:hRule="exact"/>
        </w:trPr>
        <w:tc>
          <w:tcPr>
            <w:tcW w:w="161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未逾期款项</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92" w:right="0"/>
              <w:jc w:val="left"/>
              <w:rPr>
                <w:rFonts w:ascii="Times New Roman" w:hAnsi="Times New Roman" w:cs="Times New Roman" w:eastAsia="Times New Roman" w:hint="default"/>
                <w:sz w:val="21"/>
                <w:szCs w:val="21"/>
              </w:rPr>
            </w:pPr>
            <w:r>
              <w:rPr>
                <w:rFonts w:ascii="Times New Roman"/>
                <w:sz w:val="21"/>
              </w:rPr>
              <w:t>334,861.31</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696" w:right="0"/>
              <w:jc w:val="left"/>
              <w:rPr>
                <w:rFonts w:ascii="Times New Roman" w:hAnsi="Times New Roman" w:cs="Times New Roman" w:eastAsia="Times New Roman" w:hint="default"/>
                <w:sz w:val="21"/>
                <w:szCs w:val="21"/>
              </w:rPr>
            </w:pPr>
            <w:r>
              <w:rPr>
                <w:rFonts w:ascii="Times New Roman"/>
                <w:sz w:val="21"/>
              </w:rPr>
              <w:t>0.50%</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03" w:right="0"/>
              <w:jc w:val="left"/>
              <w:rPr>
                <w:rFonts w:ascii="Times New Roman" w:hAnsi="Times New Roman" w:cs="Times New Roman" w:eastAsia="Times New Roman" w:hint="default"/>
                <w:sz w:val="21"/>
                <w:szCs w:val="21"/>
              </w:rPr>
            </w:pPr>
            <w:r>
              <w:rPr>
                <w:rFonts w:ascii="Times New Roman"/>
                <w:sz w:val="21"/>
              </w:rPr>
              <w:t>1,674.31</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92" w:right="0"/>
              <w:jc w:val="left"/>
              <w:rPr>
                <w:rFonts w:ascii="Times New Roman" w:hAnsi="Times New Roman" w:cs="Times New Roman" w:eastAsia="Times New Roman" w:hint="default"/>
                <w:sz w:val="21"/>
                <w:szCs w:val="21"/>
              </w:rPr>
            </w:pPr>
            <w:r>
              <w:rPr>
                <w:rFonts w:ascii="Times New Roman"/>
                <w:sz w:val="21"/>
              </w:rPr>
              <w:t>466,509.97</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700" w:right="0"/>
              <w:jc w:val="left"/>
              <w:rPr>
                <w:rFonts w:ascii="Times New Roman" w:hAnsi="Times New Roman" w:cs="Times New Roman" w:eastAsia="Times New Roman" w:hint="default"/>
                <w:sz w:val="21"/>
                <w:szCs w:val="21"/>
              </w:rPr>
            </w:pPr>
            <w:r>
              <w:rPr>
                <w:rFonts w:ascii="Times New Roman"/>
                <w:sz w:val="21"/>
              </w:rPr>
              <w:t>0.50%</w:t>
            </w:r>
          </w:p>
        </w:tc>
        <w:tc>
          <w:tcPr>
            <w:tcW w:w="135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08" w:right="0"/>
              <w:jc w:val="left"/>
              <w:rPr>
                <w:rFonts w:ascii="Times New Roman" w:hAnsi="Times New Roman" w:cs="Times New Roman" w:eastAsia="Times New Roman" w:hint="default"/>
                <w:sz w:val="21"/>
                <w:szCs w:val="21"/>
              </w:rPr>
            </w:pPr>
            <w:r>
              <w:rPr>
                <w:rFonts w:ascii="Times New Roman"/>
                <w:sz w:val="21"/>
              </w:rPr>
              <w:t>2,284.07</w:t>
            </w:r>
          </w:p>
        </w:tc>
      </w:tr>
    </w:tbl>
    <w:p>
      <w:pPr>
        <w:spacing w:line="240" w:lineRule="auto" w:before="11"/>
        <w:rPr>
          <w:rFonts w:ascii="宋体" w:hAnsi="宋体" w:cs="宋体" w:eastAsia="宋体" w:hint="default"/>
          <w:sz w:val="11"/>
          <w:szCs w:val="11"/>
        </w:rPr>
      </w:pPr>
    </w:p>
    <w:p>
      <w:pPr>
        <w:pStyle w:val="BodyText"/>
        <w:spacing w:line="240" w:lineRule="auto" w:before="36"/>
        <w:ind w:left="675" w:right="0"/>
        <w:jc w:val="left"/>
      </w:pPr>
      <w:r>
        <w:rPr/>
        <w:t>期末单项金额重大，并已大额计提坏帐准备应收账款：</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101"/>
        <w:gridCol w:w="1666"/>
        <w:gridCol w:w="1666"/>
        <w:gridCol w:w="1666"/>
        <w:gridCol w:w="1666"/>
      </w:tblGrid>
      <w:tr>
        <w:trPr>
          <w:trHeight w:val="518" w:hRule="exact"/>
        </w:trPr>
        <w:tc>
          <w:tcPr>
            <w:tcW w:w="31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26" w:right="0"/>
              <w:jc w:val="left"/>
              <w:rPr>
                <w:rFonts w:ascii="宋体" w:hAnsi="宋体" w:cs="宋体" w:eastAsia="宋体" w:hint="default"/>
                <w:sz w:val="18"/>
                <w:szCs w:val="18"/>
              </w:rPr>
            </w:pPr>
            <w:r>
              <w:rPr>
                <w:rFonts w:ascii="宋体" w:hAnsi="宋体" w:cs="宋体" w:eastAsia="宋体" w:hint="default"/>
                <w:spacing w:val="-3"/>
                <w:sz w:val="18"/>
                <w:szCs w:val="18"/>
              </w:rPr>
              <w:t>其他应收款内容</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集团内子公司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901,460,281.16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514"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深圳市海龙王房地产开发有限公司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50,119,685.55</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50,119,685.55</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应收法人股相关款项</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47,236,627.18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47,236,627.18</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广州金宇房地产开发公司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24,881,441.50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24,881,441.50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应收代扣代缴的代持股所得税</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22,021,051.60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22,021,051.60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深圳桂兴贸易发展公司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18,588,821.90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18,588,821.90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深圳市鸿基广源贸易有限公司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3,260,739.46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3,260,739.46</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深圳丰华电子公司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2,691,859.01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2,691,859.01</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23" w:hRule="exact"/>
        </w:trPr>
        <w:tc>
          <w:tcPr>
            <w:tcW w:w="31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深圳市泉源实业发展有限公司</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2,600,000.00</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2,600,000.00</w:t>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bl>
    <w:p>
      <w:pPr>
        <w:spacing w:after="0" w:line="240" w:lineRule="auto"/>
        <w:jc w:val="center"/>
        <w:rPr>
          <w:rFonts w:ascii="宋体" w:hAnsi="宋体" w:cs="宋体" w:eastAsia="宋体" w:hint="default"/>
          <w:sz w:val="18"/>
          <w:szCs w:val="18"/>
        </w:rPr>
        <w:sectPr>
          <w:pgSz w:w="11900" w:h="16840"/>
          <w:pgMar w:header="762" w:footer="840" w:top="1000" w:bottom="1020" w:left="880" w:right="98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3101"/>
        <w:gridCol w:w="1666"/>
        <w:gridCol w:w="1666"/>
        <w:gridCol w:w="1666"/>
        <w:gridCol w:w="1666"/>
      </w:tblGrid>
      <w:tr>
        <w:trPr>
          <w:trHeight w:val="518" w:hRule="exact"/>
        </w:trPr>
        <w:tc>
          <w:tcPr>
            <w:tcW w:w="31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26" w:right="0"/>
              <w:jc w:val="left"/>
              <w:rPr>
                <w:rFonts w:ascii="宋体" w:hAnsi="宋体" w:cs="宋体" w:eastAsia="宋体" w:hint="default"/>
                <w:sz w:val="18"/>
                <w:szCs w:val="18"/>
              </w:rPr>
            </w:pPr>
            <w:r>
              <w:rPr>
                <w:rFonts w:ascii="宋体" w:hAnsi="宋体" w:cs="宋体" w:eastAsia="宋体" w:hint="default"/>
                <w:spacing w:val="-3"/>
                <w:sz w:val="18"/>
                <w:szCs w:val="18"/>
              </w:rPr>
              <w:t>其他应收款内容</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514"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深圳发中实业有限公司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2,500,000.00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2,500,000.00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南山综合楼消防工程款</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2,401,187.07</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2,401,187.07</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正中置业集团有限公司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2,112,317.20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2"/>
                <w:sz w:val="18"/>
              </w:rPr>
              <w:t>2,112,317.20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深圳市竣雄投资有限公司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1,530,000.00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1,530,000.00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龙岗五联村将军帽自然村</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1,386,000.00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1,386,000.00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珠海市鑫大生物工程有限公司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800,000.00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按可回收现值</w:t>
            </w:r>
          </w:p>
        </w:tc>
      </w:tr>
      <w:tr>
        <w:trPr>
          <w:trHeight w:val="518" w:hRule="exact"/>
        </w:trPr>
        <w:tc>
          <w:tcPr>
            <w:tcW w:w="31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1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2"/>
                <w:sz w:val="18"/>
              </w:rPr>
              <w:t>1,083,790,011.63</w:t>
            </w:r>
            <w:r>
              <w:rPr>
                <w:rFonts w:ascii="Times New Roman"/>
                <w:spacing w:val="-2"/>
                <w:sz w:val="18"/>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182,129,730.47</w:t>
            </w:r>
            <w:r>
              <w:rPr>
                <w:rFonts w:ascii="Times New Roman"/>
                <w:spacing w:val="-1"/>
                <w:sz w:val="18"/>
              </w:rPr>
            </w:r>
          </w:p>
        </w:tc>
        <w:tc>
          <w:tcPr>
            <w:tcW w:w="1666" w:type="dxa"/>
            <w:tcBorders>
              <w:top w:val="single" w:sz="4" w:space="0" w:color="000000"/>
              <w:left w:val="single" w:sz="4" w:space="0" w:color="000000"/>
              <w:bottom w:val="single" w:sz="12" w:space="0" w:color="000000"/>
              <w:right w:val="single" w:sz="4" w:space="0" w:color="000000"/>
            </w:tcBorders>
          </w:tcPr>
          <w:p>
            <w:pPr/>
          </w:p>
        </w:tc>
        <w:tc>
          <w:tcPr>
            <w:tcW w:w="1666" w:type="dxa"/>
            <w:tcBorders>
              <w:top w:val="single" w:sz="4" w:space="0" w:color="000000"/>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11"/>
          <w:szCs w:val="11"/>
        </w:rPr>
      </w:pPr>
    </w:p>
    <w:p>
      <w:pPr>
        <w:pStyle w:val="BodyText"/>
        <w:spacing w:line="240" w:lineRule="auto" w:before="36"/>
        <w:ind w:left="675" w:right="0"/>
        <w:jc w:val="left"/>
      </w:pPr>
      <w:r>
        <w:rPr/>
        <w:t>期末单项金额虽不重大但单项计提坏帐准备应收账款：</w:t>
      </w:r>
    </w:p>
    <w:p>
      <w:pPr>
        <w:spacing w:line="240" w:lineRule="auto" w:before="11"/>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101"/>
        <w:gridCol w:w="1666"/>
        <w:gridCol w:w="1666"/>
        <w:gridCol w:w="1666"/>
        <w:gridCol w:w="1666"/>
      </w:tblGrid>
      <w:tr>
        <w:trPr>
          <w:trHeight w:val="518" w:hRule="exact"/>
        </w:trPr>
        <w:tc>
          <w:tcPr>
            <w:tcW w:w="31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12" w:right="0"/>
              <w:jc w:val="left"/>
              <w:rPr>
                <w:rFonts w:ascii="宋体" w:hAnsi="宋体" w:cs="宋体" w:eastAsia="宋体" w:hint="default"/>
                <w:sz w:val="18"/>
                <w:szCs w:val="18"/>
              </w:rPr>
            </w:pPr>
            <w:r>
              <w:rPr>
                <w:rFonts w:ascii="宋体" w:hAnsi="宋体" w:cs="宋体" w:eastAsia="宋体" w:hint="default"/>
                <w:sz w:val="18"/>
                <w:szCs w:val="18"/>
              </w:rPr>
              <w:t>应收账款内容</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6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广州市睿明计算机科技有限公司</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56,000.00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56,000.00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4"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自然人</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1,000.00</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100.00%</w:t>
            </w:r>
          </w:p>
        </w:tc>
        <w:tc>
          <w:tcPr>
            <w:tcW w:w="16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无法收回</w:t>
            </w:r>
          </w:p>
        </w:tc>
      </w:tr>
      <w:tr>
        <w:trPr>
          <w:trHeight w:val="518" w:hRule="exact"/>
        </w:trPr>
        <w:tc>
          <w:tcPr>
            <w:tcW w:w="31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57,000.00</w:t>
            </w:r>
            <w:r>
              <w:rPr>
                <w:rFonts w:ascii="Times New Roman"/>
                <w:spacing w:val="-1"/>
                <w:sz w:val="18"/>
              </w:rPr>
            </w:r>
          </w:p>
        </w:tc>
        <w:tc>
          <w:tcPr>
            <w:tcW w:w="166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57,000.00</w:t>
            </w:r>
            <w:r>
              <w:rPr>
                <w:rFonts w:ascii="Times New Roman"/>
                <w:spacing w:val="-1"/>
                <w:sz w:val="18"/>
              </w:rPr>
            </w:r>
          </w:p>
        </w:tc>
        <w:tc>
          <w:tcPr>
            <w:tcW w:w="1666" w:type="dxa"/>
            <w:tcBorders>
              <w:top w:val="single" w:sz="4" w:space="0" w:color="000000"/>
              <w:left w:val="single" w:sz="4" w:space="0" w:color="000000"/>
              <w:bottom w:val="single" w:sz="12" w:space="0" w:color="000000"/>
              <w:right w:val="single" w:sz="4" w:space="0" w:color="000000"/>
            </w:tcBorders>
          </w:tcPr>
          <w:p>
            <w:pPr/>
          </w:p>
        </w:tc>
        <w:tc>
          <w:tcPr>
            <w:tcW w:w="1666" w:type="dxa"/>
            <w:tcBorders>
              <w:top w:val="single" w:sz="4" w:space="0" w:color="000000"/>
              <w:left w:val="single" w:sz="4" w:space="0" w:color="000000"/>
              <w:bottom w:val="single" w:sz="12" w:space="0" w:color="000000"/>
              <w:right w:val="nil" w:sz="6" w:space="0" w:color="auto"/>
            </w:tcBorders>
          </w:tcPr>
          <w:p>
            <w:pPr/>
          </w:p>
        </w:tc>
      </w:tr>
    </w:tbl>
    <w:p>
      <w:pPr>
        <w:spacing w:line="240" w:lineRule="auto" w:before="11"/>
        <w:rPr>
          <w:rFonts w:ascii="宋体" w:hAnsi="宋体" w:cs="宋体" w:eastAsia="宋体" w:hint="default"/>
          <w:sz w:val="11"/>
          <w:szCs w:val="11"/>
        </w:rPr>
      </w:pPr>
    </w:p>
    <w:p>
      <w:pPr>
        <w:pStyle w:val="BodyText"/>
        <w:spacing w:line="240" w:lineRule="auto" w:before="36"/>
        <w:ind w:left="675" w:right="0"/>
        <w:jc w:val="left"/>
      </w:pPr>
      <w:r>
        <w:rPr/>
        <w:t>（</w:t>
      </w:r>
      <w:r>
        <w:rPr>
          <w:rFonts w:ascii="Times New Roman" w:hAnsi="Times New Roman" w:cs="Times New Roman" w:eastAsia="Times New Roman" w:hint="default"/>
        </w:rPr>
        <w:t>2</w:t>
      </w:r>
      <w:r>
        <w:rPr/>
        <w:t>）本报告期内已大额计提坏账准备的转回或其他应收款收回情况</w:t>
      </w:r>
    </w:p>
    <w:tbl>
      <w:tblPr>
        <w:tblW w:w="0" w:type="auto"/>
        <w:jc w:val="left"/>
        <w:tblInd w:w="113" w:type="dxa"/>
        <w:tblLayout w:type="fixed"/>
        <w:tblCellMar>
          <w:top w:w="0" w:type="dxa"/>
          <w:left w:w="0" w:type="dxa"/>
          <w:bottom w:w="0" w:type="dxa"/>
          <w:right w:w="0" w:type="dxa"/>
        </w:tblCellMar>
        <w:tblLook w:val="01E0"/>
      </w:tblPr>
      <w:tblGrid>
        <w:gridCol w:w="2232"/>
        <w:gridCol w:w="1882"/>
        <w:gridCol w:w="1886"/>
        <w:gridCol w:w="1882"/>
        <w:gridCol w:w="1882"/>
      </w:tblGrid>
      <w:tr>
        <w:trPr>
          <w:trHeight w:val="1022" w:hRule="exact"/>
        </w:trPr>
        <w:tc>
          <w:tcPr>
            <w:tcW w:w="2232"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94" w:right="0"/>
              <w:jc w:val="left"/>
              <w:rPr>
                <w:rFonts w:ascii="宋体" w:hAnsi="宋体" w:cs="宋体" w:eastAsia="宋体" w:hint="default"/>
                <w:sz w:val="18"/>
                <w:szCs w:val="18"/>
              </w:rPr>
            </w:pPr>
            <w:r>
              <w:rPr>
                <w:rFonts w:ascii="宋体" w:hAnsi="宋体" w:cs="宋体" w:eastAsia="宋体" w:hint="default"/>
                <w:spacing w:val="-3"/>
                <w:sz w:val="18"/>
                <w:szCs w:val="18"/>
              </w:rPr>
              <w:t>其他应收款内容</w:t>
            </w:r>
          </w:p>
        </w:tc>
        <w:tc>
          <w:tcPr>
            <w:tcW w:w="18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pacing w:val="-3"/>
                <w:sz w:val="18"/>
                <w:szCs w:val="18"/>
              </w:rPr>
              <w:t>转回或收回原因</w:t>
            </w:r>
          </w:p>
        </w:tc>
        <w:tc>
          <w:tcPr>
            <w:tcW w:w="1886" w:type="dxa"/>
            <w:tcBorders>
              <w:top w:val="single" w:sz="12" w:space="0" w:color="000000"/>
              <w:left w:val="single" w:sz="4" w:space="0" w:color="000000"/>
              <w:bottom w:val="single" w:sz="4" w:space="0" w:color="000000"/>
              <w:right w:val="single" w:sz="4" w:space="0" w:color="000000"/>
            </w:tcBorders>
          </w:tcPr>
          <w:p>
            <w:pPr>
              <w:pStyle w:val="TableParagraph"/>
              <w:spacing w:line="500" w:lineRule="exact" w:before="46"/>
              <w:ind w:left="753" w:right="214" w:hanging="538"/>
              <w:jc w:val="left"/>
              <w:rPr>
                <w:rFonts w:ascii="宋体" w:hAnsi="宋体" w:cs="宋体" w:eastAsia="宋体" w:hint="default"/>
                <w:sz w:val="18"/>
                <w:szCs w:val="18"/>
              </w:rPr>
            </w:pPr>
            <w:r>
              <w:rPr>
                <w:rFonts w:ascii="宋体" w:hAnsi="宋体" w:cs="宋体" w:eastAsia="宋体" w:hint="default"/>
                <w:spacing w:val="-2"/>
                <w:sz w:val="18"/>
                <w:szCs w:val="18"/>
              </w:rPr>
              <w:t>确定原坏账准备的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依据</w:t>
            </w:r>
          </w:p>
        </w:tc>
        <w:tc>
          <w:tcPr>
            <w:tcW w:w="1882" w:type="dxa"/>
            <w:tcBorders>
              <w:top w:val="single" w:sz="12" w:space="0" w:color="000000"/>
              <w:left w:val="single" w:sz="4" w:space="0" w:color="000000"/>
              <w:bottom w:val="single" w:sz="4" w:space="0" w:color="000000"/>
              <w:right w:val="single" w:sz="4" w:space="0" w:color="000000"/>
            </w:tcBorders>
          </w:tcPr>
          <w:p>
            <w:pPr>
              <w:pStyle w:val="TableParagraph"/>
              <w:spacing w:line="500" w:lineRule="exact" w:before="46"/>
              <w:ind w:left="119" w:right="127" w:firstLine="91"/>
              <w:jc w:val="left"/>
              <w:rPr>
                <w:rFonts w:ascii="宋体" w:hAnsi="宋体" w:cs="宋体" w:eastAsia="宋体" w:hint="default"/>
                <w:sz w:val="18"/>
                <w:szCs w:val="18"/>
              </w:rPr>
            </w:pPr>
            <w:r>
              <w:rPr>
                <w:rFonts w:ascii="宋体" w:hAnsi="宋体" w:cs="宋体" w:eastAsia="宋体" w:hint="default"/>
                <w:sz w:val="18"/>
                <w:szCs w:val="18"/>
              </w:rPr>
              <w:t>转回或收回前累计</w:t>
            </w:r>
            <w:r>
              <w:rPr>
                <w:rFonts w:ascii="宋体" w:hAnsi="宋体" w:cs="宋体" w:eastAsia="宋体" w:hint="default"/>
                <w:w w:val="101"/>
                <w:sz w:val="18"/>
                <w:szCs w:val="18"/>
              </w:rPr>
              <w:t> </w:t>
            </w:r>
            <w:r>
              <w:rPr>
                <w:rFonts w:ascii="宋体" w:hAnsi="宋体" w:cs="宋体" w:eastAsia="宋体" w:hint="default"/>
                <w:spacing w:val="-3"/>
                <w:sz w:val="18"/>
                <w:szCs w:val="18"/>
              </w:rPr>
              <w:t>已计提坏账准备金额</w:t>
            </w:r>
          </w:p>
        </w:tc>
        <w:tc>
          <w:tcPr>
            <w:tcW w:w="1882"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pacing w:val="-3"/>
                <w:sz w:val="18"/>
                <w:szCs w:val="18"/>
              </w:rPr>
              <w:t>转回或收回金额</w:t>
            </w:r>
          </w:p>
        </w:tc>
      </w:tr>
      <w:tr>
        <w:trPr>
          <w:trHeight w:val="518" w:hRule="exact"/>
        </w:trPr>
        <w:tc>
          <w:tcPr>
            <w:tcW w:w="2232"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正中置业集团有限公司</w:t>
            </w:r>
          </w:p>
        </w:tc>
        <w:tc>
          <w:tcPr>
            <w:tcW w:w="18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已收回</w:t>
            </w:r>
          </w:p>
        </w:tc>
        <w:tc>
          <w:tcPr>
            <w:tcW w:w="18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76" w:right="0"/>
              <w:jc w:val="left"/>
              <w:rPr>
                <w:rFonts w:ascii="宋体" w:hAnsi="宋体" w:cs="宋体" w:eastAsia="宋体" w:hint="default"/>
                <w:sz w:val="18"/>
                <w:szCs w:val="18"/>
              </w:rPr>
            </w:pPr>
            <w:r>
              <w:rPr>
                <w:rFonts w:ascii="宋体" w:hAnsi="宋体" w:cs="宋体" w:eastAsia="宋体" w:hint="default"/>
                <w:sz w:val="18"/>
                <w:szCs w:val="18"/>
              </w:rPr>
              <w:t>无法收回</w:t>
            </w:r>
          </w:p>
        </w:tc>
        <w:tc>
          <w:tcPr>
            <w:tcW w:w="18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724" w:right="0"/>
              <w:jc w:val="left"/>
              <w:rPr>
                <w:rFonts w:ascii="Times New Roman" w:hAnsi="Times New Roman" w:cs="Times New Roman" w:eastAsia="Times New Roman" w:hint="default"/>
                <w:sz w:val="18"/>
                <w:szCs w:val="18"/>
              </w:rPr>
            </w:pPr>
            <w:r>
              <w:rPr>
                <w:rFonts w:ascii="Times New Roman"/>
                <w:sz w:val="18"/>
              </w:rPr>
              <w:t>15,020,889.67</w:t>
            </w:r>
          </w:p>
        </w:tc>
        <w:tc>
          <w:tcPr>
            <w:tcW w:w="1882"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12,908,572.47</w:t>
            </w:r>
          </w:p>
        </w:tc>
      </w:tr>
    </w:tbl>
    <w:p>
      <w:pPr>
        <w:spacing w:line="240" w:lineRule="auto" w:before="2"/>
        <w:rPr>
          <w:rFonts w:ascii="宋体" w:hAnsi="宋体" w:cs="宋体" w:eastAsia="宋体" w:hint="default"/>
          <w:sz w:val="13"/>
          <w:szCs w:val="13"/>
        </w:rPr>
      </w:pPr>
    </w:p>
    <w:p>
      <w:pPr>
        <w:pStyle w:val="BodyText"/>
        <w:spacing w:line="240" w:lineRule="auto" w:before="36"/>
        <w:ind w:left="675" w:right="0"/>
        <w:jc w:val="left"/>
      </w:pPr>
      <w:r>
        <w:rPr/>
        <w:t>本期转回的正中置业集团有限公司应收回原值为 </w:t>
      </w:r>
      <w:r>
        <w:rPr>
          <w:rFonts w:ascii="Times New Roman" w:hAnsi="Times New Roman" w:cs="Times New Roman" w:eastAsia="Times New Roman" w:hint="default"/>
        </w:rPr>
        <w:t>15,020,889.67</w:t>
      </w:r>
      <w:r>
        <w:rPr>
          <w:rFonts w:ascii="Times New Roman" w:hAnsi="Times New Roman" w:cs="Times New Roman" w:eastAsia="Times New Roman" w:hint="default"/>
          <w:spacing w:val="-28"/>
        </w:rPr>
        <w:t> </w:t>
      </w:r>
      <w:r>
        <w:rPr>
          <w:spacing w:val="-6"/>
        </w:rPr>
        <w:t>元，以前年度已全额计提坏帐，本期收</w:t>
      </w:r>
    </w:p>
    <w:p>
      <w:pPr>
        <w:spacing w:line="240" w:lineRule="auto" w:before="12"/>
        <w:rPr>
          <w:rFonts w:ascii="宋体" w:hAnsi="宋体" w:cs="宋体" w:eastAsia="宋体" w:hint="default"/>
          <w:sz w:val="15"/>
          <w:szCs w:val="15"/>
        </w:rPr>
      </w:pPr>
    </w:p>
    <w:p>
      <w:pPr>
        <w:pStyle w:val="BodyText"/>
        <w:spacing w:line="240" w:lineRule="auto"/>
        <w:ind w:left="252" w:right="0"/>
        <w:jc w:val="left"/>
      </w:pPr>
      <w:r>
        <w:rPr/>
        <w:t>回</w:t>
      </w:r>
      <w:r>
        <w:rPr>
          <w:spacing w:val="-53"/>
        </w:rPr>
        <w:t> </w:t>
      </w:r>
      <w:r>
        <w:rPr>
          <w:rFonts w:ascii="Times New Roman" w:hAnsi="Times New Roman" w:cs="Times New Roman" w:eastAsia="Times New Roman" w:hint="default"/>
        </w:rPr>
        <w:t>12,908,572.47 </w:t>
      </w:r>
      <w:r>
        <w:rPr/>
        <w:t>元，相应转回其原计提的坏帐准备。</w:t>
      </w:r>
    </w:p>
    <w:p>
      <w:pPr>
        <w:spacing w:line="240" w:lineRule="auto" w:before="4"/>
        <w:rPr>
          <w:rFonts w:ascii="宋体" w:hAnsi="宋体" w:cs="宋体" w:eastAsia="宋体" w:hint="default"/>
          <w:sz w:val="16"/>
          <w:szCs w:val="16"/>
        </w:rPr>
      </w:pPr>
    </w:p>
    <w:p>
      <w:pPr>
        <w:pStyle w:val="BodyText"/>
        <w:spacing w:line="240" w:lineRule="auto"/>
        <w:ind w:left="665" w:right="0"/>
        <w:jc w:val="left"/>
      </w:pPr>
      <w:r>
        <w:rPr/>
        <w:t>（</w:t>
      </w:r>
      <w:r>
        <w:rPr>
          <w:rFonts w:ascii="Times New Roman" w:hAnsi="Times New Roman" w:cs="Times New Roman" w:eastAsia="Times New Roman" w:hint="default"/>
        </w:rPr>
        <w:t>3</w:t>
      </w:r>
      <w:r>
        <w:rPr/>
        <w:t>）本报告期无实际核销的应收账款。</w:t>
      </w:r>
    </w:p>
    <w:p>
      <w:pPr>
        <w:spacing w:line="240" w:lineRule="auto" w:before="12"/>
        <w:rPr>
          <w:rFonts w:ascii="宋体" w:hAnsi="宋体" w:cs="宋体" w:eastAsia="宋体" w:hint="default"/>
          <w:sz w:val="15"/>
          <w:szCs w:val="15"/>
        </w:rPr>
      </w:pPr>
    </w:p>
    <w:p>
      <w:pPr>
        <w:pStyle w:val="BodyText"/>
        <w:spacing w:line="240" w:lineRule="auto"/>
        <w:ind w:left="665" w:right="0"/>
        <w:jc w:val="left"/>
      </w:pPr>
      <w:r>
        <w:rPr/>
        <w:t>（</w:t>
      </w:r>
      <w:r>
        <w:rPr>
          <w:rFonts w:ascii="Times New Roman" w:hAnsi="Times New Roman" w:cs="Times New Roman" w:eastAsia="Times New Roman" w:hint="default"/>
        </w:rPr>
        <w:t>4</w:t>
      </w:r>
      <w:r>
        <w:rPr/>
        <w:t>）截至</w:t>
      </w:r>
      <w:r>
        <w:rPr>
          <w:spacing w:val="-5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日，其他应收款中无持有公司</w:t>
      </w:r>
      <w:r>
        <w:rPr>
          <w:spacing w:val="-53"/>
        </w:rPr>
        <w:t> </w:t>
      </w:r>
      <w:r>
        <w:rPr>
          <w:rFonts w:ascii="Times New Roman" w:hAnsi="Times New Roman" w:cs="Times New Roman" w:eastAsia="Times New Roman" w:hint="default"/>
        </w:rPr>
        <w:t>5%</w:t>
      </w:r>
      <w:r>
        <w:rPr/>
        <w:t>（含</w:t>
      </w:r>
      <w:r>
        <w:rPr>
          <w:spacing w:val="-53"/>
        </w:rPr>
        <w:t> </w:t>
      </w:r>
      <w:r>
        <w:rPr>
          <w:rFonts w:ascii="Times New Roman" w:hAnsi="Times New Roman" w:cs="Times New Roman" w:eastAsia="Times New Roman" w:hint="default"/>
        </w:rPr>
        <w:t>5%</w:t>
      </w:r>
      <w:r>
        <w:rPr/>
        <w:t>）以上表决权股份的股东欠款。</w:t>
      </w:r>
    </w:p>
    <w:p>
      <w:pPr>
        <w:spacing w:line="240" w:lineRule="auto" w:before="12"/>
        <w:rPr>
          <w:rFonts w:ascii="宋体" w:hAnsi="宋体" w:cs="宋体" w:eastAsia="宋体" w:hint="default"/>
          <w:sz w:val="15"/>
          <w:szCs w:val="15"/>
        </w:rPr>
      </w:pPr>
    </w:p>
    <w:p>
      <w:pPr>
        <w:pStyle w:val="BodyText"/>
        <w:spacing w:line="240" w:lineRule="auto"/>
        <w:ind w:left="665" w:right="0"/>
        <w:jc w:val="left"/>
      </w:pPr>
      <w:r>
        <w:rPr/>
        <w:t>（</w:t>
      </w:r>
      <w:r>
        <w:rPr>
          <w:rFonts w:ascii="Times New Roman" w:hAnsi="Times New Roman" w:cs="Times New Roman" w:eastAsia="Times New Roman" w:hint="default"/>
        </w:rPr>
        <w:t>5</w:t>
      </w:r>
      <w:r>
        <w:rPr/>
        <w:t>）其他应收款金额前五名单位情况</w:t>
      </w:r>
    </w:p>
    <w:tbl>
      <w:tblPr>
        <w:tblW w:w="0" w:type="auto"/>
        <w:jc w:val="left"/>
        <w:tblInd w:w="113" w:type="dxa"/>
        <w:tblLayout w:type="fixed"/>
        <w:tblCellMar>
          <w:top w:w="0" w:type="dxa"/>
          <w:left w:w="0" w:type="dxa"/>
          <w:bottom w:w="0" w:type="dxa"/>
          <w:right w:w="0" w:type="dxa"/>
        </w:tblCellMar>
        <w:tblLook w:val="01E0"/>
      </w:tblPr>
      <w:tblGrid>
        <w:gridCol w:w="3245"/>
        <w:gridCol w:w="1632"/>
        <w:gridCol w:w="1627"/>
        <w:gridCol w:w="1632"/>
        <w:gridCol w:w="1627"/>
      </w:tblGrid>
      <w:tr>
        <w:trPr>
          <w:trHeight w:val="1022" w:hRule="exact"/>
        </w:trPr>
        <w:tc>
          <w:tcPr>
            <w:tcW w:w="3245"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2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627" w:type="dxa"/>
            <w:tcBorders>
              <w:top w:val="single" w:sz="12" w:space="0" w:color="000000"/>
              <w:left w:val="single" w:sz="4" w:space="0" w:color="000000"/>
              <w:bottom w:val="single" w:sz="4" w:space="0" w:color="000000"/>
              <w:right w:val="nil" w:sz="6" w:space="0" w:color="auto"/>
            </w:tcBorders>
          </w:tcPr>
          <w:p>
            <w:pPr>
              <w:pStyle w:val="TableParagraph"/>
              <w:spacing w:line="500" w:lineRule="exact" w:before="46"/>
              <w:ind w:left="355" w:right="271" w:hanging="92"/>
              <w:jc w:val="left"/>
              <w:rPr>
                <w:rFonts w:ascii="宋体" w:hAnsi="宋体" w:cs="宋体" w:eastAsia="宋体" w:hint="default"/>
                <w:sz w:val="18"/>
                <w:szCs w:val="18"/>
              </w:rPr>
            </w:pPr>
            <w:r>
              <w:rPr>
                <w:rFonts w:ascii="宋体" w:hAnsi="宋体" w:cs="宋体" w:eastAsia="宋体" w:hint="default"/>
                <w:spacing w:val="-2"/>
                <w:sz w:val="18"/>
                <w:szCs w:val="18"/>
              </w:rPr>
              <w:t>占其他应收款</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总额的比例</w:t>
            </w:r>
          </w:p>
        </w:tc>
      </w:tr>
      <w:tr>
        <w:trPr>
          <w:trHeight w:val="509" w:hRule="exact"/>
        </w:trPr>
        <w:tc>
          <w:tcPr>
            <w:tcW w:w="324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东莞市宜久房地产开发有限公司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390,019,011.44</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未逾期</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35.84%</w:t>
            </w:r>
          </w:p>
        </w:tc>
      </w:tr>
      <w:tr>
        <w:trPr>
          <w:trHeight w:val="509" w:hRule="exact"/>
        </w:trPr>
        <w:tc>
          <w:tcPr>
            <w:tcW w:w="324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湖南宝安鸿基房地产开发有限公司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208,443,550.92</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未逾期</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19.15%</w:t>
            </w:r>
          </w:p>
        </w:tc>
      </w:tr>
      <w:tr>
        <w:trPr>
          <w:trHeight w:val="523" w:hRule="exact"/>
        </w:trPr>
        <w:tc>
          <w:tcPr>
            <w:tcW w:w="324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惠州市宝安房地产开发有限公司</w:t>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62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120,647,583.17</w:t>
            </w:r>
          </w:p>
        </w:tc>
        <w:tc>
          <w:tcPr>
            <w:tcW w:w="163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未逾期</w:t>
            </w:r>
          </w:p>
        </w:tc>
        <w:tc>
          <w:tcPr>
            <w:tcW w:w="1627"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3"/>
                <w:sz w:val="18"/>
              </w:rPr>
              <w:t>11.09%</w:t>
            </w:r>
          </w:p>
        </w:tc>
      </w:tr>
    </w:tbl>
    <w:p>
      <w:pPr>
        <w:spacing w:after="0" w:line="240" w:lineRule="auto"/>
        <w:jc w:val="right"/>
        <w:rPr>
          <w:rFonts w:ascii="Times New Roman" w:hAnsi="Times New Roman" w:cs="Times New Roman" w:eastAsia="Times New Roman" w:hint="default"/>
          <w:sz w:val="18"/>
          <w:szCs w:val="18"/>
        </w:rPr>
        <w:sectPr>
          <w:pgSz w:w="11900" w:h="16840"/>
          <w:pgMar w:header="762" w:footer="840" w:top="1000" w:bottom="1020" w:left="880" w:right="9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3245"/>
        <w:gridCol w:w="1632"/>
        <w:gridCol w:w="1627"/>
        <w:gridCol w:w="1632"/>
        <w:gridCol w:w="1627"/>
      </w:tblGrid>
      <w:tr>
        <w:trPr>
          <w:trHeight w:val="1022" w:hRule="exact"/>
        </w:trPr>
        <w:tc>
          <w:tcPr>
            <w:tcW w:w="3245"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62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63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627" w:type="dxa"/>
            <w:tcBorders>
              <w:top w:val="single" w:sz="12" w:space="0" w:color="000000"/>
              <w:left w:val="single" w:sz="4" w:space="0" w:color="000000"/>
              <w:bottom w:val="single" w:sz="4" w:space="0" w:color="000000"/>
              <w:right w:val="nil" w:sz="6" w:space="0" w:color="auto"/>
            </w:tcBorders>
          </w:tcPr>
          <w:p>
            <w:pPr>
              <w:pStyle w:val="TableParagraph"/>
              <w:spacing w:line="500" w:lineRule="exact" w:before="46"/>
              <w:ind w:left="355" w:right="271" w:hanging="92"/>
              <w:jc w:val="left"/>
              <w:rPr>
                <w:rFonts w:ascii="宋体" w:hAnsi="宋体" w:cs="宋体" w:eastAsia="宋体" w:hint="default"/>
                <w:sz w:val="18"/>
                <w:szCs w:val="18"/>
              </w:rPr>
            </w:pPr>
            <w:r>
              <w:rPr>
                <w:rFonts w:ascii="宋体" w:hAnsi="宋体" w:cs="宋体" w:eastAsia="宋体" w:hint="default"/>
                <w:spacing w:val="-2"/>
                <w:sz w:val="18"/>
                <w:szCs w:val="18"/>
              </w:rPr>
              <w:t>占其他应收款</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总额的比例</w:t>
            </w:r>
          </w:p>
        </w:tc>
      </w:tr>
      <w:tr>
        <w:trPr>
          <w:trHeight w:val="509" w:hRule="exact"/>
        </w:trPr>
        <w:tc>
          <w:tcPr>
            <w:tcW w:w="324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惠东县宝安鸿基房地产开发有限公司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全资子公司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115,001,397.90</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未逾期</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10.57%</w:t>
            </w:r>
          </w:p>
        </w:tc>
      </w:tr>
      <w:tr>
        <w:trPr>
          <w:trHeight w:val="509" w:hRule="exact"/>
        </w:trPr>
        <w:tc>
          <w:tcPr>
            <w:tcW w:w="324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深圳市凯方实业发展有限公司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控股子公司</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61,230,211.65</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未逾期</w:t>
            </w:r>
          </w:p>
        </w:tc>
        <w:tc>
          <w:tcPr>
            <w:tcW w:w="16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5.63%</w:t>
            </w:r>
          </w:p>
        </w:tc>
      </w:tr>
      <w:tr>
        <w:trPr>
          <w:trHeight w:val="523" w:hRule="exact"/>
        </w:trPr>
        <w:tc>
          <w:tcPr>
            <w:tcW w:w="324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23"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1632" w:type="dxa"/>
            <w:tcBorders>
              <w:top w:val="single" w:sz="4" w:space="0" w:color="000000"/>
              <w:left w:val="single" w:sz="4" w:space="0" w:color="000000"/>
              <w:bottom w:val="single" w:sz="12" w:space="0" w:color="000000"/>
              <w:right w:val="single" w:sz="4" w:space="0" w:color="000000"/>
            </w:tcBorders>
          </w:tcPr>
          <w:p>
            <w:pPr/>
          </w:p>
        </w:tc>
        <w:tc>
          <w:tcPr>
            <w:tcW w:w="162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895,341,755.08</w:t>
            </w:r>
            <w:r>
              <w:rPr>
                <w:rFonts w:ascii="Times New Roman"/>
                <w:spacing w:val="-1"/>
                <w:sz w:val="18"/>
              </w:rPr>
            </w:r>
          </w:p>
        </w:tc>
        <w:tc>
          <w:tcPr>
            <w:tcW w:w="1632" w:type="dxa"/>
            <w:tcBorders>
              <w:top w:val="single" w:sz="4" w:space="0" w:color="000000"/>
              <w:left w:val="single" w:sz="4" w:space="0" w:color="000000"/>
              <w:bottom w:val="single" w:sz="12" w:space="0" w:color="000000"/>
              <w:right w:val="single" w:sz="4" w:space="0" w:color="000000"/>
            </w:tcBorders>
          </w:tcPr>
          <w:p>
            <w:pPr/>
          </w:p>
        </w:tc>
        <w:tc>
          <w:tcPr>
            <w:tcW w:w="16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108"/>
              <w:jc w:val="right"/>
              <w:rPr>
                <w:rFonts w:ascii="Times New Roman" w:hAnsi="Times New Roman" w:cs="Times New Roman" w:eastAsia="Times New Roman" w:hint="default"/>
                <w:sz w:val="18"/>
                <w:szCs w:val="18"/>
              </w:rPr>
            </w:pPr>
            <w:r>
              <w:rPr>
                <w:rFonts w:ascii="Times New Roman"/>
                <w:b/>
                <w:spacing w:val="-2"/>
                <w:sz w:val="18"/>
              </w:rPr>
              <w:t>82.28%</w:t>
            </w:r>
            <w:r>
              <w:rPr>
                <w:rFonts w:ascii="Times New Roman"/>
                <w:spacing w:val="-2"/>
                <w:sz w:val="18"/>
              </w:rPr>
            </w:r>
          </w:p>
        </w:tc>
      </w:tr>
    </w:tbl>
    <w:p>
      <w:pPr>
        <w:spacing w:line="240" w:lineRule="auto" w:before="11"/>
        <w:rPr>
          <w:rFonts w:ascii="宋体" w:hAnsi="宋体" w:cs="宋体" w:eastAsia="宋体" w:hint="default"/>
          <w:sz w:val="11"/>
          <w:szCs w:val="11"/>
        </w:rPr>
      </w:pPr>
    </w:p>
    <w:p>
      <w:pPr>
        <w:pStyle w:val="BodyText"/>
        <w:spacing w:line="240" w:lineRule="auto" w:before="36"/>
        <w:ind w:left="665" w:right="114"/>
        <w:jc w:val="left"/>
      </w:pPr>
      <w:r>
        <w:rPr/>
        <w:t>（</w:t>
      </w:r>
      <w:r>
        <w:rPr>
          <w:rFonts w:ascii="Times New Roman" w:hAnsi="Times New Roman" w:cs="Times New Roman" w:eastAsia="Times New Roman" w:hint="default"/>
        </w:rPr>
        <w:t>6</w:t>
      </w:r>
      <w:r>
        <w:rPr/>
        <w:t>）应收关联方账款情况</w:t>
      </w:r>
    </w:p>
    <w:tbl>
      <w:tblPr>
        <w:tblW w:w="0" w:type="auto"/>
        <w:jc w:val="left"/>
        <w:tblInd w:w="113" w:type="dxa"/>
        <w:tblLayout w:type="fixed"/>
        <w:tblCellMar>
          <w:top w:w="0" w:type="dxa"/>
          <w:left w:w="0" w:type="dxa"/>
          <w:bottom w:w="0" w:type="dxa"/>
          <w:right w:w="0" w:type="dxa"/>
        </w:tblCellMar>
        <w:tblLook w:val="01E0"/>
      </w:tblPr>
      <w:tblGrid>
        <w:gridCol w:w="3101"/>
        <w:gridCol w:w="2755"/>
        <w:gridCol w:w="1954"/>
        <w:gridCol w:w="1954"/>
      </w:tblGrid>
      <w:tr>
        <w:trPr>
          <w:trHeight w:val="821" w:hRule="exact"/>
        </w:trPr>
        <w:tc>
          <w:tcPr>
            <w:tcW w:w="310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2755"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743" w:right="0"/>
              <w:jc w:val="left"/>
              <w:rPr>
                <w:rFonts w:ascii="宋体" w:hAnsi="宋体" w:cs="宋体" w:eastAsia="宋体" w:hint="default"/>
                <w:sz w:val="21"/>
                <w:szCs w:val="21"/>
              </w:rPr>
            </w:pPr>
            <w:r>
              <w:rPr>
                <w:rFonts w:ascii="宋体" w:hAnsi="宋体" w:cs="宋体" w:eastAsia="宋体" w:hint="default"/>
                <w:sz w:val="21"/>
                <w:szCs w:val="21"/>
              </w:rPr>
              <w:t>与本公司关系</w:t>
            </w:r>
          </w:p>
        </w:tc>
        <w:tc>
          <w:tcPr>
            <w:tcW w:w="19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76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954" w:type="dxa"/>
            <w:tcBorders>
              <w:top w:val="single" w:sz="12" w:space="0" w:color="000000"/>
              <w:left w:val="single" w:sz="4" w:space="0" w:color="000000"/>
              <w:bottom w:val="single" w:sz="4" w:space="0" w:color="000000"/>
              <w:right w:val="nil" w:sz="6" w:space="0" w:color="auto"/>
            </w:tcBorders>
          </w:tcPr>
          <w:p>
            <w:pPr>
              <w:pStyle w:val="TableParagraph"/>
              <w:spacing w:line="398" w:lineRule="exact" w:before="17"/>
              <w:ind w:left="446" w:right="343" w:hanging="106"/>
              <w:jc w:val="left"/>
              <w:rPr>
                <w:rFonts w:ascii="宋体" w:hAnsi="宋体" w:cs="宋体" w:eastAsia="宋体" w:hint="default"/>
                <w:sz w:val="21"/>
                <w:szCs w:val="21"/>
              </w:rPr>
            </w:pPr>
            <w:r>
              <w:rPr>
                <w:rFonts w:ascii="宋体" w:hAnsi="宋体" w:cs="宋体" w:eastAsia="宋体" w:hint="default"/>
                <w:sz w:val="21"/>
                <w:szCs w:val="21"/>
              </w:rPr>
              <w:t>占其他应收款</w:t>
            </w:r>
            <w:r>
              <w:rPr>
                <w:rFonts w:ascii="宋体" w:hAnsi="宋体" w:cs="宋体" w:eastAsia="宋体" w:hint="default"/>
                <w:w w:val="100"/>
                <w:sz w:val="21"/>
                <w:szCs w:val="21"/>
              </w:rPr>
              <w:t> </w:t>
            </w:r>
            <w:r>
              <w:rPr>
                <w:rFonts w:ascii="宋体" w:hAnsi="宋体" w:cs="宋体" w:eastAsia="宋体" w:hint="default"/>
                <w:sz w:val="21"/>
                <w:szCs w:val="21"/>
              </w:rPr>
              <w:t>总额的比例</w:t>
            </w:r>
          </w:p>
        </w:tc>
      </w:tr>
      <w:tr>
        <w:trPr>
          <w:trHeight w:val="509"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深圳市鸿基广源贸易有限公司</w:t>
            </w:r>
          </w:p>
        </w:tc>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已进行清算程序的子公司</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734" w:right="0"/>
              <w:jc w:val="left"/>
              <w:rPr>
                <w:rFonts w:ascii="Times New Roman" w:hAnsi="Times New Roman" w:cs="Times New Roman" w:eastAsia="Times New Roman" w:hint="default"/>
                <w:sz w:val="21"/>
                <w:szCs w:val="21"/>
              </w:rPr>
            </w:pPr>
            <w:r>
              <w:rPr>
                <w:rFonts w:ascii="Times New Roman"/>
                <w:sz w:val="21"/>
              </w:rPr>
              <w:t>3,260,739.46</w:t>
            </w:r>
          </w:p>
        </w:tc>
        <w:tc>
          <w:tcPr>
            <w:tcW w:w="19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0.30%</w:t>
            </w:r>
          </w:p>
        </w:tc>
      </w:tr>
      <w:tr>
        <w:trPr>
          <w:trHeight w:val="792" w:hRule="exact"/>
        </w:trPr>
        <w:tc>
          <w:tcPr>
            <w:tcW w:w="310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深圳市泉源实业发展有限公司</w:t>
            </w:r>
          </w:p>
        </w:tc>
        <w:tc>
          <w:tcPr>
            <w:tcW w:w="27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5" w:right="104"/>
              <w:jc w:val="left"/>
              <w:rPr>
                <w:rFonts w:ascii="宋体" w:hAnsi="宋体" w:cs="宋体" w:eastAsia="宋体" w:hint="default"/>
                <w:sz w:val="21"/>
                <w:szCs w:val="21"/>
              </w:rPr>
            </w:pPr>
            <w:r>
              <w:rPr>
                <w:rFonts w:ascii="宋体" w:hAnsi="宋体" w:cs="宋体" w:eastAsia="宋体" w:hint="default"/>
                <w:sz w:val="21"/>
                <w:szCs w:val="21"/>
              </w:rPr>
              <w:t>子公司深圳市凯方实业发展</w:t>
            </w:r>
            <w:r>
              <w:rPr>
                <w:rFonts w:ascii="宋体" w:hAnsi="宋体" w:cs="宋体" w:eastAsia="宋体" w:hint="default"/>
                <w:spacing w:val="-92"/>
                <w:sz w:val="21"/>
                <w:szCs w:val="21"/>
              </w:rPr>
              <w:t> </w:t>
            </w:r>
            <w:r>
              <w:rPr>
                <w:rFonts w:ascii="宋体" w:hAnsi="宋体" w:cs="宋体" w:eastAsia="宋体" w:hint="default"/>
                <w:sz w:val="21"/>
                <w:szCs w:val="21"/>
              </w:rPr>
              <w:t>有限公司之联营企业</w:t>
            </w:r>
          </w:p>
        </w:tc>
        <w:tc>
          <w:tcPr>
            <w:tcW w:w="1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734" w:right="0"/>
              <w:jc w:val="left"/>
              <w:rPr>
                <w:rFonts w:ascii="Times New Roman" w:hAnsi="Times New Roman" w:cs="Times New Roman" w:eastAsia="Times New Roman" w:hint="default"/>
                <w:sz w:val="21"/>
                <w:szCs w:val="21"/>
              </w:rPr>
            </w:pPr>
            <w:r>
              <w:rPr>
                <w:rFonts w:ascii="Times New Roman"/>
                <w:sz w:val="21"/>
              </w:rPr>
              <w:t>2,600,000.00</w:t>
            </w:r>
          </w:p>
        </w:tc>
        <w:tc>
          <w:tcPr>
            <w:tcW w:w="195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0.24%</w:t>
            </w:r>
          </w:p>
        </w:tc>
      </w:tr>
      <w:tr>
        <w:trPr>
          <w:trHeight w:val="523" w:hRule="exact"/>
        </w:trPr>
        <w:tc>
          <w:tcPr>
            <w:tcW w:w="310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755" w:type="dxa"/>
            <w:tcBorders>
              <w:top w:val="single" w:sz="4" w:space="0" w:color="000000"/>
              <w:left w:val="single" w:sz="4" w:space="0" w:color="000000"/>
              <w:bottom w:val="single" w:sz="12" w:space="0" w:color="000000"/>
              <w:right w:val="single" w:sz="4" w:space="0" w:color="000000"/>
            </w:tcBorders>
          </w:tcPr>
          <w:p>
            <w:pPr/>
          </w:p>
        </w:tc>
        <w:tc>
          <w:tcPr>
            <w:tcW w:w="19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734" w:right="0"/>
              <w:jc w:val="left"/>
              <w:rPr>
                <w:rFonts w:ascii="Times New Roman" w:hAnsi="Times New Roman" w:cs="Times New Roman" w:eastAsia="Times New Roman" w:hint="default"/>
                <w:sz w:val="21"/>
                <w:szCs w:val="21"/>
              </w:rPr>
            </w:pPr>
            <w:r>
              <w:rPr>
                <w:rFonts w:ascii="Times New Roman"/>
                <w:b/>
                <w:sz w:val="21"/>
              </w:rPr>
              <w:t>5,860,739.46</w:t>
            </w:r>
            <w:r>
              <w:rPr>
                <w:rFonts w:ascii="Times New Roman"/>
                <w:sz w:val="21"/>
              </w:rPr>
            </w:r>
          </w:p>
        </w:tc>
        <w:tc>
          <w:tcPr>
            <w:tcW w:w="195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z w:val="21"/>
              </w:rPr>
              <w:t>0.54%</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880" w:right="1000"/>
        </w:sectPr>
      </w:pPr>
    </w:p>
    <w:p>
      <w:pPr>
        <w:spacing w:line="240" w:lineRule="auto" w:before="5"/>
        <w:rPr>
          <w:rFonts w:ascii="Times New Roman" w:hAnsi="Times New Roman" w:cs="Times New Roman" w:eastAsia="Times New Roman" w:hint="default"/>
          <w:sz w:val="17"/>
          <w:szCs w:val="17"/>
        </w:rPr>
      </w:pPr>
    </w:p>
    <w:p>
      <w:pPr>
        <w:spacing w:after="0" w:line="240" w:lineRule="auto"/>
        <w:rPr>
          <w:rFonts w:ascii="Times New Roman" w:hAnsi="Times New Roman" w:cs="Times New Roman" w:eastAsia="Times New Roman" w:hint="default"/>
          <w:sz w:val="17"/>
          <w:szCs w:val="17"/>
        </w:rPr>
        <w:sectPr>
          <w:pgSz w:w="11900" w:h="16840"/>
          <w:pgMar w:header="762" w:footer="840" w:top="1000" w:bottom="1020" w:left="980" w:right="1020"/>
        </w:sectPr>
      </w:pPr>
    </w:p>
    <w:p>
      <w:pPr>
        <w:spacing w:line="240" w:lineRule="auto" w:before="9"/>
        <w:rPr>
          <w:rFonts w:ascii="Times New Roman" w:hAnsi="Times New Roman" w:cs="Times New Roman" w:eastAsia="Times New Roman" w:hint="default"/>
          <w:sz w:val="24"/>
          <w:szCs w:val="24"/>
        </w:rPr>
      </w:pPr>
    </w:p>
    <w:p>
      <w:pPr>
        <w:pStyle w:val="Heading6"/>
        <w:spacing w:line="335" w:lineRule="exact"/>
        <w:ind w:left="240" w:right="0"/>
        <w:jc w:val="left"/>
        <w:rPr>
          <w:b w:val="0"/>
          <w:bCs w:val="0"/>
        </w:rPr>
      </w:pPr>
      <w:r>
        <w:rPr>
          <w:rFonts w:ascii="Times New Roman" w:hAnsi="Times New Roman" w:cs="Times New Roman" w:eastAsia="Times New Roman" w:hint="default"/>
        </w:rPr>
        <w:t>3</w:t>
      </w:r>
      <w:r>
        <w:rPr/>
        <w:t>、长期股权投资</w:t>
      </w:r>
      <w:r>
        <w:rPr>
          <w:b w:val="0"/>
          <w:bCs w:val="0"/>
        </w:rPr>
      </w:r>
    </w:p>
    <w:tbl>
      <w:tblPr>
        <w:tblW w:w="0" w:type="auto"/>
        <w:jc w:val="left"/>
        <w:tblInd w:w="115" w:type="dxa"/>
        <w:tblLayout w:type="fixed"/>
        <w:tblCellMar>
          <w:top w:w="0" w:type="dxa"/>
          <w:left w:w="0" w:type="dxa"/>
          <w:bottom w:w="0" w:type="dxa"/>
          <w:right w:w="0" w:type="dxa"/>
        </w:tblCellMar>
        <w:tblLook w:val="01E0"/>
      </w:tblPr>
      <w:tblGrid>
        <w:gridCol w:w="3370"/>
        <w:gridCol w:w="816"/>
        <w:gridCol w:w="1354"/>
        <w:gridCol w:w="1358"/>
        <w:gridCol w:w="1358"/>
        <w:gridCol w:w="1363"/>
        <w:gridCol w:w="811"/>
        <w:gridCol w:w="821"/>
        <w:gridCol w:w="1334"/>
        <w:gridCol w:w="840"/>
        <w:gridCol w:w="802"/>
      </w:tblGrid>
      <w:tr>
        <w:trPr>
          <w:trHeight w:val="525" w:hRule="exact"/>
        </w:trPr>
        <w:tc>
          <w:tcPr>
            <w:tcW w:w="3370" w:type="dxa"/>
            <w:tcBorders>
              <w:top w:val="single" w:sz="12" w:space="0" w:color="000000"/>
              <w:left w:val="nil" w:sz="6" w:space="0" w:color="auto"/>
              <w:bottom w:val="nil" w:sz="6" w:space="0" w:color="auto"/>
              <w:right w:val="single" w:sz="4" w:space="0" w:color="000000"/>
            </w:tcBorders>
          </w:tcPr>
          <w:p>
            <w:pPr/>
          </w:p>
        </w:tc>
        <w:tc>
          <w:tcPr>
            <w:tcW w:w="816" w:type="dxa"/>
            <w:tcBorders>
              <w:top w:val="single" w:sz="12" w:space="0" w:color="000000"/>
              <w:left w:val="single" w:sz="4" w:space="0" w:color="000000"/>
              <w:bottom w:val="nil" w:sz="6" w:space="0" w:color="auto"/>
              <w:right w:val="single" w:sz="4" w:space="0" w:color="000000"/>
            </w:tcBorders>
          </w:tcPr>
          <w:p>
            <w:pPr/>
          </w:p>
        </w:tc>
        <w:tc>
          <w:tcPr>
            <w:tcW w:w="1354" w:type="dxa"/>
            <w:tcBorders>
              <w:top w:val="single" w:sz="12" w:space="0" w:color="000000"/>
              <w:left w:val="single" w:sz="4" w:space="0" w:color="000000"/>
              <w:bottom w:val="nil" w:sz="6" w:space="0" w:color="auto"/>
              <w:right w:val="single" w:sz="4" w:space="0" w:color="000000"/>
            </w:tcBorders>
          </w:tcPr>
          <w:p>
            <w:pPr/>
          </w:p>
        </w:tc>
        <w:tc>
          <w:tcPr>
            <w:tcW w:w="1358" w:type="dxa"/>
            <w:tcBorders>
              <w:top w:val="single" w:sz="12" w:space="0" w:color="000000"/>
              <w:left w:val="single" w:sz="4" w:space="0" w:color="000000"/>
              <w:bottom w:val="nil" w:sz="6" w:space="0" w:color="auto"/>
              <w:right w:val="single" w:sz="4" w:space="0" w:color="000000"/>
            </w:tcBorders>
          </w:tcPr>
          <w:p>
            <w:pPr/>
          </w:p>
        </w:tc>
        <w:tc>
          <w:tcPr>
            <w:tcW w:w="1358" w:type="dxa"/>
            <w:tcBorders>
              <w:top w:val="single" w:sz="12" w:space="0" w:color="000000"/>
              <w:left w:val="single" w:sz="4" w:space="0" w:color="000000"/>
              <w:bottom w:val="nil" w:sz="6" w:space="0" w:color="auto"/>
              <w:right w:val="single" w:sz="4" w:space="0" w:color="000000"/>
            </w:tcBorders>
          </w:tcPr>
          <w:p>
            <w:pPr/>
          </w:p>
        </w:tc>
        <w:tc>
          <w:tcPr>
            <w:tcW w:w="1363" w:type="dxa"/>
            <w:tcBorders>
              <w:top w:val="single" w:sz="12" w:space="0" w:color="000000"/>
              <w:left w:val="single" w:sz="4" w:space="0" w:color="000000"/>
              <w:bottom w:val="nil" w:sz="6" w:space="0" w:color="auto"/>
              <w:right w:val="single" w:sz="4" w:space="0" w:color="000000"/>
            </w:tcBorders>
          </w:tcPr>
          <w:p>
            <w:pPr/>
          </w:p>
        </w:tc>
        <w:tc>
          <w:tcPr>
            <w:tcW w:w="8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在被投</w:t>
            </w:r>
          </w:p>
        </w:tc>
        <w:tc>
          <w:tcPr>
            <w:tcW w:w="8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right="0"/>
              <w:jc w:val="center"/>
              <w:rPr>
                <w:rFonts w:ascii="宋体" w:hAnsi="宋体" w:cs="宋体" w:eastAsia="宋体" w:hint="default"/>
                <w:sz w:val="18"/>
                <w:szCs w:val="18"/>
              </w:rPr>
            </w:pPr>
            <w:r>
              <w:rPr>
                <w:rFonts w:ascii="宋体" w:hAnsi="宋体" w:cs="宋体" w:eastAsia="宋体" w:hint="default"/>
                <w:sz w:val="18"/>
                <w:szCs w:val="18"/>
              </w:rPr>
              <w:t>在被投</w:t>
            </w:r>
          </w:p>
        </w:tc>
        <w:tc>
          <w:tcPr>
            <w:tcW w:w="1334" w:type="dxa"/>
            <w:tcBorders>
              <w:top w:val="single" w:sz="12" w:space="0" w:color="000000"/>
              <w:left w:val="single" w:sz="4" w:space="0" w:color="000000"/>
              <w:bottom w:val="nil" w:sz="6" w:space="0" w:color="auto"/>
              <w:right w:val="single" w:sz="4" w:space="0" w:color="000000"/>
            </w:tcBorders>
          </w:tcPr>
          <w:p>
            <w:pPr/>
          </w:p>
        </w:tc>
        <w:tc>
          <w:tcPr>
            <w:tcW w:w="8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Microsoft JhengHei" w:hAnsi="Microsoft JhengHei" w:cs="Microsoft JhengHei" w:eastAsia="Microsoft JhengHei"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本期计</w:t>
            </w:r>
          </w:p>
        </w:tc>
        <w:tc>
          <w:tcPr>
            <w:tcW w:w="802" w:type="dxa"/>
            <w:tcBorders>
              <w:top w:val="single" w:sz="12" w:space="0" w:color="000000"/>
              <w:left w:val="single" w:sz="4" w:space="0" w:color="000000"/>
              <w:bottom w:val="nil" w:sz="6" w:space="0" w:color="auto"/>
              <w:right w:val="nil" w:sz="6" w:space="0" w:color="auto"/>
            </w:tcBorders>
          </w:tcPr>
          <w:p>
            <w:pPr/>
          </w:p>
        </w:tc>
      </w:tr>
      <w:tr>
        <w:trPr>
          <w:trHeight w:val="360" w:hRule="exact"/>
        </w:trPr>
        <w:tc>
          <w:tcPr>
            <w:tcW w:w="3370"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核算</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0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1"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81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资单位</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资单位</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9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提减值</w:t>
            </w:r>
          </w:p>
        </w:tc>
        <w:tc>
          <w:tcPr>
            <w:tcW w:w="802" w:type="dxa"/>
            <w:tcBorders>
              <w:top w:val="nil" w:sz="6" w:space="0" w:color="auto"/>
              <w:left w:val="single" w:sz="4" w:space="0" w:color="000000"/>
              <w:bottom w:val="nil" w:sz="6" w:space="0" w:color="auto"/>
              <w:right w:val="nil" w:sz="6" w:space="0" w:color="auto"/>
            </w:tcBorders>
          </w:tcPr>
          <w:p>
            <w:pPr>
              <w:pStyle w:val="TableParagraph"/>
              <w:spacing w:line="182" w:lineRule="exact"/>
              <w:ind w:right="213"/>
              <w:jc w:val="right"/>
              <w:rPr>
                <w:rFonts w:ascii="宋体" w:hAnsi="宋体" w:cs="宋体" w:eastAsia="宋体" w:hint="default"/>
                <w:sz w:val="18"/>
                <w:szCs w:val="18"/>
              </w:rPr>
            </w:pPr>
            <w:r>
              <w:rPr>
                <w:rFonts w:ascii="宋体" w:hAnsi="宋体" w:cs="宋体" w:eastAsia="宋体" w:hint="default"/>
                <w:sz w:val="18"/>
                <w:szCs w:val="18"/>
              </w:rPr>
              <w:t>现金</w:t>
            </w:r>
          </w:p>
        </w:tc>
      </w:tr>
      <w:tr>
        <w:trPr>
          <w:trHeight w:val="360" w:hRule="exact"/>
        </w:trPr>
        <w:tc>
          <w:tcPr>
            <w:tcW w:w="3370" w:type="dxa"/>
            <w:tcBorders>
              <w:top w:val="nil" w:sz="6" w:space="0" w:color="auto"/>
              <w:left w:val="nil" w:sz="6" w:space="0" w:color="auto"/>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方法</w:t>
            </w:r>
          </w:p>
        </w:tc>
        <w:tc>
          <w:tcPr>
            <w:tcW w:w="1354" w:type="dxa"/>
            <w:tcBorders>
              <w:top w:val="nil" w:sz="6" w:space="0" w:color="auto"/>
              <w:left w:val="single" w:sz="4" w:space="0" w:color="000000"/>
              <w:bottom w:val="nil" w:sz="6" w:space="0" w:color="auto"/>
              <w:right w:val="single" w:sz="4" w:space="0" w:color="000000"/>
            </w:tcBorders>
          </w:tcPr>
          <w:p>
            <w:pPr/>
          </w:p>
        </w:tc>
        <w:tc>
          <w:tcPr>
            <w:tcW w:w="1358" w:type="dxa"/>
            <w:tcBorders>
              <w:top w:val="nil" w:sz="6" w:space="0" w:color="auto"/>
              <w:left w:val="single" w:sz="4" w:space="0" w:color="000000"/>
              <w:bottom w:val="nil" w:sz="6" w:space="0" w:color="auto"/>
              <w:right w:val="single" w:sz="4" w:space="0" w:color="000000"/>
            </w:tcBorders>
          </w:tcPr>
          <w:p>
            <w:pPr/>
          </w:p>
        </w:tc>
        <w:tc>
          <w:tcPr>
            <w:tcW w:w="1358" w:type="dxa"/>
            <w:tcBorders>
              <w:top w:val="nil" w:sz="6" w:space="0" w:color="auto"/>
              <w:left w:val="single" w:sz="4" w:space="0" w:color="000000"/>
              <w:bottom w:val="nil" w:sz="6" w:space="0" w:color="auto"/>
              <w:right w:val="single" w:sz="4" w:space="0" w:color="000000"/>
            </w:tcBorders>
          </w:tcPr>
          <w:p>
            <w:pPr/>
          </w:p>
        </w:tc>
        <w:tc>
          <w:tcPr>
            <w:tcW w:w="1363" w:type="dxa"/>
            <w:tcBorders>
              <w:top w:val="nil" w:sz="6" w:space="0" w:color="auto"/>
              <w:left w:val="single" w:sz="4" w:space="0" w:color="000000"/>
              <w:bottom w:val="nil" w:sz="6" w:space="0" w:color="auto"/>
              <w:right w:val="single" w:sz="4" w:space="0" w:color="000000"/>
            </w:tcBorders>
          </w:tcPr>
          <w:p>
            <w:pPr/>
          </w:p>
        </w:tc>
        <w:tc>
          <w:tcPr>
            <w:tcW w:w="81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2"/>
              <w:jc w:val="center"/>
              <w:rPr>
                <w:rFonts w:ascii="宋体" w:hAnsi="宋体" w:cs="宋体" w:eastAsia="宋体" w:hint="default"/>
                <w:sz w:val="18"/>
                <w:szCs w:val="18"/>
              </w:rPr>
            </w:pPr>
            <w:r>
              <w:rPr>
                <w:rFonts w:ascii="宋体" w:hAnsi="宋体" w:cs="宋体" w:eastAsia="宋体" w:hint="default"/>
                <w:sz w:val="18"/>
                <w:szCs w:val="18"/>
              </w:rPr>
              <w:t>持股</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表决权</w:t>
            </w:r>
          </w:p>
        </w:tc>
        <w:tc>
          <w:tcPr>
            <w:tcW w:w="133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2"/>
              <w:jc w:val="center"/>
              <w:rPr>
                <w:rFonts w:ascii="宋体" w:hAnsi="宋体" w:cs="宋体" w:eastAsia="宋体" w:hint="default"/>
                <w:sz w:val="18"/>
                <w:szCs w:val="18"/>
              </w:rPr>
            </w:pPr>
            <w:r>
              <w:rPr>
                <w:rFonts w:ascii="宋体" w:hAnsi="宋体" w:cs="宋体" w:eastAsia="宋体" w:hint="default"/>
                <w:sz w:val="18"/>
                <w:szCs w:val="18"/>
              </w:rPr>
              <w:t>准备</w:t>
            </w:r>
          </w:p>
        </w:tc>
        <w:tc>
          <w:tcPr>
            <w:tcW w:w="802" w:type="dxa"/>
            <w:tcBorders>
              <w:top w:val="nil" w:sz="6" w:space="0" w:color="auto"/>
              <w:left w:val="single" w:sz="4" w:space="0" w:color="000000"/>
              <w:bottom w:val="nil" w:sz="6" w:space="0" w:color="auto"/>
              <w:right w:val="nil" w:sz="6" w:space="0" w:color="auto"/>
            </w:tcBorders>
          </w:tcPr>
          <w:p>
            <w:pPr>
              <w:pStyle w:val="TableParagraph"/>
              <w:spacing w:line="182" w:lineRule="exact"/>
              <w:ind w:right="213"/>
              <w:jc w:val="right"/>
              <w:rPr>
                <w:rFonts w:ascii="宋体" w:hAnsi="宋体" w:cs="宋体" w:eastAsia="宋体" w:hint="default"/>
                <w:sz w:val="18"/>
                <w:szCs w:val="18"/>
              </w:rPr>
            </w:pPr>
            <w:r>
              <w:rPr>
                <w:rFonts w:ascii="宋体" w:hAnsi="宋体" w:cs="宋体" w:eastAsia="宋体" w:hint="default"/>
                <w:sz w:val="18"/>
                <w:szCs w:val="18"/>
              </w:rPr>
              <w:t>红利</w:t>
            </w:r>
          </w:p>
        </w:tc>
      </w:tr>
      <w:tr>
        <w:trPr>
          <w:trHeight w:val="219" w:hRule="exact"/>
        </w:trPr>
        <w:tc>
          <w:tcPr>
            <w:tcW w:w="3370" w:type="dxa"/>
            <w:tcBorders>
              <w:top w:val="nil" w:sz="6" w:space="0" w:color="auto"/>
              <w:left w:val="nil" w:sz="6" w:space="0" w:color="auto"/>
              <w:bottom w:val="single" w:sz="4" w:space="0" w:color="000000"/>
              <w:right w:val="single" w:sz="4" w:space="0" w:color="000000"/>
            </w:tcBorders>
          </w:tcPr>
          <w:p>
            <w:pPr/>
          </w:p>
        </w:tc>
        <w:tc>
          <w:tcPr>
            <w:tcW w:w="816" w:type="dxa"/>
            <w:tcBorders>
              <w:top w:val="nil" w:sz="6" w:space="0" w:color="auto"/>
              <w:left w:val="single" w:sz="4" w:space="0" w:color="000000"/>
              <w:bottom w:val="single" w:sz="4" w:space="0" w:color="000000"/>
              <w:right w:val="single" w:sz="4" w:space="0" w:color="000000"/>
            </w:tcBorders>
          </w:tcPr>
          <w:p>
            <w:pPr/>
          </w:p>
        </w:tc>
        <w:tc>
          <w:tcPr>
            <w:tcW w:w="1354" w:type="dxa"/>
            <w:tcBorders>
              <w:top w:val="nil" w:sz="6" w:space="0" w:color="auto"/>
              <w:left w:val="single" w:sz="4" w:space="0" w:color="000000"/>
              <w:bottom w:val="single" w:sz="4" w:space="0" w:color="000000"/>
              <w:right w:val="single" w:sz="4" w:space="0" w:color="000000"/>
            </w:tcBorders>
          </w:tcPr>
          <w:p>
            <w:pPr/>
          </w:p>
        </w:tc>
        <w:tc>
          <w:tcPr>
            <w:tcW w:w="1358" w:type="dxa"/>
            <w:tcBorders>
              <w:top w:val="nil" w:sz="6" w:space="0" w:color="auto"/>
              <w:left w:val="single" w:sz="4" w:space="0" w:color="000000"/>
              <w:bottom w:val="single" w:sz="4" w:space="0" w:color="000000"/>
              <w:right w:val="single" w:sz="4" w:space="0" w:color="000000"/>
            </w:tcBorders>
          </w:tcPr>
          <w:p>
            <w:pPr/>
          </w:p>
        </w:tc>
        <w:tc>
          <w:tcPr>
            <w:tcW w:w="1358" w:type="dxa"/>
            <w:tcBorders>
              <w:top w:val="nil" w:sz="6" w:space="0" w:color="auto"/>
              <w:left w:val="single" w:sz="4" w:space="0" w:color="000000"/>
              <w:bottom w:val="single" w:sz="4" w:space="0" w:color="000000"/>
              <w:right w:val="single" w:sz="4" w:space="0" w:color="000000"/>
            </w:tcBorders>
          </w:tcPr>
          <w:p>
            <w:pPr/>
          </w:p>
        </w:tc>
        <w:tc>
          <w:tcPr>
            <w:tcW w:w="1363" w:type="dxa"/>
            <w:tcBorders>
              <w:top w:val="nil" w:sz="6" w:space="0" w:color="auto"/>
              <w:left w:val="single" w:sz="4" w:space="0" w:color="000000"/>
              <w:bottom w:val="single" w:sz="4" w:space="0" w:color="000000"/>
              <w:right w:val="single" w:sz="4" w:space="0" w:color="000000"/>
            </w:tcBorders>
          </w:tcPr>
          <w:p>
            <w:pPr/>
          </w:p>
        </w:tc>
        <w:tc>
          <w:tcPr>
            <w:tcW w:w="811"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821"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right="2"/>
              <w:jc w:val="center"/>
              <w:rPr>
                <w:rFonts w:ascii="宋体" w:hAnsi="宋体" w:cs="宋体" w:eastAsia="宋体" w:hint="default"/>
                <w:sz w:val="18"/>
                <w:szCs w:val="18"/>
              </w:rPr>
            </w:pPr>
            <w:r>
              <w:rPr>
                <w:rFonts w:ascii="宋体" w:hAnsi="宋体" w:cs="宋体" w:eastAsia="宋体" w:hint="default"/>
                <w:sz w:val="18"/>
                <w:szCs w:val="18"/>
              </w:rPr>
              <w:t>比例</w:t>
            </w:r>
          </w:p>
        </w:tc>
        <w:tc>
          <w:tcPr>
            <w:tcW w:w="1334" w:type="dxa"/>
            <w:tcBorders>
              <w:top w:val="nil" w:sz="6" w:space="0" w:color="auto"/>
              <w:left w:val="single" w:sz="4" w:space="0" w:color="000000"/>
              <w:bottom w:val="single" w:sz="4" w:space="0" w:color="000000"/>
              <w:right w:val="single" w:sz="4" w:space="0" w:color="000000"/>
            </w:tcBorders>
          </w:tcPr>
          <w:p>
            <w:pPr/>
          </w:p>
        </w:tc>
        <w:tc>
          <w:tcPr>
            <w:tcW w:w="840"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nil" w:sz="6" w:space="0" w:color="auto"/>
            </w:tcBorders>
          </w:tcPr>
          <w:p>
            <w:pPr/>
          </w:p>
        </w:tc>
      </w:tr>
    </w:tbl>
    <w:p>
      <w:pPr>
        <w:spacing w:line="240" w:lineRule="auto" w:before="14"/>
        <w:rPr>
          <w:rFonts w:ascii="Microsoft JhengHei" w:hAnsi="Microsoft JhengHei" w:cs="Microsoft JhengHei" w:eastAsia="Microsoft JhengHei" w:hint="default"/>
          <w:b/>
          <w:bCs/>
          <w:sz w:val="7"/>
          <w:szCs w:val="7"/>
        </w:rPr>
      </w:pPr>
    </w:p>
    <w:p>
      <w:pPr>
        <w:spacing w:before="46"/>
        <w:ind w:left="240" w:right="0" w:firstLine="0"/>
        <w:jc w:val="left"/>
        <w:rPr>
          <w:rFonts w:ascii="宋体" w:hAnsi="宋体" w:cs="宋体" w:eastAsia="宋体" w:hint="default"/>
          <w:sz w:val="18"/>
          <w:szCs w:val="18"/>
        </w:rPr>
      </w:pPr>
      <w:r>
        <w:rPr>
          <w:rFonts w:ascii="宋体" w:hAnsi="宋体" w:cs="宋体" w:eastAsia="宋体" w:hint="default"/>
          <w:sz w:val="18"/>
          <w:szCs w:val="18"/>
        </w:rPr>
        <w:t>一、联营企业</w:t>
      </w:r>
    </w:p>
    <w:p>
      <w:pPr>
        <w:spacing w:line="240" w:lineRule="auto" w:before="1"/>
        <w:rPr>
          <w:rFonts w:ascii="宋体" w:hAnsi="宋体" w:cs="宋体" w:eastAsia="宋体" w:hint="default"/>
          <w:sz w:val="2"/>
          <w:szCs w:val="2"/>
        </w:rPr>
      </w:pPr>
    </w:p>
    <w:tbl>
      <w:tblPr>
        <w:tblW w:w="0" w:type="auto"/>
        <w:jc w:val="left"/>
        <w:tblInd w:w="124" w:type="dxa"/>
        <w:tblLayout w:type="fixed"/>
        <w:tblCellMar>
          <w:top w:w="0" w:type="dxa"/>
          <w:left w:w="0" w:type="dxa"/>
          <w:bottom w:w="0" w:type="dxa"/>
          <w:right w:w="0" w:type="dxa"/>
        </w:tblCellMar>
        <w:tblLook w:val="01E0"/>
      </w:tblPr>
      <w:tblGrid>
        <w:gridCol w:w="3370"/>
        <w:gridCol w:w="816"/>
        <w:gridCol w:w="1354"/>
        <w:gridCol w:w="1358"/>
        <w:gridCol w:w="1358"/>
        <w:gridCol w:w="1363"/>
        <w:gridCol w:w="811"/>
        <w:gridCol w:w="821"/>
        <w:gridCol w:w="1334"/>
        <w:gridCol w:w="840"/>
        <w:gridCol w:w="802"/>
      </w:tblGrid>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深圳市深威驳运有限公司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权益法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5,400,000.00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5,894,148.01</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7,095.49</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5,901,243.50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45.00%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福建东南广播电视网络有限公司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权益法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75,290,750.00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42,962,382.80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-4,211,331.13</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38,751,051.67</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38.69%</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38.69%</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6"/>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小计</w:t>
            </w:r>
            <w:r>
              <w:rPr>
                <w:rFonts w:ascii="Microsoft JhengHei" w:hAnsi="Microsoft JhengHei" w:cs="Microsoft JhengHei" w:eastAsia="Microsoft JhengHei"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80,690,750.00</w:t>
            </w:r>
            <w:r>
              <w:rPr>
                <w:rFonts w:ascii="Times New Roman"/>
                <w:spacing w:val="-1"/>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48,856,530.81</w:t>
            </w:r>
            <w:r>
              <w:rPr>
                <w:rFonts w:ascii="Times New Roman"/>
                <w:spacing w:val="-1"/>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-4,204,235.64</w:t>
            </w:r>
            <w:r>
              <w:rPr>
                <w:rFonts w:ascii="Times New Roman"/>
                <w:spacing w:val="-1"/>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44,652,295.17</w:t>
            </w:r>
            <w:r>
              <w:rPr>
                <w:rFonts w:ascii="Times New Roman"/>
                <w:spacing w:val="-1"/>
                <w:sz w:val="18"/>
              </w:rPr>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bl>
    <w:p>
      <w:pPr>
        <w:spacing w:line="240" w:lineRule="auto" w:before="9"/>
        <w:rPr>
          <w:rFonts w:ascii="宋体" w:hAnsi="宋体" w:cs="宋体" w:eastAsia="宋体" w:hint="default"/>
          <w:sz w:val="9"/>
          <w:szCs w:val="9"/>
        </w:rPr>
      </w:pPr>
    </w:p>
    <w:p>
      <w:pPr>
        <w:spacing w:before="46"/>
        <w:ind w:left="240" w:right="0" w:firstLine="0"/>
        <w:jc w:val="left"/>
        <w:rPr>
          <w:rFonts w:ascii="宋体" w:hAnsi="宋体" w:cs="宋体" w:eastAsia="宋体" w:hint="default"/>
          <w:sz w:val="18"/>
          <w:szCs w:val="18"/>
        </w:rPr>
      </w:pPr>
      <w:r>
        <w:rPr>
          <w:rFonts w:ascii="宋体" w:hAnsi="宋体" w:cs="宋体" w:eastAsia="宋体" w:hint="default"/>
          <w:sz w:val="18"/>
          <w:szCs w:val="18"/>
        </w:rPr>
        <w:t>二、子公司</w:t>
      </w:r>
    </w:p>
    <w:p>
      <w:pPr>
        <w:spacing w:line="240" w:lineRule="auto" w:before="1"/>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3384"/>
        <w:gridCol w:w="816"/>
        <w:gridCol w:w="1354"/>
        <w:gridCol w:w="1358"/>
        <w:gridCol w:w="1358"/>
        <w:gridCol w:w="1363"/>
        <w:gridCol w:w="811"/>
        <w:gridCol w:w="821"/>
        <w:gridCol w:w="1334"/>
        <w:gridCol w:w="840"/>
        <w:gridCol w:w="811"/>
      </w:tblGrid>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深圳市鸿基物流有限公司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118,226,328.96</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118,226,328.96</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2"/>
                <w:sz w:val="18"/>
              </w:rPr>
              <w:t>118,226,328.96</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31,838,360.94</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深圳市鸿基房地产有限公司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60,800,200.00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60,800,200.00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60,800,200.00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深圳市龙岗鸿基房地产开发有限公司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30,967,700.00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30,967,700.00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30,967,700.00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30,093,000.00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46"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深圳市鸿基物业管理有限公司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10,267,600.00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10,267,600.00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10,267,600.00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深圳市凯方实业发展有限公司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10,500,000.00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10,500,000.00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10,500,000.00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70%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10,500,000.00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西安深鸿基房地产开发有限公司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295,940,000.00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295,940,000.00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295,940,000.00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陕西宝安鸿基房地产开发有限公司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46"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安徽宝安鸿基房地产开发有限公司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深圳市宝鹏物流有限公司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东莞市宜久房地产开发有限公司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61" w:hRule="exact"/>
        </w:trPr>
        <w:tc>
          <w:tcPr>
            <w:tcW w:w="338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东莞市宝安鸿基房地产开发有限公司</w:t>
            </w:r>
          </w:p>
        </w:tc>
        <w:tc>
          <w:tcPr>
            <w:tcW w:w="8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20,000,000.00</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20,000,000.00</w:t>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20,000,000.00</w:t>
            </w:r>
          </w:p>
        </w:tc>
        <w:tc>
          <w:tcPr>
            <w:tcW w:w="81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42"/>
          <w:footerReference w:type="default" r:id="rId43"/>
          <w:pgSz w:w="16840" w:h="11900" w:orient="landscape"/>
          <w:pgMar w:header="756" w:footer="840" w:top="980" w:bottom="1020" w:left="1200" w:right="1140"/>
          <w:pgNumType w:start="131"/>
        </w:sectPr>
      </w:pPr>
    </w:p>
    <w:p>
      <w:pPr>
        <w:spacing w:line="240" w:lineRule="auto" w:before="12"/>
        <w:rPr>
          <w:rFonts w:ascii="宋体" w:hAnsi="宋体" w:cs="宋体" w:eastAsia="宋体" w:hint="default"/>
          <w:sz w:val="9"/>
          <w:szCs w:val="9"/>
        </w:rPr>
      </w:pPr>
    </w:p>
    <w:tbl>
      <w:tblPr>
        <w:tblW w:w="0" w:type="auto"/>
        <w:jc w:val="left"/>
        <w:tblInd w:w="115" w:type="dxa"/>
        <w:tblLayout w:type="fixed"/>
        <w:tblCellMar>
          <w:top w:w="0" w:type="dxa"/>
          <w:left w:w="0" w:type="dxa"/>
          <w:bottom w:w="0" w:type="dxa"/>
          <w:right w:w="0" w:type="dxa"/>
        </w:tblCellMar>
        <w:tblLook w:val="01E0"/>
      </w:tblPr>
      <w:tblGrid>
        <w:gridCol w:w="3370"/>
        <w:gridCol w:w="816"/>
        <w:gridCol w:w="1354"/>
        <w:gridCol w:w="1358"/>
        <w:gridCol w:w="1358"/>
        <w:gridCol w:w="1363"/>
        <w:gridCol w:w="811"/>
        <w:gridCol w:w="821"/>
        <w:gridCol w:w="1334"/>
        <w:gridCol w:w="840"/>
        <w:gridCol w:w="802"/>
      </w:tblGrid>
      <w:tr>
        <w:trPr>
          <w:trHeight w:val="525" w:hRule="exact"/>
        </w:trPr>
        <w:tc>
          <w:tcPr>
            <w:tcW w:w="3370" w:type="dxa"/>
            <w:tcBorders>
              <w:top w:val="single" w:sz="12" w:space="0" w:color="000000"/>
              <w:left w:val="nil" w:sz="6" w:space="0" w:color="auto"/>
              <w:bottom w:val="nil" w:sz="6" w:space="0" w:color="auto"/>
              <w:right w:val="single" w:sz="4" w:space="0" w:color="000000"/>
            </w:tcBorders>
          </w:tcPr>
          <w:p>
            <w:pPr/>
          </w:p>
        </w:tc>
        <w:tc>
          <w:tcPr>
            <w:tcW w:w="816" w:type="dxa"/>
            <w:tcBorders>
              <w:top w:val="single" w:sz="12" w:space="0" w:color="000000"/>
              <w:left w:val="single" w:sz="4" w:space="0" w:color="000000"/>
              <w:bottom w:val="nil" w:sz="6" w:space="0" w:color="auto"/>
              <w:right w:val="single" w:sz="4" w:space="0" w:color="000000"/>
            </w:tcBorders>
          </w:tcPr>
          <w:p>
            <w:pPr/>
          </w:p>
        </w:tc>
        <w:tc>
          <w:tcPr>
            <w:tcW w:w="1354" w:type="dxa"/>
            <w:tcBorders>
              <w:top w:val="single" w:sz="12" w:space="0" w:color="000000"/>
              <w:left w:val="single" w:sz="4" w:space="0" w:color="000000"/>
              <w:bottom w:val="nil" w:sz="6" w:space="0" w:color="auto"/>
              <w:right w:val="single" w:sz="4" w:space="0" w:color="000000"/>
            </w:tcBorders>
          </w:tcPr>
          <w:p>
            <w:pPr/>
          </w:p>
        </w:tc>
        <w:tc>
          <w:tcPr>
            <w:tcW w:w="1358" w:type="dxa"/>
            <w:tcBorders>
              <w:top w:val="single" w:sz="12" w:space="0" w:color="000000"/>
              <w:left w:val="single" w:sz="4" w:space="0" w:color="000000"/>
              <w:bottom w:val="nil" w:sz="6" w:space="0" w:color="auto"/>
              <w:right w:val="single" w:sz="4" w:space="0" w:color="000000"/>
            </w:tcBorders>
          </w:tcPr>
          <w:p>
            <w:pPr/>
          </w:p>
        </w:tc>
        <w:tc>
          <w:tcPr>
            <w:tcW w:w="1358" w:type="dxa"/>
            <w:tcBorders>
              <w:top w:val="single" w:sz="12" w:space="0" w:color="000000"/>
              <w:left w:val="single" w:sz="4" w:space="0" w:color="000000"/>
              <w:bottom w:val="nil" w:sz="6" w:space="0" w:color="auto"/>
              <w:right w:val="single" w:sz="4" w:space="0" w:color="000000"/>
            </w:tcBorders>
          </w:tcPr>
          <w:p>
            <w:pPr/>
          </w:p>
        </w:tc>
        <w:tc>
          <w:tcPr>
            <w:tcW w:w="1363" w:type="dxa"/>
            <w:tcBorders>
              <w:top w:val="single" w:sz="12" w:space="0" w:color="000000"/>
              <w:left w:val="single" w:sz="4" w:space="0" w:color="000000"/>
              <w:bottom w:val="nil" w:sz="6" w:space="0" w:color="auto"/>
              <w:right w:val="single" w:sz="4" w:space="0" w:color="000000"/>
            </w:tcBorders>
          </w:tcPr>
          <w:p>
            <w:pPr/>
          </w:p>
        </w:tc>
        <w:tc>
          <w:tcPr>
            <w:tcW w:w="8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right="127"/>
              <w:jc w:val="right"/>
              <w:rPr>
                <w:rFonts w:ascii="宋体" w:hAnsi="宋体" w:cs="宋体" w:eastAsia="宋体" w:hint="default"/>
                <w:sz w:val="18"/>
                <w:szCs w:val="18"/>
              </w:rPr>
            </w:pPr>
            <w:r>
              <w:rPr>
                <w:rFonts w:ascii="宋体" w:hAnsi="宋体" w:cs="宋体" w:eastAsia="宋体" w:hint="default"/>
                <w:spacing w:val="-2"/>
                <w:sz w:val="18"/>
                <w:szCs w:val="18"/>
              </w:rPr>
              <w:t>在被投</w:t>
            </w:r>
          </w:p>
        </w:tc>
        <w:tc>
          <w:tcPr>
            <w:tcW w:w="8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right="132"/>
              <w:jc w:val="right"/>
              <w:rPr>
                <w:rFonts w:ascii="宋体" w:hAnsi="宋体" w:cs="宋体" w:eastAsia="宋体" w:hint="default"/>
                <w:sz w:val="18"/>
                <w:szCs w:val="18"/>
              </w:rPr>
            </w:pPr>
            <w:r>
              <w:rPr>
                <w:rFonts w:ascii="宋体" w:hAnsi="宋体" w:cs="宋体" w:eastAsia="宋体" w:hint="default"/>
                <w:spacing w:val="-2"/>
                <w:sz w:val="18"/>
                <w:szCs w:val="18"/>
              </w:rPr>
              <w:t>在被投</w:t>
            </w:r>
          </w:p>
        </w:tc>
        <w:tc>
          <w:tcPr>
            <w:tcW w:w="1334" w:type="dxa"/>
            <w:tcBorders>
              <w:top w:val="single" w:sz="12" w:space="0" w:color="000000"/>
              <w:left w:val="single" w:sz="4" w:space="0" w:color="000000"/>
              <w:bottom w:val="nil" w:sz="6" w:space="0" w:color="auto"/>
              <w:right w:val="single" w:sz="4" w:space="0" w:color="000000"/>
            </w:tcBorders>
          </w:tcPr>
          <w:p>
            <w:pPr/>
          </w:p>
        </w:tc>
        <w:tc>
          <w:tcPr>
            <w:tcW w:w="8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141"/>
              <w:jc w:val="right"/>
              <w:rPr>
                <w:rFonts w:ascii="宋体" w:hAnsi="宋体" w:cs="宋体" w:eastAsia="宋体" w:hint="default"/>
                <w:sz w:val="18"/>
                <w:szCs w:val="18"/>
              </w:rPr>
            </w:pPr>
            <w:r>
              <w:rPr>
                <w:rFonts w:ascii="宋体" w:hAnsi="宋体" w:cs="宋体" w:eastAsia="宋体" w:hint="default"/>
                <w:spacing w:val="-2"/>
                <w:sz w:val="18"/>
                <w:szCs w:val="18"/>
              </w:rPr>
              <w:t>本期计</w:t>
            </w:r>
          </w:p>
        </w:tc>
        <w:tc>
          <w:tcPr>
            <w:tcW w:w="802" w:type="dxa"/>
            <w:tcBorders>
              <w:top w:val="single" w:sz="12" w:space="0" w:color="000000"/>
              <w:left w:val="single" w:sz="4" w:space="0" w:color="000000"/>
              <w:bottom w:val="nil" w:sz="6" w:space="0" w:color="auto"/>
              <w:right w:val="nil" w:sz="6" w:space="0" w:color="auto"/>
            </w:tcBorders>
          </w:tcPr>
          <w:p>
            <w:pPr/>
          </w:p>
        </w:tc>
      </w:tr>
      <w:tr>
        <w:trPr>
          <w:trHeight w:val="360" w:hRule="exact"/>
        </w:trPr>
        <w:tc>
          <w:tcPr>
            <w:tcW w:w="3370"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核算</w:t>
            </w:r>
          </w:p>
        </w:tc>
        <w:tc>
          <w:tcPr>
            <w:tcW w:w="135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07"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1"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3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1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81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127"/>
              <w:jc w:val="right"/>
              <w:rPr>
                <w:rFonts w:ascii="宋体" w:hAnsi="宋体" w:cs="宋体" w:eastAsia="宋体" w:hint="default"/>
                <w:sz w:val="18"/>
                <w:szCs w:val="18"/>
              </w:rPr>
            </w:pPr>
            <w:r>
              <w:rPr>
                <w:rFonts w:ascii="宋体" w:hAnsi="宋体" w:cs="宋体" w:eastAsia="宋体" w:hint="default"/>
                <w:spacing w:val="-2"/>
                <w:sz w:val="18"/>
                <w:szCs w:val="18"/>
              </w:rPr>
              <w:t>资单位</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132"/>
              <w:jc w:val="right"/>
              <w:rPr>
                <w:rFonts w:ascii="宋体" w:hAnsi="宋体" w:cs="宋体" w:eastAsia="宋体" w:hint="default"/>
                <w:sz w:val="18"/>
                <w:szCs w:val="18"/>
              </w:rPr>
            </w:pPr>
            <w:r>
              <w:rPr>
                <w:rFonts w:ascii="宋体" w:hAnsi="宋体" w:cs="宋体" w:eastAsia="宋体" w:hint="default"/>
                <w:spacing w:val="-2"/>
                <w:sz w:val="18"/>
                <w:szCs w:val="18"/>
              </w:rPr>
              <w:t>资单位</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9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141"/>
              <w:jc w:val="right"/>
              <w:rPr>
                <w:rFonts w:ascii="宋体" w:hAnsi="宋体" w:cs="宋体" w:eastAsia="宋体" w:hint="default"/>
                <w:sz w:val="18"/>
                <w:szCs w:val="18"/>
              </w:rPr>
            </w:pPr>
            <w:r>
              <w:rPr>
                <w:rFonts w:ascii="宋体" w:hAnsi="宋体" w:cs="宋体" w:eastAsia="宋体" w:hint="default"/>
                <w:spacing w:val="-2"/>
                <w:sz w:val="18"/>
                <w:szCs w:val="18"/>
              </w:rPr>
              <w:t>提减值</w:t>
            </w:r>
          </w:p>
        </w:tc>
        <w:tc>
          <w:tcPr>
            <w:tcW w:w="802" w:type="dxa"/>
            <w:tcBorders>
              <w:top w:val="nil" w:sz="6" w:space="0" w:color="auto"/>
              <w:left w:val="single" w:sz="4" w:space="0" w:color="000000"/>
              <w:bottom w:val="nil" w:sz="6" w:space="0" w:color="auto"/>
              <w:right w:val="nil" w:sz="6" w:space="0" w:color="auto"/>
            </w:tcBorders>
          </w:tcPr>
          <w:p>
            <w:pPr>
              <w:pStyle w:val="TableParagraph"/>
              <w:spacing w:line="182" w:lineRule="exact"/>
              <w:ind w:left="215" w:right="0"/>
              <w:jc w:val="left"/>
              <w:rPr>
                <w:rFonts w:ascii="宋体" w:hAnsi="宋体" w:cs="宋体" w:eastAsia="宋体" w:hint="default"/>
                <w:sz w:val="18"/>
                <w:szCs w:val="18"/>
              </w:rPr>
            </w:pPr>
            <w:r>
              <w:rPr>
                <w:rFonts w:ascii="宋体" w:hAnsi="宋体" w:cs="宋体" w:eastAsia="宋体" w:hint="default"/>
                <w:sz w:val="18"/>
                <w:szCs w:val="18"/>
              </w:rPr>
              <w:t>现金</w:t>
            </w:r>
          </w:p>
        </w:tc>
      </w:tr>
      <w:tr>
        <w:trPr>
          <w:trHeight w:val="360" w:hRule="exact"/>
        </w:trPr>
        <w:tc>
          <w:tcPr>
            <w:tcW w:w="3370" w:type="dxa"/>
            <w:tcBorders>
              <w:top w:val="nil" w:sz="6" w:space="0" w:color="auto"/>
              <w:left w:val="nil" w:sz="6" w:space="0" w:color="auto"/>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0"/>
              <w:jc w:val="center"/>
              <w:rPr>
                <w:rFonts w:ascii="宋体" w:hAnsi="宋体" w:cs="宋体" w:eastAsia="宋体" w:hint="default"/>
                <w:sz w:val="18"/>
                <w:szCs w:val="18"/>
              </w:rPr>
            </w:pPr>
            <w:r>
              <w:rPr>
                <w:rFonts w:ascii="宋体" w:hAnsi="宋体" w:cs="宋体" w:eastAsia="宋体" w:hint="default"/>
                <w:sz w:val="18"/>
                <w:szCs w:val="18"/>
              </w:rPr>
              <w:t>方法</w:t>
            </w:r>
          </w:p>
        </w:tc>
        <w:tc>
          <w:tcPr>
            <w:tcW w:w="1354" w:type="dxa"/>
            <w:tcBorders>
              <w:top w:val="nil" w:sz="6" w:space="0" w:color="auto"/>
              <w:left w:val="single" w:sz="4" w:space="0" w:color="000000"/>
              <w:bottom w:val="nil" w:sz="6" w:space="0" w:color="auto"/>
              <w:right w:val="single" w:sz="4" w:space="0" w:color="000000"/>
            </w:tcBorders>
          </w:tcPr>
          <w:p>
            <w:pPr/>
          </w:p>
        </w:tc>
        <w:tc>
          <w:tcPr>
            <w:tcW w:w="1358" w:type="dxa"/>
            <w:tcBorders>
              <w:top w:val="nil" w:sz="6" w:space="0" w:color="auto"/>
              <w:left w:val="single" w:sz="4" w:space="0" w:color="000000"/>
              <w:bottom w:val="nil" w:sz="6" w:space="0" w:color="auto"/>
              <w:right w:val="single" w:sz="4" w:space="0" w:color="000000"/>
            </w:tcBorders>
          </w:tcPr>
          <w:p>
            <w:pPr/>
          </w:p>
        </w:tc>
        <w:tc>
          <w:tcPr>
            <w:tcW w:w="1358" w:type="dxa"/>
            <w:tcBorders>
              <w:top w:val="nil" w:sz="6" w:space="0" w:color="auto"/>
              <w:left w:val="single" w:sz="4" w:space="0" w:color="000000"/>
              <w:bottom w:val="nil" w:sz="6" w:space="0" w:color="auto"/>
              <w:right w:val="single" w:sz="4" w:space="0" w:color="000000"/>
            </w:tcBorders>
          </w:tcPr>
          <w:p>
            <w:pPr/>
          </w:p>
        </w:tc>
        <w:tc>
          <w:tcPr>
            <w:tcW w:w="1363" w:type="dxa"/>
            <w:tcBorders>
              <w:top w:val="nil" w:sz="6" w:space="0" w:color="auto"/>
              <w:left w:val="single" w:sz="4" w:space="0" w:color="000000"/>
              <w:bottom w:val="nil" w:sz="6" w:space="0" w:color="auto"/>
              <w:right w:val="single" w:sz="4" w:space="0" w:color="000000"/>
            </w:tcBorders>
          </w:tcPr>
          <w:p>
            <w:pPr/>
          </w:p>
        </w:tc>
        <w:tc>
          <w:tcPr>
            <w:tcW w:w="811" w:type="dxa"/>
            <w:tcBorders>
              <w:top w:val="nil" w:sz="6" w:space="0" w:color="auto"/>
              <w:left w:val="single" w:sz="4" w:space="0" w:color="000000"/>
              <w:bottom w:val="nil" w:sz="6" w:space="0" w:color="auto"/>
              <w:right w:val="single" w:sz="4" w:space="0" w:color="000000"/>
            </w:tcBorders>
          </w:tcPr>
          <w:p>
            <w:pPr>
              <w:pStyle w:val="TableParagraph"/>
              <w:spacing w:line="182" w:lineRule="exact"/>
              <w:ind w:left="215" w:right="0"/>
              <w:jc w:val="left"/>
              <w:rPr>
                <w:rFonts w:ascii="宋体" w:hAnsi="宋体" w:cs="宋体" w:eastAsia="宋体" w:hint="default"/>
                <w:sz w:val="18"/>
                <w:szCs w:val="18"/>
              </w:rPr>
            </w:pPr>
            <w:r>
              <w:rPr>
                <w:rFonts w:ascii="宋体" w:hAnsi="宋体" w:cs="宋体" w:eastAsia="宋体" w:hint="default"/>
                <w:sz w:val="18"/>
                <w:szCs w:val="18"/>
              </w:rPr>
              <w:t>持股</w:t>
            </w:r>
          </w:p>
        </w:tc>
        <w:tc>
          <w:tcPr>
            <w:tcW w:w="821" w:type="dxa"/>
            <w:tcBorders>
              <w:top w:val="nil" w:sz="6" w:space="0" w:color="auto"/>
              <w:left w:val="single" w:sz="4" w:space="0" w:color="000000"/>
              <w:bottom w:val="nil" w:sz="6" w:space="0" w:color="auto"/>
              <w:right w:val="single" w:sz="4" w:space="0" w:color="000000"/>
            </w:tcBorders>
          </w:tcPr>
          <w:p>
            <w:pPr>
              <w:pStyle w:val="TableParagraph"/>
              <w:spacing w:line="182" w:lineRule="exact"/>
              <w:ind w:right="132"/>
              <w:jc w:val="right"/>
              <w:rPr>
                <w:rFonts w:ascii="宋体" w:hAnsi="宋体" w:cs="宋体" w:eastAsia="宋体" w:hint="default"/>
                <w:sz w:val="18"/>
                <w:szCs w:val="18"/>
              </w:rPr>
            </w:pPr>
            <w:r>
              <w:rPr>
                <w:rFonts w:ascii="宋体" w:hAnsi="宋体" w:cs="宋体" w:eastAsia="宋体" w:hint="default"/>
                <w:spacing w:val="-2"/>
                <w:sz w:val="18"/>
                <w:szCs w:val="18"/>
              </w:rPr>
              <w:t>表决权</w:t>
            </w:r>
          </w:p>
        </w:tc>
        <w:tc>
          <w:tcPr>
            <w:tcW w:w="1334"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30"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802" w:type="dxa"/>
            <w:tcBorders>
              <w:top w:val="nil" w:sz="6" w:space="0" w:color="auto"/>
              <w:left w:val="single" w:sz="4" w:space="0" w:color="000000"/>
              <w:bottom w:val="nil" w:sz="6" w:space="0" w:color="auto"/>
              <w:right w:val="nil" w:sz="6" w:space="0" w:color="auto"/>
            </w:tcBorders>
          </w:tcPr>
          <w:p>
            <w:pPr>
              <w:pStyle w:val="TableParagraph"/>
              <w:spacing w:line="182" w:lineRule="exact"/>
              <w:ind w:left="215" w:right="0"/>
              <w:jc w:val="left"/>
              <w:rPr>
                <w:rFonts w:ascii="宋体" w:hAnsi="宋体" w:cs="宋体" w:eastAsia="宋体" w:hint="default"/>
                <w:sz w:val="18"/>
                <w:szCs w:val="18"/>
              </w:rPr>
            </w:pPr>
            <w:r>
              <w:rPr>
                <w:rFonts w:ascii="宋体" w:hAnsi="宋体" w:cs="宋体" w:eastAsia="宋体" w:hint="default"/>
                <w:sz w:val="18"/>
                <w:szCs w:val="18"/>
              </w:rPr>
              <w:t>红利</w:t>
            </w:r>
          </w:p>
        </w:tc>
      </w:tr>
      <w:tr>
        <w:trPr>
          <w:trHeight w:val="214" w:hRule="exact"/>
        </w:trPr>
        <w:tc>
          <w:tcPr>
            <w:tcW w:w="3370" w:type="dxa"/>
            <w:tcBorders>
              <w:top w:val="nil" w:sz="6" w:space="0" w:color="auto"/>
              <w:left w:val="nil" w:sz="6" w:space="0" w:color="auto"/>
              <w:bottom w:val="single" w:sz="4" w:space="0" w:color="000000"/>
              <w:right w:val="single" w:sz="4" w:space="0" w:color="000000"/>
            </w:tcBorders>
          </w:tcPr>
          <w:p>
            <w:pPr/>
          </w:p>
        </w:tc>
        <w:tc>
          <w:tcPr>
            <w:tcW w:w="816" w:type="dxa"/>
            <w:tcBorders>
              <w:top w:val="nil" w:sz="6" w:space="0" w:color="auto"/>
              <w:left w:val="single" w:sz="4" w:space="0" w:color="000000"/>
              <w:bottom w:val="single" w:sz="4" w:space="0" w:color="000000"/>
              <w:right w:val="single" w:sz="4" w:space="0" w:color="000000"/>
            </w:tcBorders>
          </w:tcPr>
          <w:p>
            <w:pPr/>
          </w:p>
        </w:tc>
        <w:tc>
          <w:tcPr>
            <w:tcW w:w="1354" w:type="dxa"/>
            <w:tcBorders>
              <w:top w:val="nil" w:sz="6" w:space="0" w:color="auto"/>
              <w:left w:val="single" w:sz="4" w:space="0" w:color="000000"/>
              <w:bottom w:val="single" w:sz="4" w:space="0" w:color="000000"/>
              <w:right w:val="single" w:sz="4" w:space="0" w:color="000000"/>
            </w:tcBorders>
          </w:tcPr>
          <w:p>
            <w:pPr/>
          </w:p>
        </w:tc>
        <w:tc>
          <w:tcPr>
            <w:tcW w:w="1358" w:type="dxa"/>
            <w:tcBorders>
              <w:top w:val="nil" w:sz="6" w:space="0" w:color="auto"/>
              <w:left w:val="single" w:sz="4" w:space="0" w:color="000000"/>
              <w:bottom w:val="single" w:sz="4" w:space="0" w:color="000000"/>
              <w:right w:val="single" w:sz="4" w:space="0" w:color="000000"/>
            </w:tcBorders>
          </w:tcPr>
          <w:p>
            <w:pPr/>
          </w:p>
        </w:tc>
        <w:tc>
          <w:tcPr>
            <w:tcW w:w="1358" w:type="dxa"/>
            <w:tcBorders>
              <w:top w:val="nil" w:sz="6" w:space="0" w:color="auto"/>
              <w:left w:val="single" w:sz="4" w:space="0" w:color="000000"/>
              <w:bottom w:val="single" w:sz="4" w:space="0" w:color="000000"/>
              <w:right w:val="single" w:sz="4" w:space="0" w:color="000000"/>
            </w:tcBorders>
          </w:tcPr>
          <w:p>
            <w:pPr/>
          </w:p>
        </w:tc>
        <w:tc>
          <w:tcPr>
            <w:tcW w:w="1363" w:type="dxa"/>
            <w:tcBorders>
              <w:top w:val="nil" w:sz="6" w:space="0" w:color="auto"/>
              <w:left w:val="single" w:sz="4" w:space="0" w:color="000000"/>
              <w:bottom w:val="single" w:sz="4" w:space="0" w:color="000000"/>
              <w:right w:val="single" w:sz="4" w:space="0" w:color="000000"/>
            </w:tcBorders>
          </w:tcPr>
          <w:p>
            <w:pPr/>
          </w:p>
        </w:tc>
        <w:tc>
          <w:tcPr>
            <w:tcW w:w="811"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left="21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1" w:type="dxa"/>
            <w:tcBorders>
              <w:top w:val="nil" w:sz="6" w:space="0" w:color="auto"/>
              <w:left w:val="single" w:sz="4" w:space="0" w:color="000000"/>
              <w:bottom w:val="single" w:sz="4" w:space="0" w:color="000000"/>
              <w:right w:val="single" w:sz="4" w:space="0" w:color="000000"/>
            </w:tcBorders>
          </w:tcPr>
          <w:p>
            <w:pPr>
              <w:pStyle w:val="TableParagraph"/>
              <w:spacing w:line="182" w:lineRule="exact"/>
              <w:ind w:left="22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334" w:type="dxa"/>
            <w:tcBorders>
              <w:top w:val="nil" w:sz="6" w:space="0" w:color="auto"/>
              <w:left w:val="single" w:sz="4" w:space="0" w:color="000000"/>
              <w:bottom w:val="single" w:sz="4" w:space="0" w:color="000000"/>
              <w:right w:val="single" w:sz="4" w:space="0" w:color="000000"/>
            </w:tcBorders>
          </w:tcPr>
          <w:p>
            <w:pPr/>
          </w:p>
        </w:tc>
        <w:tc>
          <w:tcPr>
            <w:tcW w:w="840" w:type="dxa"/>
            <w:tcBorders>
              <w:top w:val="nil" w:sz="6" w:space="0" w:color="auto"/>
              <w:left w:val="single" w:sz="4" w:space="0" w:color="000000"/>
              <w:bottom w:val="single" w:sz="4" w:space="0" w:color="000000"/>
              <w:right w:val="single" w:sz="4" w:space="0" w:color="000000"/>
            </w:tcBorders>
          </w:tcPr>
          <w:p>
            <w:pPr/>
          </w:p>
        </w:tc>
        <w:tc>
          <w:tcPr>
            <w:tcW w:w="802" w:type="dxa"/>
            <w:tcBorders>
              <w:top w:val="nil" w:sz="6" w:space="0" w:color="auto"/>
              <w:left w:val="single" w:sz="4" w:space="0" w:color="000000"/>
              <w:bottom w:val="single" w:sz="4" w:space="0" w:color="000000"/>
              <w:right w:val="nil" w:sz="6" w:space="0" w:color="auto"/>
            </w:tcBorders>
          </w:tcPr>
          <w:p>
            <w:pP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湖南宝安鸿基房地产开发有限公司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惠东县宝安鸿基房地产开发有限公司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10"/>
                <w:sz w:val="18"/>
                <w:szCs w:val="18"/>
              </w:rPr>
              <w:t>惠州市宝安鸿基房地产开发有限公司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170,000,000.00</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170,000,000.00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46"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深圳市龙岗鸿基发展有限公司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8,865,700.00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8,865,700.00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8,865,700.00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深圳市鸿永通国际货运代理有限公司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329,000.00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329,000.00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329,000.00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香港鸿业发展有限公司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10,212,500.00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10,212,500.00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10,212,500.00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95%</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pacing w:val="-3"/>
                <w:sz w:val="18"/>
                <w:szCs w:val="18"/>
              </w:rPr>
              <w:t>福建升通网络传媒有限公司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16,000,000.00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16,000,000.00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100%</w:t>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2"/>
                <w:sz w:val="18"/>
              </w:rPr>
              <w:t>100%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8,000,000.00</w:t>
            </w:r>
          </w:p>
        </w:tc>
        <w:tc>
          <w:tcPr>
            <w:tcW w:w="840" w:type="dxa"/>
            <w:tcBorders>
              <w:top w:val="single" w:sz="4" w:space="0" w:color="000000"/>
              <w:left w:val="single" w:sz="4" w:space="0" w:color="000000"/>
              <w:bottom w:val="single" w:sz="4" w:space="0" w:color="000000"/>
              <w:right w:val="single" w:sz="4" w:space="0" w:color="000000"/>
            </w:tcBorders>
          </w:tcPr>
          <w:p>
            <w:pPr/>
          </w:p>
        </w:tc>
        <w:tc>
          <w:tcPr>
            <w:tcW w:w="802" w:type="dxa"/>
            <w:tcBorders>
              <w:top w:val="single" w:sz="4" w:space="0" w:color="000000"/>
              <w:left w:val="single" w:sz="4" w:space="0" w:color="000000"/>
              <w:bottom w:val="single" w:sz="4" w:space="0" w:color="000000"/>
              <w:right w:val="nil" w:sz="6" w:space="0" w:color="auto"/>
            </w:tcBorders>
          </w:tcPr>
          <w:p>
            <w:pPr/>
          </w:p>
        </w:tc>
      </w:tr>
      <w:tr>
        <w:trPr>
          <w:trHeight w:val="446" w:hRule="exact"/>
        </w:trPr>
        <w:tc>
          <w:tcPr>
            <w:tcW w:w="33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6"/>
              <w:ind w:left="4"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小计</w:t>
            </w:r>
            <w:r>
              <w:rPr>
                <w:rFonts w:ascii="Microsoft JhengHei" w:hAnsi="Microsoft JhengHei" w:cs="Microsoft JhengHei" w:eastAsia="Microsoft JhengHei"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963,209,028.96</w:t>
            </w:r>
            <w:r>
              <w:rPr>
                <w:rFonts w:ascii="Times New Roman"/>
                <w:spacing w:val="-1"/>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793,209,028.96</w:t>
            </w:r>
            <w:r>
              <w:rPr>
                <w:rFonts w:ascii="Times New Roman"/>
                <w:spacing w:val="-1"/>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170,000,000.00</w:t>
            </w:r>
            <w:r>
              <w:rPr>
                <w:rFonts w:ascii="Times New Roman"/>
                <w:spacing w:val="-1"/>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963,209,028.96</w:t>
            </w:r>
            <w:r>
              <w:rPr>
                <w:rFonts w:ascii="Times New Roman"/>
                <w:spacing w:val="-1"/>
                <w:sz w:val="18"/>
              </w:rPr>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80,431,360.94</w:t>
            </w:r>
            <w:r>
              <w:rPr>
                <w:rFonts w:ascii="Times New Roman"/>
                <w:spacing w:val="-1"/>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bl>
    <w:p>
      <w:pPr>
        <w:spacing w:line="240" w:lineRule="auto" w:before="9"/>
        <w:rPr>
          <w:rFonts w:ascii="宋体" w:hAnsi="宋体" w:cs="宋体" w:eastAsia="宋体" w:hint="default"/>
          <w:sz w:val="9"/>
          <w:szCs w:val="9"/>
        </w:rPr>
      </w:pPr>
    </w:p>
    <w:p>
      <w:pPr>
        <w:spacing w:before="46"/>
        <w:ind w:left="240" w:right="0" w:firstLine="0"/>
        <w:jc w:val="left"/>
        <w:rPr>
          <w:rFonts w:ascii="宋体" w:hAnsi="宋体" w:cs="宋体" w:eastAsia="宋体" w:hint="default"/>
          <w:sz w:val="18"/>
          <w:szCs w:val="18"/>
        </w:rPr>
      </w:pPr>
      <w:r>
        <w:rPr>
          <w:rFonts w:ascii="宋体" w:hAnsi="宋体" w:cs="宋体" w:eastAsia="宋体" w:hint="default"/>
          <w:sz w:val="18"/>
          <w:szCs w:val="18"/>
        </w:rPr>
        <w:t>三、其他长期股权投资</w:t>
      </w:r>
    </w:p>
    <w:p>
      <w:pPr>
        <w:spacing w:line="240" w:lineRule="auto" w:before="6"/>
        <w:rPr>
          <w:rFonts w:ascii="宋体" w:hAnsi="宋体" w:cs="宋体" w:eastAsia="宋体" w:hint="default"/>
          <w:sz w:val="2"/>
          <w:szCs w:val="2"/>
        </w:rPr>
      </w:pPr>
    </w:p>
    <w:tbl>
      <w:tblPr>
        <w:tblW w:w="0" w:type="auto"/>
        <w:jc w:val="left"/>
        <w:tblInd w:w="100" w:type="dxa"/>
        <w:tblLayout w:type="fixed"/>
        <w:tblCellMar>
          <w:top w:w="0" w:type="dxa"/>
          <w:left w:w="0" w:type="dxa"/>
          <w:bottom w:w="0" w:type="dxa"/>
          <w:right w:w="0" w:type="dxa"/>
        </w:tblCellMar>
        <w:tblLook w:val="01E0"/>
      </w:tblPr>
      <w:tblGrid>
        <w:gridCol w:w="3384"/>
        <w:gridCol w:w="816"/>
        <w:gridCol w:w="1354"/>
        <w:gridCol w:w="1358"/>
        <w:gridCol w:w="1358"/>
        <w:gridCol w:w="1363"/>
        <w:gridCol w:w="811"/>
        <w:gridCol w:w="821"/>
        <w:gridCol w:w="1334"/>
        <w:gridCol w:w="840"/>
        <w:gridCol w:w="811"/>
      </w:tblGrid>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三九胃泰股份有限公司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832,000.00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832,000.00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832,000.00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832,000.00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四川通产物业股份有限公司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500,000.00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46"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长春高斯达生物科技集团股份有限公司</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8,724,000.00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8,724,000.00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8,724,000.00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8,724,000.00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深运工贸翠苑旅店</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785,377.30</w:t>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785,377.30</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5"/>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785,377.30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101"/>
                <w:sz w:val="18"/>
              </w:rPr>
              <w:t>-</w:t>
            </w:r>
            <w:r>
              <w:rPr>
                <w:rFonts w:ascii="Times New Roman"/>
                <w:sz w:val="18"/>
              </w:rPr>
            </w:r>
          </w:p>
        </w:tc>
      </w:tr>
      <w:tr>
        <w:trPr>
          <w:trHeight w:val="451" w:hRule="exact"/>
        </w:trPr>
        <w:tc>
          <w:tcPr>
            <w:tcW w:w="33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6"/>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小计</w:t>
            </w:r>
            <w:r>
              <w:rPr>
                <w:rFonts w:ascii="Microsoft JhengHei" w:hAnsi="Microsoft JhengHei" w:cs="Microsoft JhengHei" w:eastAsia="Microsoft JhengHei"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tcPr>
          <w:p>
            <w:pP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10,556,000.00</w:t>
            </w:r>
            <w:r>
              <w:rPr>
                <w:rFonts w:ascii="Times New Roman"/>
                <w:spacing w:val="-1"/>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10,841,377.30</w:t>
            </w:r>
            <w:r>
              <w:rPr>
                <w:rFonts w:ascii="Times New Roman"/>
                <w:spacing w:val="-1"/>
                <w:sz w:val="18"/>
              </w:rPr>
            </w:r>
          </w:p>
        </w:tc>
        <w:tc>
          <w:tcPr>
            <w:tcW w:w="13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10,841,377.30</w:t>
            </w:r>
            <w:r>
              <w:rPr>
                <w:rFonts w:ascii="Times New Roman"/>
                <w:spacing w:val="-1"/>
                <w:sz w:val="18"/>
              </w:rPr>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10,841,377.30</w:t>
            </w:r>
            <w:r>
              <w:rPr>
                <w:rFonts w:ascii="Times New Roman"/>
                <w:spacing w:val="-1"/>
                <w:sz w:val="18"/>
              </w:rPr>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r>
        <w:trPr>
          <w:trHeight w:val="902" w:hRule="exact"/>
        </w:trPr>
        <w:tc>
          <w:tcPr>
            <w:tcW w:w="3384"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9" w:right="0"/>
              <w:jc w:val="center"/>
              <w:rPr>
                <w:rFonts w:ascii="Microsoft JhengHei" w:hAnsi="Microsoft JhengHei" w:cs="Microsoft JhengHei" w:eastAsia="Microsoft JhengHei" w:hint="default"/>
                <w:sz w:val="18"/>
                <w:szCs w:val="18"/>
              </w:rPr>
            </w:pPr>
            <w:r>
              <w:rPr>
                <w:rFonts w:ascii="Microsoft JhengHei" w:hAnsi="Microsoft JhengHei" w:cs="Microsoft JhengHei" w:eastAsia="Microsoft JhengHei" w:hint="default"/>
                <w:b/>
                <w:bCs/>
                <w:sz w:val="18"/>
                <w:szCs w:val="18"/>
              </w:rPr>
              <w:t>合计</w:t>
            </w:r>
            <w:r>
              <w:rPr>
                <w:rFonts w:ascii="Microsoft JhengHei" w:hAnsi="Microsoft JhengHei" w:cs="Microsoft JhengHei" w:eastAsia="Microsoft JhengHei" w:hint="default"/>
                <w:sz w:val="18"/>
                <w:szCs w:val="18"/>
              </w:rPr>
            </w:r>
          </w:p>
        </w:tc>
        <w:tc>
          <w:tcPr>
            <w:tcW w:w="816" w:type="dxa"/>
            <w:tcBorders>
              <w:top w:val="single" w:sz="4" w:space="0" w:color="000000"/>
              <w:left w:val="single" w:sz="4" w:space="0" w:color="000000"/>
              <w:bottom w:val="single" w:sz="12" w:space="0" w:color="000000"/>
              <w:right w:val="single" w:sz="4" w:space="0" w:color="000000"/>
            </w:tcBorders>
          </w:tcPr>
          <w:p>
            <w:pPr/>
          </w:p>
        </w:tc>
        <w:tc>
          <w:tcPr>
            <w:tcW w:w="13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b/>
                <w:spacing w:val="-1"/>
                <w:sz w:val="18"/>
              </w:rPr>
              <w:t>1,054,455,778.9</w:t>
            </w:r>
            <w:r>
              <w:rPr>
                <w:rFonts w:ascii="Times New Roman"/>
                <w:spacing w:val="-1"/>
                <w:sz w:val="18"/>
              </w:rPr>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w w:val="101"/>
                <w:sz w:val="18"/>
              </w:rPr>
              <w:t>6</w:t>
            </w:r>
            <w:r>
              <w:rPr>
                <w:rFonts w:ascii="Times New Roman"/>
                <w:sz w:val="18"/>
              </w:rPr>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852,906,937.07</w:t>
            </w:r>
            <w:r>
              <w:rPr>
                <w:rFonts w:ascii="Times New Roman"/>
                <w:spacing w:val="-1"/>
                <w:sz w:val="18"/>
              </w:rPr>
            </w:r>
          </w:p>
        </w:tc>
        <w:tc>
          <w:tcPr>
            <w:tcW w:w="135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spacing w:val="-1"/>
                <w:sz w:val="18"/>
              </w:rPr>
              <w:t>165,795,764.36</w:t>
            </w:r>
            <w:r>
              <w:rPr>
                <w:rFonts w:ascii="Times New Roman"/>
                <w:spacing w:val="-1"/>
                <w:sz w:val="18"/>
              </w:rPr>
            </w:r>
          </w:p>
        </w:tc>
        <w:tc>
          <w:tcPr>
            <w:tcW w:w="13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93"/>
              <w:jc w:val="right"/>
              <w:rPr>
                <w:rFonts w:ascii="Times New Roman" w:hAnsi="Times New Roman" w:cs="Times New Roman" w:eastAsia="Times New Roman" w:hint="default"/>
                <w:sz w:val="18"/>
                <w:szCs w:val="18"/>
              </w:rPr>
            </w:pPr>
            <w:r>
              <w:rPr>
                <w:rFonts w:ascii="Times New Roman"/>
                <w:b/>
                <w:spacing w:val="-1"/>
                <w:sz w:val="18"/>
              </w:rPr>
              <w:t>1,018,702,701.4</w:t>
            </w:r>
            <w:r>
              <w:rPr>
                <w:rFonts w:ascii="Times New Roman"/>
                <w:spacing w:val="-1"/>
                <w:sz w:val="18"/>
              </w:rPr>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b/>
                <w:w w:val="101"/>
                <w:sz w:val="18"/>
              </w:rPr>
              <w:t>3</w:t>
            </w:r>
            <w:r>
              <w:rPr>
                <w:rFonts w:ascii="Times New Roman"/>
                <w:sz w:val="18"/>
              </w:rPr>
            </w:r>
          </w:p>
        </w:tc>
        <w:tc>
          <w:tcPr>
            <w:tcW w:w="81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133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b/>
                <w:spacing w:val="-1"/>
                <w:sz w:val="18"/>
              </w:rPr>
              <w:t>91,272,738.24</w:t>
            </w:r>
            <w:r>
              <w:rPr>
                <w:rFonts w:ascii="Times New Roman"/>
                <w:spacing w:val="-1"/>
                <w:sz w:val="18"/>
              </w:rPr>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c>
          <w:tcPr>
            <w:tcW w:w="811"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b/>
                <w:w w:val="101"/>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6840" w:h="11900" w:orient="landscape"/>
          <w:pgMar w:header="756" w:footer="840" w:top="980" w:bottom="1020" w:left="1200" w:right="11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Heading6"/>
        <w:spacing w:line="335" w:lineRule="exact"/>
        <w:ind w:left="152" w:right="3657"/>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right="3657"/>
        <w:jc w:val="left"/>
      </w:pPr>
      <w:r>
        <w:rPr/>
        <w:t>（</w:t>
      </w:r>
      <w:r>
        <w:rPr>
          <w:rFonts w:ascii="Times New Roman" w:hAnsi="Times New Roman" w:cs="Times New Roman" w:eastAsia="Times New Roman" w:hint="default"/>
        </w:rPr>
        <w:t>1</w:t>
      </w:r>
      <w:r>
        <w:rPr/>
        <w:t>）营业收入和营业成本</w:t>
      </w:r>
    </w:p>
    <w:tbl>
      <w:tblPr>
        <w:tblW w:w="0" w:type="auto"/>
        <w:jc w:val="left"/>
        <w:tblInd w:w="123" w:type="dxa"/>
        <w:tblLayout w:type="fixed"/>
        <w:tblCellMar>
          <w:top w:w="0" w:type="dxa"/>
          <w:left w:w="0" w:type="dxa"/>
          <w:bottom w:w="0" w:type="dxa"/>
          <w:right w:w="0" w:type="dxa"/>
        </w:tblCellMar>
        <w:tblLook w:val="01E0"/>
      </w:tblPr>
      <w:tblGrid>
        <w:gridCol w:w="3226"/>
        <w:gridCol w:w="3216"/>
        <w:gridCol w:w="3211"/>
      </w:tblGrid>
      <w:tr>
        <w:trPr>
          <w:trHeight w:val="523" w:hRule="exact"/>
        </w:trPr>
        <w:tc>
          <w:tcPr>
            <w:tcW w:w="3226"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21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21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296,175,292.28</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15,370,908.00</w:t>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17,858,347.89</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16,150,022.43</w:t>
            </w:r>
          </w:p>
        </w:tc>
      </w:tr>
      <w:tr>
        <w:trPr>
          <w:trHeight w:val="514"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4"/>
              <w:ind w:right="963"/>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营业收入合计</w:t>
            </w:r>
            <w:r>
              <w:rPr>
                <w:rFonts w:ascii="Microsoft JhengHei" w:hAnsi="Microsoft JhengHei" w:cs="Microsoft JhengHei" w:eastAsia="Microsoft JhengHei" w:hint="default"/>
                <w:sz w:val="21"/>
                <w:szCs w:val="21"/>
              </w:rPr>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314,033,640.17</w:t>
            </w:r>
            <w:r>
              <w:rPr>
                <w:rFonts w:ascii="Times New Roman"/>
                <w:spacing w:val="-1"/>
                <w:sz w:val="21"/>
              </w:rPr>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b/>
                <w:sz w:val="21"/>
              </w:rPr>
              <w:t>31,520,930.43</w:t>
            </w:r>
            <w:r>
              <w:rPr>
                <w:rFonts w:ascii="Times New Roman"/>
                <w:sz w:val="21"/>
              </w:rPr>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64,115,841.56</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4,223,846.51</w:t>
            </w:r>
          </w:p>
        </w:tc>
      </w:tr>
      <w:tr>
        <w:trPr>
          <w:trHeight w:val="509" w:hRule="exact"/>
        </w:trPr>
        <w:tc>
          <w:tcPr>
            <w:tcW w:w="322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2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7,751,294.20</w:t>
            </w:r>
          </w:p>
        </w:tc>
        <w:tc>
          <w:tcPr>
            <w:tcW w:w="32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9,760,290.71</w:t>
            </w:r>
          </w:p>
        </w:tc>
      </w:tr>
      <w:tr>
        <w:trPr>
          <w:trHeight w:val="523" w:hRule="exact"/>
        </w:trPr>
        <w:tc>
          <w:tcPr>
            <w:tcW w:w="3226"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right="963"/>
              <w:jc w:val="righ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营业成本合计</w:t>
            </w:r>
            <w:r>
              <w:rPr>
                <w:rFonts w:ascii="Microsoft JhengHei" w:hAnsi="Microsoft JhengHei" w:cs="Microsoft JhengHei" w:eastAsia="Microsoft JhengHei" w:hint="default"/>
                <w:sz w:val="21"/>
                <w:szCs w:val="21"/>
              </w:rPr>
            </w:r>
          </w:p>
        </w:tc>
        <w:tc>
          <w:tcPr>
            <w:tcW w:w="321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71,867,135.76</w:t>
            </w:r>
            <w:r>
              <w:rPr>
                <w:rFonts w:ascii="Times New Roman"/>
                <w:sz w:val="21"/>
              </w:rPr>
            </w:r>
          </w:p>
        </w:tc>
        <w:tc>
          <w:tcPr>
            <w:tcW w:w="32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b/>
                <w:sz w:val="21"/>
              </w:rPr>
              <w:t>13,984,137.22</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2</w:t>
      </w:r>
      <w:r>
        <w:rPr/>
        <w:t>）营业收入（分行业）</w:t>
      </w:r>
    </w:p>
    <w:tbl>
      <w:tblPr>
        <w:tblW w:w="0" w:type="auto"/>
        <w:jc w:val="left"/>
        <w:tblInd w:w="123" w:type="dxa"/>
        <w:tblLayout w:type="fixed"/>
        <w:tblCellMar>
          <w:top w:w="0" w:type="dxa"/>
          <w:left w:w="0" w:type="dxa"/>
          <w:bottom w:w="0" w:type="dxa"/>
          <w:right w:w="0" w:type="dxa"/>
        </w:tblCellMar>
        <w:tblLook w:val="01E0"/>
      </w:tblPr>
      <w:tblGrid>
        <w:gridCol w:w="2213"/>
        <w:gridCol w:w="1824"/>
        <w:gridCol w:w="1824"/>
        <w:gridCol w:w="1829"/>
        <w:gridCol w:w="1824"/>
      </w:tblGrid>
      <w:tr>
        <w:trPr>
          <w:trHeight w:val="538" w:hRule="exact"/>
        </w:trPr>
        <w:tc>
          <w:tcPr>
            <w:tcW w:w="2213"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行业</w:t>
            </w:r>
          </w:p>
        </w:tc>
        <w:tc>
          <w:tcPr>
            <w:tcW w:w="3648"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3653"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533" w:hRule="exact"/>
        </w:trPr>
        <w:tc>
          <w:tcPr>
            <w:tcW w:w="2213" w:type="dxa"/>
            <w:vMerge/>
            <w:tcBorders>
              <w:left w:val="nil" w:sz="6" w:space="0" w:color="auto"/>
              <w:bottom w:val="single" w:sz="4" w:space="0" w:color="000000"/>
              <w:right w:val="single" w:sz="4" w:space="0" w:color="000000"/>
            </w:tcBorders>
          </w:tcPr>
          <w:p>
            <w:pP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8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8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479"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509" w:hRule="exact"/>
        </w:trPr>
        <w:tc>
          <w:tcPr>
            <w:tcW w:w="221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房地产销售</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296,175,292.28</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64,115,841.56</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99" w:right="0"/>
              <w:jc w:val="left"/>
              <w:rPr>
                <w:rFonts w:ascii="Times New Roman" w:hAnsi="Times New Roman" w:cs="Times New Roman" w:eastAsia="Times New Roman" w:hint="default"/>
                <w:sz w:val="21"/>
                <w:szCs w:val="21"/>
              </w:rPr>
            </w:pPr>
            <w:r>
              <w:rPr>
                <w:rFonts w:ascii="Times New Roman"/>
                <w:sz w:val="21"/>
              </w:rPr>
              <w:t>15,370,908.00</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4,223,846.51</w:t>
            </w:r>
          </w:p>
        </w:tc>
      </w:tr>
      <w:tr>
        <w:trPr>
          <w:trHeight w:val="509" w:hRule="exact"/>
        </w:trPr>
        <w:tc>
          <w:tcPr>
            <w:tcW w:w="221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房地产租赁</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17,858,347.89</w:t>
            </w:r>
          </w:p>
        </w:tc>
        <w:tc>
          <w:tcPr>
            <w:tcW w:w="1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7,751,294.20</w:t>
            </w:r>
          </w:p>
        </w:tc>
        <w:tc>
          <w:tcPr>
            <w:tcW w:w="18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99" w:right="0"/>
              <w:jc w:val="left"/>
              <w:rPr>
                <w:rFonts w:ascii="Times New Roman" w:hAnsi="Times New Roman" w:cs="Times New Roman" w:eastAsia="Times New Roman" w:hint="default"/>
                <w:sz w:val="21"/>
                <w:szCs w:val="21"/>
              </w:rPr>
            </w:pPr>
            <w:r>
              <w:rPr>
                <w:rFonts w:ascii="Times New Roman"/>
                <w:sz w:val="21"/>
              </w:rPr>
              <w:t>16,150,022.43</w:t>
            </w:r>
          </w:p>
        </w:tc>
        <w:tc>
          <w:tcPr>
            <w:tcW w:w="182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9,760,290.71</w:t>
            </w:r>
          </w:p>
        </w:tc>
      </w:tr>
      <w:tr>
        <w:trPr>
          <w:trHeight w:val="523" w:hRule="exact"/>
        </w:trPr>
        <w:tc>
          <w:tcPr>
            <w:tcW w:w="221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4"/>
              <w:ind w:left="1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8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b/>
                <w:spacing w:val="-1"/>
                <w:sz w:val="21"/>
              </w:rPr>
              <w:t>314,033,640.17</w:t>
            </w:r>
            <w:r>
              <w:rPr>
                <w:rFonts w:ascii="Times New Roman"/>
                <w:spacing w:val="-1"/>
                <w:sz w:val="21"/>
              </w:rPr>
            </w:r>
          </w:p>
        </w:tc>
        <w:tc>
          <w:tcPr>
            <w:tcW w:w="18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71,867,135.76</w:t>
            </w:r>
            <w:r>
              <w:rPr>
                <w:rFonts w:ascii="Times New Roman"/>
                <w:sz w:val="21"/>
              </w:rPr>
            </w:r>
          </w:p>
        </w:tc>
        <w:tc>
          <w:tcPr>
            <w:tcW w:w="182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99" w:right="0"/>
              <w:jc w:val="left"/>
              <w:rPr>
                <w:rFonts w:ascii="Times New Roman" w:hAnsi="Times New Roman" w:cs="Times New Roman" w:eastAsia="Times New Roman" w:hint="default"/>
                <w:sz w:val="21"/>
                <w:szCs w:val="21"/>
              </w:rPr>
            </w:pPr>
            <w:r>
              <w:rPr>
                <w:rFonts w:ascii="Times New Roman"/>
                <w:b/>
                <w:sz w:val="21"/>
              </w:rPr>
              <w:t>31,520,930.43</w:t>
            </w:r>
            <w:r>
              <w:rPr>
                <w:rFonts w:ascii="Times New Roman"/>
                <w:sz w:val="21"/>
              </w:rPr>
            </w:r>
          </w:p>
        </w:tc>
        <w:tc>
          <w:tcPr>
            <w:tcW w:w="182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b/>
                <w:sz w:val="21"/>
              </w:rPr>
              <w:t>13,984,137.22</w:t>
            </w:r>
            <w:r>
              <w:rPr>
                <w:rFonts w:ascii="Times New Roman"/>
                <w:sz w:val="21"/>
              </w:rPr>
            </w:r>
          </w:p>
        </w:tc>
      </w:tr>
    </w:tbl>
    <w:p>
      <w:pPr>
        <w:spacing w:line="240" w:lineRule="auto" w:before="2"/>
        <w:rPr>
          <w:rFonts w:ascii="宋体" w:hAnsi="宋体" w:cs="宋体" w:eastAsia="宋体" w:hint="default"/>
          <w:sz w:val="13"/>
          <w:szCs w:val="13"/>
        </w:rPr>
      </w:pPr>
    </w:p>
    <w:p>
      <w:pPr>
        <w:pStyle w:val="BodyText"/>
        <w:spacing w:line="240" w:lineRule="auto" w:before="36"/>
        <w:ind w:left="565" w:right="3657"/>
        <w:jc w:val="left"/>
      </w:pPr>
      <w:r>
        <w:rPr/>
        <w:t>（</w:t>
      </w:r>
      <w:r>
        <w:rPr>
          <w:rFonts w:ascii="Times New Roman" w:hAnsi="Times New Roman" w:cs="Times New Roman" w:eastAsia="Times New Roman" w:hint="default"/>
        </w:rPr>
        <w:t>3</w:t>
      </w:r>
      <w:r>
        <w:rPr/>
        <w:t>）前五名客户的营业收入情况</w:t>
      </w:r>
    </w:p>
    <w:tbl>
      <w:tblPr>
        <w:tblW w:w="0" w:type="auto"/>
        <w:jc w:val="left"/>
        <w:tblInd w:w="123" w:type="dxa"/>
        <w:tblLayout w:type="fixed"/>
        <w:tblCellMar>
          <w:top w:w="0" w:type="dxa"/>
          <w:left w:w="0" w:type="dxa"/>
          <w:bottom w:w="0" w:type="dxa"/>
          <w:right w:w="0" w:type="dxa"/>
        </w:tblCellMar>
        <w:tblLook w:val="01E0"/>
      </w:tblPr>
      <w:tblGrid>
        <w:gridCol w:w="3984"/>
        <w:gridCol w:w="2563"/>
        <w:gridCol w:w="2966"/>
      </w:tblGrid>
      <w:tr>
        <w:trPr>
          <w:trHeight w:val="518" w:hRule="exact"/>
        </w:trPr>
        <w:tc>
          <w:tcPr>
            <w:tcW w:w="3984"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25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849"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966"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4"/>
              <w:jc w:val="center"/>
              <w:rPr>
                <w:rFonts w:ascii="宋体" w:hAnsi="宋体" w:cs="宋体" w:eastAsia="宋体" w:hint="default"/>
                <w:sz w:val="21"/>
                <w:szCs w:val="21"/>
              </w:rPr>
            </w:pPr>
            <w:r>
              <w:rPr>
                <w:rFonts w:ascii="宋体" w:hAnsi="宋体" w:cs="宋体" w:eastAsia="宋体" w:hint="default"/>
                <w:sz w:val="21"/>
                <w:szCs w:val="21"/>
              </w:rPr>
              <w:t>占公司全部营业收入的比例</w:t>
            </w:r>
          </w:p>
        </w:tc>
      </w:tr>
      <w:tr>
        <w:trPr>
          <w:trHeight w:val="514"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深圳市富锦昌贸易有限公司</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151,005,980.00</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48.08%</w:t>
            </w:r>
          </w:p>
        </w:tc>
      </w:tr>
      <w:tr>
        <w:trPr>
          <w:trHeight w:val="509"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深圳市恒信奥特投资发展有限公司</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108,312,932.28</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34.49%</w:t>
            </w:r>
          </w:p>
        </w:tc>
      </w:tr>
      <w:tr>
        <w:trPr>
          <w:trHeight w:val="509"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厦门市恒信网元通信技术有限公司</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35,524,480.00</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11.31%</w:t>
            </w:r>
          </w:p>
        </w:tc>
      </w:tr>
      <w:tr>
        <w:trPr>
          <w:trHeight w:val="509"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自然人（购房款）</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801,900.00</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0.26%</w:t>
            </w:r>
          </w:p>
        </w:tc>
      </w:tr>
      <w:tr>
        <w:trPr>
          <w:trHeight w:val="514"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自然人（购房款）</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530,000.00</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sz w:val="21"/>
              </w:rPr>
              <w:t>0.17%</w:t>
            </w:r>
          </w:p>
        </w:tc>
      </w:tr>
      <w:tr>
        <w:trPr>
          <w:trHeight w:val="518" w:hRule="exact"/>
        </w:trPr>
        <w:tc>
          <w:tcPr>
            <w:tcW w:w="398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0"/>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5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296,175,292.28</w:t>
            </w:r>
            <w:r>
              <w:rPr>
                <w:rFonts w:ascii="Times New Roman"/>
                <w:spacing w:val="-1"/>
                <w:sz w:val="21"/>
              </w:rPr>
            </w:r>
          </w:p>
        </w:tc>
        <w:tc>
          <w:tcPr>
            <w:tcW w:w="29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b/>
                <w:sz w:val="21"/>
              </w:rPr>
              <w:t>94.31%</w:t>
            </w:r>
            <w:r>
              <w:rPr>
                <w:rFonts w:ascii="Times New Roman"/>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17"/>
        <w:ind w:right="3657"/>
        <w:jc w:val="left"/>
        <w:rPr>
          <w:b w:val="0"/>
          <w:bCs w:val="0"/>
        </w:rPr>
      </w:pPr>
      <w:r>
        <w:rPr>
          <w:rFonts w:ascii="Times New Roman" w:hAnsi="Times New Roman" w:cs="Times New Roman" w:eastAsia="Times New Roman" w:hint="default"/>
        </w:rPr>
        <w:t>5</w:t>
      </w:r>
      <w:r>
        <w:rPr/>
        <w:t>、投资收益</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3984"/>
        <w:gridCol w:w="2563"/>
        <w:gridCol w:w="2966"/>
      </w:tblGrid>
      <w:tr>
        <w:trPr>
          <w:trHeight w:val="523" w:hRule="exact"/>
        </w:trPr>
        <w:tc>
          <w:tcPr>
            <w:tcW w:w="3984"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74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966"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95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18" w:hRule="exact"/>
        </w:trPr>
        <w:tc>
          <w:tcPr>
            <w:tcW w:w="3984"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c>
        <w:tc>
          <w:tcPr>
            <w:tcW w:w="25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9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Microsoft JhengHei" w:hAnsi="Microsoft JhengHei" w:cs="Microsoft JhengHei" w:eastAsia="Microsoft JhengHei" w:hint="default"/>
                <w:b/>
                <w:bCs/>
                <w:sz w:val="14"/>
                <w:szCs w:val="14"/>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r>
    </w:tbl>
    <w:p>
      <w:pPr>
        <w:spacing w:after="0" w:line="240" w:lineRule="auto"/>
        <w:jc w:val="right"/>
        <w:rPr>
          <w:rFonts w:ascii="Times New Roman" w:hAnsi="Times New Roman" w:cs="Times New Roman" w:eastAsia="Times New Roman" w:hint="default"/>
          <w:sz w:val="21"/>
          <w:szCs w:val="21"/>
        </w:rPr>
        <w:sectPr>
          <w:headerReference w:type="default" r:id="rId44"/>
          <w:footerReference w:type="default" r:id="rId45"/>
          <w:pgSz w:w="11900" w:h="16840"/>
          <w:pgMar w:header="762" w:footer="840" w:top="1000" w:bottom="1020" w:left="980" w:right="1000"/>
          <w:pgNumType w:start="133"/>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123" w:type="dxa"/>
        <w:tblLayout w:type="fixed"/>
        <w:tblCellMar>
          <w:top w:w="0" w:type="dxa"/>
          <w:left w:w="0" w:type="dxa"/>
          <w:bottom w:w="0" w:type="dxa"/>
          <w:right w:w="0" w:type="dxa"/>
        </w:tblCellMar>
        <w:tblLook w:val="01E0"/>
      </w:tblPr>
      <w:tblGrid>
        <w:gridCol w:w="3984"/>
        <w:gridCol w:w="2563"/>
        <w:gridCol w:w="2966"/>
      </w:tblGrid>
      <w:tr>
        <w:trPr>
          <w:trHeight w:val="518" w:hRule="exact"/>
        </w:trPr>
        <w:tc>
          <w:tcPr>
            <w:tcW w:w="3984"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56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74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966" w:type="dxa"/>
            <w:tcBorders>
              <w:top w:val="single" w:sz="12"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95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504"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-4,204,235.64</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-9,248,003.93</w:t>
            </w:r>
          </w:p>
        </w:tc>
      </w:tr>
      <w:tr>
        <w:trPr>
          <w:trHeight w:val="499"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56,775,368.96</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246,110,135.03</w:t>
            </w:r>
          </w:p>
        </w:tc>
      </w:tr>
      <w:tr>
        <w:trPr>
          <w:trHeight w:val="499"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可供出售金融资产等取得的投资收益</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258,990.30</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398,446.50</w:t>
            </w:r>
          </w:p>
        </w:tc>
      </w:tr>
      <w:tr>
        <w:trPr>
          <w:trHeight w:val="499" w:hRule="exact"/>
        </w:trPr>
        <w:tc>
          <w:tcPr>
            <w:tcW w:w="3984"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子公司分来的利润</w:t>
            </w:r>
          </w:p>
        </w:tc>
        <w:tc>
          <w:tcPr>
            <w:tcW w:w="2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966"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9,918,708.41</w:t>
            </w:r>
          </w:p>
        </w:tc>
      </w:tr>
      <w:tr>
        <w:trPr>
          <w:trHeight w:val="514" w:hRule="exact"/>
        </w:trPr>
        <w:tc>
          <w:tcPr>
            <w:tcW w:w="3984"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15"/>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256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z w:val="21"/>
              </w:rPr>
              <w:t>52,830,123.62</w:t>
            </w:r>
            <w:r>
              <w:rPr>
                <w:rFonts w:ascii="Times New Roman"/>
                <w:sz w:val="21"/>
              </w:rPr>
            </w:r>
          </w:p>
        </w:tc>
        <w:tc>
          <w:tcPr>
            <w:tcW w:w="2966"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b/>
                <w:spacing w:val="-1"/>
                <w:sz w:val="21"/>
              </w:rPr>
              <w:t>247,179,286.01</w:t>
            </w:r>
            <w:r>
              <w:rPr>
                <w:rFonts w:ascii="Times New Roman"/>
                <w:spacing w:val="-1"/>
                <w:sz w:val="21"/>
              </w:rPr>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9"/>
        <w:rPr>
          <w:rFonts w:ascii="Microsoft JhengHei" w:hAnsi="Microsoft JhengHei" w:cs="Microsoft JhengHei" w:eastAsia="Microsoft JhengHei" w:hint="default"/>
          <w:b/>
          <w:bCs/>
          <w:sz w:val="16"/>
          <w:szCs w:val="16"/>
        </w:rPr>
      </w:pPr>
    </w:p>
    <w:p>
      <w:pPr>
        <w:pStyle w:val="Heading6"/>
        <w:spacing w:line="335" w:lineRule="exact"/>
        <w:ind w:right="101"/>
        <w:jc w:val="left"/>
        <w:rPr>
          <w:b w:val="0"/>
          <w:bCs w:val="0"/>
        </w:rPr>
      </w:pPr>
      <w:r>
        <w:rPr>
          <w:rFonts w:ascii="Times New Roman" w:hAnsi="Times New Roman" w:cs="Times New Roman" w:eastAsia="Times New Roman" w:hint="default"/>
        </w:rPr>
        <w:t>6</w:t>
      </w:r>
      <w:r>
        <w:rPr/>
        <w:t>、现金流量表补充资料</w:t>
      </w:r>
      <w:r>
        <w:rPr>
          <w:b w:val="0"/>
          <w:bCs w:val="0"/>
        </w:rPr>
      </w:r>
    </w:p>
    <w:tbl>
      <w:tblPr>
        <w:tblW w:w="0" w:type="auto"/>
        <w:jc w:val="left"/>
        <w:tblInd w:w="123" w:type="dxa"/>
        <w:tblLayout w:type="fixed"/>
        <w:tblCellMar>
          <w:top w:w="0" w:type="dxa"/>
          <w:left w:w="0" w:type="dxa"/>
          <w:bottom w:w="0" w:type="dxa"/>
          <w:right w:w="0" w:type="dxa"/>
        </w:tblCellMar>
        <w:tblLook w:val="01E0"/>
      </w:tblPr>
      <w:tblGrid>
        <w:gridCol w:w="4838"/>
        <w:gridCol w:w="2338"/>
        <w:gridCol w:w="2338"/>
      </w:tblGrid>
      <w:tr>
        <w:trPr>
          <w:trHeight w:val="509" w:hRule="exact"/>
        </w:trPr>
        <w:tc>
          <w:tcPr>
            <w:tcW w:w="483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15"/>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补充资料</w:t>
            </w:r>
            <w:r>
              <w:rPr>
                <w:rFonts w:ascii="Microsoft JhengHei" w:hAnsi="Microsoft JhengHei" w:cs="Microsoft JhengHei" w:eastAsia="Microsoft JhengHei" w:hint="default"/>
                <w:sz w:val="21"/>
                <w:szCs w:val="21"/>
              </w:rPr>
            </w:r>
          </w:p>
        </w:tc>
        <w:tc>
          <w:tcPr>
            <w:tcW w:w="233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5"/>
              <w:ind w:left="73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本期金额</w:t>
            </w:r>
            <w:r>
              <w:rPr>
                <w:rFonts w:ascii="Microsoft JhengHei" w:hAnsi="Microsoft JhengHei" w:cs="Microsoft JhengHei" w:eastAsia="Microsoft JhengHei" w:hint="default"/>
                <w:sz w:val="21"/>
                <w:szCs w:val="21"/>
              </w:rPr>
            </w:r>
          </w:p>
        </w:tc>
        <w:tc>
          <w:tcPr>
            <w:tcW w:w="233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15"/>
              <w:ind w:left="73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上期金额</w:t>
            </w:r>
            <w:r>
              <w:rPr>
                <w:rFonts w:ascii="Microsoft JhengHei" w:hAnsi="Microsoft JhengHei" w:cs="Microsoft JhengHei" w:eastAsia="Microsoft JhengHei" w:hint="default"/>
                <w:sz w:val="21"/>
                <w:szCs w:val="21"/>
              </w:rPr>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15"/>
              <w:ind w:left="124" w:right="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1</w:t>
            </w:r>
            <w:r>
              <w:rPr>
                <w:rFonts w:ascii="Microsoft JhengHei" w:hAnsi="Microsoft JhengHei" w:cs="Microsoft JhengHei" w:eastAsia="Microsoft JhengHei" w:hint="default"/>
                <w:b/>
                <w:bCs/>
                <w:sz w:val="21"/>
                <w:szCs w:val="21"/>
              </w:rPr>
              <w:t>．将净利润调节为经营活动现金流量：</w:t>
            </w:r>
            <w:r>
              <w:rPr>
                <w:rFonts w:ascii="Microsoft JhengHei" w:hAnsi="Microsoft JhengHei" w:cs="Microsoft JhengHei" w:eastAsia="Microsoft JhengHei" w:hint="default"/>
                <w:sz w:val="21"/>
                <w:szCs w:val="21"/>
              </w:rPr>
            </w:r>
          </w:p>
        </w:tc>
        <w:tc>
          <w:tcPr>
            <w:tcW w:w="2338" w:type="dxa"/>
            <w:tcBorders>
              <w:top w:val="single" w:sz="4" w:space="0" w:color="000000"/>
              <w:left w:val="single" w:sz="4" w:space="0" w:color="000000"/>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nil" w:sz="6" w:space="0" w:color="auto"/>
            </w:tcBorders>
          </w:tcPr>
          <w:p>
            <w:pP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156,933,895.19</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162,842,412.88</w:t>
            </w:r>
          </w:p>
        </w:tc>
      </w:tr>
      <w:tr>
        <w:trPr>
          <w:trHeight w:val="504"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-12,603,410.22</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5,519,021.62</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7"/>
              <w:ind w:left="124" w:right="0"/>
              <w:jc w:val="left"/>
              <w:rPr>
                <w:rFonts w:ascii="宋体" w:hAnsi="宋体" w:cs="宋体" w:eastAsia="宋体" w:hint="default"/>
                <w:sz w:val="21"/>
                <w:szCs w:val="21"/>
              </w:rPr>
            </w:pPr>
            <w:r>
              <w:rPr>
                <w:rFonts w:ascii="宋体" w:hAnsi="宋体" w:cs="宋体" w:eastAsia="宋体" w:hint="default"/>
                <w:sz w:val="21"/>
                <w:szCs w:val="21"/>
              </w:rPr>
              <w:t>固定资产折旧、投资性房地产摊销</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9,534,417.75</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12,196,380.15</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792,565.81</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1,567,714.68</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782"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72" w:lineRule="exact"/>
              <w:ind w:left="124"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w:t>
            </w:r>
          </w:p>
          <w:p>
            <w:pPr>
              <w:pStyle w:val="TableParagraph"/>
              <w:spacing w:line="288" w:lineRule="exact"/>
              <w:ind w:left="124" w:right="0"/>
              <w:jc w:val="left"/>
              <w:rPr>
                <w:rFonts w:ascii="宋体" w:hAnsi="宋体" w:cs="宋体" w:eastAsia="宋体" w:hint="default"/>
                <w:sz w:val="21"/>
                <w:szCs w:val="21"/>
              </w:rPr>
            </w:pPr>
            <w:r>
              <w:rPr>
                <w:rFonts w:ascii="宋体" w:hAnsi="宋体" w:cs="宋体" w:eastAsia="宋体" w:hint="default"/>
                <w:sz w:val="21"/>
                <w:szCs w:val="21"/>
              </w:rPr>
              <w:t>（收益以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Microsoft JhengHei" w:hAnsi="Microsoft JhengHei" w:cs="Microsoft JhengHei" w:eastAsia="Microsoft JhengHei" w:hint="default"/>
                <w:b/>
                <w:bCs/>
                <w:sz w:val="22"/>
                <w:szCs w:val="22"/>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-4,258,915.26</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22"/>
                <w:szCs w:val="22"/>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8,966,108.18</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6,480,245.25</w:t>
            </w:r>
          </w:p>
        </w:tc>
      </w:tr>
      <w:tr>
        <w:trPr>
          <w:trHeight w:val="504"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-52,830,123.62</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-247,179,286.01</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4,021,175.05</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26,059,653.35</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-290,340.97</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-1,653,741.14</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-62,777,642.48</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1,443,863.52</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-90,773,844.34</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-231,878,346.77</w:t>
            </w:r>
          </w:p>
        </w:tc>
      </w:tr>
      <w:tr>
        <w:trPr>
          <w:trHeight w:val="499"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82"/>
              <w:ind w:left="124"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331,084,045.42</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213,362,078.14</w:t>
            </w:r>
          </w:p>
        </w:tc>
      </w:tr>
      <w:tr>
        <w:trPr>
          <w:trHeight w:val="504"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509" w:hRule="exact"/>
        </w:trPr>
        <w:tc>
          <w:tcPr>
            <w:tcW w:w="483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8"/>
              <w:ind w:right="0"/>
              <w:jc w:val="left"/>
              <w:rPr>
                <w:rFonts w:ascii="Microsoft JhengHei" w:hAnsi="Microsoft JhengHei" w:cs="Microsoft JhengHei" w:eastAsia="Microsoft JhengHei" w:hint="default"/>
                <w:b/>
                <w:bCs/>
                <w:sz w:val="10"/>
                <w:szCs w:val="10"/>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3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287,797,930.51</w:t>
            </w:r>
          </w:p>
        </w:tc>
        <w:tc>
          <w:tcPr>
            <w:tcW w:w="233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4"/>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pacing w:val="-1"/>
                <w:sz w:val="21"/>
              </w:rPr>
              <w:t>-51,240,004.33</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980" w:right="1020"/>
        </w:sectPr>
      </w:pPr>
    </w:p>
    <w:p>
      <w:pPr>
        <w:spacing w:line="240" w:lineRule="auto" w:before="2"/>
        <w:rPr>
          <w:rFonts w:ascii="Microsoft JhengHei" w:hAnsi="Microsoft JhengHei" w:cs="Microsoft JhengHei" w:eastAsia="Microsoft JhengHei" w:hint="default"/>
          <w:b/>
          <w:bCs/>
          <w:sz w:val="25"/>
          <w:szCs w:val="25"/>
        </w:rPr>
      </w:pPr>
    </w:p>
    <w:tbl>
      <w:tblPr>
        <w:tblW w:w="0" w:type="auto"/>
        <w:jc w:val="left"/>
        <w:tblInd w:w="223" w:type="dxa"/>
        <w:tblLayout w:type="fixed"/>
        <w:tblCellMar>
          <w:top w:w="0" w:type="dxa"/>
          <w:left w:w="0" w:type="dxa"/>
          <w:bottom w:w="0" w:type="dxa"/>
          <w:right w:w="0" w:type="dxa"/>
        </w:tblCellMar>
        <w:tblLook w:val="01E0"/>
      </w:tblPr>
      <w:tblGrid>
        <w:gridCol w:w="4838"/>
        <w:gridCol w:w="2338"/>
        <w:gridCol w:w="2338"/>
      </w:tblGrid>
      <w:tr>
        <w:trPr>
          <w:trHeight w:val="509" w:hRule="exact"/>
        </w:trPr>
        <w:tc>
          <w:tcPr>
            <w:tcW w:w="483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15"/>
              <w:ind w:left="14"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补充资料</w:t>
            </w:r>
            <w:r>
              <w:rPr>
                <w:rFonts w:ascii="Microsoft JhengHei" w:hAnsi="Microsoft JhengHei" w:cs="Microsoft JhengHei" w:eastAsia="Microsoft JhengHei" w:hint="default"/>
                <w:sz w:val="21"/>
                <w:szCs w:val="21"/>
              </w:rPr>
            </w:r>
          </w:p>
        </w:tc>
        <w:tc>
          <w:tcPr>
            <w:tcW w:w="233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15"/>
              <w:ind w:left="73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本期金额</w:t>
            </w:r>
            <w:r>
              <w:rPr>
                <w:rFonts w:ascii="Microsoft JhengHei" w:hAnsi="Microsoft JhengHei" w:cs="Microsoft JhengHei" w:eastAsia="Microsoft JhengHei" w:hint="default"/>
                <w:sz w:val="21"/>
                <w:szCs w:val="21"/>
              </w:rPr>
            </w:r>
          </w:p>
        </w:tc>
        <w:tc>
          <w:tcPr>
            <w:tcW w:w="2338"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15"/>
              <w:ind w:left="734"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上期金额</w:t>
            </w:r>
            <w:r>
              <w:rPr>
                <w:rFonts w:ascii="Microsoft JhengHei" w:hAnsi="Microsoft JhengHei" w:cs="Microsoft JhengHei" w:eastAsia="Microsoft JhengHei" w:hint="default"/>
                <w:sz w:val="21"/>
                <w:szCs w:val="21"/>
              </w:rPr>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5"/>
              <w:ind w:left="124" w:right="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w:t>
            </w:r>
            <w:r>
              <w:rPr>
                <w:rFonts w:ascii="Microsoft JhengHei" w:hAnsi="Microsoft JhengHei" w:cs="Microsoft JhengHei" w:eastAsia="Microsoft JhengHei" w:hint="default"/>
                <w:b/>
                <w:bCs/>
                <w:sz w:val="21"/>
                <w:szCs w:val="21"/>
              </w:rPr>
              <w:t>．不涉及现金收支的重大投资和筹资活动：</w:t>
            </w:r>
            <w:r>
              <w:rPr>
                <w:rFonts w:ascii="Microsoft JhengHei" w:hAnsi="Microsoft JhengHei" w:cs="Microsoft JhengHei" w:eastAsia="Microsoft JhengHei" w:hint="default"/>
                <w:sz w:val="21"/>
                <w:szCs w:val="21"/>
              </w:rPr>
            </w:r>
          </w:p>
        </w:tc>
        <w:tc>
          <w:tcPr>
            <w:tcW w:w="2338" w:type="dxa"/>
            <w:tcBorders>
              <w:top w:val="single" w:sz="4" w:space="0" w:color="000000"/>
              <w:left w:val="single" w:sz="4" w:space="0" w:color="000000"/>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nil" w:sz="6" w:space="0" w:color="auto"/>
            </w:tcBorders>
          </w:tcPr>
          <w:p>
            <w:pPr/>
          </w:p>
        </w:tc>
      </w:tr>
      <w:tr>
        <w:trPr>
          <w:trHeight w:val="494"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67"/>
              <w:ind w:left="124"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05"/>
              <w:ind w:left="124" w:right="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3</w:t>
            </w:r>
            <w:r>
              <w:rPr>
                <w:rFonts w:ascii="Microsoft JhengHei" w:hAnsi="Microsoft JhengHei" w:cs="Microsoft JhengHei" w:eastAsia="Microsoft JhengHei" w:hint="default"/>
                <w:b/>
                <w:bCs/>
                <w:sz w:val="21"/>
                <w:szCs w:val="21"/>
              </w:rPr>
              <w:t>．现金及现金等价物净变动情况：</w:t>
            </w:r>
            <w:r>
              <w:rPr>
                <w:rFonts w:ascii="Microsoft JhengHei" w:hAnsi="Microsoft JhengHei" w:cs="Microsoft JhengHei" w:eastAsia="Microsoft JhengHei" w:hint="default"/>
                <w:sz w:val="21"/>
                <w:szCs w:val="21"/>
              </w:rPr>
            </w:r>
          </w:p>
        </w:tc>
        <w:tc>
          <w:tcPr>
            <w:tcW w:w="2338" w:type="dxa"/>
            <w:tcBorders>
              <w:top w:val="single" w:sz="4" w:space="0" w:color="000000"/>
              <w:left w:val="single" w:sz="4" w:space="0" w:color="000000"/>
              <w:bottom w:val="single" w:sz="4" w:space="0" w:color="000000"/>
              <w:right w:val="single" w:sz="4" w:space="0" w:color="000000"/>
            </w:tcBorders>
          </w:tcPr>
          <w:p>
            <w:pPr/>
          </w:p>
        </w:tc>
        <w:tc>
          <w:tcPr>
            <w:tcW w:w="2338"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635,611.06</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4,299,690.12</w:t>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z w:val="21"/>
              </w:rPr>
              <w:t>4,299,690.12</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3,230,934.71</w:t>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83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100"/>
                <w:sz w:val="21"/>
              </w:rPr>
              <w:t>-</w:t>
            </w:r>
          </w:p>
        </w:tc>
        <w:tc>
          <w:tcPr>
            <w:tcW w:w="233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483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33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-3,664,079.06</w:t>
            </w:r>
          </w:p>
        </w:tc>
        <w:tc>
          <w:tcPr>
            <w:tcW w:w="233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108"/>
              <w:jc w:val="right"/>
              <w:rPr>
                <w:rFonts w:ascii="Times New Roman" w:hAnsi="Times New Roman" w:cs="Times New Roman" w:eastAsia="Times New Roman" w:hint="default"/>
                <w:sz w:val="21"/>
                <w:szCs w:val="21"/>
              </w:rPr>
            </w:pPr>
            <w:r>
              <w:rPr>
                <w:rFonts w:ascii="Times New Roman"/>
                <w:sz w:val="21"/>
              </w:rPr>
              <w:t>1,068,755.41</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7"/>
        <w:rPr>
          <w:rFonts w:ascii="Microsoft JhengHei" w:hAnsi="Microsoft JhengHei" w:cs="Microsoft JhengHei" w:eastAsia="Microsoft JhengHei" w:hint="default"/>
          <w:b/>
          <w:bCs/>
          <w:sz w:val="15"/>
          <w:szCs w:val="15"/>
        </w:rPr>
      </w:pPr>
    </w:p>
    <w:p>
      <w:pPr>
        <w:pStyle w:val="Heading6"/>
        <w:spacing w:line="335" w:lineRule="exact"/>
        <w:ind w:left="675" w:right="0"/>
        <w:jc w:val="left"/>
        <w:rPr>
          <w:b w:val="0"/>
          <w:bCs w:val="0"/>
        </w:rPr>
      </w:pPr>
      <w:r>
        <w:rPr/>
        <w:t>十三、补充资料</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14"/>
          <w:szCs w:val="14"/>
        </w:rPr>
      </w:pPr>
    </w:p>
    <w:p>
      <w:pPr>
        <w:pStyle w:val="Heading6"/>
        <w:spacing w:line="240" w:lineRule="auto"/>
        <w:ind w:left="675" w:right="0"/>
        <w:jc w:val="left"/>
        <w:rPr>
          <w:b w:val="0"/>
          <w:bCs w:val="0"/>
        </w:rPr>
      </w:pPr>
      <w:r>
        <w:rPr>
          <w:rFonts w:ascii="Times New Roman" w:hAnsi="Times New Roman" w:cs="Times New Roman" w:eastAsia="Times New Roman" w:hint="default"/>
        </w:rPr>
        <w:t>1</w:t>
      </w:r>
      <w:r>
        <w:rPr/>
        <w:t>、非经常性损益明细表</w:t>
      </w:r>
      <w:r>
        <w:rPr>
          <w:b w:val="0"/>
          <w:bCs w:val="0"/>
        </w:rPr>
      </w:r>
    </w:p>
    <w:tbl>
      <w:tblPr>
        <w:tblW w:w="0" w:type="auto"/>
        <w:jc w:val="left"/>
        <w:tblInd w:w="113" w:type="dxa"/>
        <w:tblLayout w:type="fixed"/>
        <w:tblCellMar>
          <w:top w:w="0" w:type="dxa"/>
          <w:left w:w="0" w:type="dxa"/>
          <w:bottom w:w="0" w:type="dxa"/>
          <w:right w:w="0" w:type="dxa"/>
        </w:tblCellMar>
        <w:tblLook w:val="01E0"/>
      </w:tblPr>
      <w:tblGrid>
        <w:gridCol w:w="4411"/>
        <w:gridCol w:w="1810"/>
        <w:gridCol w:w="3403"/>
      </w:tblGrid>
      <w:tr>
        <w:trPr>
          <w:trHeight w:val="504" w:hRule="exact"/>
        </w:trPr>
        <w:tc>
          <w:tcPr>
            <w:tcW w:w="4411"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1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right="2"/>
              <w:jc w:val="center"/>
              <w:rPr>
                <w:rFonts w:ascii="宋体" w:hAnsi="宋体" w:cs="宋体" w:eastAsia="宋体" w:hint="default"/>
                <w:sz w:val="21"/>
                <w:szCs w:val="21"/>
              </w:rPr>
            </w:pPr>
            <w:r>
              <w:rPr>
                <w:rFonts w:ascii="宋体" w:hAnsi="宋体" w:cs="宋体" w:eastAsia="宋体" w:hint="default"/>
                <w:sz w:val="21"/>
                <w:szCs w:val="21"/>
              </w:rPr>
              <w:t>金额</w:t>
            </w:r>
          </w:p>
        </w:tc>
        <w:tc>
          <w:tcPr>
            <w:tcW w:w="340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490"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61,213,894.63</w:t>
            </w:r>
          </w:p>
        </w:tc>
        <w:tc>
          <w:tcPr>
            <w:tcW w:w="34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72"/>
              <w:ind w:left="4" w:right="0"/>
              <w:jc w:val="center"/>
              <w:rPr>
                <w:rFonts w:ascii="宋体" w:hAnsi="宋体" w:cs="宋体" w:eastAsia="宋体" w:hint="default"/>
                <w:sz w:val="21"/>
                <w:szCs w:val="21"/>
              </w:rPr>
            </w:pPr>
            <w:r>
              <w:rPr>
                <w:rFonts w:ascii="宋体" w:hAnsi="宋体" w:cs="宋体" w:eastAsia="宋体" w:hint="default"/>
                <w:sz w:val="21"/>
                <w:szCs w:val="21"/>
              </w:rPr>
              <w:t>其中股权处置收益</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56,775,368.96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元</w:t>
            </w:r>
          </w:p>
        </w:tc>
      </w:tr>
      <w:tr>
        <w:trPr>
          <w:trHeight w:val="490"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14,408,572.47</w:t>
            </w:r>
          </w:p>
        </w:tc>
        <w:tc>
          <w:tcPr>
            <w:tcW w:w="34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-7,545,532.72</w:t>
            </w:r>
          </w:p>
        </w:tc>
        <w:tc>
          <w:tcPr>
            <w:tcW w:w="34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15,853,260.96</w:t>
            </w:r>
          </w:p>
        </w:tc>
        <w:tc>
          <w:tcPr>
            <w:tcW w:w="34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w w:val="100"/>
                <w:sz w:val="21"/>
              </w:rPr>
              <w:t>-</w:t>
            </w:r>
          </w:p>
        </w:tc>
      </w:tr>
      <w:tr>
        <w:trPr>
          <w:trHeight w:val="490" w:hRule="exact"/>
        </w:trPr>
        <w:tc>
          <w:tcPr>
            <w:tcW w:w="441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27,580.00</w:t>
            </w:r>
          </w:p>
        </w:tc>
        <w:tc>
          <w:tcPr>
            <w:tcW w:w="3403"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5"/>
              <w:ind w:right="0"/>
              <w:jc w:val="left"/>
              <w:rPr>
                <w:rFonts w:ascii="Microsoft JhengHei" w:hAnsi="Microsoft JhengHei" w:cs="Microsoft JhengHei" w:eastAsia="Microsoft JhengHei" w:hint="default"/>
                <w:b/>
                <w:bCs/>
                <w:sz w:val="13"/>
                <w:szCs w:val="13"/>
              </w:rPr>
            </w:pPr>
          </w:p>
          <w:p>
            <w:pPr>
              <w:pStyle w:val="TableParagraph"/>
              <w:spacing w:line="240" w:lineRule="auto"/>
              <w:ind w:right="4"/>
              <w:jc w:val="center"/>
              <w:rPr>
                <w:rFonts w:ascii="Times New Roman" w:hAnsi="Times New Roman" w:cs="Times New Roman" w:eastAsia="Times New Roman" w:hint="default"/>
                <w:sz w:val="21"/>
                <w:szCs w:val="21"/>
              </w:rPr>
            </w:pPr>
            <w:r>
              <w:rPr>
                <w:rFonts w:ascii="Times New Roman"/>
                <w:w w:val="100"/>
                <w:sz w:val="21"/>
              </w:rPr>
              <w:t>-</w:t>
            </w:r>
          </w:p>
        </w:tc>
      </w:tr>
      <w:tr>
        <w:trPr>
          <w:trHeight w:val="499" w:hRule="exact"/>
        </w:trPr>
        <w:tc>
          <w:tcPr>
            <w:tcW w:w="441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05"/>
              <w:ind w:left="9"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合计</w:t>
            </w:r>
            <w:r>
              <w:rPr>
                <w:rFonts w:ascii="Microsoft JhengHei" w:hAnsi="Microsoft JhengHei" w:cs="Microsoft JhengHei" w:eastAsia="Microsoft JhengHei" w:hint="default"/>
                <w:sz w:val="21"/>
                <w:szCs w:val="21"/>
              </w:rPr>
            </w:r>
          </w:p>
        </w:tc>
        <w:tc>
          <w:tcPr>
            <w:tcW w:w="18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Microsoft JhengHei" w:hAnsi="Microsoft JhengHei" w:cs="Microsoft JhengHei" w:eastAsia="Microsoft JhengHei" w:hint="default"/>
                <w:b/>
                <w:bCs/>
                <w:sz w:val="13"/>
                <w:szCs w:val="1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b/>
                <w:sz w:val="21"/>
              </w:rPr>
              <w:t>52,196,093.42</w:t>
            </w:r>
            <w:r>
              <w:rPr>
                <w:rFonts w:ascii="Times New Roman"/>
                <w:sz w:val="21"/>
              </w:rPr>
            </w:r>
          </w:p>
        </w:tc>
        <w:tc>
          <w:tcPr>
            <w:tcW w:w="3403" w:type="dxa"/>
            <w:tcBorders>
              <w:top w:val="single" w:sz="4" w:space="0" w:color="000000"/>
              <w:left w:val="single" w:sz="4" w:space="0" w:color="000000"/>
              <w:bottom w:val="single" w:sz="12" w:space="0" w:color="000000"/>
              <w:right w:val="nil" w:sz="6" w:space="0" w:color="auto"/>
            </w:tcBorders>
          </w:tcPr>
          <w:p>
            <w:pP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16"/>
        <w:rPr>
          <w:rFonts w:ascii="Microsoft JhengHei" w:hAnsi="Microsoft JhengHei" w:cs="Microsoft JhengHei" w:eastAsia="Microsoft JhengHei" w:hint="default"/>
          <w:b/>
          <w:bCs/>
          <w:sz w:val="15"/>
          <w:szCs w:val="15"/>
        </w:rPr>
      </w:pPr>
    </w:p>
    <w:p>
      <w:pPr>
        <w:pStyle w:val="Heading6"/>
        <w:spacing w:line="335" w:lineRule="exact"/>
        <w:ind w:left="675" w:right="0"/>
        <w:jc w:val="left"/>
        <w:rPr>
          <w:b w:val="0"/>
          <w:bCs w:val="0"/>
        </w:rPr>
      </w:pPr>
      <w:r>
        <w:rPr>
          <w:rFonts w:ascii="Times New Roman" w:hAnsi="Times New Roman" w:cs="Times New Roman" w:eastAsia="Times New Roman" w:hint="default"/>
        </w:rPr>
        <w:t>2</w:t>
      </w:r>
      <w:r>
        <w:rPr/>
        <w:t>、净资产收益率及每股收益</w:t>
      </w:r>
      <w:r>
        <w:rPr>
          <w:b w:val="0"/>
          <w:bCs w:val="0"/>
        </w:rPr>
      </w:r>
    </w:p>
    <w:p>
      <w:pPr>
        <w:pStyle w:val="BodyText"/>
        <w:spacing w:line="240" w:lineRule="auto" w:before="181"/>
        <w:ind w:left="665" w:right="0"/>
        <w:jc w:val="left"/>
      </w:pPr>
      <w:r>
        <w:rPr/>
        <w:t>（</w:t>
      </w:r>
      <w:r>
        <w:rPr>
          <w:rFonts w:ascii="Times New Roman" w:hAnsi="Times New Roman" w:cs="Times New Roman" w:eastAsia="Times New Roman" w:hint="default"/>
        </w:rPr>
        <w:t>1</w:t>
      </w:r>
      <w:r>
        <w:rPr/>
        <w:t>）净资产收益率</w:t>
      </w:r>
    </w:p>
    <w:tbl>
      <w:tblPr>
        <w:tblW w:w="0" w:type="auto"/>
        <w:jc w:val="left"/>
        <w:tblInd w:w="223" w:type="dxa"/>
        <w:tblLayout w:type="fixed"/>
        <w:tblCellMar>
          <w:top w:w="0" w:type="dxa"/>
          <w:left w:w="0" w:type="dxa"/>
          <w:bottom w:w="0" w:type="dxa"/>
          <w:right w:w="0" w:type="dxa"/>
        </w:tblCellMar>
        <w:tblLook w:val="01E0"/>
      </w:tblPr>
      <w:tblGrid>
        <w:gridCol w:w="5549"/>
        <w:gridCol w:w="1982"/>
        <w:gridCol w:w="1982"/>
      </w:tblGrid>
      <w:tr>
        <w:trPr>
          <w:trHeight w:val="504" w:hRule="exact"/>
        </w:trPr>
        <w:tc>
          <w:tcPr>
            <w:tcW w:w="5549"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72"/>
              <w:ind w:left="23" w:right="0"/>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19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72"/>
              <w:ind w:left="56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98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72"/>
              <w:ind w:left="561"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90" w:hRule="exact"/>
        </w:trPr>
        <w:tc>
          <w:tcPr>
            <w:tcW w:w="55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17.86%</w:t>
            </w:r>
          </w:p>
        </w:tc>
        <w:tc>
          <w:tcPr>
            <w:tcW w:w="198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sz w:val="21"/>
              </w:rPr>
              <w:t>14.89%</w:t>
            </w:r>
          </w:p>
        </w:tc>
      </w:tr>
      <w:tr>
        <w:trPr>
          <w:trHeight w:val="499" w:hRule="exact"/>
        </w:trPr>
        <w:tc>
          <w:tcPr>
            <w:tcW w:w="554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72"/>
              <w:ind w:left="124"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扣除非经常性损益后归属于公司普通股股东的净利润</w:t>
            </w:r>
          </w:p>
        </w:tc>
        <w:tc>
          <w:tcPr>
            <w:tcW w:w="19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z w:val="21"/>
              </w:rPr>
              <w:t>13.05%</w:t>
            </w:r>
          </w:p>
        </w:tc>
        <w:tc>
          <w:tcPr>
            <w:tcW w:w="198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10"/>
              <w:jc w:val="right"/>
              <w:rPr>
                <w:rFonts w:ascii="Times New Roman" w:hAnsi="Times New Roman" w:cs="Times New Roman" w:eastAsia="Times New Roman" w:hint="default"/>
                <w:sz w:val="21"/>
                <w:szCs w:val="21"/>
              </w:rPr>
            </w:pPr>
            <w:r>
              <w:rPr>
                <w:rFonts w:ascii="Times New Roman"/>
                <w:sz w:val="21"/>
              </w:rPr>
              <w:t>9.62%</w:t>
            </w:r>
          </w:p>
        </w:tc>
      </w:tr>
    </w:tbl>
    <w:p>
      <w:pPr>
        <w:spacing w:after="0" w:line="240" w:lineRule="auto"/>
        <w:jc w:val="right"/>
        <w:rPr>
          <w:rFonts w:ascii="Times New Roman" w:hAnsi="Times New Roman" w:cs="Times New Roman" w:eastAsia="Times New Roman" w:hint="default"/>
          <w:sz w:val="21"/>
          <w:szCs w:val="21"/>
        </w:rPr>
        <w:sectPr>
          <w:pgSz w:w="11900" w:h="16840"/>
          <w:pgMar w:header="762" w:footer="840" w:top="1000" w:bottom="1020" w:left="880" w:right="10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240" w:lineRule="auto" w:before="36"/>
        <w:ind w:left="565" w:right="0"/>
        <w:jc w:val="left"/>
      </w:pPr>
      <w:r>
        <w:rPr/>
        <w:t>（</w:t>
      </w:r>
      <w:r>
        <w:rPr>
          <w:rFonts w:ascii="Times New Roman" w:hAnsi="Times New Roman" w:cs="Times New Roman" w:eastAsia="Times New Roman" w:hint="default"/>
        </w:rPr>
        <w:t>2</w:t>
      </w:r>
      <w:r>
        <w:rPr/>
        <w:t>）每股收益</w:t>
      </w:r>
    </w:p>
    <w:tbl>
      <w:tblPr>
        <w:tblW w:w="0" w:type="auto"/>
        <w:jc w:val="left"/>
        <w:tblInd w:w="123" w:type="dxa"/>
        <w:tblLayout w:type="fixed"/>
        <w:tblCellMar>
          <w:top w:w="0" w:type="dxa"/>
          <w:left w:w="0" w:type="dxa"/>
          <w:bottom w:w="0" w:type="dxa"/>
          <w:right w:w="0" w:type="dxa"/>
        </w:tblCellMar>
        <w:tblLook w:val="01E0"/>
      </w:tblPr>
      <w:tblGrid>
        <w:gridCol w:w="3418"/>
        <w:gridCol w:w="1560"/>
        <w:gridCol w:w="1560"/>
        <w:gridCol w:w="1560"/>
        <w:gridCol w:w="1555"/>
      </w:tblGrid>
      <w:tr>
        <w:trPr>
          <w:trHeight w:val="523" w:hRule="exact"/>
        </w:trPr>
        <w:tc>
          <w:tcPr>
            <w:tcW w:w="3418"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3120" w:type="dxa"/>
            <w:gridSpan w:val="2"/>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7" w:right="0"/>
              <w:jc w:val="left"/>
              <w:rPr>
                <w:rFonts w:ascii="宋体" w:hAnsi="宋体" w:cs="宋体" w:eastAsia="宋体" w:hint="default"/>
                <w:sz w:val="18"/>
                <w:szCs w:val="18"/>
              </w:rPr>
            </w:pPr>
            <w:r>
              <w:rPr>
                <w:rFonts w:ascii="宋体" w:hAnsi="宋体" w:cs="宋体" w:eastAsia="宋体" w:hint="default"/>
                <w:sz w:val="18"/>
                <w:szCs w:val="18"/>
              </w:rPr>
              <w:t>基本每股收益</w:t>
            </w:r>
          </w:p>
        </w:tc>
        <w:tc>
          <w:tcPr>
            <w:tcW w:w="3115" w:type="dxa"/>
            <w:gridSpan w:val="2"/>
            <w:tcBorders>
              <w:top w:val="single" w:sz="12"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7"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509" w:hRule="exact"/>
        </w:trPr>
        <w:tc>
          <w:tcPr>
            <w:tcW w:w="3418" w:type="dxa"/>
            <w:vMerge/>
            <w:tcBorders>
              <w:left w:val="nil" w:sz="6" w:space="0" w:color="auto"/>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55"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509" w:hRule="exact"/>
        </w:trPr>
        <w:tc>
          <w:tcPr>
            <w:tcW w:w="34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pacing w:val="-3"/>
                <w:sz w:val="18"/>
                <w:szCs w:val="18"/>
              </w:rPr>
              <w:t>归属于公司普通股股东的净利润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0.41</w:t>
            </w:r>
          </w:p>
        </w:tc>
        <w:tc>
          <w:tcPr>
            <w:tcW w:w="1555"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z w:val="18"/>
              </w:rPr>
              <w:t>0.30</w:t>
            </w:r>
          </w:p>
        </w:tc>
      </w:tr>
      <w:tr>
        <w:trPr>
          <w:trHeight w:val="730" w:hRule="exact"/>
        </w:trPr>
        <w:tc>
          <w:tcPr>
            <w:tcW w:w="34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4" w:right="95"/>
              <w:jc w:val="left"/>
              <w:rPr>
                <w:rFonts w:ascii="宋体" w:hAnsi="宋体" w:cs="宋体" w:eastAsia="宋体" w:hint="default"/>
                <w:sz w:val="18"/>
                <w:szCs w:val="18"/>
              </w:rPr>
            </w:pPr>
            <w:r>
              <w:rPr>
                <w:rFonts w:ascii="宋体" w:hAnsi="宋体" w:cs="宋体" w:eastAsia="宋体" w:hint="default"/>
                <w:spacing w:val="3"/>
                <w:sz w:val="18"/>
                <w:szCs w:val="18"/>
              </w:rPr>
              <w:t>扣除非经常性损益后归属于公司普通股</w:t>
            </w:r>
            <w:r>
              <w:rPr>
                <w:rFonts w:ascii="宋体" w:hAnsi="宋体" w:cs="宋体" w:eastAsia="宋体" w:hint="default"/>
                <w:spacing w:val="-23"/>
                <w:sz w:val="18"/>
                <w:szCs w:val="18"/>
              </w:rPr>
              <w:t> </w:t>
            </w:r>
            <w:r>
              <w:rPr>
                <w:rFonts w:ascii="宋体" w:hAnsi="宋体" w:cs="宋体" w:eastAsia="宋体" w:hint="default"/>
                <w:spacing w:val="-23"/>
                <w:sz w:val="18"/>
                <w:szCs w:val="18"/>
              </w:rPr>
            </w:r>
            <w:r>
              <w:rPr>
                <w:rFonts w:ascii="宋体" w:hAnsi="宋体" w:cs="宋体" w:eastAsia="宋体" w:hint="default"/>
                <w:sz w:val="18"/>
                <w:szCs w:val="18"/>
              </w:rPr>
              <w:t>股东的净利润</w:t>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sz w:val="18"/>
              </w:rPr>
              <w:t>0.30</w:t>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sz w:val="18"/>
              </w:rPr>
              <w:t>0.19</w:t>
            </w:r>
          </w:p>
        </w:tc>
        <w:tc>
          <w:tcPr>
            <w:tcW w:w="156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sz w:val="18"/>
              </w:rPr>
              <w:t>0.30</w:t>
            </w:r>
          </w:p>
        </w:tc>
        <w:tc>
          <w:tcPr>
            <w:tcW w:w="1555"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03"/>
              <w:jc w:val="right"/>
              <w:rPr>
                <w:rFonts w:ascii="Times New Roman" w:hAnsi="Times New Roman" w:cs="Times New Roman" w:eastAsia="Times New Roman" w:hint="default"/>
                <w:sz w:val="18"/>
                <w:szCs w:val="18"/>
              </w:rPr>
            </w:pPr>
            <w:r>
              <w:rPr>
                <w:rFonts w:ascii="Times New Roman"/>
                <w:sz w:val="18"/>
              </w:rPr>
              <w:t>0.19</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6"/>
        <w:spacing w:line="240" w:lineRule="auto" w:before="117"/>
        <w:ind w:right="0"/>
        <w:jc w:val="left"/>
        <w:rPr>
          <w:b w:val="0"/>
          <w:bCs w:val="0"/>
        </w:rPr>
      </w:pPr>
      <w:r>
        <w:rPr>
          <w:rFonts w:ascii="Times New Roman" w:hAnsi="Times New Roman" w:cs="Times New Roman" w:eastAsia="Times New Roman" w:hint="default"/>
        </w:rPr>
        <w:t>3</w:t>
      </w:r>
      <w:r>
        <w:rPr/>
        <w:t>、公司主要会计报表项目的异常情况及原因的说明</w:t>
      </w:r>
      <w:r>
        <w:rPr>
          <w:b w:val="0"/>
          <w:bCs w:val="0"/>
        </w:rPr>
      </w:r>
    </w:p>
    <w:p>
      <w:pPr>
        <w:spacing w:line="240" w:lineRule="auto" w:before="9"/>
        <w:rPr>
          <w:rFonts w:ascii="Microsoft JhengHei" w:hAnsi="Microsoft JhengHei" w:cs="Microsoft JhengHei" w:eastAsia="Microsoft JhengHei" w:hint="default"/>
          <w:b/>
          <w:bCs/>
          <w:sz w:val="11"/>
          <w:szCs w:val="11"/>
        </w:rPr>
      </w:pPr>
    </w:p>
    <w:p>
      <w:pPr>
        <w:pStyle w:val="BodyText"/>
        <w:spacing w:line="240" w:lineRule="auto"/>
        <w:ind w:left="565" w:right="0"/>
        <w:jc w:val="left"/>
      </w:pPr>
      <w:r>
        <w:rPr>
          <w:rFonts w:ascii="Times New Roman" w:hAnsi="Times New Roman" w:cs="Times New Roman" w:eastAsia="Times New Roman" w:hint="default"/>
          <w:spacing w:val="-1"/>
        </w:rPr>
        <w:t>1</w:t>
      </w:r>
      <w:r>
        <w:rPr>
          <w:spacing w:val="-1"/>
        </w:rPr>
        <w:t>、应收账款期末余额较期初增加</w:t>
      </w:r>
      <w:r>
        <w:rPr>
          <w:spacing w:val="6"/>
        </w:rPr>
        <w:t> </w:t>
      </w:r>
      <w:r>
        <w:rPr>
          <w:rFonts w:ascii="Times New Roman" w:hAnsi="Times New Roman" w:cs="Times New Roman" w:eastAsia="Times New Roman" w:hint="default"/>
          <w:spacing w:val="-2"/>
        </w:rPr>
        <w:t>117.24%</w:t>
      </w:r>
      <w:r>
        <w:rPr>
          <w:spacing w:val="-2"/>
        </w:rPr>
        <w:t>，主要原因为本期新增子公司合并报表所致。</w:t>
      </w:r>
    </w:p>
    <w:p>
      <w:pPr>
        <w:spacing w:line="240" w:lineRule="auto" w:before="12"/>
        <w:rPr>
          <w:rFonts w:ascii="宋体" w:hAnsi="宋体" w:cs="宋体" w:eastAsia="宋体" w:hint="default"/>
          <w:sz w:val="15"/>
          <w:szCs w:val="15"/>
        </w:rPr>
      </w:pPr>
    </w:p>
    <w:p>
      <w:pPr>
        <w:pStyle w:val="BodyText"/>
        <w:spacing w:line="412" w:lineRule="auto"/>
        <w:ind w:right="181" w:firstLine="412"/>
        <w:jc w:val="left"/>
      </w:pPr>
      <w:r>
        <w:rPr>
          <w:rFonts w:ascii="Times New Roman" w:hAnsi="Times New Roman" w:cs="Times New Roman" w:eastAsia="Times New Roman" w:hint="default"/>
          <w:spacing w:val="-3"/>
        </w:rPr>
        <w:t>2</w:t>
      </w:r>
      <w:r>
        <w:rPr>
          <w:spacing w:val="-3"/>
        </w:rPr>
        <w:t>、预付帐款期末余额较期初增加</w:t>
      </w:r>
      <w:r>
        <w:rPr>
          <w:spacing w:val="-4"/>
        </w:rPr>
        <w:t> </w:t>
      </w:r>
      <w:r>
        <w:rPr>
          <w:rFonts w:ascii="Times New Roman" w:hAnsi="Times New Roman" w:cs="Times New Roman" w:eastAsia="Times New Roman" w:hint="default"/>
          <w:spacing w:val="-3"/>
        </w:rPr>
        <w:t>839.43%</w:t>
      </w:r>
      <w:r>
        <w:rPr>
          <w:spacing w:val="-3"/>
        </w:rPr>
        <w:t>，主要原因为本期新增子公司合并报表、西安紫韵项目预付</w:t>
      </w:r>
      <w:r>
        <w:rPr>
          <w:w w:val="100"/>
        </w:rPr>
        <w:t> </w:t>
      </w:r>
      <w:r>
        <w:rPr/>
        <w:t>工程款所致。</w:t>
      </w:r>
    </w:p>
    <w:p>
      <w:pPr>
        <w:pStyle w:val="BodyText"/>
        <w:spacing w:line="240" w:lineRule="auto" w:before="78"/>
        <w:ind w:left="565" w:right="0"/>
        <w:jc w:val="left"/>
      </w:pPr>
      <w:r>
        <w:rPr>
          <w:rFonts w:ascii="Times New Roman" w:hAnsi="Times New Roman" w:cs="Times New Roman" w:eastAsia="Times New Roman" w:hint="default"/>
          <w:spacing w:val="-1"/>
        </w:rPr>
        <w:t>3</w:t>
      </w:r>
      <w:r>
        <w:rPr>
          <w:spacing w:val="-1"/>
        </w:rPr>
        <w:t>、其他应收款期末余额较期初增加</w:t>
      </w:r>
      <w:r>
        <w:rPr>
          <w:spacing w:val="18"/>
        </w:rPr>
        <w:t> </w:t>
      </w:r>
      <w:r>
        <w:rPr>
          <w:rFonts w:ascii="Times New Roman" w:hAnsi="Times New Roman" w:cs="Times New Roman" w:eastAsia="Times New Roman" w:hint="default"/>
          <w:spacing w:val="-2"/>
        </w:rPr>
        <w:t>185.82%</w:t>
      </w:r>
      <w:r>
        <w:rPr>
          <w:spacing w:val="-2"/>
        </w:rPr>
        <w:t>，主要原因为本期新增子公司合并报表所致。</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rFonts w:ascii="Times New Roman" w:hAnsi="Times New Roman" w:cs="Times New Roman" w:eastAsia="Times New Roman" w:hint="default"/>
          <w:spacing w:val="-1"/>
        </w:rPr>
        <w:t>4</w:t>
      </w:r>
      <w:r>
        <w:rPr>
          <w:spacing w:val="-1"/>
        </w:rPr>
        <w:t>、存货期末余额较期初增加</w:t>
      </w:r>
      <w:r>
        <w:rPr>
          <w:spacing w:val="27"/>
        </w:rPr>
        <w:t> </w:t>
      </w:r>
      <w:r>
        <w:rPr>
          <w:rFonts w:ascii="Times New Roman" w:hAnsi="Times New Roman" w:cs="Times New Roman" w:eastAsia="Times New Roman" w:hint="default"/>
          <w:spacing w:val="-2"/>
        </w:rPr>
        <w:t>124.41%</w:t>
      </w:r>
      <w:r>
        <w:rPr>
          <w:spacing w:val="-2"/>
        </w:rPr>
        <w:t>，主要原因为本期各地产项目开发及新增子公司合并报表所致。</w:t>
      </w:r>
    </w:p>
    <w:p>
      <w:pPr>
        <w:spacing w:line="240" w:lineRule="auto" w:before="12"/>
        <w:rPr>
          <w:rFonts w:ascii="宋体" w:hAnsi="宋体" w:cs="宋体" w:eastAsia="宋体" w:hint="default"/>
          <w:sz w:val="15"/>
          <w:szCs w:val="15"/>
        </w:rPr>
      </w:pPr>
    </w:p>
    <w:p>
      <w:pPr>
        <w:pStyle w:val="BodyText"/>
        <w:spacing w:line="412" w:lineRule="auto"/>
        <w:ind w:right="190" w:firstLine="412"/>
        <w:jc w:val="left"/>
      </w:pPr>
      <w:r>
        <w:rPr>
          <w:rFonts w:ascii="Times New Roman" w:hAnsi="Times New Roman" w:cs="Times New Roman" w:eastAsia="Times New Roman" w:hint="default"/>
          <w:spacing w:val="6"/>
        </w:rPr>
        <w:t>5</w:t>
      </w:r>
      <w:r>
        <w:rPr>
          <w:spacing w:val="6"/>
        </w:rPr>
        <w:t>、无形资产期末余额较期初减少</w:t>
      </w:r>
      <w:r>
        <w:rPr>
          <w:spacing w:val="103"/>
        </w:rPr>
        <w:t> </w:t>
      </w:r>
      <w:r>
        <w:rPr>
          <w:rFonts w:ascii="Times New Roman" w:hAnsi="Times New Roman" w:cs="Times New Roman" w:eastAsia="Times New Roman" w:hint="default"/>
          <w:spacing w:val="5"/>
        </w:rPr>
        <w:t>50.18%</w:t>
      </w:r>
      <w:r>
        <w:rPr>
          <w:spacing w:val="5"/>
        </w:rPr>
        <w:t>，主要原因为公司根据相关协议成立项目公司进行梅林</w:t>
      </w:r>
      <w:r>
        <w:rPr>
          <w:w w:val="100"/>
        </w:rPr>
        <w:t> </w:t>
      </w:r>
      <w:r>
        <w:rPr>
          <w:rFonts w:ascii="Times New Roman" w:hAnsi="Times New Roman" w:cs="Times New Roman" w:eastAsia="Times New Roman" w:hint="default"/>
        </w:rPr>
        <w:t>B403-19</w:t>
      </w:r>
      <w:r>
        <w:rPr>
          <w:rFonts w:ascii="Times New Roman" w:hAnsi="Times New Roman" w:cs="Times New Roman" w:eastAsia="Times New Roman" w:hint="default"/>
          <w:spacing w:val="2"/>
        </w:rPr>
        <w:t> </w:t>
      </w:r>
      <w:r>
        <w:rPr/>
        <w:t>地块保障房项目的合作开发。</w:t>
      </w:r>
    </w:p>
    <w:p>
      <w:pPr>
        <w:pStyle w:val="BodyText"/>
        <w:spacing w:line="412" w:lineRule="auto" w:before="41"/>
        <w:ind w:right="170" w:firstLine="412"/>
        <w:jc w:val="left"/>
      </w:pPr>
      <w:r>
        <w:rPr>
          <w:rFonts w:ascii="Times New Roman" w:hAnsi="Times New Roman" w:cs="Times New Roman" w:eastAsia="Times New Roman" w:hint="default"/>
        </w:rPr>
        <w:t>6</w:t>
      </w:r>
      <w:r>
        <w:rPr/>
        <w:t>、短期借款期末余额为 </w:t>
      </w:r>
      <w:r>
        <w:rPr>
          <w:rFonts w:ascii="Times New Roman" w:hAnsi="Times New Roman" w:cs="Times New Roman" w:eastAsia="Times New Roman" w:hint="default"/>
        </w:rPr>
        <w:t>20,650</w:t>
      </w:r>
      <w:r>
        <w:rPr>
          <w:rFonts w:ascii="Times New Roman" w:hAnsi="Times New Roman" w:cs="Times New Roman" w:eastAsia="Times New Roman" w:hint="default"/>
          <w:spacing w:val="-14"/>
        </w:rPr>
        <w:t> </w:t>
      </w:r>
      <w:r>
        <w:rPr/>
        <w:t>万元，主要原因为子公司深圳市鸿基物流有限公司新增一年期借款所</w:t>
      </w:r>
      <w:r>
        <w:rPr>
          <w:w w:val="100"/>
        </w:rPr>
        <w:t> </w:t>
      </w:r>
      <w:r>
        <w:rPr/>
        <w:t>致。</w:t>
      </w:r>
    </w:p>
    <w:p>
      <w:pPr>
        <w:pStyle w:val="BodyText"/>
        <w:spacing w:line="412" w:lineRule="auto" w:before="78"/>
        <w:ind w:right="171" w:firstLine="412"/>
        <w:jc w:val="left"/>
      </w:pPr>
      <w:r>
        <w:rPr>
          <w:rFonts w:ascii="Times New Roman" w:hAnsi="Times New Roman" w:cs="Times New Roman" w:eastAsia="Times New Roman" w:hint="default"/>
        </w:rPr>
        <w:t>7</w:t>
      </w:r>
      <w:r>
        <w:rPr/>
        <w:t>、应付账款期末余额较期初增加</w:t>
      </w:r>
      <w:r>
        <w:rPr>
          <w:spacing w:val="-33"/>
        </w:rPr>
        <w:t> </w:t>
      </w:r>
      <w:r>
        <w:rPr>
          <w:rFonts w:ascii="Times New Roman" w:hAnsi="Times New Roman" w:cs="Times New Roman" w:eastAsia="Times New Roman" w:hint="default"/>
        </w:rPr>
        <w:t>94.64%</w:t>
      </w:r>
      <w:r>
        <w:rPr/>
        <w:t>，主要原因为本期各地产项目公司应付未付工程款项增加所</w:t>
      </w:r>
      <w:r>
        <w:rPr>
          <w:w w:val="100"/>
        </w:rPr>
        <w:t> </w:t>
      </w:r>
      <w:r>
        <w:rPr/>
        <w:t>致。</w:t>
      </w:r>
    </w:p>
    <w:p>
      <w:pPr>
        <w:pStyle w:val="BodyText"/>
        <w:spacing w:line="412" w:lineRule="auto" w:before="73"/>
        <w:ind w:right="0" w:firstLine="412"/>
        <w:jc w:val="left"/>
      </w:pPr>
      <w:r>
        <w:rPr>
          <w:rFonts w:ascii="Times New Roman" w:hAnsi="Times New Roman" w:cs="Times New Roman" w:eastAsia="Times New Roman" w:hint="default"/>
          <w:spacing w:val="-4"/>
        </w:rPr>
        <w:t>8</w:t>
      </w:r>
      <w:r>
        <w:rPr>
          <w:spacing w:val="-4"/>
        </w:rPr>
        <w:t>、应付职工薪酬期末余额较期初增加</w:t>
      </w:r>
      <w:r>
        <w:rPr>
          <w:spacing w:val="11"/>
        </w:rPr>
        <w:t> </w:t>
      </w:r>
      <w:r>
        <w:rPr>
          <w:rFonts w:ascii="Times New Roman" w:hAnsi="Times New Roman" w:cs="Times New Roman" w:eastAsia="Times New Roman" w:hint="default"/>
          <w:spacing w:val="-3"/>
        </w:rPr>
        <w:t>207.55%</w:t>
      </w:r>
      <w:r>
        <w:rPr>
          <w:spacing w:val="-3"/>
        </w:rPr>
        <w:t>，主要原因为本期末计提集团高层管理人员奖励基金所</w:t>
      </w:r>
      <w:r>
        <w:rPr>
          <w:w w:val="100"/>
        </w:rPr>
        <w:t> </w:t>
      </w:r>
      <w:r>
        <w:rPr/>
        <w:t>致。</w:t>
      </w:r>
    </w:p>
    <w:p>
      <w:pPr>
        <w:pStyle w:val="BodyText"/>
        <w:spacing w:line="412" w:lineRule="auto" w:before="73"/>
        <w:ind w:right="171" w:firstLine="412"/>
        <w:jc w:val="left"/>
      </w:pPr>
      <w:r>
        <w:rPr>
          <w:rFonts w:ascii="Times New Roman" w:hAnsi="Times New Roman" w:cs="Times New Roman" w:eastAsia="Times New Roman" w:hint="default"/>
        </w:rPr>
        <w:t>9</w:t>
      </w:r>
      <w:r>
        <w:rPr/>
        <w:t>、应交税费期末余额较期初增加</w:t>
      </w:r>
      <w:r>
        <w:rPr>
          <w:spacing w:val="-33"/>
        </w:rPr>
        <w:t> </w:t>
      </w:r>
      <w:r>
        <w:rPr>
          <w:rFonts w:ascii="Times New Roman" w:hAnsi="Times New Roman" w:cs="Times New Roman" w:eastAsia="Times New Roman" w:hint="default"/>
        </w:rPr>
        <w:t>72.56%</w:t>
      </w:r>
      <w:r>
        <w:rPr/>
        <w:t>，主要原因为本期销售和利润增长而计提的相关税费增长所</w:t>
      </w:r>
      <w:r>
        <w:rPr>
          <w:w w:val="100"/>
        </w:rPr>
        <w:t> </w:t>
      </w:r>
      <w:r>
        <w:rPr/>
        <w:t>致。</w:t>
      </w:r>
    </w:p>
    <w:p>
      <w:pPr>
        <w:pStyle w:val="BodyText"/>
        <w:spacing w:line="240" w:lineRule="auto" w:before="78"/>
        <w:ind w:left="565" w:right="0"/>
        <w:jc w:val="left"/>
      </w:pPr>
      <w:r>
        <w:rPr>
          <w:rFonts w:ascii="Times New Roman" w:hAnsi="Times New Roman" w:cs="Times New Roman" w:eastAsia="Times New Roman" w:hint="default"/>
          <w:spacing w:val="-1"/>
        </w:rPr>
        <w:t>10</w:t>
      </w:r>
      <w:r>
        <w:rPr>
          <w:spacing w:val="-1"/>
        </w:rPr>
        <w:t>、应付利息期末余额较期初增加</w:t>
      </w:r>
      <w:r>
        <w:rPr>
          <w:spacing w:val="25"/>
        </w:rPr>
        <w:t> </w:t>
      </w:r>
      <w:r>
        <w:rPr>
          <w:rFonts w:ascii="Times New Roman" w:hAnsi="Times New Roman" w:cs="Times New Roman" w:eastAsia="Times New Roman" w:hint="default"/>
          <w:spacing w:val="-2"/>
        </w:rPr>
        <w:t>410.05%</w:t>
      </w:r>
      <w:r>
        <w:rPr>
          <w:spacing w:val="-2"/>
        </w:rPr>
        <w:t>，主要原因为银行借款期末余额比上年大幅增加所致。</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rFonts w:ascii="Times New Roman" w:hAnsi="Times New Roman" w:cs="Times New Roman" w:eastAsia="Times New Roman" w:hint="default"/>
          <w:spacing w:val="-2"/>
        </w:rPr>
        <w:t>11</w:t>
      </w:r>
      <w:r>
        <w:rPr>
          <w:spacing w:val="-2"/>
        </w:rPr>
        <w:t>、其他应付款期末余额较期初增加</w:t>
      </w:r>
      <w:r>
        <w:rPr>
          <w:spacing w:val="25"/>
        </w:rPr>
        <w:t> </w:t>
      </w:r>
      <w:r>
        <w:rPr>
          <w:rFonts w:ascii="Times New Roman" w:hAnsi="Times New Roman" w:cs="Times New Roman" w:eastAsia="Times New Roman" w:hint="default"/>
          <w:spacing w:val="-2"/>
        </w:rPr>
        <w:t>443.16%</w:t>
      </w:r>
      <w:r>
        <w:rPr>
          <w:spacing w:val="-2"/>
        </w:rPr>
        <w:t>，主要原因为本期新增子公司合并报表所致。</w:t>
      </w:r>
    </w:p>
    <w:p>
      <w:pPr>
        <w:spacing w:line="240" w:lineRule="auto" w:before="12"/>
        <w:rPr>
          <w:rFonts w:ascii="宋体" w:hAnsi="宋体" w:cs="宋体" w:eastAsia="宋体" w:hint="default"/>
          <w:sz w:val="15"/>
          <w:szCs w:val="15"/>
        </w:rPr>
      </w:pPr>
    </w:p>
    <w:p>
      <w:pPr>
        <w:pStyle w:val="BodyText"/>
        <w:spacing w:line="240" w:lineRule="auto"/>
        <w:ind w:left="565" w:right="0"/>
        <w:jc w:val="left"/>
      </w:pPr>
      <w:r>
        <w:rPr>
          <w:rFonts w:ascii="Times New Roman" w:hAnsi="Times New Roman" w:cs="Times New Roman" w:eastAsia="Times New Roman" w:hint="default"/>
        </w:rPr>
        <w:t>12</w:t>
      </w:r>
      <w:r>
        <w:rPr/>
        <w:t>、一年内到期的非流动负债期末余额为零，主要原因为本期已偿还一年内到期的银行存款所致。</w:t>
      </w:r>
    </w:p>
    <w:p>
      <w:pPr>
        <w:spacing w:line="240" w:lineRule="auto" w:before="12"/>
        <w:rPr>
          <w:rFonts w:ascii="宋体" w:hAnsi="宋体" w:cs="宋体" w:eastAsia="宋体" w:hint="default"/>
          <w:sz w:val="15"/>
          <w:szCs w:val="15"/>
        </w:rPr>
      </w:pPr>
    </w:p>
    <w:p>
      <w:pPr>
        <w:pStyle w:val="BodyText"/>
        <w:spacing w:line="412" w:lineRule="auto"/>
        <w:ind w:right="177" w:firstLine="412"/>
        <w:jc w:val="left"/>
      </w:pPr>
      <w:r>
        <w:rPr>
          <w:rFonts w:ascii="Times New Roman" w:hAnsi="Times New Roman" w:cs="Times New Roman" w:eastAsia="Times New Roman" w:hint="default"/>
          <w:spacing w:val="-4"/>
        </w:rPr>
        <w:t>13</w:t>
      </w:r>
      <w:r>
        <w:rPr>
          <w:spacing w:val="-4"/>
        </w:rPr>
        <w:t>、长期借款期初余额为零，期末余额为 </w:t>
      </w:r>
      <w:r>
        <w:rPr>
          <w:rFonts w:ascii="Times New Roman" w:hAnsi="Times New Roman" w:cs="Times New Roman" w:eastAsia="Times New Roman" w:hint="default"/>
        </w:rPr>
        <w:t>22,060</w:t>
      </w:r>
      <w:r>
        <w:rPr>
          <w:rFonts w:ascii="Times New Roman" w:hAnsi="Times New Roman" w:cs="Times New Roman" w:eastAsia="Times New Roman" w:hint="default"/>
          <w:spacing w:val="23"/>
        </w:rPr>
        <w:t> </w:t>
      </w:r>
      <w:r>
        <w:rPr>
          <w:spacing w:val="-3"/>
        </w:rPr>
        <w:t>万元，主要原因为子公司惠州宝安房地产开发有限公</w:t>
      </w:r>
      <w:r>
        <w:rPr>
          <w:w w:val="100"/>
        </w:rPr>
        <w:t> </w:t>
      </w:r>
      <w:r>
        <w:rPr/>
        <w:t>司、湖南宝安鸿基房地产开发有限公司及深圳市宝鹏物流有限公司新增长期借款所致。</w:t>
      </w:r>
    </w:p>
    <w:p>
      <w:pPr>
        <w:spacing w:after="0" w:line="412" w:lineRule="auto"/>
        <w:jc w:val="left"/>
        <w:sectPr>
          <w:pgSz w:w="11900" w:h="16840"/>
          <w:pgMar w:header="762" w:footer="840" w:top="1000" w:bottom="1020" w:left="980" w:right="9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412" w:lineRule="auto" w:before="36"/>
        <w:ind w:right="101" w:firstLine="412"/>
        <w:jc w:val="left"/>
      </w:pPr>
      <w:r>
        <w:rPr>
          <w:rFonts w:ascii="Times New Roman" w:hAnsi="Times New Roman" w:cs="Times New Roman" w:eastAsia="Times New Roman" w:hint="default"/>
          <w:spacing w:val="-3"/>
        </w:rPr>
        <w:t>14</w:t>
      </w:r>
      <w:r>
        <w:rPr>
          <w:spacing w:val="-3"/>
        </w:rPr>
        <w:t>、营业成本较上年同期减少</w:t>
      </w:r>
      <w:r>
        <w:rPr>
          <w:spacing w:val="-4"/>
        </w:rPr>
        <w:t> </w:t>
      </w:r>
      <w:r>
        <w:rPr>
          <w:rFonts w:ascii="Times New Roman" w:hAnsi="Times New Roman" w:cs="Times New Roman" w:eastAsia="Times New Roman" w:hint="default"/>
          <w:spacing w:val="-3"/>
        </w:rPr>
        <w:t>29.44%</w:t>
      </w:r>
      <w:r>
        <w:rPr>
          <w:spacing w:val="-3"/>
        </w:rPr>
        <w:t>，主要原因为本期销售投资性房地产新风花园商铺，其成本经逐</w:t>
      </w:r>
      <w:r>
        <w:rPr>
          <w:w w:val="100"/>
        </w:rPr>
        <w:t> </w:t>
      </w:r>
      <w:r>
        <w:rPr/>
        <w:t>年摊销较低所致。</w:t>
      </w:r>
    </w:p>
    <w:p>
      <w:pPr>
        <w:pStyle w:val="BodyText"/>
        <w:spacing w:line="240" w:lineRule="auto" w:before="73"/>
        <w:ind w:left="565" w:right="0"/>
        <w:jc w:val="left"/>
      </w:pPr>
      <w:r>
        <w:rPr>
          <w:rFonts w:ascii="Times New Roman" w:hAnsi="Times New Roman" w:cs="Times New Roman" w:eastAsia="Times New Roman" w:hint="default"/>
          <w:spacing w:val="-1"/>
        </w:rPr>
        <w:t>15</w:t>
      </w:r>
      <w:r>
        <w:rPr>
          <w:spacing w:val="-1"/>
        </w:rPr>
        <w:t>、营业税金及附加较上年同期增加</w:t>
      </w:r>
      <w:r>
        <w:rPr>
          <w:spacing w:val="27"/>
        </w:rPr>
        <w:t> </w:t>
      </w:r>
      <w:r>
        <w:rPr>
          <w:rFonts w:ascii="Times New Roman" w:hAnsi="Times New Roman" w:cs="Times New Roman" w:eastAsia="Times New Roman" w:hint="default"/>
          <w:spacing w:val="-2"/>
        </w:rPr>
        <w:t>135.91%</w:t>
      </w:r>
      <w:r>
        <w:rPr>
          <w:spacing w:val="-2"/>
        </w:rPr>
        <w:t>，主要原因为本期销售相应计提的相关税费增长所致。</w:t>
      </w:r>
    </w:p>
    <w:p>
      <w:pPr>
        <w:spacing w:line="240" w:lineRule="auto" w:before="4"/>
        <w:rPr>
          <w:rFonts w:ascii="宋体" w:hAnsi="宋体" w:cs="宋体" w:eastAsia="宋体" w:hint="default"/>
          <w:sz w:val="16"/>
          <w:szCs w:val="16"/>
        </w:rPr>
      </w:pPr>
    </w:p>
    <w:p>
      <w:pPr>
        <w:pStyle w:val="BodyText"/>
        <w:spacing w:line="412" w:lineRule="auto"/>
        <w:ind w:right="91" w:firstLine="412"/>
        <w:jc w:val="left"/>
      </w:pPr>
      <w:r>
        <w:rPr>
          <w:rFonts w:ascii="Times New Roman" w:hAnsi="Times New Roman" w:cs="Times New Roman" w:eastAsia="Times New Roman" w:hint="default"/>
        </w:rPr>
        <w:t>16</w:t>
      </w:r>
      <w:r>
        <w:rPr/>
        <w:t>、销售费用较上年同期增加</w:t>
      </w:r>
      <w:r>
        <w:rPr>
          <w:spacing w:val="-9"/>
        </w:rPr>
        <w:t> </w:t>
      </w:r>
      <w:r>
        <w:rPr>
          <w:rFonts w:ascii="Times New Roman" w:hAnsi="Times New Roman" w:cs="Times New Roman" w:eastAsia="Times New Roman" w:hint="default"/>
        </w:rPr>
        <w:t>236.67%</w:t>
      </w:r>
      <w:r>
        <w:rPr/>
        <w:t>，主要原因为本期</w:t>
      </w:r>
      <w:r>
        <w:rPr>
          <w:rFonts w:ascii="Times New Roman" w:hAnsi="Times New Roman" w:cs="Times New Roman" w:eastAsia="Times New Roman" w:hint="default"/>
        </w:rPr>
        <w:t>“</w:t>
      </w:r>
      <w:r>
        <w:rPr/>
        <w:t>鸿基紫韵</w:t>
      </w:r>
      <w:r>
        <w:rPr>
          <w:rFonts w:ascii="Times New Roman" w:hAnsi="Times New Roman" w:cs="Times New Roman" w:eastAsia="Times New Roman" w:hint="default"/>
        </w:rPr>
        <w:t>”</w:t>
      </w:r>
      <w:r>
        <w:rPr/>
        <w:t>项目结算销售佣金及增加广告投</w:t>
      </w:r>
      <w:r>
        <w:rPr>
          <w:w w:val="100"/>
        </w:rPr>
        <w:t> </w:t>
      </w:r>
      <w:r>
        <w:rPr/>
        <w:t>入所致。</w:t>
      </w:r>
    </w:p>
    <w:p>
      <w:pPr>
        <w:pStyle w:val="BodyText"/>
        <w:spacing w:line="240" w:lineRule="auto" w:before="73"/>
        <w:ind w:left="565" w:right="101"/>
        <w:jc w:val="left"/>
      </w:pPr>
      <w:r>
        <w:rPr>
          <w:rFonts w:ascii="Times New Roman" w:hAnsi="Times New Roman" w:cs="Times New Roman" w:eastAsia="Times New Roman" w:hint="default"/>
          <w:spacing w:val="-1"/>
        </w:rPr>
        <w:t>17</w:t>
      </w:r>
      <w:r>
        <w:rPr>
          <w:spacing w:val="-1"/>
        </w:rPr>
        <w:t>、财务费用较上年同期增加</w:t>
      </w:r>
      <w:r>
        <w:rPr>
          <w:spacing w:val="17"/>
        </w:rPr>
        <w:t> </w:t>
      </w:r>
      <w:r>
        <w:rPr>
          <w:rFonts w:ascii="Times New Roman" w:hAnsi="Times New Roman" w:cs="Times New Roman" w:eastAsia="Times New Roman" w:hint="default"/>
          <w:spacing w:val="-2"/>
        </w:rPr>
        <w:t>368.90%</w:t>
      </w:r>
      <w:r>
        <w:rPr>
          <w:spacing w:val="-2"/>
        </w:rPr>
        <w:t>，主要原因为公司新增借款增加利息费用所致。</w:t>
      </w:r>
    </w:p>
    <w:p>
      <w:pPr>
        <w:spacing w:line="240" w:lineRule="auto" w:before="12"/>
        <w:rPr>
          <w:rFonts w:ascii="宋体" w:hAnsi="宋体" w:cs="宋体" w:eastAsia="宋体" w:hint="default"/>
          <w:sz w:val="15"/>
          <w:szCs w:val="15"/>
        </w:rPr>
      </w:pPr>
    </w:p>
    <w:p>
      <w:pPr>
        <w:pStyle w:val="BodyText"/>
        <w:spacing w:line="412" w:lineRule="auto"/>
        <w:ind w:right="90" w:firstLine="412"/>
        <w:jc w:val="left"/>
      </w:pPr>
      <w:r>
        <w:rPr>
          <w:rFonts w:ascii="Times New Roman" w:hAnsi="Times New Roman" w:cs="Times New Roman" w:eastAsia="Times New Roman" w:hint="default"/>
        </w:rPr>
        <w:t>18</w:t>
      </w:r>
      <w:r>
        <w:rPr/>
        <w:t>、资产减值损失较上年同期减少</w:t>
      </w:r>
      <w:r>
        <w:rPr>
          <w:spacing w:val="-32"/>
        </w:rPr>
        <w:t> </w:t>
      </w:r>
      <w:r>
        <w:rPr>
          <w:rFonts w:ascii="Times New Roman" w:hAnsi="Times New Roman" w:cs="Times New Roman" w:eastAsia="Times New Roman" w:hint="default"/>
        </w:rPr>
        <w:t>289.86%</w:t>
      </w:r>
      <w:r>
        <w:rPr/>
        <w:t>，主要原因为公司本期收回以前年度已计提坏账准备的款</w:t>
      </w:r>
      <w:r>
        <w:rPr>
          <w:w w:val="100"/>
        </w:rPr>
        <w:t> </w:t>
      </w:r>
      <w:r>
        <w:rPr/>
        <w:t>项所致。</w:t>
      </w:r>
    </w:p>
    <w:p>
      <w:pPr>
        <w:pStyle w:val="BodyText"/>
        <w:spacing w:line="240" w:lineRule="auto" w:before="73"/>
        <w:ind w:left="565" w:right="101"/>
        <w:jc w:val="left"/>
      </w:pPr>
      <w:r>
        <w:rPr>
          <w:rFonts w:ascii="Times New Roman" w:hAnsi="Times New Roman" w:cs="Times New Roman" w:eastAsia="Times New Roman" w:hint="default"/>
          <w:spacing w:val="-1"/>
        </w:rPr>
        <w:t>19</w:t>
      </w:r>
      <w:r>
        <w:rPr>
          <w:spacing w:val="-1"/>
        </w:rPr>
        <w:t>、投资收益较上年同期减少</w:t>
      </w:r>
      <w:r>
        <w:rPr>
          <w:spacing w:val="22"/>
        </w:rPr>
        <w:t> </w:t>
      </w:r>
      <w:r>
        <w:rPr>
          <w:rFonts w:ascii="Times New Roman" w:hAnsi="Times New Roman" w:cs="Times New Roman" w:eastAsia="Times New Roman" w:hint="default"/>
          <w:spacing w:val="-2"/>
        </w:rPr>
        <w:t>50.45%</w:t>
      </w:r>
      <w:r>
        <w:rPr>
          <w:spacing w:val="-2"/>
        </w:rPr>
        <w:t>，原因为上年同期公司转让子公司取得的收益较大所致。</w:t>
      </w:r>
    </w:p>
    <w:p>
      <w:pPr>
        <w:spacing w:line="240" w:lineRule="auto" w:before="4"/>
        <w:rPr>
          <w:rFonts w:ascii="宋体" w:hAnsi="宋体" w:cs="宋体" w:eastAsia="宋体" w:hint="default"/>
          <w:sz w:val="16"/>
          <w:szCs w:val="16"/>
        </w:rPr>
      </w:pPr>
    </w:p>
    <w:p>
      <w:pPr>
        <w:pStyle w:val="BodyText"/>
        <w:spacing w:line="240" w:lineRule="auto"/>
        <w:ind w:left="565" w:right="101"/>
        <w:jc w:val="left"/>
      </w:pPr>
      <w:r>
        <w:rPr>
          <w:rFonts w:ascii="Times New Roman" w:hAnsi="Times New Roman" w:cs="Times New Roman" w:eastAsia="Times New Roman" w:hint="default"/>
          <w:spacing w:val="-1"/>
        </w:rPr>
        <w:t>20</w:t>
      </w:r>
      <w:r>
        <w:rPr>
          <w:spacing w:val="-1"/>
        </w:rPr>
        <w:t>、营业外收入较上年同期增加</w:t>
      </w:r>
      <w:r>
        <w:rPr>
          <w:spacing w:val="-11"/>
        </w:rPr>
        <w:t> </w:t>
      </w:r>
      <w:r>
        <w:rPr>
          <w:rFonts w:ascii="Times New Roman" w:hAnsi="Times New Roman" w:cs="Times New Roman" w:eastAsia="Times New Roman" w:hint="default"/>
          <w:spacing w:val="-1"/>
        </w:rPr>
        <w:t>362.99%</w:t>
      </w:r>
      <w:r>
        <w:rPr>
          <w:spacing w:val="-1"/>
        </w:rPr>
        <w:t>，主要原因为公司处置非流动资产所致。</w:t>
      </w:r>
    </w:p>
    <w:p>
      <w:pPr>
        <w:spacing w:line="240" w:lineRule="auto" w:before="12"/>
        <w:rPr>
          <w:rFonts w:ascii="宋体" w:hAnsi="宋体" w:cs="宋体" w:eastAsia="宋体" w:hint="default"/>
          <w:sz w:val="15"/>
          <w:szCs w:val="15"/>
        </w:rPr>
      </w:pPr>
    </w:p>
    <w:p>
      <w:pPr>
        <w:pStyle w:val="BodyText"/>
        <w:spacing w:line="240" w:lineRule="auto"/>
        <w:ind w:left="565" w:right="101"/>
        <w:jc w:val="left"/>
      </w:pPr>
      <w:r>
        <w:rPr>
          <w:rFonts w:ascii="Times New Roman" w:hAnsi="Times New Roman" w:cs="Times New Roman" w:eastAsia="Times New Roman" w:hint="default"/>
          <w:spacing w:val="-1"/>
        </w:rPr>
        <w:t>21</w:t>
      </w:r>
      <w:r>
        <w:rPr>
          <w:spacing w:val="-1"/>
        </w:rPr>
        <w:t>、营业外支出较上年同期增加</w:t>
      </w:r>
      <w:r>
        <w:rPr>
          <w:spacing w:val="15"/>
        </w:rPr>
        <w:t> </w:t>
      </w:r>
      <w:r>
        <w:rPr>
          <w:rFonts w:ascii="Times New Roman" w:hAnsi="Times New Roman" w:cs="Times New Roman" w:eastAsia="Times New Roman" w:hint="default"/>
          <w:spacing w:val="-2"/>
        </w:rPr>
        <w:t>150.28%</w:t>
      </w:r>
      <w:r>
        <w:rPr>
          <w:spacing w:val="-2"/>
        </w:rPr>
        <w:t>，主要原因为公司支付延期交房赔偿款所致。</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26"/>
          <w:szCs w:val="26"/>
        </w:rPr>
      </w:pPr>
    </w:p>
    <w:p>
      <w:pPr>
        <w:pStyle w:val="Heading6"/>
        <w:spacing w:line="240" w:lineRule="auto"/>
        <w:ind w:right="101"/>
        <w:jc w:val="left"/>
        <w:rPr>
          <w:b w:val="0"/>
          <w:bCs w:val="0"/>
        </w:rPr>
      </w:pPr>
      <w:r>
        <w:rPr/>
        <w:t>十四、财务报表的批准</w:t>
      </w:r>
      <w:r>
        <w:rPr>
          <w:b w:val="0"/>
          <w:bCs w:val="0"/>
        </w:rPr>
      </w:r>
    </w:p>
    <w:p>
      <w:pPr>
        <w:spacing w:line="240" w:lineRule="auto" w:before="0"/>
        <w:rPr>
          <w:rFonts w:ascii="Microsoft JhengHei" w:hAnsi="Microsoft JhengHei" w:cs="Microsoft JhengHei" w:eastAsia="Microsoft JhengHei" w:hint="default"/>
          <w:b/>
          <w:bCs/>
          <w:sz w:val="20"/>
          <w:szCs w:val="20"/>
        </w:rPr>
      </w:pPr>
    </w:p>
    <w:p>
      <w:pPr>
        <w:spacing w:line="240" w:lineRule="auto" w:before="3"/>
        <w:rPr>
          <w:rFonts w:ascii="Microsoft JhengHei" w:hAnsi="Microsoft JhengHei" w:cs="Microsoft JhengHei" w:eastAsia="Microsoft JhengHei" w:hint="default"/>
          <w:b/>
          <w:bCs/>
          <w:sz w:val="20"/>
          <w:szCs w:val="20"/>
        </w:rPr>
      </w:pPr>
    </w:p>
    <w:p>
      <w:pPr>
        <w:pStyle w:val="BodyText"/>
        <w:spacing w:line="240" w:lineRule="auto"/>
        <w:ind w:left="565" w:right="101"/>
        <w:jc w:val="left"/>
      </w:pPr>
      <w:r>
        <w:rPr/>
        <w:t>本公司财务报表及财务报表附注业经本公司第七届董事会第十三次会议于</w:t>
      </w:r>
      <w:r>
        <w:rPr>
          <w:spacing w:val="-56"/>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
        </w:rPr>
        <w:t> </w:t>
      </w:r>
      <w:r>
        <w:rPr/>
        <w:t>年</w:t>
      </w:r>
      <w:r>
        <w:rPr>
          <w:spacing w:val="-52"/>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t>月</w:t>
      </w:r>
      <w:r>
        <w:rPr>
          <w:spacing w:val="-52"/>
        </w:rPr>
        <w:t> </w:t>
      </w:r>
      <w:r>
        <w:rPr>
          <w:rFonts w:ascii="Times New Roman" w:hAnsi="Times New Roman" w:cs="Times New Roman" w:eastAsia="Times New Roman" w:hint="default"/>
        </w:rPr>
        <w:t>27</w:t>
      </w:r>
      <w:r>
        <w:rPr>
          <w:rFonts w:ascii="Times New Roman" w:hAnsi="Times New Roman" w:cs="Times New Roman" w:eastAsia="Times New Roman" w:hint="default"/>
          <w:spacing w:val="1"/>
        </w:rPr>
        <w:t> </w:t>
      </w:r>
      <w:r>
        <w:rPr/>
        <w:t>日批准。</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Heading1"/>
        <w:spacing w:line="240" w:lineRule="auto" w:before="161"/>
        <w:ind w:left="144" w:right="106"/>
        <w:jc w:val="center"/>
        <w:rPr>
          <w:b w:val="0"/>
          <w:bCs w:val="0"/>
        </w:rPr>
      </w:pPr>
      <w:bookmarkStart w:name="_TOC_250000" w:id="11"/>
      <w:r>
        <w:rPr/>
        <w:t>第十一节 </w:t>
      </w:r>
      <w:r>
        <w:rPr>
          <w:spacing w:val="13"/>
        </w:rPr>
        <w:t> </w:t>
      </w:r>
      <w:r>
        <w:rPr/>
        <w:t>备查文件目录</w:t>
      </w:r>
      <w:bookmarkEnd w:id="11"/>
      <w:r>
        <w:rPr>
          <w:b w:val="0"/>
          <w:bCs w:val="0"/>
        </w:rPr>
      </w:r>
    </w:p>
    <w:p>
      <w:pPr>
        <w:spacing w:line="240" w:lineRule="auto" w:before="16"/>
        <w:rPr>
          <w:rFonts w:ascii="Microsoft JhengHei" w:hAnsi="Microsoft JhengHei" w:cs="Microsoft JhengHei" w:eastAsia="Microsoft JhengHei" w:hint="default"/>
          <w:b/>
          <w:bCs/>
          <w:sz w:val="25"/>
          <w:szCs w:val="25"/>
        </w:rPr>
      </w:pPr>
    </w:p>
    <w:p>
      <w:pPr>
        <w:pStyle w:val="BodyText"/>
        <w:spacing w:line="355" w:lineRule="auto"/>
        <w:ind w:left="575" w:right="101"/>
        <w:jc w:val="left"/>
      </w:pPr>
      <w:r>
        <w:rPr/>
        <w:t>一、载有公司法定代表人、财务总监、财务经理签名并盖章的2012年度会计报表。</w:t>
      </w:r>
      <w:r>
        <w:rPr>
          <w:w w:val="100"/>
        </w:rPr>
        <w:t> </w:t>
      </w:r>
      <w:r>
        <w:rPr/>
        <w:t>二、载有国富浩华会计师事务所盖章、注册会计师签名并盖章的2012年度审计报告原件。</w:t>
      </w:r>
      <w:r>
        <w:rPr>
          <w:w w:val="100"/>
        </w:rPr>
        <w:t> </w:t>
      </w:r>
      <w:r>
        <w:rPr>
          <w:spacing w:val="-2"/>
        </w:rPr>
        <w:t>三、报告期内在《中国证券报》、《证券时报》上公开披露过的所有公司文件正本及公告原稿。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pStyle w:val="BodyText"/>
        <w:spacing w:line="355" w:lineRule="auto"/>
        <w:ind w:left="6848" w:right="106"/>
        <w:jc w:val="center"/>
      </w:pPr>
      <w:r>
        <w:rPr>
          <w:spacing w:val="-2"/>
        </w:rPr>
        <w:t>宝安鸿基地产集团股份有限公司</w:t>
      </w:r>
      <w:r>
        <w:rPr>
          <w:spacing w:val="-79"/>
        </w:rPr>
        <w:t> </w:t>
      </w:r>
      <w:r>
        <w:rPr>
          <w:spacing w:val="-79"/>
        </w:rPr>
      </w:r>
      <w:r>
        <w:rPr/>
        <w:t>董事会</w:t>
      </w:r>
    </w:p>
    <w:p>
      <w:pPr>
        <w:pStyle w:val="BodyText"/>
        <w:spacing w:line="240" w:lineRule="auto" w:before="32"/>
        <w:ind w:left="0" w:right="601"/>
        <w:jc w:val="right"/>
      </w:pPr>
      <w:r>
        <w:rPr>
          <w:spacing w:val="-1"/>
        </w:rPr>
        <w:t>二0一三年三月三十日</w:t>
      </w:r>
    </w:p>
    <w:sectPr>
      <w:pgSz w:w="11900" w:h="16840"/>
      <w:pgMar w:header="762" w:footer="840" w:top="1000" w:bottom="1020" w:left="98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Microsoft JhengHei">
    <w:altName w:val="Microsoft JhengHei"/>
    <w:charset w:val="0"/>
    <w:family w:val="swiss"/>
    <w:pitch w:val="variable"/>
  </w:font>
  <w:font w:name="黑体">
    <w:altName w:val="黑体"/>
    <w:charset w:val="86"/>
    <w:family w:val="modern"/>
    <w:pitch w:val="fixed"/>
  </w:font>
  <w:font w:name="微软雅黑">
    <w:altName w:val="微软雅黑"/>
    <w:charset w:val="86"/>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159973pt;margin-top:781.821472pt;width:4.55pt;height:11.15pt;mso-position-horizontal-relative:page;mso-position-vertical-relative:page;z-index:-1000840" type="#_x0000_t202" filled="false" stroked="false">
          <v:textbox inset="0,0,0,0">
            <w:txbxContent>
              <w:p>
                <w:pPr>
                  <w:spacing w:line="206" w:lineRule="exact" w:before="0"/>
                  <w:ind w:left="20" w:right="0" w:firstLine="0"/>
                  <w:jc w:val="left"/>
                  <w:rPr>
                    <w:rFonts w:ascii="Times New Roman" w:hAnsi="Times New Roman" w:cs="Times New Roman" w:eastAsia="Times New Roman" w:hint="default"/>
                    <w:sz w:val="18"/>
                    <w:szCs w:val="18"/>
                  </w:rPr>
                </w:pPr>
                <w:r>
                  <w:rPr>
                    <w:rFonts w:ascii="Times New Roman"/>
                    <w:w w:val="101"/>
                    <w:sz w:val="18"/>
                  </w:rPr>
                  <w:t>i</w:t>
                </w:r>
                <w:r>
                  <w:rPr>
                    <w:rFonts w:ascii="Times New Roman"/>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799988pt;margin-top:542.021484pt;width:13.15pt;height:11.15pt;mso-position-horizontal-relative:page;mso-position-vertical-relative:page;z-index:-1000336"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76</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79993pt;margin-top:789.021484pt;width:13.15pt;height:11.15pt;mso-position-horizontal-relative:page;mso-position-vertical-relative:page;z-index:-1000264"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78</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799988pt;margin-top:542.021484pt;width:13.15pt;height:11.15pt;mso-position-horizontal-relative:page;mso-position-vertical-relative:page;z-index:-1000192"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90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119995pt;margin-top:789.021484pt;width:17.7pt;height:11.15pt;mso-position-horizontal-relative:page;mso-position-vertical-relative:page;z-index:-1000120"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100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719971pt;margin-top:542.021484pt;width:17.45pt;height:11.15pt;mso-position-horizontal-relative:page;mso-position-vertical-relative:page;z-index:-1000048"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116</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119995pt;margin-top:789.021484pt;width:17.7pt;height:11.15pt;mso-position-horizontal-relative:page;mso-position-vertical-relative:page;z-index:-999976"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120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47998pt;margin-top:542.021484pt;width:17.7pt;height:11.15pt;mso-position-horizontal-relative:page;mso-position-vertical-relative:page;z-index:-999904"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131</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119995pt;margin-top:789.021484pt;width:17.7pt;height:11.15pt;mso-position-horizontal-relative:page;mso-position-vertical-relative:page;z-index:-999832"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133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2.520020pt;margin-top:781.821472pt;width:7.2pt;height:11.15pt;mso-position-horizontal-relative:page;mso-position-vertical-relative:page;z-index:-1000816" type="#_x0000_t202" filled="false" stroked="false">
          <v:textbox inset="0,0,0,0">
            <w:txbxContent>
              <w:p>
                <w:pPr>
                  <w:spacing w:line="206" w:lineRule="exact" w:before="0"/>
                  <w:ind w:left="20" w:right="0" w:firstLine="0"/>
                  <w:jc w:val="left"/>
                  <w:rPr>
                    <w:rFonts w:ascii="Times New Roman" w:hAnsi="Times New Roman" w:cs="Times New Roman" w:eastAsia="Times New Roman" w:hint="default"/>
                    <w:sz w:val="18"/>
                    <w:szCs w:val="18"/>
                  </w:rPr>
                </w:pPr>
                <w:r>
                  <w:rPr>
                    <w:rFonts w:ascii="Times New Roman"/>
                    <w:sz w:val="18"/>
                  </w:rPr>
                  <w:t>ii</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7"/>
        <w:szCs w:val="17"/>
      </w:rPr>
    </w:pPr>
    <w:r>
      <w:rPr/>
      <w:pict>
        <v:shape style="position:absolute;margin-left:527.679993pt;margin-top:781.821472pt;width:13.15pt;height:11.15pt;mso-position-horizontal-relative:page;mso-position-vertical-relative:page;z-index:-1000792"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45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95.52002pt;margin-top:535.061462pt;width:13.15pt;height:11.15pt;mso-position-horizontal-relative:page;mso-position-vertical-relative:page;z-index:-1000624"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48</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79993pt;margin-top:781.821472pt;width:13.15pt;height:11.15pt;mso-position-horizontal-relative:page;mso-position-vertical-relative:page;z-index:-1000552"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8.799988pt;margin-top:542.021484pt;width:13.15pt;height:11.15pt;mso-position-horizontal-relative:page;mso-position-vertical-relative:page;z-index:-1000480"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53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79993pt;margin-top:789.021484pt;width:13.15pt;height:11.15pt;mso-position-horizontal-relative:page;mso-position-vertical-relative:page;z-index:-1000408" type="#_x0000_t202" filled="false" stroked="false">
          <v:textbox inset="0,0,0,0">
            <w:txbxContent>
              <w:p>
                <w:pPr>
                  <w:spacing w:line="206" w:lineRule="exact" w:before="0"/>
                  <w:ind w:left="40" w:right="0" w:firstLine="0"/>
                  <w:jc w:val="left"/>
                  <w:rPr>
                    <w:rFonts w:ascii="Times New Roman" w:hAnsi="Times New Roman" w:cs="Times New Roman" w:eastAsia="Times New Roman" w:hint="default"/>
                    <w:sz w:val="18"/>
                    <w:szCs w:val="18"/>
                  </w:rPr>
                </w:pPr>
                <w:r>
                  <w:rPr>
                    <w:rFonts w:ascii="Times New Roman"/>
                    <w:w w:val="101"/>
                    <w:sz w:val="18"/>
                  </w:rPr>
                </w:r>
                <w:r>
                  <w:rPr/>
                  <w:fldChar w:fldCharType="begin"/>
                </w:r>
                <w:r>
                  <w:rPr>
                    <w:rFonts w:ascii="Times New Roman"/>
                    <w:sz w:val="18"/>
                  </w:rPr>
                  <w:instrText> PAGE </w:instrText>
                </w:r>
                <w:r>
                  <w:rPr/>
                  <w:fldChar w:fldCharType="separate"/>
                </w:r>
                <w:r>
                  <w:rPr/>
                  <w:t>55</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39999pt;width:484.8pt;height:.1pt;mso-position-horizontal-relative:page;mso-position-vertical-relative:page;z-index:-1000888" coordorigin="1104,1113" coordsize="9696,2">
          <v:shape style="position:absolute;left:1104;top:1113;width:9696;height:2" coordorigin="1104,1113" coordsize="9696,0" path="m1104,1113l10800,1113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34.760010pt;margin-top:42.602585pt;width:204.8pt;height:11.65pt;mso-position-horizontal-relative:page;mso-position-vertical-relative:page;z-index:-1000864"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年度报告全文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49.599998pt;width:696.25pt;height:.1pt;mso-position-horizontal-relative:page;mso-position-vertical-relative:page;z-index:-1000240" coordorigin="1411,992" coordsize="13925,2">
          <v:shape style="position:absolute;left:1411;top:992;width:13925;height:2" coordorigin="1411,992" coordsize="13925,0" path="m1411,992l15336,992e" filled="false" stroked="true" strokeweight=".72pt" strokecolor="#000000">
            <v:path arrowok="t"/>
          </v:shape>
          <w10:wrap type="none"/>
        </v:group>
      </w:pict>
    </w:r>
    <w:r>
      <w:rPr/>
      <w:pict>
        <v:shape style="position:absolute;margin-left:543.559998pt;margin-top:36.802586pt;width:222.85pt;height:11.65pt;mso-position-horizontal-relative:page;mso-position-vertical-relative:page;z-index:-1000216"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880001pt;width:480.25pt;height:.1pt;mso-position-horizontal-relative:page;mso-position-vertical-relative:page;z-index:-1000168" coordorigin="1104,998" coordsize="9605,2">
          <v:shape style="position:absolute;left:1104;top:998;width:9605;height:2" coordorigin="1104,998" coordsize="9605,0" path="m1104,998l10709,998e" filled="false" stroked="true" strokeweight=".72pt" strokecolor="#000000">
            <v:path arrowok="t"/>
          </v:shape>
          <w10:wrap type="none"/>
        </v:group>
      </w:pict>
    </w:r>
    <w:r>
      <w:rPr/>
      <w:pict>
        <v:shape style="position:absolute;margin-left:312.200012pt;margin-top:37.082584pt;width:222.8pt;height:11.65pt;mso-position-horizontal-relative:page;mso-position-vertical-relative:page;z-index:-1000144"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49.599998pt;width:696.25pt;height:.1pt;mso-position-horizontal-relative:page;mso-position-vertical-relative:page;z-index:-1000096" coordorigin="1411,992" coordsize="13925,2">
          <v:shape style="position:absolute;left:1411;top:992;width:13925;height:2" coordorigin="1411,992" coordsize="13925,0" path="m1411,992l15336,992e" filled="false" stroked="true" strokeweight=".72pt" strokecolor="#000000">
            <v:path arrowok="t"/>
          </v:shape>
          <w10:wrap type="none"/>
        </v:group>
      </w:pict>
    </w:r>
    <w:r>
      <w:rPr/>
      <w:pict>
        <v:shape style="position:absolute;margin-left:543.559998pt;margin-top:36.802586pt;width:222.85pt;height:11.65pt;mso-position-horizontal-relative:page;mso-position-vertical-relative:page;z-index:-1000072"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880001pt;width:480.25pt;height:.1pt;mso-position-horizontal-relative:page;mso-position-vertical-relative:page;z-index:-1000024" coordorigin="1104,998" coordsize="9605,2">
          <v:shape style="position:absolute;left:1104;top:998;width:9605;height:2" coordorigin="1104,998" coordsize="9605,0" path="m1104,998l10709,998e" filled="false" stroked="true" strokeweight=".72pt" strokecolor="#000000">
            <v:path arrowok="t"/>
          </v:shape>
          <w10:wrap type="none"/>
        </v:group>
      </w:pict>
    </w:r>
    <w:r>
      <w:rPr/>
      <w:pict>
        <v:shape style="position:absolute;margin-left:312.200012pt;margin-top:37.082584pt;width:222.8pt;height:11.65pt;mso-position-horizontal-relative:page;mso-position-vertical-relative:page;z-index:-1000000"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49.599998pt;width:696.25pt;height:.1pt;mso-position-horizontal-relative:page;mso-position-vertical-relative:page;z-index:-999952" coordorigin="1411,992" coordsize="13925,2">
          <v:shape style="position:absolute;left:1411;top:992;width:13925;height:2" coordorigin="1411,992" coordsize="13925,0" path="m1411,992l15336,992e" filled="false" stroked="true" strokeweight=".72pt" strokecolor="#000000">
            <v:path arrowok="t"/>
          </v:shape>
          <w10:wrap type="none"/>
        </v:group>
      </w:pict>
    </w:r>
    <w:r>
      <w:rPr/>
      <w:pict>
        <v:shape style="position:absolute;margin-left:543.559998pt;margin-top:36.802586pt;width:222.85pt;height:11.65pt;mso-position-horizontal-relative:page;mso-position-vertical-relative:page;z-index:-999928"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880001pt;width:480.25pt;height:.1pt;mso-position-horizontal-relative:page;mso-position-vertical-relative:page;z-index:-999880" coordorigin="1104,998" coordsize="9605,2">
          <v:shape style="position:absolute;left:1104;top:998;width:9605;height:2" coordorigin="1104,998" coordsize="9605,0" path="m1104,998l10709,998e" filled="false" stroked="true" strokeweight=".72pt" strokecolor="#000000">
            <v:path arrowok="t"/>
          </v:shape>
          <w10:wrap type="none"/>
        </v:group>
      </w:pict>
    </w:r>
    <w:r>
      <w:rPr/>
      <w:pict>
        <v:shape style="position:absolute;margin-left:312.200012pt;margin-top:37.082584pt;width:222.8pt;height:11.65pt;mso-position-horizontal-relative:page;mso-position-vertical-relative:page;z-index:-999856"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39999pt;width:484.8pt;height:.1pt;mso-position-horizontal-relative:page;mso-position-vertical-relative:page;z-index:-1000768" coordorigin="1104,1113" coordsize="9696,2">
          <v:shape style="position:absolute;left:1104;top:1113;width:9696;height:2" coordorigin="1104,1113" coordsize="9696,0" path="m1104,1113l10800,1113e" filled="false" stroked="true" strokeweight=".72pt" strokecolor="#000000">
            <v:path arrowok="t"/>
          </v:shape>
          <w10:wrap type="none"/>
        </v:group>
      </w:pict>
    </w:r>
    <w:r>
      <w:rPr/>
      <w:pict>
        <v:shape style="position:absolute;margin-left:334.760010pt;margin-top:42.602585pt;width:204.8pt;height:11.65pt;mso-position-horizontal-relative:page;mso-position-vertical-relative:page;z-index:-1000744"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39999pt;width:484.8pt;height:.1pt;mso-position-horizontal-relative:page;mso-position-vertical-relative:page;z-index:-1000720" coordorigin="1104,1113" coordsize="9696,2">
          <v:shape style="position:absolute;left:1104;top:1113;width:9696;height:2" coordorigin="1104,1113" coordsize="9696,0" path="m1104,1113l10800,1113e" filled="false" stroked="true" strokeweight=".72pt" strokecolor="#000000">
            <v:path arrowok="t"/>
          </v:shape>
          <w10:wrap type="none"/>
        </v:group>
      </w:pict>
    </w:r>
    <w:r>
      <w:rPr/>
      <w:pict>
        <v:shape style="position:absolute;margin-left:334.760010pt;margin-top:42.602585pt;width:204.8pt;height:11.65pt;mso-position-horizontal-relative:page;mso-position-vertical-relative:page;z-index:-1000696"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8.240002pt;margin-top:55.360001pt;width:759.85pt;height:.1pt;mso-position-horizontal-relative:page;mso-position-vertical-relative:page;z-index:-1000672" coordorigin="965,1107" coordsize="15197,2">
          <v:shape style="position:absolute;left:965;top:1107;width:15197;height:2" coordorigin="965,1107" coordsize="15197,0" path="m965,1107l16162,1107e" filled="false" stroked="true" strokeweight=".72pt" strokecolor="#000000">
            <v:path arrowok="t"/>
          </v:shape>
          <w10:wrap type="none"/>
        </v:group>
      </w:pict>
    </w:r>
    <w:r>
      <w:rPr/>
      <w:pict>
        <v:shape style="position:absolute;margin-left:602.840027pt;margin-top:42.322586pt;width:204.8pt;height:11.65pt;mso-position-horizontal-relative:page;mso-position-vertical-relative:page;z-index:-1000648"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39999pt;width:484.8pt;height:.1pt;mso-position-horizontal-relative:page;mso-position-vertical-relative:page;z-index:-1000600" coordorigin="1104,1113" coordsize="9696,2">
          <v:shape style="position:absolute;left:1104;top:1113;width:9696;height:2" coordorigin="1104,1113" coordsize="9696,0" path="m1104,1113l10800,1113e" filled="false" stroked="true" strokeweight=".72pt" strokecolor="#000000">
            <v:path arrowok="t"/>
          </v:shape>
          <w10:wrap type="none"/>
        </v:group>
      </w:pict>
    </w:r>
    <w:r>
      <w:rPr/>
      <w:pict>
        <v:shape style="position:absolute;margin-left:334.760010pt;margin-top:42.602585pt;width:204.8pt;height:11.65pt;mso-position-horizontal-relative:page;mso-position-vertical-relative:page;z-index:-1000576"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年度报告全文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49.599998pt;width:696.25pt;height:.1pt;mso-position-horizontal-relative:page;mso-position-vertical-relative:page;z-index:-1000528" coordorigin="1411,992" coordsize="13925,2">
          <v:shape style="position:absolute;left:1411;top:992;width:13925;height:2" coordorigin="1411,992" coordsize="13925,0" path="m1411,992l15336,992e" filled="false" stroked="true" strokeweight=".72pt" strokecolor="#000000">
            <v:path arrowok="t"/>
          </v:shape>
          <w10:wrap type="none"/>
        </v:group>
      </w:pict>
    </w:r>
    <w:r>
      <w:rPr/>
      <w:pict>
        <v:shape style="position:absolute;margin-left:543.559998pt;margin-top:36.802586pt;width:222.85pt;height:11.65pt;mso-position-horizontal-relative:page;mso-position-vertical-relative:page;z-index:-1000504"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880001pt;width:480.25pt;height:.1pt;mso-position-horizontal-relative:page;mso-position-vertical-relative:page;z-index:-1000456" coordorigin="1104,998" coordsize="9605,2">
          <v:shape style="position:absolute;left:1104;top:998;width:9605;height:2" coordorigin="1104,998" coordsize="9605,0" path="m1104,998l10709,998e" filled="false" stroked="true" strokeweight=".72pt" strokecolor="#000000">
            <v:path arrowok="t"/>
          </v:shape>
          <w10:wrap type="none"/>
        </v:group>
      </w:pict>
    </w:r>
    <w:r>
      <w:rPr/>
      <w:pict>
        <v:shape style="position:absolute;margin-left:312.200012pt;margin-top:37.082584pt;width:222.8pt;height:11.65pt;mso-position-horizontal-relative:page;mso-position-vertical-relative:page;z-index:-1000432"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49.599998pt;width:696.25pt;height:.1pt;mso-position-horizontal-relative:page;mso-position-vertical-relative:page;z-index:-1000384" coordorigin="1411,992" coordsize="13925,2">
          <v:shape style="position:absolute;left:1411;top:992;width:13925;height:2" coordorigin="1411,992" coordsize="13925,0" path="m1411,992l15336,992e" filled="false" stroked="true" strokeweight=".72pt" strokecolor="#000000">
            <v:path arrowok="t"/>
          </v:shape>
          <w10:wrap type="none"/>
        </v:group>
      </w:pict>
    </w:r>
    <w:r>
      <w:rPr/>
      <w:pict>
        <v:shape style="position:absolute;margin-left:543.559998pt;margin-top:36.802586pt;width:222.85pt;height:11.65pt;mso-position-horizontal-relative:page;mso-position-vertical-relative:page;z-index:-1000360"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49.880001pt;width:480.25pt;height:.1pt;mso-position-horizontal-relative:page;mso-position-vertical-relative:page;z-index:-1000312" coordorigin="1104,998" coordsize="9605,2">
          <v:shape style="position:absolute;left:1104;top:998;width:9605;height:2" coordorigin="1104,998" coordsize="9605,0" path="m1104,998l10709,998e" filled="false" stroked="true" strokeweight=".72pt" strokecolor="#000000">
            <v:path arrowok="t"/>
          </v:shape>
          <w10:wrap type="none"/>
        </v:group>
      </w:pict>
    </w:r>
    <w:r>
      <w:rPr/>
      <w:pict>
        <v:shape style="position:absolute;margin-left:312.200012pt;margin-top:37.082584pt;width:222.8pt;height:11.65pt;mso-position-horizontal-relative:page;mso-position-vertical-relative:page;z-index:-1000288" type="#_x0000_t202" filled="false" stroked="false">
          <v:textbox inset="0,0,0,0">
            <w:txbxContent>
              <w:p>
                <w:pPr>
                  <w:spacing w:line="216" w:lineRule="exact" w:before="0"/>
                  <w:ind w:left="20" w:right="0" w:firstLine="0"/>
                  <w:jc w:val="left"/>
                  <w:rPr>
                    <w:rFonts w:ascii="宋体" w:hAnsi="宋体" w:cs="宋体" w:eastAsia="宋体" w:hint="default"/>
                    <w:sz w:val="18"/>
                    <w:szCs w:val="18"/>
                  </w:rPr>
                </w:pPr>
                <w:r>
                  <w:rPr>
                    <w:rFonts w:ascii="宋体" w:hAnsi="宋体" w:cs="宋体" w:eastAsia="宋体" w:hint="default"/>
                    <w:spacing w:val="-3"/>
                    <w:sz w:val="18"/>
                    <w:szCs w:val="18"/>
                  </w:rPr>
                  <w:t>宝安鸿基地产集团股份有限公司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ind w:left="152"/>
    </w:pPr>
    <w:rPr>
      <w:rFonts w:ascii="Microsoft JhengHei" w:hAnsi="Microsoft JhengHei" w:eastAsia="Microsoft JhengHei"/>
      <w:b/>
      <w:bCs/>
      <w:sz w:val="28"/>
      <w:szCs w:val="28"/>
    </w:rPr>
  </w:style>
  <w:style w:styleId="BodyText" w:type="paragraph">
    <w:name w:val="Body Text"/>
    <w:basedOn w:val="Normal"/>
    <w:uiPriority w:val="1"/>
    <w:qFormat/>
    <w:pPr>
      <w:ind w:left="152"/>
    </w:pPr>
    <w:rPr>
      <w:rFonts w:ascii="宋体" w:hAnsi="宋体" w:eastAsia="宋体"/>
      <w:sz w:val="21"/>
      <w:szCs w:val="21"/>
    </w:rPr>
  </w:style>
  <w:style w:styleId="Heading1" w:type="paragraph">
    <w:name w:val="Heading 1"/>
    <w:basedOn w:val="Normal"/>
    <w:uiPriority w:val="1"/>
    <w:qFormat/>
    <w:pPr>
      <w:ind w:left="3744"/>
      <w:outlineLvl w:val="1"/>
    </w:pPr>
    <w:rPr>
      <w:rFonts w:ascii="Microsoft JhengHei" w:hAnsi="Microsoft JhengHei" w:eastAsia="Microsoft JhengHei"/>
      <w:b/>
      <w:bCs/>
      <w:sz w:val="32"/>
      <w:szCs w:val="32"/>
    </w:rPr>
  </w:style>
  <w:style w:styleId="Heading2" w:type="paragraph">
    <w:name w:val="Heading 2"/>
    <w:basedOn w:val="Normal"/>
    <w:uiPriority w:val="1"/>
    <w:qFormat/>
    <w:pPr>
      <w:ind w:left="1904"/>
      <w:outlineLvl w:val="2"/>
    </w:pPr>
    <w:rPr>
      <w:rFonts w:ascii="Microsoft JhengHei" w:hAnsi="Microsoft JhengHei" w:eastAsia="Microsoft JhengHei"/>
      <w:b/>
      <w:bCs/>
      <w:sz w:val="26"/>
      <w:szCs w:val="26"/>
    </w:rPr>
  </w:style>
  <w:style w:styleId="Heading3" w:type="paragraph">
    <w:name w:val="Heading 3"/>
    <w:basedOn w:val="Normal"/>
    <w:uiPriority w:val="1"/>
    <w:qFormat/>
    <w:pPr>
      <w:ind w:left="1915"/>
      <w:outlineLvl w:val="3"/>
    </w:pPr>
    <w:rPr>
      <w:rFonts w:ascii="Microsoft JhengHei" w:hAnsi="Microsoft JhengHei" w:eastAsia="Microsoft JhengHei"/>
      <w:b/>
      <w:bCs/>
      <w:sz w:val="25"/>
      <w:szCs w:val="25"/>
    </w:rPr>
  </w:style>
  <w:style w:styleId="Heading4" w:type="paragraph">
    <w:name w:val="Heading 4"/>
    <w:basedOn w:val="Normal"/>
    <w:uiPriority w:val="1"/>
    <w:qFormat/>
    <w:pPr>
      <w:ind w:left="152"/>
      <w:outlineLvl w:val="4"/>
    </w:pPr>
    <w:rPr>
      <w:rFonts w:ascii="Microsoft JhengHei" w:hAnsi="Microsoft JhengHei" w:eastAsia="Microsoft JhengHei"/>
      <w:b/>
      <w:bCs/>
      <w:sz w:val="24"/>
      <w:szCs w:val="24"/>
    </w:rPr>
  </w:style>
  <w:style w:styleId="Heading5" w:type="paragraph">
    <w:name w:val="Heading 5"/>
    <w:basedOn w:val="Normal"/>
    <w:uiPriority w:val="1"/>
    <w:qFormat/>
    <w:pPr>
      <w:ind w:left="152"/>
      <w:outlineLvl w:val="5"/>
    </w:pPr>
    <w:rPr>
      <w:rFonts w:ascii="宋体" w:hAnsi="宋体" w:eastAsia="宋体"/>
      <w:sz w:val="24"/>
      <w:szCs w:val="24"/>
    </w:rPr>
  </w:style>
  <w:style w:styleId="Heading6" w:type="paragraph">
    <w:name w:val="Heading 6"/>
    <w:basedOn w:val="Normal"/>
    <w:uiPriority w:val="1"/>
    <w:qFormat/>
    <w:pPr>
      <w:ind w:left="575"/>
      <w:outlineLvl w:val="6"/>
    </w:pPr>
    <w:rPr>
      <w:rFonts w:ascii="Microsoft JhengHei" w:hAnsi="Microsoft JhengHei" w:eastAsia="Microsoft JhengHei"/>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yperlink" Target="http://www.bahjdc.com/" TargetMode="External"/><Relationship Id="rId11" Type="http://schemas.openxmlformats.org/officeDocument/2006/relationships/hyperlink" Target="mailto:sz000040@bahjdc.com" TargetMode="External"/><Relationship Id="rId12" Type="http://schemas.openxmlformats.org/officeDocument/2006/relationships/hyperlink" Target="http://www.cninfo.com.cn/"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www.cninfo.com.cn&#21002;&#36733;&#30340;&#20844;&#21496;&#29420;&#31435;&#33891;&#20107;&#36848;&#32844;&#25253;&#21578;/" TargetMode="External"/><Relationship Id="rId16" Type="http://schemas.openxmlformats.org/officeDocument/2006/relationships/image" Target="media/image4.png"/><Relationship Id="rId17" Type="http://schemas.openxmlformats.org/officeDocument/2006/relationships/hyperlink" Target="http://www.chcncpa.com/" TargetMode="External"/><Relationship Id="rId18" Type="http://schemas.openxmlformats.org/officeDocument/2006/relationships/header" Target="header2.xml"/><Relationship Id="rId19" Type="http://schemas.openxmlformats.org/officeDocument/2006/relationships/footer" Target="footer4.xml"/><Relationship Id="rId20" Type="http://schemas.openxmlformats.org/officeDocument/2006/relationships/header" Target="header3.xml"/><Relationship Id="rId21" Type="http://schemas.openxmlformats.org/officeDocument/2006/relationships/footer" Target="footer5.xml"/><Relationship Id="rId22" Type="http://schemas.openxmlformats.org/officeDocument/2006/relationships/header" Target="header4.xml"/><Relationship Id="rId23" Type="http://schemas.openxmlformats.org/officeDocument/2006/relationships/footer" Target="footer6.xml"/><Relationship Id="rId24" Type="http://schemas.openxmlformats.org/officeDocument/2006/relationships/header" Target="header5.xml"/><Relationship Id="rId25" Type="http://schemas.openxmlformats.org/officeDocument/2006/relationships/footer" Target="footer7.xml"/><Relationship Id="rId26" Type="http://schemas.openxmlformats.org/officeDocument/2006/relationships/header" Target="header6.xml"/><Relationship Id="rId27" Type="http://schemas.openxmlformats.org/officeDocument/2006/relationships/footer" Target="footer8.xml"/><Relationship Id="rId28" Type="http://schemas.openxmlformats.org/officeDocument/2006/relationships/header" Target="header7.xml"/><Relationship Id="rId29" Type="http://schemas.openxmlformats.org/officeDocument/2006/relationships/footer" Target="footer9.xml"/><Relationship Id="rId30" Type="http://schemas.openxmlformats.org/officeDocument/2006/relationships/header" Target="header8.xml"/><Relationship Id="rId31" Type="http://schemas.openxmlformats.org/officeDocument/2006/relationships/footer" Target="footer10.xml"/><Relationship Id="rId32" Type="http://schemas.openxmlformats.org/officeDocument/2006/relationships/header" Target="header9.xml"/><Relationship Id="rId33" Type="http://schemas.openxmlformats.org/officeDocument/2006/relationships/footer" Target="footer11.xml"/><Relationship Id="rId34" Type="http://schemas.openxmlformats.org/officeDocument/2006/relationships/header" Target="header10.xml"/><Relationship Id="rId35" Type="http://schemas.openxmlformats.org/officeDocument/2006/relationships/footer" Target="footer12.xml"/><Relationship Id="rId36" Type="http://schemas.openxmlformats.org/officeDocument/2006/relationships/header" Target="header11.xml"/><Relationship Id="rId37" Type="http://schemas.openxmlformats.org/officeDocument/2006/relationships/footer" Target="footer13.xml"/><Relationship Id="rId38" Type="http://schemas.openxmlformats.org/officeDocument/2006/relationships/header" Target="header12.xml"/><Relationship Id="rId39" Type="http://schemas.openxmlformats.org/officeDocument/2006/relationships/footer" Target="footer14.xml"/><Relationship Id="rId40" Type="http://schemas.openxmlformats.org/officeDocument/2006/relationships/header" Target="header13.xml"/><Relationship Id="rId41" Type="http://schemas.openxmlformats.org/officeDocument/2006/relationships/footer" Target="footer15.xml"/><Relationship Id="rId42" Type="http://schemas.openxmlformats.org/officeDocument/2006/relationships/header" Target="header14.xml"/><Relationship Id="rId43" Type="http://schemas.openxmlformats.org/officeDocument/2006/relationships/footer" Target="footer16.xml"/><Relationship Id="rId44" Type="http://schemas.openxmlformats.org/officeDocument/2006/relationships/header" Target="header15.xml"/><Relationship Id="rId45"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2020-05-03T22:49:42Z</dcterms:created>
  <dcterms:modified xsi:type="dcterms:W3CDTF">2020-05-03T22:49:42Z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2013-03-29T00:00:00Z</vt:filetime>
  </property>
  <property fmtid="{D5CDD505-2E9C-101B-9397-08002B2CF9AE}" pid="3" name="LastSaved">
    <vt:filetime>2013-03-29T00:00:00Z</vt:filetime>
  </property>
</Properties>
</file>