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019" w:line="1" w:lineRule="exact"/>
      </w:pPr>
    </w:p>
    <w:p>
      <w:pPr>
        <w:widowControl w:val="0"/>
        <w:jc w:val="center"/>
        <w:rPr>
          <w:sz w:val="2"/>
          <w:szCs w:val="2"/>
        </w:rPr>
      </w:pPr>
      <w:r>
        <w:drawing>
          <wp:inline>
            <wp:extent cx="1066800" cy="7073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066800" cy="707390"/>
                    </a:xfrm>
                    <a:prstGeom prst="rect"/>
                  </pic:spPr>
                </pic:pic>
              </a:graphicData>
            </a:graphic>
          </wp:inline>
        </w:drawing>
      </w:r>
    </w:p>
    <w:p>
      <w:pPr>
        <w:widowControl w:val="0"/>
        <w:spacing w:after="2199" w:line="1" w:lineRule="exact"/>
      </w:pPr>
    </w:p>
    <w:p>
      <w:pPr>
        <w:pStyle w:val="Style2"/>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东旭蓝天新能源股份有限公司</w:t>
      </w:r>
    </w:p>
    <w:p>
      <w:pPr>
        <w:pStyle w:val="Style4"/>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年年度报告</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line="624"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2"/>
        <w:keepNext w:val="0"/>
        <w:keepLines w:val="0"/>
        <w:widowControl w:val="0"/>
        <w:shd w:val="clear" w:color="auto" w:fill="auto"/>
        <w:bidi w:val="0"/>
        <w:spacing w:before="0" w:line="629" w:lineRule="exact"/>
        <w:ind w:left="0" w:right="0"/>
        <w:jc w:val="both"/>
      </w:pPr>
      <w:r>
        <w:rPr>
          <w:color w:val="000000"/>
          <w:spacing w:val="0"/>
          <w:w w:val="100"/>
          <w:position w:val="0"/>
        </w:rPr>
        <w:t>公司负责人黄志良、主管会计工作负责人夏志勇及会计机构负责人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李磊声明：保证年度报告中财务报告的真实、准确、完整。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ind w:left="0" w:right="0"/>
        <w:jc w:val="both"/>
      </w:pPr>
      <w:r>
        <w:rPr>
          <w:color w:val="000000"/>
          <w:spacing w:val="0"/>
          <w:w w:val="100"/>
          <w:position w:val="0"/>
        </w:rPr>
        <w:t>中兴财光华会计师事务所（特殊普通合伙）（以下简称</w:t>
      </w:r>
      <w:r>
        <w:rPr>
          <w:rFonts w:ascii="Times New Roman" w:eastAsia="Times New Roman" w:hAnsi="Times New Roman" w:cs="Times New Roman"/>
          <w:color w:val="000000"/>
          <w:spacing w:val="0"/>
          <w:w w:val="100"/>
          <w:position w:val="0"/>
        </w:rPr>
        <w:t>“</w:t>
      </w:r>
      <w:r>
        <w:rPr>
          <w:color w:val="000000"/>
          <w:spacing w:val="0"/>
          <w:w w:val="100"/>
          <w:position w:val="0"/>
        </w:rPr>
        <w:t>中兴财</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日对东旭蓝天新能源股份有限公司（以下简称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东旭蓝天</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年度财务报告出具了带强调事项段的无保留意见的审计报告（中兴财光华 审会字（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105033</w:t>
      </w:r>
      <w:r>
        <w:rPr>
          <w:color w:val="000000"/>
          <w:spacing w:val="0"/>
          <w:w w:val="100"/>
          <w:position w:val="0"/>
        </w:rPr>
        <w:t>号）。本公司董事会、监事会对相关事项已有详细说 明，请投资者注意阅读。</w:t>
      </w:r>
    </w:p>
    <w:p>
      <w:pPr>
        <w:pStyle w:val="Style12"/>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801" w:right="1104" w:bottom="3015"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520" w:line="240" w:lineRule="auto"/>
        <w:ind w:left="0" w:right="0" w:firstLine="0"/>
        <w:jc w:val="center"/>
      </w:pPr>
      <w:r>
        <w:rPr>
          <w:color w:val="000000"/>
          <w:spacing w:val="0"/>
          <w:w w:val="100"/>
          <w:position w:val="0"/>
        </w:rPr>
        <w:t>目录</w:t>
      </w:r>
    </w:p>
    <w:p>
      <w:pPr>
        <w:pStyle w:val="Style15"/>
        <w:keepNext w:val="0"/>
        <w:keepLines w:val="0"/>
        <w:widowControl w:val="0"/>
        <w:shd w:val="clear" w:color="auto" w:fill="auto"/>
        <w:tabs>
          <w:tab w:leader="dot" w:pos="9613"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rPr>
          <w:t>第一节重要提示、目录和释义</w:t>
        </w:r>
        <w:r>
          <w:rPr>
            <w:color w:val="000000"/>
            <w:spacing w:val="0"/>
            <w:w w:val="100"/>
            <w:position w:val="0"/>
          </w:rPr>
          <w:tab/>
        </w:r>
        <w:r>
          <w:rPr>
            <w:rFonts w:ascii="Arial" w:eastAsia="Arial" w:hAnsi="Arial" w:cs="Arial"/>
            <w:color w:val="000000"/>
            <w:spacing w:val="0"/>
            <w:w w:val="100"/>
            <w:position w:val="0"/>
          </w:rPr>
          <w:t>2</w:t>
        </w:r>
      </w:hyperlink>
    </w:p>
    <w:p>
      <w:pPr>
        <w:pStyle w:val="Style15"/>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4"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w:t>
        </w:r>
      </w:hyperlink>
    </w:p>
    <w:p>
      <w:pPr>
        <w:pStyle w:val="Style15"/>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52"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15</w:t>
        </w:r>
      </w:hyperlink>
    </w:p>
    <w:p>
      <w:pPr>
        <w:pStyle w:val="Style15"/>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93"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15</w:t>
        </w:r>
      </w:hyperlink>
    </w:p>
    <w:p>
      <w:pPr>
        <w:pStyle w:val="Style15"/>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281"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41</w:t>
        </w:r>
      </w:hyperlink>
    </w:p>
    <w:p>
      <w:pPr>
        <w:pStyle w:val="Style15"/>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472"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62</w:t>
        </w:r>
      </w:hyperlink>
    </w:p>
    <w:p>
      <w:pPr>
        <w:pStyle w:val="Style15"/>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530"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69</w:t>
        </w:r>
      </w:hyperlink>
    </w:p>
    <w:p>
      <w:pPr>
        <w:pStyle w:val="Style15"/>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534" w:tooltip="Current Document">
        <w:r>
          <w:rPr>
            <w:color w:val="000000"/>
            <w:spacing w:val="0"/>
            <w:w w:val="100"/>
            <w:position w:val="0"/>
            <w:sz w:val="22"/>
            <w:szCs w:val="22"/>
          </w:rPr>
          <w:t>第八节可转换公司债券相关情况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70</w:t>
        </w:r>
      </w:hyperlink>
    </w:p>
    <w:p>
      <w:pPr>
        <w:pStyle w:val="Style15"/>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538" w:tooltip="Current Document">
        <w:r>
          <w:rPr>
            <w:color w:val="000000"/>
            <w:spacing w:val="0"/>
            <w:w w:val="100"/>
            <w:position w:val="0"/>
            <w:sz w:val="22"/>
            <w:szCs w:val="22"/>
          </w:rPr>
          <w:t>第九节董事、监事、高级管理人员和员工情况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71</w:t>
        </w:r>
      </w:hyperlink>
    </w:p>
    <w:p>
      <w:pPr>
        <w:pStyle w:val="Style15"/>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596" w:tooltip="Current Document">
        <w:r>
          <w:rPr>
            <w:color w:val="000000"/>
            <w:spacing w:val="0"/>
            <w:w w:val="100"/>
            <w:position w:val="0"/>
            <w:sz w:val="22"/>
            <w:szCs w:val="22"/>
          </w:rPr>
          <w:t>第十节公司治理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78</w:t>
        </w:r>
      </w:hyperlink>
    </w:p>
    <w:p>
      <w:pPr>
        <w:pStyle w:val="Style15"/>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690" w:tooltip="Current Document">
        <w:r>
          <w:rPr>
            <w:color w:val="000000"/>
            <w:spacing w:val="0"/>
            <w:w w:val="100"/>
            <w:position w:val="0"/>
            <w:sz w:val="22"/>
            <w:szCs w:val="22"/>
          </w:rPr>
          <w:t>第十一节公司债券相关情况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86</w:t>
        </w:r>
      </w:hyperlink>
    </w:p>
    <w:p>
      <w:pPr>
        <w:pStyle w:val="Style15"/>
        <w:keepNext w:val="0"/>
        <w:keepLines w:val="0"/>
        <w:widowControl w:val="0"/>
        <w:shd w:val="clear" w:color="auto" w:fill="auto"/>
        <w:tabs>
          <w:tab w:leader="dot" w:pos="9613" w:val="right"/>
        </w:tabs>
        <w:bidi w:val="0"/>
        <w:spacing w:before="0" w:line="240" w:lineRule="auto"/>
        <w:ind w:left="0" w:right="0" w:firstLine="0"/>
        <w:jc w:val="both"/>
        <w:rPr>
          <w:sz w:val="24"/>
          <w:szCs w:val="24"/>
        </w:rPr>
      </w:pPr>
      <w:hyperlink w:anchor="bookmark694" w:tooltip="Current Document">
        <w:r>
          <w:rPr>
            <w:color w:val="000000"/>
            <w:spacing w:val="0"/>
            <w:w w:val="100"/>
            <w:position w:val="0"/>
            <w:sz w:val="22"/>
            <w:szCs w:val="22"/>
          </w:rPr>
          <w:t>第十二节财务报告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87</w:t>
        </w:r>
      </w:hyperlink>
    </w:p>
    <w:p>
      <w:pPr>
        <w:pStyle w:val="Style15"/>
        <w:keepNext w:val="0"/>
        <w:keepLines w:val="0"/>
        <w:widowControl w:val="0"/>
        <w:shd w:val="clear" w:color="auto" w:fill="auto"/>
        <w:tabs>
          <w:tab w:leader="dot" w:pos="9613" w:val="right"/>
        </w:tabs>
        <w:bidi w:val="0"/>
        <w:spacing w:before="0" w:line="240" w:lineRule="auto"/>
        <w:ind w:left="0" w:right="0" w:firstLine="0"/>
        <w:jc w:val="both"/>
        <w:rPr>
          <w:sz w:val="24"/>
          <w:szCs w:val="24"/>
        </w:rPr>
        <w:sectPr>
          <w:footnotePr>
            <w:pos w:val="pageBottom"/>
            <w:numFmt w:val="decimal"/>
            <w:numRestart w:val="continuous"/>
          </w:footnotePr>
          <w:pgSz w:w="11900" w:h="16840"/>
          <w:pgMar w:top="2862" w:right="1123" w:bottom="2862" w:left="1104" w:header="0" w:footer="3" w:gutter="0"/>
          <w:cols w:space="720"/>
          <w:noEndnote/>
          <w:rtlGutter w:val="0"/>
          <w:docGrid w:linePitch="360"/>
        </w:sectPr>
      </w:pPr>
      <w:hyperlink w:anchor="bookmark1318" w:tooltip="Current Document">
        <w:r>
          <w:rPr>
            <w:color w:val="000000"/>
            <w:spacing w:val="0"/>
            <w:w w:val="100"/>
            <w:position w:val="0"/>
            <w:sz w:val="22"/>
            <w:szCs w:val="22"/>
          </w:rPr>
          <w:t>第十三节备查文件目录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233</w:t>
        </w:r>
      </w:hyperlink>
      <w:r>
        <w:fldChar w:fldCharType="end"/>
      </w:r>
    </w:p>
    <w:p>
      <w:pPr>
        <w:pStyle w:val="Style4"/>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18"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bl>
    <w:p>
      <w:pPr>
        <w:sectPr>
          <w:footnotePr>
            <w:pos w:val="pageBottom"/>
            <w:numFmt w:val="decimal"/>
            <w:numRestart w:val="continuous"/>
          </w:footnotePr>
          <w:pgSz w:w="11900" w:h="16840"/>
          <w:pgMar w:top="2089" w:right="1196" w:bottom="2089" w:left="1119" w:header="0" w:footer="3" w:gutter="0"/>
          <w:cols w:space="720"/>
          <w:noEndnote/>
          <w:rtlGutter w:val="0"/>
          <w:docGrid w:linePitch="360"/>
        </w:sectPr>
      </w:pPr>
    </w:p>
    <w:p>
      <w:pPr>
        <w:pStyle w:val="Style10"/>
        <w:keepNext/>
        <w:keepLines/>
        <w:widowControl w:val="0"/>
        <w:shd w:val="clear" w:color="auto" w:fill="auto"/>
        <w:bidi w:val="0"/>
        <w:spacing w:before="4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2"/>
        <w:keepNext/>
        <w:keepLines/>
        <w:widowControl w:val="0"/>
        <w:shd w:val="clear" w:color="auto" w:fill="auto"/>
        <w:bidi w:val="0"/>
        <w:spacing w:before="0" w:after="320" w:line="240" w:lineRule="auto"/>
        <w:ind w:left="0" w:right="0" w:firstLine="0"/>
        <w:jc w:val="left"/>
      </w:pPr>
      <w:bookmarkStart w:id="10" w:name="bookmark10"/>
      <w:bookmarkStart w:id="6" w:name="bookmark6"/>
      <w:bookmarkStart w:id="7" w:name="bookmark7"/>
      <w:bookmarkStart w:id="8" w:name="bookmark8"/>
      <w:bookmarkStart w:id="9" w:name="bookmark9"/>
      <w:r>
        <w:rPr>
          <w:color w:val="000000"/>
          <w:spacing w:val="0"/>
          <w:w w:val="100"/>
          <w:position w:val="0"/>
        </w:rPr>
        <w:t>一</w:t>
      </w:r>
      <w:bookmarkEnd w:id="9"/>
      <w:r>
        <w:rPr>
          <w:color w:val="000000"/>
          <w:spacing w:val="0"/>
          <w:w w:val="100"/>
          <w:position w:val="0"/>
        </w:rPr>
        <w:t>、公司信息</w:t>
      </w:r>
      <w:bookmarkEnd w:id="10"/>
      <w:bookmarkEnd w:id="7"/>
      <w:bookmarkEnd w:id="8"/>
      <w:bookmarkEnd w:id="6"/>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2942" w:val="left"/>
                <w:tab w:pos="5098"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东旭蓝天</w:t>
              <w:tab/>
              <w:t>股票代码</w:t>
              <w:tab/>
            </w:r>
            <w:r>
              <w:rPr>
                <w:color w:val="000000"/>
                <w:spacing w:val="0"/>
                <w:w w:val="100"/>
                <w:position w:val="0"/>
              </w:rPr>
              <w:t>000040</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东旭蓝天新能源股份有限公司</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东旭蓝天</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TUNGHSU AZURE RENEWABLE ENERGY CO.,LTD.</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黄志良</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深圳市罗湖区东门中路</w:t>
            </w:r>
            <w:r>
              <w:rPr>
                <w:color w:val="000000"/>
                <w:spacing w:val="0"/>
                <w:w w:val="100"/>
                <w:position w:val="0"/>
                <w:sz w:val="18"/>
                <w:szCs w:val="18"/>
              </w:rPr>
              <w:t>1011</w:t>
            </w:r>
            <w:r>
              <w:rPr>
                <w:rFonts w:ascii="SimSun" w:eastAsia="SimSun" w:hAnsi="SimSun" w:cs="SimSun"/>
                <w:color w:val="000000"/>
                <w:spacing w:val="0"/>
                <w:w w:val="100"/>
                <w:position w:val="0"/>
                <w:sz w:val="17"/>
                <w:szCs w:val="17"/>
              </w:rPr>
              <w:t>号鸿基大厦</w:t>
            </w:r>
            <w:r>
              <w:rPr>
                <w:color w:val="000000"/>
                <w:spacing w:val="0"/>
                <w:w w:val="100"/>
                <w:position w:val="0"/>
                <w:sz w:val="18"/>
                <w:szCs w:val="18"/>
              </w:rPr>
              <w:t>25-27</w:t>
            </w:r>
            <w:r>
              <w:rPr>
                <w:rFonts w:ascii="SimSun" w:eastAsia="SimSun" w:hAnsi="SimSun" w:cs="SimSun"/>
                <w:color w:val="000000"/>
                <w:spacing w:val="0"/>
                <w:w w:val="100"/>
                <w:position w:val="0"/>
                <w:sz w:val="17"/>
                <w:szCs w:val="17"/>
              </w:rPr>
              <w:t>楼</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518001</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深圳市罗湖区东门中路</w:t>
            </w:r>
            <w:r>
              <w:rPr>
                <w:color w:val="000000"/>
                <w:spacing w:val="0"/>
                <w:w w:val="100"/>
                <w:position w:val="0"/>
                <w:sz w:val="18"/>
                <w:szCs w:val="18"/>
              </w:rPr>
              <w:t>1011</w:t>
            </w:r>
            <w:r>
              <w:rPr>
                <w:rFonts w:ascii="SimSun" w:eastAsia="SimSun" w:hAnsi="SimSun" w:cs="SimSun"/>
                <w:color w:val="000000"/>
                <w:spacing w:val="0"/>
                <w:w w:val="100"/>
                <w:position w:val="0"/>
                <w:sz w:val="17"/>
                <w:szCs w:val="17"/>
              </w:rPr>
              <w:t>号鸿基大厦</w:t>
            </w:r>
            <w:r>
              <w:rPr>
                <w:color w:val="000000"/>
                <w:spacing w:val="0"/>
                <w:w w:val="100"/>
                <w:position w:val="0"/>
                <w:sz w:val="18"/>
                <w:szCs w:val="18"/>
              </w:rPr>
              <w:t>25-27</w:t>
            </w:r>
            <w:r>
              <w:rPr>
                <w:rFonts w:ascii="SimSun" w:eastAsia="SimSun" w:hAnsi="SimSun" w:cs="SimSun"/>
                <w:color w:val="000000"/>
                <w:spacing w:val="0"/>
                <w:w w:val="100"/>
                <w:position w:val="0"/>
                <w:sz w:val="17"/>
                <w:szCs w:val="17"/>
              </w:rPr>
              <w:t>楼</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518001</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"http://www.dongxulantian.com" </w:instrText>
            </w:r>
            <w:r>
              <w:fldChar w:fldCharType="separate"/>
            </w:r>
            <w:r>
              <w:rPr>
                <w:color w:val="000000"/>
                <w:spacing w:val="0"/>
                <w:w w:val="100"/>
                <w:position w:val="0"/>
              </w:rPr>
              <w:t>www.dongxulantian.com</w:t>
            </w:r>
            <w:r>
              <w:fldChar w:fldCharType="end"/>
            </w:r>
          </w:p>
        </w:tc>
      </w:tr>
      <w:tr>
        <w:trPr>
          <w:trHeight w:val="408"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"mailto:sz000040@dongxu.com" </w:instrText>
            </w:r>
            <w:r>
              <w:fldChar w:fldCharType="separate"/>
            </w:r>
            <w:r>
              <w:rPr>
                <w:color w:val="000000"/>
                <w:spacing w:val="0"/>
                <w:w w:val="100"/>
                <w:position w:val="0"/>
              </w:rPr>
              <w:t>sz000040@dongxu.com</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rPr>
        <w:t>二</w:t>
      </w:r>
      <w:bookmarkEnd w:id="13"/>
      <w:r>
        <w:rPr>
          <w:color w:val="000000"/>
          <w:spacing w:val="0"/>
          <w:w w:val="100"/>
          <w:position w:val="0"/>
        </w:rPr>
        <w:t>、联系人和联系方式</w:t>
      </w:r>
      <w:bookmarkEnd w:id="11"/>
      <w:bookmarkEnd w:id="12"/>
      <w:bookmarkEnd w:id="14"/>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王正军</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刘莹</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北京市西城区菜园街</w:t>
            </w:r>
            <w:r>
              <w:rPr>
                <w:color w:val="000000"/>
                <w:spacing w:val="0"/>
                <w:w w:val="100"/>
                <w:position w:val="0"/>
                <w:sz w:val="18"/>
                <w:szCs w:val="18"/>
              </w:rPr>
              <w:t>1</w:t>
            </w:r>
            <w:r>
              <w:rPr>
                <w:rFonts w:ascii="SimSun" w:eastAsia="SimSun" w:hAnsi="SimSun" w:cs="SimSun"/>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深圳市罗湖区东门中路</w:t>
            </w:r>
            <w:r>
              <w:rPr>
                <w:color w:val="000000"/>
                <w:spacing w:val="0"/>
                <w:w w:val="100"/>
                <w:position w:val="0"/>
                <w:sz w:val="18"/>
                <w:szCs w:val="18"/>
              </w:rPr>
              <w:t>1011</w:t>
            </w:r>
            <w:r>
              <w:rPr>
                <w:rFonts w:ascii="SimSun" w:eastAsia="SimSun" w:hAnsi="SimSun" w:cs="SimSun"/>
                <w:color w:val="000000"/>
                <w:spacing w:val="0"/>
                <w:w w:val="100"/>
                <w:position w:val="0"/>
                <w:sz w:val="17"/>
                <w:szCs w:val="17"/>
              </w:rPr>
              <w:t xml:space="preserve">号鸿基大厦 </w:t>
            </w:r>
            <w:r>
              <w:rPr>
                <w:color w:val="000000"/>
                <w:spacing w:val="0"/>
                <w:w w:val="100"/>
                <w:position w:val="0"/>
                <w:sz w:val="18"/>
                <w:szCs w:val="18"/>
              </w:rPr>
              <w:t>25</w:t>
            </w:r>
            <w:r>
              <w:rPr>
                <w:rFonts w:ascii="SimSun" w:eastAsia="SimSun" w:hAnsi="SimSun" w:cs="SimSun"/>
                <w:color w:val="000000"/>
                <w:spacing w:val="0"/>
                <w:w w:val="100"/>
                <w:position w:val="0"/>
                <w:sz w:val="17"/>
                <w:szCs w:val="17"/>
              </w:rPr>
              <w:t>楼</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010-63541562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0755-82367726</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010-63541562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0755-82367726</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"mailto:sz000040@dongxu.com" </w:instrText>
            </w:r>
            <w:r>
              <w:fldChar w:fldCharType="separate"/>
            </w:r>
            <w:r>
              <w:rPr>
                <w:color w:val="000000"/>
                <w:spacing w:val="0"/>
                <w:w w:val="100"/>
                <w:position w:val="0"/>
              </w:rPr>
              <w:t>sz000040@dongxu.com</w:t>
            </w:r>
            <w:r>
              <w:fldChar w:fldCharType="end"/>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fldChar w:fldCharType="begin"/>
            </w:r>
            <w:r>
              <w:rPr/>
              <w:instrText> HYPERLINK "mailto:sz000040@dongxu.com" </w:instrText>
            </w:r>
            <w:r>
              <w:fldChar w:fldCharType="separate"/>
            </w:r>
            <w:r>
              <w:rPr>
                <w:color w:val="000000"/>
                <w:spacing w:val="0"/>
                <w:w w:val="100"/>
                <w:position w:val="0"/>
              </w:rPr>
              <w:t>sz000040@dongxu.com</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三</w:t>
      </w:r>
      <w:bookmarkEnd w:id="17"/>
      <w:r>
        <w:rPr>
          <w:color w:val="000000"/>
          <w:spacing w:val="0"/>
          <w:w w:val="100"/>
          <w:position w:val="0"/>
        </w:rPr>
        <w:t>、信息披露及备置地点</w:t>
      </w:r>
      <w:bookmarkEnd w:id="15"/>
      <w:bookmarkEnd w:id="16"/>
      <w:bookmarkEnd w:id="18"/>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中国证券报、证券时报</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公司证券中心办公室</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四</w:t>
      </w:r>
      <w:bookmarkEnd w:id="21"/>
      <w:r>
        <w:rPr>
          <w:color w:val="000000"/>
          <w:spacing w:val="0"/>
          <w:w w:val="100"/>
          <w:position w:val="0"/>
        </w:rPr>
        <w:t>、注册变更情况</w:t>
      </w:r>
      <w:bookmarkEnd w:id="19"/>
      <w:bookmarkEnd w:id="20"/>
      <w:bookmarkEnd w:id="22"/>
      <w:r>
        <w:br w:type="page"/>
      </w:r>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19217441-8</w:t>
            </w:r>
          </w:p>
        </w:tc>
      </w:tr>
      <w:tr>
        <w:trPr>
          <w:trHeight w:val="13406"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 有）</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公司前身为</w:t>
            </w:r>
            <w:r>
              <w:rPr>
                <w:color w:val="000000"/>
                <w:spacing w:val="0"/>
                <w:w w:val="100"/>
                <w:position w:val="0"/>
                <w:sz w:val="18"/>
                <w:szCs w:val="18"/>
              </w:rPr>
              <w:t>1950</w:t>
            </w:r>
            <w:r>
              <w:rPr>
                <w:rFonts w:ascii="SimSun" w:eastAsia="SimSun" w:hAnsi="SimSun" w:cs="SimSun"/>
                <w:color w:val="000000"/>
                <w:spacing w:val="0"/>
                <w:w w:val="100"/>
                <w:position w:val="0"/>
                <w:sz w:val="17"/>
                <w:szCs w:val="17"/>
              </w:rPr>
              <w:t>年成立的集体所有制的宝安县搬运公司，</w:t>
            </w:r>
            <w:r>
              <w:rPr>
                <w:color w:val="000000"/>
                <w:spacing w:val="0"/>
                <w:w w:val="100"/>
                <w:position w:val="0"/>
                <w:sz w:val="18"/>
                <w:szCs w:val="18"/>
              </w:rPr>
              <w:t>1989</w:t>
            </w:r>
            <w:r>
              <w:rPr>
                <w:rFonts w:ascii="SimSun" w:eastAsia="SimSun" w:hAnsi="SimSun" w:cs="SimSun"/>
                <w:color w:val="000000"/>
                <w:spacing w:val="0"/>
                <w:w w:val="100"/>
                <w:position w:val="0"/>
                <w:sz w:val="17"/>
                <w:szCs w:val="17"/>
              </w:rPr>
              <w:t>年改组为深圳市 装卸运输股份公司，主营业务为装卸搬运、公司历史用地的房地产开发、自有物 业的管理等。</w:t>
            </w:r>
            <w:r>
              <w:rPr>
                <w:color w:val="000000"/>
                <w:spacing w:val="0"/>
                <w:w w:val="100"/>
                <w:position w:val="0"/>
                <w:sz w:val="18"/>
                <w:szCs w:val="18"/>
              </w:rPr>
              <w:t>1993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月改组为公众公司</w:t>
            </w:r>
            <w:r>
              <w:rPr>
                <w:color w:val="000000"/>
                <w:spacing w:val="0"/>
                <w:w w:val="100"/>
                <w:position w:val="0"/>
                <w:sz w:val="18"/>
                <w:szCs w:val="18"/>
              </w:rPr>
              <w:t>“</w:t>
            </w:r>
            <w:r>
              <w:rPr>
                <w:rFonts w:ascii="SimSun" w:eastAsia="SimSun" w:hAnsi="SimSun" w:cs="SimSun"/>
                <w:color w:val="000000"/>
                <w:spacing w:val="0"/>
                <w:w w:val="100"/>
                <w:position w:val="0"/>
                <w:sz w:val="17"/>
                <w:szCs w:val="17"/>
              </w:rPr>
              <w:t>深圳市鸿基</w:t>
            </w:r>
            <w:r>
              <w:rPr>
                <w:color w:val="000000"/>
                <w:spacing w:val="0"/>
                <w:w w:val="100"/>
                <w:position w:val="0"/>
                <w:sz w:val="18"/>
                <w:szCs w:val="18"/>
              </w:rPr>
              <w:t>（</w:t>
            </w:r>
            <w:r>
              <w:rPr>
                <w:rFonts w:ascii="SimSun" w:eastAsia="SimSun" w:hAnsi="SimSun" w:cs="SimSun"/>
                <w:color w:val="000000"/>
                <w:spacing w:val="0"/>
                <w:w w:val="100"/>
                <w:position w:val="0"/>
                <w:sz w:val="17"/>
                <w:szCs w:val="17"/>
              </w:rPr>
              <w:t>集团</w:t>
            </w:r>
            <w:r>
              <w:rPr>
                <w:color w:val="000000"/>
                <w:spacing w:val="0"/>
                <w:w w:val="100"/>
                <w:position w:val="0"/>
                <w:sz w:val="18"/>
                <w:szCs w:val="18"/>
              </w:rPr>
              <w:t>）</w:t>
            </w:r>
            <w:r>
              <w:rPr>
                <w:rFonts w:ascii="SimSun" w:eastAsia="SimSun" w:hAnsi="SimSun" w:cs="SimSun"/>
                <w:color w:val="000000"/>
                <w:spacing w:val="0"/>
                <w:w w:val="100"/>
                <w:position w:val="0"/>
                <w:sz w:val="17"/>
                <w:szCs w:val="17"/>
              </w:rPr>
              <w:t>股份有限公司，并 于</w:t>
            </w:r>
            <w:r>
              <w:rPr>
                <w:color w:val="000000"/>
                <w:spacing w:val="0"/>
                <w:w w:val="100"/>
                <w:position w:val="0"/>
                <w:sz w:val="18"/>
                <w:szCs w:val="18"/>
              </w:rPr>
              <w:t>1994</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月在深圳证券交易所挂牌交易，主要业务范围包括:投资兴办实业（具 体项目另行申报）；国内商业；物资供销业（不含专营、专控、专卖商品）；装卸 运输货物；房地产开发与经营；仓储；自有物业管理；自营进出口业务（按深贸 管审证字第</w:t>
            </w:r>
            <w:r>
              <w:rPr>
                <w:color w:val="000000"/>
                <w:spacing w:val="0"/>
                <w:w w:val="100"/>
                <w:position w:val="0"/>
                <w:sz w:val="18"/>
                <w:szCs w:val="18"/>
              </w:rPr>
              <w:t>249</w:t>
            </w:r>
            <w:r>
              <w:rPr>
                <w:rFonts w:ascii="SimSun" w:eastAsia="SimSun" w:hAnsi="SimSun" w:cs="SimSun"/>
                <w:color w:val="000000"/>
                <w:spacing w:val="0"/>
                <w:w w:val="100"/>
                <w:position w:val="0"/>
                <w:sz w:val="17"/>
                <w:szCs w:val="17"/>
              </w:rPr>
              <w:t>号规定执行）；出租客运。</w:t>
            </w:r>
          </w:p>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月中国宝安集团控股有限公司成为公司第一大股东，</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月公司更 名为宝安鸿基地产集团股份有限公司，</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月证券简称由</w:t>
            </w:r>
            <w:r>
              <w:rPr>
                <w:color w:val="000000"/>
                <w:spacing w:val="0"/>
                <w:w w:val="100"/>
                <w:position w:val="0"/>
                <w:sz w:val="18"/>
                <w:szCs w:val="18"/>
              </w:rPr>
              <w:t>“</w:t>
            </w:r>
            <w:r>
              <w:rPr>
                <w:rFonts w:ascii="SimSun" w:eastAsia="SimSun" w:hAnsi="SimSun" w:cs="SimSun"/>
                <w:color w:val="000000"/>
                <w:spacing w:val="0"/>
                <w:w w:val="100"/>
                <w:position w:val="0"/>
                <w:sz w:val="17"/>
                <w:szCs w:val="17"/>
              </w:rPr>
              <w:t>深鸿基</w:t>
            </w:r>
            <w:r>
              <w:rPr>
                <w:color w:val="000000"/>
                <w:spacing w:val="0"/>
                <w:w w:val="100"/>
                <w:position w:val="0"/>
                <w:sz w:val="18"/>
                <w:szCs w:val="18"/>
              </w:rPr>
              <w:t>”</w:t>
            </w:r>
            <w:r>
              <w:rPr>
                <w:rFonts w:ascii="SimSun" w:eastAsia="SimSun" w:hAnsi="SimSun" w:cs="SimSun"/>
                <w:color w:val="000000"/>
                <w:spacing w:val="0"/>
                <w:w w:val="100"/>
                <w:position w:val="0"/>
                <w:sz w:val="17"/>
                <w:szCs w:val="17"/>
              </w:rPr>
              <w:t>变更为</w:t>
            </w:r>
            <w:r>
              <w:rPr>
                <w:color w:val="000000"/>
                <w:spacing w:val="0"/>
                <w:w w:val="100"/>
                <w:position w:val="0"/>
                <w:sz w:val="18"/>
                <w:szCs w:val="18"/>
              </w:rPr>
              <w:t>“</w:t>
            </w:r>
            <w:r>
              <w:rPr>
                <w:rFonts w:ascii="SimSun" w:eastAsia="SimSun" w:hAnsi="SimSun" w:cs="SimSun"/>
                <w:color w:val="000000"/>
                <w:spacing w:val="0"/>
                <w:w w:val="100"/>
                <w:position w:val="0"/>
                <w:sz w:val="17"/>
                <w:szCs w:val="17"/>
              </w:rPr>
              <w:t>宝 安地产</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月公司主营业务范围变更为：在合法取得使用权的土地上从 事房地产开发经营、投资兴办实业；物业管理；仓储。</w:t>
            </w:r>
          </w:p>
          <w:p>
            <w:pPr>
              <w:pStyle w:val="Style19"/>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月，东旭集团有限公司成为公司控股股东，</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月，公司主营业 务范围变更为：房地产开发与经营；投资兴办实业（具体项目另行申报）；物业管 理；仓储；光伏电站投资、建设、运营、维护及管理服务；光伏发电技术及设备 的研发；光伏发电项目技术咨询；光伏发电设备的制造、批发零售。（以上经营范 围法律、行政法规、国务院决定禁止的项目除外，限制的项目须取得许可后方可 经营）。</w:t>
            </w:r>
          </w:p>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日公司更名为东旭蓝天新能源股份有限公司，证券简称由</w:t>
            </w:r>
            <w:r>
              <w:rPr>
                <w:color w:val="000000"/>
                <w:spacing w:val="0"/>
                <w:w w:val="100"/>
                <w:position w:val="0"/>
                <w:sz w:val="18"/>
                <w:szCs w:val="18"/>
              </w:rPr>
              <w:t>“</w:t>
            </w:r>
            <w:r>
              <w:rPr>
                <w:rFonts w:ascii="SimSun" w:eastAsia="SimSun" w:hAnsi="SimSun" w:cs="SimSun"/>
                <w:color w:val="000000"/>
                <w:spacing w:val="0"/>
                <w:w w:val="100"/>
                <w:position w:val="0"/>
                <w:sz w:val="17"/>
                <w:szCs w:val="17"/>
              </w:rPr>
              <w:t>宝安地 产</w:t>
            </w:r>
            <w:r>
              <w:rPr>
                <w:color w:val="000000"/>
                <w:spacing w:val="0"/>
                <w:w w:val="100"/>
                <w:position w:val="0"/>
                <w:sz w:val="18"/>
                <w:szCs w:val="18"/>
              </w:rPr>
              <w:t>”</w:t>
            </w:r>
            <w:r>
              <w:rPr>
                <w:rFonts w:ascii="SimSun" w:eastAsia="SimSun" w:hAnsi="SimSun" w:cs="SimSun"/>
                <w:color w:val="000000"/>
                <w:spacing w:val="0"/>
                <w:w w:val="100"/>
                <w:position w:val="0"/>
                <w:sz w:val="17"/>
                <w:szCs w:val="17"/>
              </w:rPr>
              <w:t>变更为</w:t>
            </w:r>
            <w:r>
              <w:rPr>
                <w:color w:val="000000"/>
                <w:spacing w:val="0"/>
                <w:w w:val="100"/>
                <w:position w:val="0"/>
                <w:sz w:val="18"/>
                <w:szCs w:val="18"/>
              </w:rPr>
              <w:t>“</w:t>
            </w:r>
            <w:r>
              <w:rPr>
                <w:rFonts w:ascii="SimSun" w:eastAsia="SimSun" w:hAnsi="SimSun" w:cs="SimSun"/>
                <w:color w:val="000000"/>
                <w:spacing w:val="0"/>
                <w:w w:val="100"/>
                <w:position w:val="0"/>
                <w:sz w:val="17"/>
                <w:szCs w:val="17"/>
              </w:rPr>
              <w:t>东旭蓝天匚</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月公司注册资本由</w:t>
            </w:r>
            <w:r>
              <w:rPr>
                <w:color w:val="000000"/>
                <w:spacing w:val="0"/>
                <w:w w:val="100"/>
                <w:position w:val="0"/>
                <w:sz w:val="18"/>
                <w:szCs w:val="18"/>
              </w:rPr>
              <w:t>46959.34</w:t>
            </w:r>
            <w:r>
              <w:rPr>
                <w:rFonts w:ascii="SimSun" w:eastAsia="SimSun" w:hAnsi="SimSun" w:cs="SimSun"/>
                <w:color w:val="000000"/>
                <w:spacing w:val="0"/>
                <w:w w:val="100"/>
                <w:position w:val="0"/>
                <w:sz w:val="17"/>
                <w:szCs w:val="17"/>
              </w:rPr>
              <w:t xml:space="preserve">万元变更为 </w:t>
            </w:r>
            <w:r>
              <w:rPr>
                <w:color w:val="000000"/>
                <w:spacing w:val="0"/>
                <w:w w:val="100"/>
                <w:position w:val="0"/>
                <w:sz w:val="18"/>
                <w:szCs w:val="18"/>
              </w:rPr>
              <w:t>133717.3272</w:t>
            </w:r>
            <w:r>
              <w:rPr>
                <w:rFonts w:ascii="SimSun" w:eastAsia="SimSun" w:hAnsi="SimSun" w:cs="SimSun"/>
                <w:color w:val="000000"/>
                <w:spacing w:val="0"/>
                <w:w w:val="100"/>
                <w:position w:val="0"/>
                <w:sz w:val="17"/>
                <w:szCs w:val="17"/>
              </w:rPr>
              <w:t>万元。</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月公司主营业务范围变更为：环保技术的研发、推 广及服务，生态环境治理、土壤修复、水处理；园林、城市绿化工程施工；园林 及生态湿地的运营养护；风景园林规划设计、城乡规划设计；湖底淤泥处理；环 保项目管理与咨询；光伏电站投资、建设、运营、维护及管理服务；光伏发电技 术及设备的研发；光伏发电项目技术咨询；光伏发电设备的制造、批发零售。</w:t>
            </w:r>
          </w:p>
          <w:p>
            <w:pPr>
              <w:pStyle w:val="Style19"/>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月公司主营业务范围变更为：环保技术的研发、推广及服务，生态环境 治理、土壤修复、水处理；园林、城市绿化工程施工；园林及生态湿地的运营养 护；风景园林规划设计、城乡规划设计；湖底淤泥处理；环保项目管理与咨询； 光伏电站投资、建设、运营、维护及管理服务；光伏发电技术及设备的研发；光 伏发电项目技术咨询；光伏发电设备的制造、批发零售；发电设备设计、制造及 工程成套，新能源设备设施的设计、制造及工程成套。国际工程成套及贸易。</w:t>
            </w:r>
          </w:p>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月公司主营业务范围变更为：环保技术的研发、推广及服务，生态环境 治理、土壤修复、水处理；园林、城市绿化工程施工；园林及生态湿地的运营养 护；风景园林规划设计、城乡规划设计；湖底淤泥处理；环保项目管理与咨询； 光伏电站投资、建设、运营、维护及管理服务；光伏发电技术及设备的研发；光 伏发电项目技术咨询；电力工程总承包及国际工程总承包（一般经营项目）。光伏 发电设备的制造、批发零售；机电设备的设计、制造及销售，新能源设备设施的 设计、制造及销售（许可经营项目）；经营进出口业务（以工商登记部门最终核准 的表述为准）。</w:t>
            </w:r>
          </w:p>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月公司主营业务范围变更为：环保技术的研发、推广及服务，生态环境 治理、土壤修复、水处理；园林、城市绿化工程施工；园林及生态湿地的运营养 护；风景园林规划设计、城乡规划设计；湖底淤泥处理；环保项目管理与咨询； 光伏电站投资、建设、运营、维护及管理服务；光伏发电技术及设备的研发；光</w:t>
            </w:r>
          </w:p>
        </w:tc>
      </w:tr>
    </w:tbl>
    <w:p>
      <w:pPr>
        <w:spacing w:lineRule="exact" w:line="1"/>
        <w:rPr>
          <w:sz w:val="2"/>
          <w:szCs w:val="2"/>
        </w:rPr>
      </w:pPr>
      <w:r>
        <w:br w:type="page"/>
      </w:r>
    </w:p>
    <w:tbl>
      <w:tblPr>
        <w:tblOverlap w:val="never"/>
        <w:jc w:val="center"/>
        <w:tblLayout w:type="fixed"/>
      </w:tblPr>
      <w:tblGrid>
        <w:gridCol w:w="3197"/>
        <w:gridCol w:w="6389"/>
      </w:tblGrid>
      <w:tr>
        <w:trPr>
          <w:trHeight w:val="989"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伏发电项目技术咨询；电力工程总承包及国际工程总承包（一般经营项目）。光伏 发电设备的制造、批发零售；机电设备的设计、制造及销售，新能源设备设施的 设计、制造及销售（许可经营项目）；经营进出口业务；物业管理。</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报告期内控股股东无变更。</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both"/>
      </w:pPr>
      <w:bookmarkStart w:id="23" w:name="bookmark23"/>
      <w:bookmarkStart w:id="24" w:name="bookmark24"/>
      <w:bookmarkStart w:id="25" w:name="bookmark25"/>
      <w:bookmarkStart w:id="26" w:name="bookmark26"/>
      <w:r>
        <w:rPr>
          <w:color w:val="000000"/>
          <w:spacing w:val="0"/>
          <w:w w:val="100"/>
          <w:position w:val="0"/>
        </w:rPr>
        <w:t>五</w:t>
      </w:r>
      <w:bookmarkEnd w:id="25"/>
      <w:r>
        <w:rPr>
          <w:color w:val="000000"/>
          <w:spacing w:val="0"/>
          <w:w w:val="100"/>
          <w:position w:val="0"/>
        </w:rPr>
        <w:t>、其他有关资料</w:t>
      </w:r>
      <w:bookmarkEnd w:id="23"/>
      <w:bookmarkEnd w:id="24"/>
      <w:bookmarkEnd w:id="26"/>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中兴财光华会计师事务所（特殊普通合伙）</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北京市西城区阜成门外大街</w:t>
            </w:r>
            <w:r>
              <w:rPr>
                <w:color w:val="000000"/>
                <w:spacing w:val="0"/>
                <w:w w:val="100"/>
                <w:position w:val="0"/>
                <w:sz w:val="18"/>
                <w:szCs w:val="18"/>
              </w:rPr>
              <w:t>2</w:t>
            </w:r>
            <w:r>
              <w:rPr>
                <w:rFonts w:ascii="SimSun" w:eastAsia="SimSun" w:hAnsi="SimSun" w:cs="SimSun"/>
                <w:color w:val="000000"/>
                <w:spacing w:val="0"/>
                <w:w w:val="100"/>
                <w:position w:val="0"/>
                <w:sz w:val="17"/>
                <w:szCs w:val="17"/>
              </w:rPr>
              <w:t>号万通新世界写字楼</w:t>
            </w:r>
            <w:r>
              <w:rPr>
                <w:color w:val="000000"/>
                <w:spacing w:val="0"/>
                <w:w w:val="100"/>
                <w:position w:val="0"/>
                <w:sz w:val="18"/>
                <w:szCs w:val="18"/>
              </w:rPr>
              <w:t>A</w:t>
            </w:r>
            <w:r>
              <w:rPr>
                <w:rFonts w:ascii="SimSun" w:eastAsia="SimSun" w:hAnsi="SimSun" w:cs="SimSun"/>
                <w:color w:val="000000"/>
                <w:spacing w:val="0"/>
                <w:w w:val="100"/>
                <w:position w:val="0"/>
                <w:sz w:val="17"/>
                <w:szCs w:val="17"/>
              </w:rPr>
              <w:t>座</w:t>
            </w:r>
            <w:r>
              <w:rPr>
                <w:color w:val="000000"/>
                <w:spacing w:val="0"/>
                <w:w w:val="100"/>
                <w:position w:val="0"/>
                <w:sz w:val="18"/>
                <w:szCs w:val="18"/>
              </w:rPr>
              <w:t>24</w:t>
            </w:r>
            <w:r>
              <w:rPr>
                <w:rFonts w:ascii="SimSun" w:eastAsia="SimSun" w:hAnsi="SimSun" w:cs="SimSun"/>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康利岩、王雅栋</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公司聘请的报告期内履行持续督导职责的保荐机构</w:t>
      </w:r>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573"/>
        <w:gridCol w:w="2213"/>
        <w:gridCol w:w="2400"/>
      </w:tblGrid>
      <w:tr>
        <w:trPr>
          <w:trHeight w:val="40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保荐机构名称</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保荐机构办公地址</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保荐代表人姓名</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持续督导期间</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中信证券华南股份有限公司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广州市天河区珠江西路</w:t>
            </w:r>
            <w:r>
              <w:rPr>
                <w:color w:val="000000"/>
                <w:spacing w:val="0"/>
                <w:w w:val="100"/>
                <w:position w:val="0"/>
                <w:sz w:val="18"/>
                <w:szCs w:val="18"/>
              </w:rPr>
              <w:t>5</w:t>
            </w:r>
            <w:r>
              <w:rPr>
                <w:rFonts w:ascii="SimSun" w:eastAsia="SimSun" w:hAnsi="SimSun" w:cs="SimSun"/>
                <w:color w:val="000000"/>
                <w:spacing w:val="0"/>
                <w:w w:val="100"/>
                <w:position w:val="0"/>
                <w:sz w:val="17"/>
                <w:szCs w:val="17"/>
              </w:rPr>
              <w:t>号广州 国际金融中心主塔</w:t>
            </w:r>
            <w:r>
              <w:rPr>
                <w:color w:val="000000"/>
                <w:spacing w:val="0"/>
                <w:w w:val="100"/>
                <w:position w:val="0"/>
                <w:sz w:val="18"/>
                <w:szCs w:val="18"/>
              </w:rPr>
              <w:t>19</w:t>
            </w:r>
            <w:r>
              <w:rPr>
                <w:rFonts w:ascii="SimSun" w:eastAsia="SimSun" w:hAnsi="SimSun" w:cs="SimSun"/>
                <w:color w:val="000000"/>
                <w:spacing w:val="0"/>
                <w:w w:val="100"/>
                <w:position w:val="0"/>
                <w:sz w:val="17"/>
                <w:szCs w:val="17"/>
              </w:rPr>
              <w:t>层、</w:t>
            </w:r>
            <w:r>
              <w:rPr>
                <w:color w:val="000000"/>
                <w:spacing w:val="0"/>
                <w:w w:val="100"/>
                <w:position w:val="0"/>
                <w:sz w:val="18"/>
                <w:szCs w:val="18"/>
              </w:rPr>
              <w:t>20</w:t>
            </w:r>
            <w:r>
              <w:rPr>
                <w:rFonts w:ascii="SimSun" w:eastAsia="SimSun" w:hAnsi="SimSun" w:cs="SimSun"/>
                <w:color w:val="000000"/>
                <w:spacing w:val="0"/>
                <w:w w:val="100"/>
                <w:position w:val="0"/>
                <w:sz w:val="17"/>
                <w:szCs w:val="17"/>
              </w:rPr>
              <w:t>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石建华、武建</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公司聘请的报告期内履行持续督导职责的财务顾问</w:t>
      </w:r>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both"/>
      </w:pPr>
      <w:bookmarkStart w:id="27" w:name="bookmark27"/>
      <w:bookmarkStart w:id="28" w:name="bookmark28"/>
      <w:bookmarkStart w:id="29" w:name="bookmark29"/>
      <w:bookmarkStart w:id="30" w:name="bookmark30"/>
      <w:r>
        <w:rPr>
          <w:color w:val="000000"/>
          <w:spacing w:val="0"/>
          <w:w w:val="100"/>
          <w:position w:val="0"/>
        </w:rPr>
        <w:t>六</w:t>
      </w:r>
      <w:bookmarkEnd w:id="29"/>
      <w:r>
        <w:rPr>
          <w:color w:val="000000"/>
          <w:spacing w:val="0"/>
          <w:w w:val="100"/>
          <w:position w:val="0"/>
        </w:rPr>
        <w:t>、主要会计数据和财务指标</w:t>
      </w:r>
      <w:bookmarkEnd w:id="27"/>
      <w:bookmarkEnd w:id="28"/>
      <w:bookmarkEnd w:id="30"/>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公司是否需追溯调整或重述以前年度会计数据</w:t>
      </w:r>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6,805,761,615.72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8,676,289,465.14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8,131,025,319.77</w:t>
            </w:r>
          </w:p>
        </w:tc>
      </w:tr>
      <w:tr>
        <w:trPr>
          <w:trHeight w:val="710"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-957,109,228.27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1,117,732,285.03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544,098,352.54</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-974,626,991.58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7,461,274.99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-13,162.47%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535,532,165.16</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580,380,937.26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-3,833,258,263.74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152,748,165.33</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0.4069</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0.4069</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30,987,232,190.53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34,423,044,803.15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28,903,531,696.82</w:t>
            </w:r>
          </w:p>
        </w:tc>
      </w:tr>
      <w:tr>
        <w:trPr>
          <w:trHeight w:val="720"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13,411,944,757.84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14,500,442,724.54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11,485,966,298.11</w:t>
            </w:r>
          </w:p>
        </w:tc>
      </w:tr>
    </w:tbl>
    <w:p>
      <w:pPr>
        <w:pStyle w:val="Style22"/>
        <w:keepNext/>
        <w:keepLines/>
        <w:widowControl w:val="0"/>
        <w:shd w:val="clear" w:color="auto" w:fill="auto"/>
        <w:bidi w:val="0"/>
        <w:spacing w:before="0" w:after="38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rPr>
        <w:t>七</w:t>
      </w:r>
      <w:bookmarkEnd w:id="33"/>
      <w:r>
        <w:rPr>
          <w:color w:val="000000"/>
          <w:spacing w:val="0"/>
          <w:w w:val="100"/>
          <w:position w:val="0"/>
        </w:rPr>
        <w:t>、境内外会计准则下会计数据差异</w:t>
      </w:r>
      <w:bookmarkEnd w:id="31"/>
      <w:bookmarkEnd w:id="32"/>
      <w:bookmarkEnd w:id="34"/>
    </w:p>
    <w:p>
      <w:pPr>
        <w:pStyle w:val="Style30"/>
        <w:keepNext/>
        <w:keepLines/>
        <w:widowControl w:val="0"/>
        <w:shd w:val="clear" w:color="auto" w:fill="auto"/>
        <w:tabs>
          <w:tab w:pos="368" w:val="left"/>
        </w:tabs>
        <w:bidi w:val="0"/>
        <w:spacing w:before="0" w:after="380" w:line="240" w:lineRule="auto"/>
        <w:ind w:left="0" w:right="0" w:firstLine="0"/>
        <w:jc w:val="both"/>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tabs>
          <w:tab w:pos="378" w:val="left"/>
        </w:tabs>
        <w:bidi w:val="0"/>
        <w:spacing w:before="0" w:after="38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bidi w:val="0"/>
        <w:spacing w:before="0" w:after="380" w:line="240" w:lineRule="auto"/>
        <w:ind w:left="0" w:right="0" w:firstLine="0"/>
        <w:jc w:val="both"/>
      </w:pPr>
      <w:bookmarkStart w:id="43" w:name="bookmark43"/>
      <w:bookmarkStart w:id="44" w:name="bookmark44"/>
      <w:bookmarkStart w:id="45" w:name="bookmark45"/>
      <w:bookmarkStart w:id="46" w:name="bookmark46"/>
      <w:r>
        <w:rPr>
          <w:color w:val="000000"/>
          <w:spacing w:val="0"/>
          <w:w w:val="100"/>
          <w:position w:val="0"/>
        </w:rPr>
        <w:t>八</w:t>
      </w:r>
      <w:bookmarkEnd w:id="45"/>
      <w:r>
        <w:rPr>
          <w:color w:val="000000"/>
          <w:spacing w:val="0"/>
          <w:w w:val="100"/>
          <w:position w:val="0"/>
        </w:rPr>
        <w:t>、分季度主要财务指标</w:t>
      </w:r>
      <w:bookmarkEnd w:id="43"/>
      <w:bookmarkEnd w:id="44"/>
      <w:bookmarkEnd w:id="46"/>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2,224,208,736.59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3,008,462,086.86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1,156,245,375.15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416,845,417.12</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18,647,194.28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74,061,358.44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-19,039,201.65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-1,030,778,579.34</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-48,004,683.02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63,630,403.45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-19,555,070.10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-970,697,641.91</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242,212,093.51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1,607,062,841.61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-398,295,758.19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pPr>
            <w:r>
              <w:rPr>
                <w:color w:val="000000"/>
                <w:spacing w:val="0"/>
                <w:w w:val="100"/>
                <w:position w:val="0"/>
              </w:rPr>
              <w:t>-870,598,239.67</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bidi w:val="0"/>
        <w:spacing w:before="0" w:after="38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rPr>
        <w:t>九</w:t>
      </w:r>
      <w:bookmarkEnd w:id="49"/>
      <w:r>
        <w:rPr>
          <w:color w:val="000000"/>
          <w:spacing w:val="0"/>
          <w:w w:val="100"/>
          <w:position w:val="0"/>
        </w:rPr>
        <w:t>、非经常性损益项目及金额</w:t>
      </w:r>
      <w:bookmarkEnd w:id="47"/>
      <w:bookmarkEnd w:id="48"/>
      <w:bookmarkEnd w:id="50"/>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93,132,421.76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1,335,480,709.68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-5,950,777.86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因剥离物流公司产生 的投资收益</w:t>
            </w: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31,067,801.48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14,855,149.33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8,381,018.35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因公司能源环保业务 属于国家鼓励方向而 收到的政府补助</w:t>
            </w:r>
          </w:p>
        </w:tc>
      </w:tr>
      <w:tr>
        <w:trPr>
          <w:trHeight w:val="710"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50,383,760.38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2,073,810.92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693,131.59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131,568.83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单独进行减值测试的应收款项、合同资产 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-109,799,032.90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-5,591,554.24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11,443,894.41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公益性对外捐赠支出</w:t>
            </w: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及借款违约金的影响</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6,985,779.29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1,271,284.65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294,264,629.07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6,420,141.35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-2,314,046.70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871,336.92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17,517,763.31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1,110,271,010.04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8,566,187.38</w:t>
            </w:r>
          </w:p>
        </w:tc>
        <w:tc>
          <w:tcPr>
            <w:tcBorders>
              <w:top w:val="single" w:sz="4"/>
              <w:left w:val="single" w:sz="4"/>
              <w:bottom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非经常性损益》中列举的非经常性损益项目界定为经常性损益的项目，应 说明原因</w:t>
      </w:r>
    </w:p>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40" w:bottom="1590" w:left="1073"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非经常性损益》定义、列举的非经常性损益 项目界定为经常性损益的项目的情形。</w:t>
      </w:r>
    </w:p>
    <w:p>
      <w:pPr>
        <w:pStyle w:val="Style10"/>
        <w:keepNext/>
        <w:keepLines/>
        <w:widowControl w:val="0"/>
        <w:shd w:val="clear" w:color="auto" w:fill="auto"/>
        <w:bidi w:val="0"/>
        <w:spacing w:before="580" w:after="58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2"/>
        <w:keepNext/>
        <w:keepLines/>
        <w:widowControl w:val="0"/>
        <w:shd w:val="clear" w:color="auto" w:fill="auto"/>
        <w:bidi w:val="0"/>
        <w:spacing w:before="0" w:after="22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rPr>
        <w:t>一</w:t>
      </w:r>
      <w:bookmarkEnd w:id="57"/>
      <w:r>
        <w:rPr>
          <w:color w:val="000000"/>
          <w:spacing w:val="0"/>
          <w:w w:val="100"/>
          <w:position w:val="0"/>
        </w:rPr>
        <w:t>、报告期内公司从事的主要业务</w:t>
      </w:r>
      <w:bookmarkEnd w:id="55"/>
      <w:bookmarkEnd w:id="56"/>
      <w:bookmarkEnd w:id="58"/>
      <w:bookmarkEnd w:id="54"/>
    </w:p>
    <w:p>
      <w:pPr>
        <w:pStyle w:val="Style3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公司多年来紧跟国家战略，深耕绿色产业，坚持整合与创新，持续推进</w:t>
      </w:r>
      <w:r>
        <w:rPr>
          <w:rFonts w:ascii="Times New Roman" w:eastAsia="Times New Roman" w:hAnsi="Times New Roman" w:cs="Times New Roman"/>
          <w:color w:val="000000"/>
          <w:spacing w:val="0"/>
          <w:w w:val="100"/>
          <w:position w:val="0"/>
        </w:rPr>
        <w:t>“</w:t>
      </w:r>
      <w:r>
        <w:rPr>
          <w:color w:val="000000"/>
          <w:spacing w:val="0"/>
          <w:w w:val="100"/>
          <w:position w:val="0"/>
        </w:rPr>
        <w:t>智慧能源</w:t>
      </w:r>
      <w:r>
        <w:rPr>
          <w:rFonts w:ascii="Times New Roman" w:eastAsia="Times New Roman" w:hAnsi="Times New Roman" w:cs="Times New Roman"/>
          <w:color w:val="000000"/>
          <w:spacing w:val="0"/>
          <w:w w:val="100"/>
          <w:position w:val="0"/>
        </w:rPr>
        <w:t>+</w:t>
      </w:r>
      <w:r>
        <w:rPr>
          <w:color w:val="000000"/>
          <w:spacing w:val="0"/>
          <w:w w:val="100"/>
          <w:position w:val="0"/>
        </w:rPr>
        <w:t>环保治理</w:t>
      </w:r>
      <w:r>
        <w:rPr>
          <w:rFonts w:ascii="Times New Roman" w:eastAsia="Times New Roman" w:hAnsi="Times New Roman" w:cs="Times New Roman"/>
          <w:color w:val="000000"/>
          <w:spacing w:val="0"/>
          <w:w w:val="100"/>
          <w:position w:val="0"/>
        </w:rPr>
        <w:t>”</w:t>
      </w:r>
      <w:r>
        <w:rPr>
          <w:color w:val="000000"/>
          <w:spacing w:val="0"/>
          <w:w w:val="100"/>
          <w:position w:val="0"/>
        </w:rPr>
        <w:t>的发展 模式，致力于成为国内领先的环保新能源综合服务商。</w:t>
      </w:r>
    </w:p>
    <w:p>
      <w:pPr>
        <w:pStyle w:val="Style33"/>
        <w:keepNext w:val="0"/>
        <w:keepLines w:val="0"/>
        <w:widowControl w:val="0"/>
        <w:shd w:val="clear" w:color="auto" w:fill="auto"/>
        <w:bidi w:val="0"/>
        <w:spacing w:before="0" w:after="0" w:line="466" w:lineRule="exact"/>
        <w:ind w:left="0" w:right="0" w:firstLine="440"/>
        <w:jc w:val="both"/>
      </w:pPr>
      <w:bookmarkStart w:id="59" w:name="bookmark59"/>
      <w:r>
        <w:rPr>
          <w:rFonts w:ascii="Times New Roman" w:eastAsia="Times New Roman" w:hAnsi="Times New Roman" w:cs="Times New Roman"/>
          <w:color w:val="000000"/>
          <w:spacing w:val="0"/>
          <w:w w:val="100"/>
          <w:position w:val="0"/>
        </w:rPr>
        <w:t>（</w:t>
      </w:r>
      <w:bookmarkEnd w:id="59"/>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公司所处的行业宏观形势、政策等情况</w:t>
      </w:r>
    </w:p>
    <w:p>
      <w:pPr>
        <w:pStyle w:val="Style33"/>
        <w:keepNext w:val="0"/>
        <w:keepLines w:val="0"/>
        <w:widowControl w:val="0"/>
        <w:shd w:val="clear" w:color="auto" w:fill="auto"/>
        <w:bidi w:val="0"/>
        <w:spacing w:before="0" w:after="220" w:line="466"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年，国内经济运行面临风险挑战较多，企业投资生产趋于谨慎，制造业投资和民间投资增长有所 放缓，外需减弱对出口增长形成压力，经济下行压力持续加大。面对复杂严峻的国内外环境、面对诸多风 险与挑战，中国经济在抵御下行压力中显现韧性和潜力，保持了总体平稳、稳中有进态势，经济增长保持 在合理区间，全年</w:t>
      </w:r>
      <w:r>
        <w:rPr>
          <w:rFonts w:ascii="Times New Roman" w:eastAsia="Times New Roman" w:hAnsi="Times New Roman" w:cs="Times New Roman"/>
          <w:color w:val="000000"/>
          <w:spacing w:val="0"/>
          <w:w w:val="100"/>
          <w:position w:val="0"/>
        </w:rPr>
        <w:t>GDP</w:t>
      </w:r>
      <w:r>
        <w:rPr>
          <w:color w:val="000000"/>
          <w:spacing w:val="0"/>
          <w:w w:val="100"/>
          <w:position w:val="0"/>
        </w:rPr>
        <w:t>增速稳定在</w:t>
      </w:r>
      <w:r>
        <w:rPr>
          <w:rFonts w:ascii="Times New Roman" w:eastAsia="Times New Roman" w:hAnsi="Times New Roman" w:cs="Times New Roman"/>
          <w:color w:val="000000"/>
          <w:spacing w:val="0"/>
          <w:w w:val="100"/>
          <w:position w:val="0"/>
        </w:rPr>
        <w:t>6.1%</w:t>
      </w:r>
      <w:r>
        <w:rPr>
          <w:color w:val="000000"/>
          <w:spacing w:val="0"/>
          <w:w w:val="100"/>
          <w:position w:val="0"/>
        </w:rPr>
        <w:t>，居民收入增长与经济增长基本同步主要指标符合预期。</w:t>
      </w:r>
    </w:p>
    <w:p>
      <w:pPr>
        <w:pStyle w:val="Style33"/>
        <w:keepNext w:val="0"/>
        <w:keepLines w:val="0"/>
        <w:widowControl w:val="0"/>
        <w:shd w:val="clear" w:color="auto" w:fill="auto"/>
        <w:bidi w:val="0"/>
        <w:spacing w:before="0" w:after="0"/>
        <w:ind w:left="0" w:right="0" w:firstLine="440"/>
        <w:jc w:val="both"/>
      </w:pPr>
      <w:bookmarkStart w:id="60" w:name="bookmark60"/>
      <w:r>
        <w:rPr>
          <w:rFonts w:ascii="Times New Roman" w:eastAsia="Times New Roman" w:hAnsi="Times New Roman" w:cs="Times New Roman"/>
          <w:color w:val="000000"/>
          <w:spacing w:val="0"/>
          <w:w w:val="100"/>
          <w:position w:val="0"/>
        </w:rPr>
        <w:t>1</w:t>
      </w:r>
      <w:bookmarkEnd w:id="60"/>
      <w:r>
        <w:rPr>
          <w:color w:val="000000"/>
          <w:spacing w:val="0"/>
          <w:w w:val="100"/>
          <w:position w:val="0"/>
        </w:rPr>
        <w:t>、新能源行业</w:t>
      </w:r>
    </w:p>
    <w:p>
      <w:pPr>
        <w:pStyle w:val="Style33"/>
        <w:keepNext w:val="0"/>
        <w:keepLines w:val="0"/>
        <w:widowControl w:val="0"/>
        <w:shd w:val="clear" w:color="auto" w:fill="auto"/>
        <w:bidi w:val="0"/>
        <w:spacing w:before="0" w:after="0" w:line="466"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年，我国新能源产业保持稳步发展态势。在政策调整下，国内光伏新增装机量有所下滑，但受益 于海外市场增长，我国光伏产业规模稳步扩大，技术创新不断推进，出口增速不断提升。当前，能源转型 成为全球发展趋势，电力生产持续向绿色低碳转变。我国新能源正处于实现跨越式发展的基础期和转向</w:t>
      </w:r>
      <w:r>
        <w:rPr>
          <w:rFonts w:ascii="Times New Roman" w:eastAsia="Times New Roman" w:hAnsi="Times New Roman" w:cs="Times New Roman"/>
          <w:color w:val="000000"/>
          <w:spacing w:val="0"/>
          <w:w w:val="100"/>
          <w:position w:val="0"/>
        </w:rPr>
        <w:t>“</w:t>
      </w:r>
      <w:r>
        <w:rPr>
          <w:color w:val="000000"/>
          <w:spacing w:val="0"/>
          <w:w w:val="100"/>
          <w:position w:val="0"/>
        </w:rPr>
        <w:t>平 价''的关键期。</w:t>
      </w:r>
      <w:r>
        <w:rPr>
          <w:rFonts w:ascii="Times New Roman" w:eastAsia="Times New Roman" w:hAnsi="Times New Roman" w:cs="Times New Roman"/>
          <w:color w:val="000000"/>
          <w:spacing w:val="0"/>
          <w:w w:val="100"/>
          <w:position w:val="0"/>
        </w:rPr>
        <w:t>2019</w:t>
      </w:r>
      <w:r>
        <w:rPr>
          <w:color w:val="000000"/>
          <w:spacing w:val="0"/>
          <w:w w:val="100"/>
          <w:position w:val="0"/>
        </w:rPr>
        <w:t>年，我国以光伏、风电为代表的新能源产业继续保持平稳有序发展，并依靠技术进步 推动降本增效，不断向平价上网目标迈进。</w:t>
      </w:r>
    </w:p>
    <w:p>
      <w:pPr>
        <w:pStyle w:val="Style33"/>
        <w:keepNext w:val="0"/>
        <w:keepLines w:val="0"/>
        <w:widowControl w:val="0"/>
        <w:shd w:val="clear" w:color="auto" w:fill="auto"/>
        <w:bidi w:val="0"/>
        <w:spacing w:before="0" w:after="0" w:line="466"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年新能源产业总体发展情况</w:t>
      </w:r>
    </w:p>
    <w:p>
      <w:pPr>
        <w:pStyle w:val="Style33"/>
        <w:keepNext w:val="0"/>
        <w:keepLines w:val="0"/>
        <w:widowControl w:val="0"/>
        <w:shd w:val="clear" w:color="auto" w:fill="auto"/>
        <w:tabs>
          <w:tab w:pos="987" w:val="left"/>
        </w:tabs>
        <w:bidi w:val="0"/>
        <w:spacing w:before="0" w:after="0" w:line="466" w:lineRule="exact"/>
        <w:ind w:left="0" w:right="0" w:firstLine="440"/>
        <w:jc w:val="both"/>
      </w:pPr>
      <w:bookmarkStart w:id="61" w:name="bookmark61"/>
      <w:r>
        <w:rPr>
          <w:color w:val="000000"/>
          <w:spacing w:val="0"/>
          <w:w w:val="100"/>
          <w:position w:val="0"/>
        </w:rPr>
        <w:t>（</w:t>
      </w:r>
      <w:bookmarkEnd w:id="61"/>
      <w:r>
        <w:rPr>
          <w:rFonts w:ascii="Times New Roman" w:eastAsia="Times New Roman" w:hAnsi="Times New Roman" w:cs="Times New Roman"/>
          <w:color w:val="000000"/>
          <w:spacing w:val="0"/>
          <w:w w:val="100"/>
          <w:position w:val="0"/>
        </w:rPr>
        <w:t>1</w:t>
      </w:r>
      <w:r>
        <w:rPr>
          <w:color w:val="000000"/>
          <w:spacing w:val="0"/>
          <w:w w:val="100"/>
          <w:position w:val="0"/>
        </w:rPr>
        <w:t>）</w:t>
        <w:tab/>
        <w:t>风电开发</w:t>
      </w:r>
      <w:r>
        <w:rPr>
          <w:rFonts w:ascii="Times New Roman" w:eastAsia="Times New Roman" w:hAnsi="Times New Roman" w:cs="Times New Roman"/>
          <w:color w:val="000000"/>
          <w:spacing w:val="0"/>
          <w:w w:val="100"/>
          <w:position w:val="0"/>
        </w:rPr>
        <w:t>“</w:t>
      </w:r>
      <w:r>
        <w:rPr>
          <w:color w:val="000000"/>
          <w:spacing w:val="0"/>
          <w:w w:val="100"/>
          <w:position w:val="0"/>
        </w:rPr>
        <w:t>稳中有进</w:t>
      </w:r>
      <w:r>
        <w:rPr>
          <w:rFonts w:ascii="Times New Roman" w:eastAsia="Times New Roman" w:hAnsi="Times New Roman" w:cs="Times New Roman"/>
          <w:color w:val="000000"/>
          <w:spacing w:val="0"/>
          <w:w w:val="100"/>
          <w:position w:val="0"/>
        </w:rPr>
        <w:t>”</w:t>
      </w:r>
      <w:r>
        <w:rPr>
          <w:color w:val="000000"/>
          <w:spacing w:val="0"/>
          <w:w w:val="100"/>
          <w:position w:val="0"/>
        </w:rPr>
        <w:t>，海上风电和分散式风电稳步发展。</w:t>
      </w:r>
      <w:r>
        <w:rPr>
          <w:rFonts w:ascii="Times New Roman" w:eastAsia="Times New Roman" w:hAnsi="Times New Roman" w:cs="Times New Roman"/>
          <w:color w:val="000000"/>
          <w:spacing w:val="0"/>
          <w:w w:val="100"/>
          <w:position w:val="0"/>
        </w:rPr>
        <w:t>2006</w:t>
      </w:r>
      <w:r>
        <w:rPr>
          <w:color w:val="000000"/>
          <w:spacing w:val="0"/>
          <w:w w:val="100"/>
          <w:position w:val="0"/>
        </w:rPr>
        <w:t>年《可再生能源法》颁布以来，特 别是</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时期，我国风电行业快速发展，为国家能源结构调整、经济转型升级和应对气候变化做出了 积极贡献。</w:t>
      </w:r>
      <w:r>
        <w:rPr>
          <w:rFonts w:ascii="Times New Roman" w:eastAsia="Times New Roman" w:hAnsi="Times New Roman" w:cs="Times New Roman"/>
          <w:color w:val="000000"/>
          <w:spacing w:val="0"/>
          <w:w w:val="100"/>
          <w:position w:val="0"/>
        </w:rPr>
        <w:t>2019</w:t>
      </w:r>
      <w:r>
        <w:rPr>
          <w:color w:val="000000"/>
          <w:spacing w:val="0"/>
          <w:w w:val="100"/>
          <w:position w:val="0"/>
        </w:rPr>
        <w:t>年，我国风电行业保持了平稳发展态势。根据国家能源局的行业统计数据，到</w:t>
      </w:r>
      <w:r>
        <w:rPr>
          <w:rFonts w:ascii="Times New Roman" w:eastAsia="Times New Roman" w:hAnsi="Times New Roman" w:cs="Times New Roman"/>
          <w:color w:val="000000"/>
          <w:spacing w:val="0"/>
          <w:w w:val="100"/>
          <w:position w:val="0"/>
        </w:rPr>
        <w:t>2019</w:t>
      </w:r>
      <w:r>
        <w:rPr>
          <w:color w:val="000000"/>
          <w:spacing w:val="0"/>
          <w:w w:val="100"/>
          <w:position w:val="0"/>
        </w:rPr>
        <w:t>年底， 全国风电累计装机</w:t>
      </w:r>
      <w:r>
        <w:rPr>
          <w:rFonts w:ascii="Times New Roman" w:eastAsia="Times New Roman" w:hAnsi="Times New Roman" w:cs="Times New Roman"/>
          <w:color w:val="000000"/>
          <w:spacing w:val="0"/>
          <w:w w:val="100"/>
          <w:position w:val="0"/>
        </w:rPr>
        <w:t>2.1</w:t>
      </w:r>
      <w:r>
        <w:rPr>
          <w:color w:val="000000"/>
          <w:spacing w:val="0"/>
          <w:w w:val="100"/>
          <w:position w:val="0"/>
        </w:rPr>
        <w:t>亿千瓦，其中陆上风电累计装机</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.04</w:t>
      </w:r>
      <w:r>
        <w:rPr>
          <w:color w:val="000000"/>
          <w:spacing w:val="0"/>
          <w:w w:val="100"/>
          <w:position w:val="0"/>
        </w:rPr>
        <w:t>亿千瓦、海上风电累计装机</w:t>
      </w:r>
      <w:r>
        <w:rPr>
          <w:rFonts w:ascii="Times New Roman" w:eastAsia="Times New Roman" w:hAnsi="Times New Roman" w:cs="Times New Roman"/>
          <w:color w:val="000000"/>
          <w:spacing w:val="0"/>
          <w:w w:val="100"/>
          <w:position w:val="0"/>
        </w:rPr>
        <w:t>593</w:t>
      </w:r>
      <w:r>
        <w:rPr>
          <w:color w:val="000000"/>
          <w:spacing w:val="0"/>
          <w:w w:val="100"/>
          <w:position w:val="0"/>
        </w:rPr>
        <w:t>万千瓦，风电装 机占全部发电装机的</w:t>
      </w:r>
      <w:r>
        <w:rPr>
          <w:rFonts w:ascii="Times New Roman" w:eastAsia="Times New Roman" w:hAnsi="Times New Roman" w:cs="Times New Roman"/>
          <w:color w:val="000000"/>
          <w:spacing w:val="0"/>
          <w:w w:val="100"/>
          <w:position w:val="0"/>
        </w:rPr>
        <w:t>10.4%</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年风电发电量</w:t>
      </w:r>
      <w:r>
        <w:rPr>
          <w:rFonts w:ascii="Times New Roman" w:eastAsia="Times New Roman" w:hAnsi="Times New Roman" w:cs="Times New Roman"/>
          <w:color w:val="000000"/>
          <w:spacing w:val="0"/>
          <w:w w:val="100"/>
          <w:position w:val="0"/>
        </w:rPr>
        <w:t>4057</w:t>
      </w:r>
      <w:r>
        <w:rPr>
          <w:color w:val="000000"/>
          <w:spacing w:val="0"/>
          <w:w w:val="100"/>
          <w:position w:val="0"/>
        </w:rPr>
        <w:t>亿千瓦时，首次突破</w:t>
      </w:r>
      <w:r>
        <w:rPr>
          <w:rFonts w:ascii="Times New Roman" w:eastAsia="Times New Roman" w:hAnsi="Times New Roman" w:cs="Times New Roman"/>
          <w:color w:val="000000"/>
          <w:spacing w:val="0"/>
          <w:w w:val="100"/>
          <w:position w:val="0"/>
        </w:rPr>
        <w:t>4000</w:t>
      </w:r>
      <w:r>
        <w:rPr>
          <w:color w:val="000000"/>
          <w:spacing w:val="0"/>
          <w:w w:val="100"/>
          <w:position w:val="0"/>
        </w:rPr>
        <w:t xml:space="preserve">亿千瓦时，占全部发电量的 </w:t>
      </w:r>
      <w:r>
        <w:rPr>
          <w:rFonts w:ascii="Times New Roman" w:eastAsia="Times New Roman" w:hAnsi="Times New Roman" w:cs="Times New Roman"/>
          <w:color w:val="000000"/>
          <w:spacing w:val="0"/>
          <w:w w:val="100"/>
          <w:position w:val="0"/>
        </w:rPr>
        <w:t>5.5%</w:t>
      </w:r>
      <w:r>
        <w:rPr>
          <w:color w:val="000000"/>
          <w:spacing w:val="0"/>
          <w:w w:val="100"/>
          <w:position w:val="0"/>
        </w:rPr>
        <w:t>。</w:t>
      </w:r>
    </w:p>
    <w:p>
      <w:pPr>
        <w:pStyle w:val="Style33"/>
        <w:keepNext w:val="0"/>
        <w:keepLines w:val="0"/>
        <w:widowControl w:val="0"/>
        <w:shd w:val="clear" w:color="auto" w:fill="auto"/>
        <w:tabs>
          <w:tab w:pos="894" w:val="left"/>
        </w:tabs>
        <w:bidi w:val="0"/>
        <w:spacing w:before="0" w:after="0" w:line="466" w:lineRule="exact"/>
        <w:ind w:left="0" w:right="0" w:firstLine="440"/>
        <w:jc w:val="both"/>
      </w:pPr>
      <w:bookmarkStart w:id="62" w:name="bookmark62"/>
      <w:r>
        <w:rPr>
          <w:color w:val="000000"/>
          <w:spacing w:val="0"/>
          <w:w w:val="100"/>
          <w:position w:val="0"/>
        </w:rPr>
        <w:t>（</w:t>
      </w:r>
      <w:bookmarkEnd w:id="62"/>
      <w:r>
        <w:rPr>
          <w:rFonts w:ascii="Times New Roman" w:eastAsia="Times New Roman" w:hAnsi="Times New Roman" w:cs="Times New Roman"/>
          <w:color w:val="000000"/>
          <w:spacing w:val="0"/>
          <w:w w:val="100"/>
          <w:position w:val="0"/>
        </w:rPr>
        <w:t>2</w:t>
      </w:r>
      <w:r>
        <w:rPr>
          <w:color w:val="000000"/>
          <w:spacing w:val="0"/>
          <w:w w:val="100"/>
          <w:position w:val="0"/>
        </w:rPr>
        <w:t>）</w:t>
        <w:tab/>
        <w:t>光伏产业链各环节稳步发展，新增装机量下滑</w:t>
      </w:r>
    </w:p>
    <w:p>
      <w:pPr>
        <w:pStyle w:val="Style33"/>
        <w:keepNext w:val="0"/>
        <w:keepLines w:val="0"/>
        <w:widowControl w:val="0"/>
        <w:shd w:val="clear" w:color="auto" w:fill="auto"/>
        <w:bidi w:val="0"/>
        <w:spacing w:before="0" w:after="0" w:line="466"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年受政策影响，我国光伏市场出现了震荡，在全球市场的拉动下，光伏产业规模总体继续保持增 长态势，分布式光伏占比首超集中式。根据国家能源局统计的</w:t>
      </w:r>
      <w:r>
        <w:rPr>
          <w:rFonts w:ascii="Times New Roman" w:eastAsia="Times New Roman" w:hAnsi="Times New Roman" w:cs="Times New Roman"/>
          <w:color w:val="000000"/>
          <w:spacing w:val="0"/>
          <w:w w:val="100"/>
          <w:position w:val="0"/>
        </w:rPr>
        <w:t>2019</w:t>
      </w:r>
      <w:r>
        <w:rPr>
          <w:color w:val="000000"/>
          <w:spacing w:val="0"/>
          <w:w w:val="100"/>
          <w:position w:val="0"/>
        </w:rPr>
        <w:t>年光伏发电并网运行情况，</w:t>
      </w:r>
      <w:r>
        <w:rPr>
          <w:rFonts w:ascii="Times New Roman" w:eastAsia="Times New Roman" w:hAnsi="Times New Roman" w:cs="Times New Roman"/>
          <w:color w:val="000000"/>
          <w:spacing w:val="0"/>
          <w:w w:val="100"/>
          <w:position w:val="0"/>
        </w:rPr>
        <w:t>2019</w:t>
      </w:r>
      <w:r>
        <w:rPr>
          <w:color w:val="000000"/>
          <w:spacing w:val="0"/>
          <w:w w:val="100"/>
          <w:position w:val="0"/>
        </w:rPr>
        <w:t>年全国 新增光伏发电装机</w:t>
      </w:r>
      <w:r>
        <w:rPr>
          <w:rFonts w:ascii="Times New Roman" w:eastAsia="Times New Roman" w:hAnsi="Times New Roman" w:cs="Times New Roman"/>
          <w:color w:val="000000"/>
          <w:spacing w:val="0"/>
          <w:w w:val="100"/>
          <w:position w:val="0"/>
        </w:rPr>
        <w:t>3011</w:t>
      </w:r>
      <w:r>
        <w:rPr>
          <w:color w:val="000000"/>
          <w:spacing w:val="0"/>
          <w:w w:val="100"/>
          <w:position w:val="0"/>
        </w:rPr>
        <w:t>万千瓦，同比下降</w:t>
      </w:r>
      <w:r>
        <w:rPr>
          <w:rFonts w:ascii="Times New Roman" w:eastAsia="Times New Roman" w:hAnsi="Times New Roman" w:cs="Times New Roman"/>
          <w:color w:val="000000"/>
          <w:spacing w:val="0"/>
          <w:w w:val="100"/>
          <w:position w:val="0"/>
        </w:rPr>
        <w:t>31.6%</w:t>
      </w:r>
      <w:r>
        <w:rPr>
          <w:color w:val="000000"/>
          <w:spacing w:val="0"/>
          <w:w w:val="100"/>
          <w:position w:val="0"/>
        </w:rPr>
        <w:t>，其中集中式光伏新增装机</w:t>
      </w:r>
      <w:r>
        <w:rPr>
          <w:rFonts w:ascii="Times New Roman" w:eastAsia="Times New Roman" w:hAnsi="Times New Roman" w:cs="Times New Roman"/>
          <w:color w:val="000000"/>
          <w:spacing w:val="0"/>
          <w:w w:val="100"/>
          <w:position w:val="0"/>
        </w:rPr>
        <w:t>1791</w:t>
      </w:r>
      <w:r>
        <w:rPr>
          <w:color w:val="000000"/>
          <w:spacing w:val="0"/>
          <w:w w:val="100"/>
          <w:position w:val="0"/>
        </w:rPr>
        <w:t>万千瓦，同比减少</w:t>
      </w:r>
      <w:r>
        <w:rPr>
          <w:rFonts w:ascii="Times New Roman" w:eastAsia="Times New Roman" w:hAnsi="Times New Roman" w:cs="Times New Roman"/>
          <w:color w:val="000000"/>
          <w:spacing w:val="0"/>
          <w:w w:val="100"/>
          <w:position w:val="0"/>
        </w:rPr>
        <w:t>22.9%</w:t>
      </w:r>
      <w:r>
        <w:rPr>
          <w:color w:val="000000"/>
          <w:spacing w:val="0"/>
          <w:w w:val="100"/>
          <w:position w:val="0"/>
        </w:rPr>
        <w:t>； 分布式光伏新增装机</w:t>
      </w:r>
      <w:r>
        <w:rPr>
          <w:rFonts w:ascii="Times New Roman" w:eastAsia="Times New Roman" w:hAnsi="Times New Roman" w:cs="Times New Roman"/>
          <w:color w:val="000000"/>
          <w:spacing w:val="0"/>
          <w:w w:val="100"/>
          <w:position w:val="0"/>
        </w:rPr>
        <w:t>1220</w:t>
      </w:r>
      <w:r>
        <w:rPr>
          <w:color w:val="000000"/>
          <w:spacing w:val="0"/>
          <w:w w:val="100"/>
          <w:position w:val="0"/>
        </w:rPr>
        <w:t>万千瓦，同比增长</w:t>
      </w:r>
      <w:r>
        <w:rPr>
          <w:rFonts w:ascii="Times New Roman" w:eastAsia="Times New Roman" w:hAnsi="Times New Roman" w:cs="Times New Roman"/>
          <w:color w:val="000000"/>
          <w:spacing w:val="0"/>
          <w:w w:val="100"/>
          <w:position w:val="0"/>
        </w:rPr>
        <w:t>41.3%</w:t>
      </w:r>
      <w:r>
        <w:rPr>
          <w:color w:val="000000"/>
          <w:spacing w:val="0"/>
          <w:w w:val="100"/>
          <w:position w:val="0"/>
        </w:rPr>
        <w:t>。光伏发电累计装机达到</w:t>
      </w:r>
      <w:r>
        <w:rPr>
          <w:rFonts w:ascii="Times New Roman" w:eastAsia="Times New Roman" w:hAnsi="Times New Roman" w:cs="Times New Roman"/>
          <w:color w:val="000000"/>
          <w:spacing w:val="0"/>
          <w:w w:val="100"/>
          <w:position w:val="0"/>
        </w:rPr>
        <w:t>20430</w:t>
      </w:r>
      <w:r>
        <w:rPr>
          <w:color w:val="000000"/>
          <w:spacing w:val="0"/>
          <w:w w:val="100"/>
          <w:position w:val="0"/>
        </w:rPr>
        <w:t>万千瓦，同比增长</w:t>
      </w:r>
      <w:r>
        <w:rPr>
          <w:rFonts w:ascii="Times New Roman" w:eastAsia="Times New Roman" w:hAnsi="Times New Roman" w:cs="Times New Roman"/>
          <w:color w:val="000000"/>
          <w:spacing w:val="0"/>
          <w:w w:val="100"/>
          <w:position w:val="0"/>
        </w:rPr>
        <w:t>17.3%</w:t>
      </w:r>
      <w:r>
        <w:rPr>
          <w:color w:val="000000"/>
          <w:spacing w:val="0"/>
          <w:w w:val="100"/>
          <w:position w:val="0"/>
        </w:rPr>
        <w:t xml:space="preserve">， </w:t>
      </w:r>
      <w:r>
        <w:rPr>
          <w:color w:val="000000"/>
          <w:spacing w:val="0"/>
          <w:w w:val="100"/>
          <w:position w:val="0"/>
        </w:rPr>
        <w:t>其中集中式光伏</w:t>
      </w:r>
      <w:r>
        <w:rPr>
          <w:rFonts w:ascii="Times New Roman" w:eastAsia="Times New Roman" w:hAnsi="Times New Roman" w:cs="Times New Roman"/>
          <w:color w:val="000000"/>
          <w:spacing w:val="0"/>
          <w:w w:val="100"/>
          <w:position w:val="0"/>
        </w:rPr>
        <w:t>14167</w:t>
      </w:r>
      <w:r>
        <w:rPr>
          <w:color w:val="000000"/>
          <w:spacing w:val="0"/>
          <w:w w:val="100"/>
          <w:position w:val="0"/>
        </w:rPr>
        <w:t>万千瓦，同比增长</w:t>
      </w:r>
      <w:r>
        <w:rPr>
          <w:rFonts w:ascii="Times New Roman" w:eastAsia="Times New Roman" w:hAnsi="Times New Roman" w:cs="Times New Roman"/>
          <w:color w:val="000000"/>
          <w:spacing w:val="0"/>
          <w:w w:val="100"/>
          <w:position w:val="0"/>
        </w:rPr>
        <w:t>14.5%</w:t>
      </w:r>
      <w:r>
        <w:rPr>
          <w:color w:val="000000"/>
          <w:spacing w:val="0"/>
          <w:w w:val="100"/>
          <w:position w:val="0"/>
        </w:rPr>
        <w:t>；分布式光伏</w:t>
      </w:r>
      <w:r>
        <w:rPr>
          <w:rFonts w:ascii="Times New Roman" w:eastAsia="Times New Roman" w:hAnsi="Times New Roman" w:cs="Times New Roman"/>
          <w:color w:val="000000"/>
          <w:spacing w:val="0"/>
          <w:w w:val="100"/>
          <w:position w:val="0"/>
        </w:rPr>
        <w:t>6263</w:t>
      </w:r>
      <w:r>
        <w:rPr>
          <w:color w:val="000000"/>
          <w:spacing w:val="0"/>
          <w:w w:val="100"/>
          <w:position w:val="0"/>
        </w:rPr>
        <w:t>万千瓦，同比增长</w:t>
      </w:r>
      <w:r>
        <w:rPr>
          <w:rFonts w:ascii="Times New Roman" w:eastAsia="Times New Roman" w:hAnsi="Times New Roman" w:cs="Times New Roman"/>
          <w:color w:val="000000"/>
          <w:spacing w:val="0"/>
          <w:w w:val="100"/>
          <w:position w:val="0"/>
        </w:rPr>
        <w:t>24.2%</w:t>
      </w:r>
      <w:r>
        <w:rPr>
          <w:color w:val="000000"/>
          <w:spacing w:val="0"/>
          <w:w w:val="100"/>
          <w:position w:val="0"/>
        </w:rPr>
        <w:t>。</w:t>
      </w:r>
    </w:p>
    <w:p>
      <w:pPr>
        <w:pStyle w:val="Style33"/>
        <w:keepNext w:val="0"/>
        <w:keepLines w:val="0"/>
        <w:widowControl w:val="0"/>
        <w:shd w:val="clear" w:color="auto" w:fill="auto"/>
        <w:bidi w:val="0"/>
        <w:spacing w:before="0" w:after="0" w:line="470" w:lineRule="exact"/>
        <w:ind w:left="0" w:right="0" w:firstLine="440"/>
        <w:jc w:val="both"/>
      </w:pPr>
      <w:bookmarkStart w:id="63" w:name="bookmark63"/>
      <w:r>
        <w:rPr>
          <w:color w:val="000000"/>
          <w:spacing w:val="0"/>
          <w:w w:val="100"/>
          <w:position w:val="0"/>
        </w:rPr>
        <w:t>（</w:t>
      </w:r>
      <w:bookmarkEnd w:id="63"/>
      <w:r>
        <w:rPr>
          <w:rFonts w:ascii="Times New Roman" w:eastAsia="Times New Roman" w:hAnsi="Times New Roman" w:cs="Times New Roman"/>
          <w:color w:val="000000"/>
          <w:spacing w:val="0"/>
          <w:w w:val="100"/>
          <w:position w:val="0"/>
        </w:rPr>
        <w:t>3</w:t>
      </w:r>
      <w:r>
        <w:rPr>
          <w:color w:val="000000"/>
          <w:spacing w:val="0"/>
          <w:w w:val="100"/>
          <w:position w:val="0"/>
        </w:rPr>
        <w:t>）政策加码，推动风光产业向高质量发展转变</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 xml:space="preserve">目前，我国新能源产业仍是一个政策主导型产业，行业的持续快速发展离不开中央和地方政府的支持。 </w:t>
      </w:r>
      <w:r>
        <w:rPr>
          <w:rFonts w:ascii="Times New Roman" w:eastAsia="Times New Roman" w:hAnsi="Times New Roman" w:cs="Times New Roman"/>
          <w:color w:val="000000"/>
          <w:spacing w:val="0"/>
          <w:w w:val="100"/>
          <w:position w:val="0"/>
        </w:rPr>
        <w:t>2019</w:t>
      </w:r>
      <w:r>
        <w:rPr>
          <w:color w:val="000000"/>
          <w:spacing w:val="0"/>
          <w:w w:val="100"/>
          <w:position w:val="0"/>
        </w:rPr>
        <w:t>年，我国出台了多项政策，推动风电、光伏产业从规模增长向高质量发展转变。一是以补贴额定装机 量，光伏发电建设管理迎重大机制创新。二是酝酿多年的可再生能源电力</w:t>
      </w:r>
      <w:r>
        <w:rPr>
          <w:rFonts w:ascii="Times New Roman" w:eastAsia="Times New Roman" w:hAnsi="Times New Roman" w:cs="Times New Roman"/>
          <w:color w:val="000000"/>
          <w:spacing w:val="0"/>
          <w:w w:val="100"/>
          <w:position w:val="0"/>
        </w:rPr>
        <w:t>“</w:t>
      </w:r>
      <w:r>
        <w:rPr>
          <w:color w:val="000000"/>
          <w:spacing w:val="0"/>
          <w:w w:val="100"/>
          <w:position w:val="0"/>
        </w:rPr>
        <w:t>配额制''终于落地。以《关于建 立健全可再生能源电力消纳保障机制的通知》及《可再生能源法》为依据，提出建立健全可再生能源电力 消纳保障机制，可再生能源消纳保障机制进一步完善。</w:t>
      </w:r>
    </w:p>
    <w:p>
      <w:pPr>
        <w:pStyle w:val="Style33"/>
        <w:keepNext w:val="0"/>
        <w:keepLines w:val="0"/>
        <w:widowControl w:val="0"/>
        <w:shd w:val="clear" w:color="auto" w:fill="auto"/>
        <w:bidi w:val="0"/>
        <w:spacing w:before="0" w:after="0" w:line="470" w:lineRule="exact"/>
        <w:ind w:left="0" w:right="0" w:firstLine="520"/>
        <w:jc w:val="both"/>
      </w:pPr>
      <w:bookmarkStart w:id="64" w:name="bookmark64"/>
      <w:r>
        <w:rPr>
          <w:rFonts w:ascii="Times New Roman" w:eastAsia="Times New Roman" w:hAnsi="Times New Roman" w:cs="Times New Roman"/>
          <w:color w:val="000000"/>
          <w:spacing w:val="0"/>
          <w:w w:val="100"/>
          <w:position w:val="0"/>
        </w:rPr>
        <w:t>2</w:t>
      </w:r>
      <w:bookmarkEnd w:id="64"/>
      <w:r>
        <w:rPr>
          <w:color w:val="000000"/>
          <w:spacing w:val="0"/>
          <w:w w:val="100"/>
          <w:position w:val="0"/>
        </w:rPr>
        <w:t>、生态环保行业</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党的十九大提出建设</w:t>
      </w:r>
      <w:r>
        <w:rPr>
          <w:rFonts w:ascii="Times New Roman" w:eastAsia="Times New Roman" w:hAnsi="Times New Roman" w:cs="Times New Roman"/>
          <w:color w:val="000000"/>
          <w:spacing w:val="0"/>
          <w:w w:val="100"/>
          <w:position w:val="0"/>
        </w:rPr>
        <w:t>“</w:t>
      </w:r>
      <w:r>
        <w:rPr>
          <w:color w:val="000000"/>
          <w:spacing w:val="0"/>
          <w:w w:val="100"/>
          <w:position w:val="0"/>
        </w:rPr>
        <w:t>美丽中国</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人与自然和谐共生</w:t>
      </w:r>
      <w:r>
        <w:rPr>
          <w:rFonts w:ascii="Times New Roman" w:eastAsia="Times New Roman" w:hAnsi="Times New Roman" w:cs="Times New Roman"/>
          <w:color w:val="000000"/>
          <w:spacing w:val="0"/>
          <w:w w:val="100"/>
          <w:position w:val="0"/>
        </w:rPr>
        <w:t>”</w:t>
      </w:r>
      <w:r>
        <w:rPr>
          <w:color w:val="000000"/>
          <w:spacing w:val="0"/>
          <w:w w:val="100"/>
          <w:position w:val="0"/>
        </w:rPr>
        <w:t>等政策，国务院明确</w:t>
      </w:r>
      <w:r>
        <w:rPr>
          <w:rFonts w:ascii="Times New Roman" w:eastAsia="Times New Roman" w:hAnsi="Times New Roman" w:cs="Times New Roman"/>
          <w:color w:val="000000"/>
          <w:spacing w:val="0"/>
          <w:w w:val="100"/>
          <w:position w:val="0"/>
        </w:rPr>
        <w:t>“</w:t>
      </w:r>
      <w:r>
        <w:rPr>
          <w:color w:val="000000"/>
          <w:spacing w:val="0"/>
          <w:w w:val="100"/>
          <w:position w:val="0"/>
        </w:rPr>
        <w:t>全面加强生态环境保护， 打好污染防治攻坚战，提升生态文明，建设美丽中国</w:t>
      </w:r>
      <w:r>
        <w:rPr>
          <w:rFonts w:ascii="Times New Roman" w:eastAsia="Times New Roman" w:hAnsi="Times New Roman" w:cs="Times New Roman"/>
          <w:color w:val="000000"/>
          <w:spacing w:val="0"/>
          <w:w w:val="100"/>
          <w:position w:val="0"/>
        </w:rPr>
        <w:t>''</w:t>
      </w:r>
      <w:r>
        <w:rPr>
          <w:color w:val="000000"/>
          <w:spacing w:val="0"/>
          <w:w w:val="100"/>
          <w:position w:val="0"/>
        </w:rPr>
        <w:t>的战略部署更是将保护生态环境和建设美丽中国提 升到国家战略层面，国家的顶层战略设计为生态环境行业指明了方向，生态环境建设及生态治理与修复领 域投资需求不断增长，生态环境建设的持续加强，生态环境领域迎来了前所未有的发展机遇。</w:t>
      </w:r>
    </w:p>
    <w:p>
      <w:pPr>
        <w:pStyle w:val="Style33"/>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月，生态环境部发布的《中国空气质量改善报告</w:t>
      </w:r>
      <w:r>
        <w:rPr>
          <w:color w:val="000000"/>
          <w:spacing w:val="0"/>
          <w:w w:val="100"/>
          <w:position w:val="0"/>
        </w:rPr>
        <w:t>（</w:t>
      </w:r>
      <w:r>
        <w:rPr>
          <w:rFonts w:ascii="Times New Roman" w:eastAsia="Times New Roman" w:hAnsi="Times New Roman" w:cs="Times New Roman"/>
          <w:color w:val="000000"/>
          <w:spacing w:val="0"/>
          <w:w w:val="100"/>
          <w:position w:val="0"/>
        </w:rPr>
        <w:t>2013-2018</w:t>
      </w:r>
      <w:r>
        <w:rPr>
          <w:color w:val="000000"/>
          <w:spacing w:val="0"/>
          <w:w w:val="100"/>
          <w:position w:val="0"/>
        </w:rPr>
        <w:t>年）》（以下简称</w:t>
      </w:r>
      <w:r>
        <w:rPr>
          <w:rFonts w:ascii="Times New Roman" w:eastAsia="Times New Roman" w:hAnsi="Times New Roman" w:cs="Times New Roman"/>
          <w:color w:val="000000"/>
          <w:spacing w:val="0"/>
          <w:w w:val="100"/>
          <w:position w:val="0"/>
        </w:rPr>
        <w:t>“</w:t>
      </w:r>
      <w:r>
        <w:rPr>
          <w:color w:val="000000"/>
          <w:spacing w:val="0"/>
          <w:w w:val="100"/>
          <w:position w:val="0"/>
        </w:rPr>
        <w:t>《报告》</w:t>
      </w:r>
      <w:r>
        <w:rPr>
          <w:rFonts w:ascii="Times New Roman" w:eastAsia="Times New Roman" w:hAnsi="Times New Roman" w:cs="Times New Roman"/>
          <w:color w:val="000000"/>
          <w:spacing w:val="0"/>
          <w:w w:val="100"/>
          <w:position w:val="0"/>
        </w:rPr>
        <w:t>”</w:t>
      </w:r>
      <w:r>
        <w:rPr>
          <w:color w:val="000000"/>
          <w:spacing w:val="0"/>
          <w:w w:val="100"/>
          <w:position w:val="0"/>
        </w:rPr>
        <w:t>）， 明确指出</w:t>
      </w:r>
      <w:r>
        <w:rPr>
          <w:rFonts w:ascii="Times New Roman" w:eastAsia="Times New Roman" w:hAnsi="Times New Roman" w:cs="Times New Roman"/>
          <w:color w:val="000000"/>
          <w:spacing w:val="0"/>
          <w:w w:val="100"/>
          <w:position w:val="0"/>
        </w:rPr>
        <w:t>2013</w:t>
      </w:r>
      <w:r>
        <w:rPr>
          <w:color w:val="000000"/>
          <w:spacing w:val="0"/>
          <w:w w:val="100"/>
          <w:position w:val="0"/>
        </w:rPr>
        <w:t>年以来，多项大气污染物浓度实现大幅下降，我国环境空气质量总体改善。《报告》显示， 我国尚有</w:t>
      </w:r>
      <w:r>
        <w:rPr>
          <w:rFonts w:ascii="Times New Roman" w:eastAsia="Times New Roman" w:hAnsi="Times New Roman" w:cs="Times New Roman"/>
          <w:color w:val="000000"/>
          <w:spacing w:val="0"/>
          <w:w w:val="100"/>
          <w:position w:val="0"/>
        </w:rPr>
        <w:t>60%</w:t>
      </w:r>
      <w:r>
        <w:rPr>
          <w:color w:val="000000"/>
          <w:spacing w:val="0"/>
          <w:w w:val="100"/>
          <w:position w:val="0"/>
        </w:rPr>
        <w:t>以上城市</w:t>
      </w:r>
      <w:r>
        <w:rPr>
          <w:rFonts w:ascii="Times New Roman" w:eastAsia="Times New Roman" w:hAnsi="Times New Roman" w:cs="Times New Roman"/>
          <w:color w:val="000000"/>
          <w:spacing w:val="0"/>
          <w:w w:val="100"/>
          <w:position w:val="0"/>
        </w:rPr>
        <w:t>PM2.5</w:t>
      </w:r>
      <w:r>
        <w:rPr>
          <w:color w:val="000000"/>
          <w:spacing w:val="0"/>
          <w:w w:val="100"/>
          <w:position w:val="0"/>
        </w:rPr>
        <w:t>的年均浓度仍未达到环境空气质量标准要求，大气污染治理工作已进入深水 区。各级政府及相关主管部门加强环境污染防治工作，促进环保行业进入黄金发展阶段，伴随财政支持力 度持续加强，环保行业将获得进一步发展。</w:t>
      </w:r>
    </w:p>
    <w:p>
      <w:pPr>
        <w:pStyle w:val="Style33"/>
        <w:keepNext w:val="0"/>
        <w:keepLines w:val="0"/>
        <w:widowControl w:val="0"/>
        <w:shd w:val="clear" w:color="auto" w:fill="auto"/>
        <w:bidi w:val="0"/>
        <w:spacing w:before="0" w:after="0" w:line="470" w:lineRule="exact"/>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年，生态环保产业继续在风险与机遇并存的环境中发展，一方面紧跟政策导向，积极投入污染防 治攻坚战，多个细分领域协同发展，另一方面在融资趋紧的外部环境下，公司根据国家政策及行业政策的 导向，主动、及时的调整生产经营计划，根据项目的融资进展合理的调整施工进度，控制投资节奏。同时 积极谋求转型发展，利用</w:t>
      </w:r>
      <w:r>
        <w:rPr>
          <w:rFonts w:ascii="Times New Roman" w:eastAsia="Times New Roman" w:hAnsi="Times New Roman" w:cs="Times New Roman"/>
          <w:color w:val="000000"/>
          <w:spacing w:val="0"/>
          <w:w w:val="100"/>
          <w:position w:val="0"/>
        </w:rPr>
        <w:t>“</w:t>
      </w:r>
      <w:r>
        <w:rPr>
          <w:color w:val="000000"/>
          <w:spacing w:val="0"/>
          <w:w w:val="100"/>
          <w:position w:val="0"/>
        </w:rPr>
        <w:t>生态</w:t>
      </w:r>
      <w:r>
        <w:rPr>
          <w:rFonts w:ascii="Times New Roman" w:eastAsia="Times New Roman" w:hAnsi="Times New Roman" w:cs="Times New Roman"/>
          <w:color w:val="000000"/>
          <w:spacing w:val="0"/>
          <w:w w:val="100"/>
          <w:position w:val="0"/>
        </w:rPr>
        <w:t>+”</w:t>
      </w:r>
      <w:r>
        <w:rPr>
          <w:color w:val="000000"/>
          <w:spacing w:val="0"/>
          <w:w w:val="100"/>
          <w:position w:val="0"/>
        </w:rPr>
        <w:t>发展战略，坚持以重养轻、以轻带重，重资产轻模式、轻资产重能力的 协同发展策略。</w:t>
      </w:r>
    </w:p>
    <w:p>
      <w:pPr>
        <w:pStyle w:val="Style33"/>
        <w:keepNext w:val="0"/>
        <w:keepLines w:val="0"/>
        <w:widowControl w:val="0"/>
        <w:shd w:val="clear" w:color="auto" w:fill="auto"/>
        <w:bidi w:val="0"/>
        <w:spacing w:before="0" w:after="0" w:line="470" w:lineRule="exact"/>
        <w:ind w:left="0" w:right="0" w:firstLine="440"/>
        <w:jc w:val="left"/>
      </w:pPr>
      <w:bookmarkStart w:id="65" w:name="bookmark65"/>
      <w:r>
        <w:rPr>
          <w:color w:val="000000"/>
          <w:spacing w:val="0"/>
          <w:w w:val="100"/>
          <w:position w:val="0"/>
        </w:rPr>
        <w:t>（</w:t>
      </w:r>
      <w:bookmarkEnd w:id="65"/>
      <w:r>
        <w:rPr>
          <w:color w:val="000000"/>
          <w:spacing w:val="0"/>
          <w:w w:val="100"/>
          <w:position w:val="0"/>
        </w:rPr>
        <w:t>二）公司所处行业的市场竞争格局、公司的市场地位及公司优势</w:t>
      </w:r>
    </w:p>
    <w:p>
      <w:pPr>
        <w:pStyle w:val="Style33"/>
        <w:keepNext w:val="0"/>
        <w:keepLines w:val="0"/>
        <w:widowControl w:val="0"/>
        <w:shd w:val="clear" w:color="auto" w:fill="auto"/>
        <w:tabs>
          <w:tab w:pos="759" w:val="left"/>
        </w:tabs>
        <w:bidi w:val="0"/>
        <w:spacing w:before="0" w:after="0" w:line="470" w:lineRule="exact"/>
        <w:ind w:left="0" w:right="0" w:firstLine="440"/>
        <w:jc w:val="left"/>
      </w:pPr>
      <w:bookmarkStart w:id="66" w:name="bookmark66"/>
      <w:r>
        <w:rPr>
          <w:rFonts w:ascii="Times New Roman" w:eastAsia="Times New Roman" w:hAnsi="Times New Roman" w:cs="Times New Roman"/>
          <w:color w:val="000000"/>
          <w:spacing w:val="0"/>
          <w:w w:val="100"/>
          <w:position w:val="0"/>
        </w:rPr>
        <w:t>1</w:t>
      </w:r>
      <w:bookmarkEnd w:id="66"/>
      <w:r>
        <w:rPr>
          <w:color w:val="000000"/>
          <w:spacing w:val="0"/>
          <w:w w:val="100"/>
          <w:position w:val="0"/>
        </w:rPr>
        <w:t>、</w:t>
        <w:tab/>
        <w:t>市场竞争格局</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在我国大力推进生态文明建设，</w:t>
      </w:r>
      <w:r>
        <w:rPr>
          <w:rFonts w:ascii="Times New Roman" w:eastAsia="Times New Roman" w:hAnsi="Times New Roman" w:cs="Times New Roman"/>
          <w:color w:val="000000"/>
          <w:spacing w:val="0"/>
          <w:w w:val="100"/>
          <w:position w:val="0"/>
        </w:rPr>
        <w:t>2035</w:t>
      </w:r>
      <w:r>
        <w:rPr>
          <w:color w:val="000000"/>
          <w:spacing w:val="0"/>
          <w:w w:val="100"/>
          <w:position w:val="0"/>
        </w:rPr>
        <w:t>年美丽中国目标基本实现的引领下，清洁能源、节能环保绿色产 业的行业进入者持续增加，抢占优势资源，市场竞争激烈。随着市场化程度的进一步加深，行业集中度将 不断提高，将逐步形成一批资本实力雄厚、核心竞争力较强、具备区域整合能力的行业龙头企业，市场占 有份额将逐步上升。</w:t>
      </w:r>
    </w:p>
    <w:p>
      <w:pPr>
        <w:pStyle w:val="Style33"/>
        <w:keepNext w:val="0"/>
        <w:keepLines w:val="0"/>
        <w:widowControl w:val="0"/>
        <w:shd w:val="clear" w:color="auto" w:fill="auto"/>
        <w:tabs>
          <w:tab w:pos="766" w:val="left"/>
        </w:tabs>
        <w:bidi w:val="0"/>
        <w:spacing w:before="0" w:after="0" w:line="470" w:lineRule="exact"/>
        <w:ind w:left="0" w:right="0" w:firstLine="440"/>
        <w:jc w:val="left"/>
      </w:pPr>
      <w:bookmarkStart w:id="67" w:name="bookmark67"/>
      <w:r>
        <w:rPr>
          <w:rFonts w:ascii="Times New Roman" w:eastAsia="Times New Roman" w:hAnsi="Times New Roman" w:cs="Times New Roman"/>
          <w:color w:val="000000"/>
          <w:spacing w:val="0"/>
          <w:w w:val="100"/>
          <w:position w:val="0"/>
        </w:rPr>
        <w:t>2</w:t>
      </w:r>
      <w:bookmarkEnd w:id="67"/>
      <w:r>
        <w:rPr>
          <w:color w:val="000000"/>
          <w:spacing w:val="0"/>
          <w:w w:val="100"/>
          <w:position w:val="0"/>
        </w:rPr>
        <w:t>、</w:t>
        <w:tab/>
        <w:t>公司的市场地位及公司优势</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公司致力于成为领先的环保新能源综合服务商，是</w:t>
      </w:r>
      <w:r>
        <w:rPr>
          <w:rFonts w:ascii="Times New Roman" w:eastAsia="Times New Roman" w:hAnsi="Times New Roman" w:cs="Times New Roman"/>
          <w:color w:val="000000"/>
          <w:spacing w:val="0"/>
          <w:w w:val="100"/>
          <w:position w:val="0"/>
        </w:rPr>
        <w:t>“</w:t>
      </w:r>
      <w:r>
        <w:rPr>
          <w:color w:val="000000"/>
          <w:spacing w:val="0"/>
          <w:w w:val="100"/>
          <w:position w:val="0"/>
        </w:rPr>
        <w:t>环保</w:t>
      </w:r>
      <w:r>
        <w:rPr>
          <w:rFonts w:ascii="Times New Roman" w:eastAsia="Times New Roman" w:hAnsi="Times New Roman" w:cs="Times New Roman"/>
          <w:color w:val="000000"/>
          <w:spacing w:val="0"/>
          <w:w w:val="100"/>
          <w:position w:val="0"/>
        </w:rPr>
        <w:t>+</w:t>
      </w:r>
      <w:r>
        <w:rPr>
          <w:color w:val="000000"/>
          <w:spacing w:val="0"/>
          <w:w w:val="100"/>
          <w:position w:val="0"/>
        </w:rPr>
        <w:t>新能源</w:t>
      </w:r>
      <w:r>
        <w:rPr>
          <w:rFonts w:ascii="Times New Roman" w:eastAsia="Times New Roman" w:hAnsi="Times New Roman" w:cs="Times New Roman"/>
          <w:color w:val="000000"/>
          <w:spacing w:val="0"/>
          <w:w w:val="100"/>
          <w:position w:val="0"/>
        </w:rPr>
        <w:t>''</w:t>
      </w:r>
      <w:r>
        <w:rPr>
          <w:color w:val="000000"/>
          <w:spacing w:val="0"/>
          <w:w w:val="100"/>
          <w:position w:val="0"/>
        </w:rPr>
        <w:t xml:space="preserve">产业模式的领航者，凭借特有的商 </w:t>
      </w:r>
      <w:r>
        <w:rPr>
          <w:color w:val="000000"/>
          <w:spacing w:val="0"/>
          <w:w w:val="100"/>
          <w:position w:val="0"/>
        </w:rPr>
        <w:t>业模式、强大的资源整合及市场开拓能力、良好的工程品质及商业信誉、丰富的运营经验和厚积薄发的实 干精神，在激烈的市场竞争中快速占据了相当的市场份额，得到了业内的高度认可，差异化竞争优势凸显。</w:t>
      </w:r>
    </w:p>
    <w:p>
      <w:pPr>
        <w:pStyle w:val="Style33"/>
        <w:keepNext w:val="0"/>
        <w:keepLines w:val="0"/>
        <w:widowControl w:val="0"/>
        <w:shd w:val="clear" w:color="auto" w:fill="auto"/>
        <w:bidi w:val="0"/>
        <w:spacing w:before="0" w:after="0" w:line="470" w:lineRule="exact"/>
        <w:ind w:left="0" w:right="0" w:firstLine="0"/>
        <w:jc w:val="both"/>
      </w:pPr>
      <w:r>
        <w:rPr>
          <w:color w:val="000000"/>
          <w:spacing w:val="0"/>
          <w:w w:val="100"/>
          <w:position w:val="0"/>
        </w:rPr>
        <w:t>报告期内，公司荣获</w:t>
      </w:r>
      <w:r>
        <w:rPr>
          <w:rFonts w:ascii="Times New Roman" w:eastAsia="Times New Roman" w:hAnsi="Times New Roman" w:cs="Times New Roman"/>
          <w:color w:val="000000"/>
          <w:spacing w:val="0"/>
          <w:w w:val="100"/>
          <w:position w:val="0"/>
        </w:rPr>
        <w:t>“2019</w:t>
      </w:r>
      <w:r>
        <w:rPr>
          <w:color w:val="000000"/>
          <w:spacing w:val="0"/>
          <w:w w:val="100"/>
          <w:position w:val="0"/>
        </w:rPr>
        <w:t>年度最具成长性新能源产业上市公司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年可持续和发展先锋企业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年中国十大分布式光伏运维品牌</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年度最具影响力运维企业奖</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“PVBL2019</w:t>
      </w:r>
      <w:r>
        <w:rPr>
          <w:color w:val="000000"/>
          <w:spacing w:val="0"/>
          <w:w w:val="100"/>
          <w:position w:val="0"/>
        </w:rPr>
        <w:t>年度卓越供应商奖''等 诸多殊荣，并入选年度全球新能源</w:t>
      </w:r>
      <w:r>
        <w:rPr>
          <w:rFonts w:ascii="Times New Roman" w:eastAsia="Times New Roman" w:hAnsi="Times New Roman" w:cs="Times New Roman"/>
          <w:color w:val="000000"/>
          <w:spacing w:val="0"/>
          <w:w w:val="100"/>
          <w:position w:val="0"/>
        </w:rPr>
        <w:t>500</w:t>
      </w:r>
      <w:r>
        <w:rPr>
          <w:color w:val="000000"/>
          <w:spacing w:val="0"/>
          <w:w w:val="100"/>
          <w:position w:val="0"/>
        </w:rPr>
        <w:t>强，位居</w:t>
      </w:r>
      <w:r>
        <w:rPr>
          <w:rFonts w:ascii="Times New Roman" w:eastAsia="Times New Roman" w:hAnsi="Times New Roman" w:cs="Times New Roman"/>
          <w:color w:val="000000"/>
          <w:spacing w:val="0"/>
          <w:w w:val="100"/>
          <w:position w:val="0"/>
        </w:rPr>
        <w:t>190</w:t>
      </w:r>
      <w:r>
        <w:rPr>
          <w:color w:val="000000"/>
          <w:spacing w:val="0"/>
          <w:w w:val="100"/>
          <w:position w:val="0"/>
        </w:rPr>
        <w:t>位，入围</w:t>
      </w:r>
      <w:r>
        <w:rPr>
          <w:rFonts w:ascii="Times New Roman" w:eastAsia="Times New Roman" w:hAnsi="Times New Roman" w:cs="Times New Roman"/>
          <w:color w:val="000000"/>
          <w:spacing w:val="0"/>
          <w:w w:val="100"/>
          <w:position w:val="0"/>
        </w:rPr>
        <w:t>“2019</w:t>
      </w:r>
      <w:r>
        <w:rPr>
          <w:color w:val="000000"/>
          <w:spacing w:val="0"/>
          <w:w w:val="100"/>
          <w:position w:val="0"/>
        </w:rPr>
        <w:t>中国光伏企业</w:t>
      </w:r>
      <w:r>
        <w:rPr>
          <w:rFonts w:ascii="Times New Roman" w:eastAsia="Times New Roman" w:hAnsi="Times New Roman" w:cs="Times New Roman"/>
          <w:color w:val="000000"/>
          <w:spacing w:val="0"/>
          <w:w w:val="100"/>
          <w:position w:val="0"/>
        </w:rPr>
        <w:t>20</w:t>
      </w:r>
      <w:r>
        <w:rPr>
          <w:color w:val="000000"/>
          <w:spacing w:val="0"/>
          <w:w w:val="100"/>
          <w:position w:val="0"/>
        </w:rPr>
        <w:t>强排行榜（综合类）</w:t>
      </w:r>
      <w:r>
        <w:rPr>
          <w:rFonts w:ascii="Times New Roman" w:eastAsia="Times New Roman" w:hAnsi="Times New Roman" w:cs="Times New Roman"/>
          <w:color w:val="000000"/>
          <w:spacing w:val="0"/>
          <w:w w:val="100"/>
          <w:position w:val="0"/>
        </w:rPr>
        <w:t xml:space="preserve">16 </w:t>
      </w:r>
      <w:r>
        <w:rPr>
          <w:color w:val="000000"/>
          <w:spacing w:val="0"/>
          <w:w w:val="100"/>
          <w:position w:val="0"/>
        </w:rPr>
        <w:t>位；基于助力绿色中国的生态环保业务进展显著，公司荣获</w:t>
      </w:r>
      <w:r>
        <w:rPr>
          <w:rFonts w:ascii="Times New Roman" w:eastAsia="Times New Roman" w:hAnsi="Times New Roman" w:cs="Times New Roman"/>
          <w:color w:val="000000"/>
          <w:spacing w:val="0"/>
          <w:w w:val="100"/>
          <w:position w:val="0"/>
        </w:rPr>
        <w:t>“2019</w:t>
      </w:r>
      <w:r>
        <w:rPr>
          <w:color w:val="000000"/>
          <w:spacing w:val="0"/>
          <w:w w:val="100"/>
          <w:position w:val="0"/>
        </w:rPr>
        <w:t>年度中国上市公司环境贡献奖</w:t>
      </w:r>
      <w:r>
        <w:rPr>
          <w:rFonts w:ascii="Times New Roman" w:eastAsia="Times New Roman" w:hAnsi="Times New Roman" w:cs="Times New Roman"/>
          <w:color w:val="000000"/>
          <w:spacing w:val="0"/>
          <w:w w:val="100"/>
          <w:position w:val="0"/>
        </w:rPr>
        <w:t>”</w:t>
      </w:r>
      <w:r>
        <w:rPr>
          <w:color w:val="000000"/>
          <w:spacing w:val="0"/>
          <w:w w:val="100"/>
          <w:position w:val="0"/>
        </w:rPr>
        <w:t>，公司与 易兰规划设计院共同打造的山西省临汾市润州园涝沮河滨水环境改造项目获得</w:t>
      </w:r>
      <w:r>
        <w:rPr>
          <w:rFonts w:ascii="Times New Roman" w:eastAsia="Times New Roman" w:hAnsi="Times New Roman" w:cs="Times New Roman"/>
          <w:color w:val="000000"/>
          <w:spacing w:val="0"/>
          <w:w w:val="100"/>
          <w:position w:val="0"/>
        </w:rPr>
        <w:t>“2019WAF</w:t>
      </w:r>
      <w:r>
        <w:rPr>
          <w:color w:val="000000"/>
          <w:spacing w:val="0"/>
          <w:w w:val="100"/>
          <w:position w:val="0"/>
        </w:rPr>
        <w:t>建筑节（城乡景 观类）金奖</w:t>
      </w:r>
      <w:r>
        <w:rPr>
          <w:rFonts w:ascii="Times New Roman" w:eastAsia="Times New Roman" w:hAnsi="Times New Roman" w:cs="Times New Roman"/>
          <w:color w:val="000000"/>
          <w:spacing w:val="0"/>
          <w:w w:val="100"/>
          <w:position w:val="0"/>
        </w:rPr>
        <w:t>”</w:t>
      </w:r>
      <w:r>
        <w:rPr>
          <w:color w:val="000000"/>
          <w:spacing w:val="0"/>
          <w:w w:val="100"/>
          <w:position w:val="0"/>
        </w:rPr>
        <w:t>，该项目是该届世界建筑节城乡景观类唯一获奖作品。世界建筑节是目前世界上规模最大的 建筑评选盛事，被誉为建筑界的奥斯卡。该项目荣获建筑节金奖是对公司在生态环保领域专业能力的充分 肯定及褒奖。目前公司已取得生态环保领域专利共计</w:t>
      </w:r>
      <w:r>
        <w:rPr>
          <w:rFonts w:ascii="Times New Roman" w:eastAsia="Times New Roman" w:hAnsi="Times New Roman" w:cs="Times New Roman"/>
          <w:color w:val="000000"/>
          <w:spacing w:val="0"/>
          <w:w w:val="100"/>
          <w:position w:val="0"/>
        </w:rPr>
        <w:t>45</w:t>
      </w:r>
      <w:r>
        <w:rPr>
          <w:color w:val="000000"/>
          <w:spacing w:val="0"/>
          <w:w w:val="100"/>
          <w:position w:val="0"/>
        </w:rPr>
        <w:t>项。</w:t>
      </w:r>
    </w:p>
    <w:p>
      <w:pPr>
        <w:pStyle w:val="Style33"/>
        <w:keepNext w:val="0"/>
        <w:keepLines w:val="0"/>
        <w:widowControl w:val="0"/>
        <w:shd w:val="clear" w:color="auto" w:fill="auto"/>
        <w:tabs>
          <w:tab w:pos="981" w:val="left"/>
        </w:tabs>
        <w:bidi w:val="0"/>
        <w:spacing w:before="0" w:after="0" w:line="470" w:lineRule="exact"/>
        <w:ind w:left="0" w:right="0" w:firstLine="440"/>
        <w:jc w:val="both"/>
      </w:pPr>
      <w:bookmarkStart w:id="68" w:name="bookmark68"/>
      <w:r>
        <w:rPr>
          <w:color w:val="000000"/>
          <w:spacing w:val="0"/>
          <w:w w:val="100"/>
          <w:position w:val="0"/>
        </w:rPr>
        <w:t>（</w:t>
      </w:r>
      <w:bookmarkEnd w:id="68"/>
      <w:r>
        <w:rPr>
          <w:color w:val="000000"/>
          <w:spacing w:val="0"/>
          <w:w w:val="100"/>
          <w:position w:val="0"/>
        </w:rPr>
        <w:t>三）</w:t>
        <w:tab/>
        <w:t>报告期内公司的行业资质情况</w:t>
      </w:r>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目前公司已获得了市政公用工程施工总承包壹级、建筑工程施工总承包壹级、电力行业（新能源发电） 专业乙级、电力工程施工总承包二级等多项资质证书，及质量管理体系、环境管理体系认证等多项认证， 并申报取得了多项国家专利。</w:t>
      </w:r>
    </w:p>
    <w:p>
      <w:pPr>
        <w:pStyle w:val="Style33"/>
        <w:keepNext w:val="0"/>
        <w:keepLines w:val="0"/>
        <w:widowControl w:val="0"/>
        <w:shd w:val="clear" w:color="auto" w:fill="auto"/>
        <w:tabs>
          <w:tab w:pos="981" w:val="left"/>
        </w:tabs>
        <w:bidi w:val="0"/>
        <w:spacing w:before="0" w:after="0" w:line="470" w:lineRule="exact"/>
        <w:ind w:left="0" w:right="0" w:firstLine="440"/>
        <w:jc w:val="both"/>
      </w:pPr>
      <w:bookmarkStart w:id="69" w:name="bookmark69"/>
      <w:r>
        <w:rPr>
          <w:color w:val="000000"/>
          <w:spacing w:val="0"/>
          <w:w w:val="100"/>
          <w:position w:val="0"/>
        </w:rPr>
        <w:t>（</w:t>
      </w:r>
      <w:bookmarkEnd w:id="69"/>
      <w:r>
        <w:rPr>
          <w:color w:val="000000"/>
          <w:spacing w:val="0"/>
          <w:w w:val="100"/>
          <w:position w:val="0"/>
        </w:rPr>
        <w:t>四）</w:t>
        <w:tab/>
        <w:t>公司的业务模式</w:t>
      </w:r>
    </w:p>
    <w:p>
      <w:pPr>
        <w:pStyle w:val="Style33"/>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公司光伏电站经营模式为光伏电站投资运营业务和光伏电站</w:t>
      </w:r>
      <w:r>
        <w:rPr>
          <w:rFonts w:ascii="Times New Roman" w:eastAsia="Times New Roman" w:hAnsi="Times New Roman" w:cs="Times New Roman"/>
          <w:color w:val="000000"/>
          <w:spacing w:val="0"/>
          <w:w w:val="100"/>
          <w:position w:val="0"/>
        </w:rPr>
        <w:t>EPC</w:t>
      </w:r>
      <w:r>
        <w:rPr>
          <w:color w:val="000000"/>
          <w:spacing w:val="0"/>
          <w:w w:val="100"/>
          <w:position w:val="0"/>
        </w:rPr>
        <w:t>业务，光伏电站投资运营业务具体为 光伏电站建设完成及并网发电后，公司可以对外转让电站或自持运营发电取得电费收入。</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公司生态环保业务模式主要包含</w:t>
      </w:r>
      <w:r>
        <w:rPr>
          <w:rFonts w:ascii="Times New Roman" w:eastAsia="Times New Roman" w:hAnsi="Times New Roman" w:cs="Times New Roman"/>
          <w:color w:val="000000"/>
          <w:spacing w:val="0"/>
          <w:w w:val="100"/>
          <w:position w:val="0"/>
        </w:rPr>
        <w:t>PPP</w:t>
      </w:r>
      <w:r>
        <w:rPr>
          <w:color w:val="000000"/>
          <w:spacing w:val="0"/>
          <w:w w:val="100"/>
          <w:position w:val="0"/>
        </w:rPr>
        <w:t>、</w:t>
      </w:r>
      <w:r>
        <w:rPr>
          <w:rFonts w:ascii="Times New Roman" w:eastAsia="Times New Roman" w:hAnsi="Times New Roman" w:cs="Times New Roman"/>
          <w:color w:val="000000"/>
          <w:spacing w:val="0"/>
          <w:w w:val="100"/>
          <w:position w:val="0"/>
        </w:rPr>
        <w:t>EPC</w:t>
      </w:r>
      <w:r>
        <w:rPr>
          <w:color w:val="000000"/>
          <w:spacing w:val="0"/>
          <w:w w:val="100"/>
          <w:position w:val="0"/>
        </w:rPr>
        <w:t>等模式，公司</w:t>
      </w:r>
      <w:r>
        <w:rPr>
          <w:rFonts w:ascii="Times New Roman" w:eastAsia="Times New Roman" w:hAnsi="Times New Roman" w:cs="Times New Roman"/>
          <w:color w:val="000000"/>
          <w:spacing w:val="0"/>
          <w:w w:val="100"/>
          <w:position w:val="0"/>
        </w:rPr>
        <w:t>PPP</w:t>
      </w:r>
      <w:r>
        <w:rPr>
          <w:color w:val="000000"/>
          <w:spacing w:val="0"/>
          <w:w w:val="100"/>
          <w:position w:val="0"/>
        </w:rPr>
        <w:t>模式的项目运作主要包含项目策划一项 目规划</w:t>
      </w:r>
      <w:r>
        <w:rPr>
          <w:color w:val="000000"/>
          <w:spacing w:val="0"/>
          <w:w w:val="100"/>
          <w:position w:val="0"/>
        </w:rPr>
        <w:t>一一</w:t>
      </w:r>
      <w:r>
        <w:rPr>
          <w:color w:val="000000"/>
          <w:spacing w:val="0"/>
          <w:w w:val="100"/>
          <w:position w:val="0"/>
        </w:rPr>
        <w:t>项目设计</w:t>
      </w:r>
      <w:r>
        <w:rPr>
          <w:color w:val="000000"/>
          <w:spacing w:val="0"/>
          <w:w w:val="100"/>
          <w:position w:val="0"/>
        </w:rPr>
        <w:t>一一</w:t>
      </w:r>
      <w:r>
        <w:rPr>
          <w:color w:val="000000"/>
          <w:spacing w:val="0"/>
          <w:w w:val="100"/>
          <w:position w:val="0"/>
        </w:rPr>
        <w:t>项目融资</w:t>
      </w:r>
      <w:r>
        <w:rPr>
          <w:color w:val="000000"/>
          <w:spacing w:val="0"/>
          <w:w w:val="100"/>
          <w:position w:val="0"/>
        </w:rPr>
        <w:t>一一</w:t>
      </w:r>
      <w:r>
        <w:rPr>
          <w:color w:val="000000"/>
          <w:spacing w:val="0"/>
          <w:w w:val="100"/>
          <w:position w:val="0"/>
        </w:rPr>
        <w:t>项目实施一建设交付</w:t>
      </w:r>
      <w:r>
        <w:rPr>
          <w:color w:val="000000"/>
          <w:spacing w:val="0"/>
          <w:w w:val="100"/>
          <w:position w:val="0"/>
        </w:rPr>
        <w:t>一一</w:t>
      </w:r>
      <w:r>
        <w:rPr>
          <w:color w:val="000000"/>
          <w:spacing w:val="0"/>
          <w:w w:val="100"/>
          <w:position w:val="0"/>
        </w:rPr>
        <w:t>项目运营</w:t>
      </w:r>
      <w:r>
        <w:rPr>
          <w:color w:val="000000"/>
          <w:spacing w:val="0"/>
          <w:w w:val="100"/>
          <w:position w:val="0"/>
        </w:rPr>
        <w:t>一一</w:t>
      </w:r>
      <w:r>
        <w:rPr>
          <w:color w:val="000000"/>
          <w:spacing w:val="0"/>
          <w:w w:val="100"/>
          <w:position w:val="0"/>
        </w:rPr>
        <w:t>项目退出八大环节；</w:t>
      </w:r>
      <w:r>
        <w:rPr>
          <w:rFonts w:ascii="Times New Roman" w:eastAsia="Times New Roman" w:hAnsi="Times New Roman" w:cs="Times New Roman"/>
          <w:color w:val="000000"/>
          <w:spacing w:val="0"/>
          <w:w w:val="100"/>
          <w:position w:val="0"/>
        </w:rPr>
        <w:t xml:space="preserve">EPC </w:t>
      </w:r>
      <w:r>
        <w:rPr>
          <w:color w:val="000000"/>
          <w:spacing w:val="0"/>
          <w:w w:val="100"/>
          <w:position w:val="0"/>
        </w:rPr>
        <w:t>模式下项目运作包含设计一采购一施工的全过程总承包。</w:t>
      </w:r>
    </w:p>
    <w:p>
      <w:pPr>
        <w:pStyle w:val="Style33"/>
        <w:keepNext w:val="0"/>
        <w:keepLines w:val="0"/>
        <w:widowControl w:val="0"/>
        <w:shd w:val="clear" w:color="auto" w:fill="auto"/>
        <w:tabs>
          <w:tab w:pos="981" w:val="left"/>
        </w:tabs>
        <w:bidi w:val="0"/>
        <w:spacing w:before="0" w:after="0" w:line="470" w:lineRule="exact"/>
        <w:ind w:left="0" w:right="0" w:firstLine="440"/>
        <w:jc w:val="both"/>
      </w:pPr>
      <w:bookmarkStart w:id="70" w:name="bookmark70"/>
      <w:r>
        <w:rPr>
          <w:color w:val="000000"/>
          <w:spacing w:val="0"/>
          <w:w w:val="100"/>
          <w:position w:val="0"/>
        </w:rPr>
        <w:t>（</w:t>
      </w:r>
      <w:bookmarkEnd w:id="70"/>
      <w:r>
        <w:rPr>
          <w:color w:val="000000"/>
          <w:spacing w:val="0"/>
          <w:w w:val="100"/>
          <w:position w:val="0"/>
        </w:rPr>
        <w:t>五）</w:t>
        <w:tab/>
        <w:t>公司质量安全管控体系及整体评价</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在质量安全管控方面，公司明确了各专项业务的质量标准，形成了全面控制、高效运转的质量管理体 系。公司生态环保业务遵循从设计、施工、验收等全流程的质量管控体系，遵守《建筑施工安全检查评分 标准》</w:t>
      </w:r>
      <w:r>
        <w:rPr>
          <w:color w:val="000000"/>
          <w:spacing w:val="0"/>
          <w:w w:val="100"/>
          <w:position w:val="0"/>
        </w:rPr>
        <w:t>（</w:t>
      </w:r>
      <w:r>
        <w:rPr>
          <w:rFonts w:ascii="Times New Roman" w:eastAsia="Times New Roman" w:hAnsi="Times New Roman" w:cs="Times New Roman"/>
          <w:color w:val="000000"/>
          <w:spacing w:val="0"/>
          <w:w w:val="100"/>
          <w:position w:val="0"/>
        </w:rPr>
        <w:t>JGJ59-2011</w:t>
      </w:r>
      <w:r>
        <w:rPr>
          <w:color w:val="000000"/>
          <w:spacing w:val="0"/>
          <w:w w:val="100"/>
          <w:position w:val="0"/>
        </w:rPr>
        <w:t>），</w:t>
      </w:r>
      <w:r>
        <w:rPr>
          <w:color w:val="000000"/>
          <w:spacing w:val="0"/>
          <w:w w:val="100"/>
          <w:position w:val="0"/>
        </w:rPr>
        <w:t>达到省级安全施工标准；光伏电站业务执行《光伏发电站施工规范》</w:t>
      </w:r>
      <w:r>
        <w:rPr>
          <w:rFonts w:ascii="Times New Roman" w:eastAsia="Times New Roman" w:hAnsi="Times New Roman" w:cs="Times New Roman"/>
          <w:color w:val="000000"/>
          <w:spacing w:val="0"/>
          <w:w w:val="100"/>
          <w:position w:val="0"/>
        </w:rPr>
        <w:t xml:space="preserve">GB </w:t>
      </w:r>
      <w:r>
        <w:rPr>
          <w:rFonts w:ascii="Times New Roman" w:eastAsia="Times New Roman" w:hAnsi="Times New Roman" w:cs="Times New Roman"/>
          <w:color w:val="000000"/>
          <w:spacing w:val="0"/>
          <w:w w:val="100"/>
          <w:position w:val="0"/>
        </w:rPr>
        <w:t>50794-2012</w:t>
      </w:r>
      <w:r>
        <w:rPr>
          <w:color w:val="000000"/>
          <w:spacing w:val="0"/>
          <w:w w:val="100"/>
          <w:position w:val="0"/>
        </w:rPr>
        <w:t>、 《光伏发电工程验收》</w:t>
      </w:r>
      <w:r>
        <w:rPr>
          <w:rFonts w:ascii="Times New Roman" w:eastAsia="Times New Roman" w:hAnsi="Times New Roman" w:cs="Times New Roman"/>
          <w:color w:val="000000"/>
          <w:spacing w:val="0"/>
          <w:w w:val="100"/>
          <w:position w:val="0"/>
        </w:rPr>
        <w:t>GBT-50796-2012</w:t>
      </w:r>
      <w:r>
        <w:rPr>
          <w:color w:val="000000"/>
          <w:spacing w:val="0"/>
          <w:w w:val="100"/>
          <w:position w:val="0"/>
        </w:rPr>
        <w:t>等国家相关标准。报告期内，公司严格按照国家法律法规及公司制 度进行管控，落实三级安全管理体系，以及</w:t>
      </w:r>
      <w:r>
        <w:rPr>
          <w:rFonts w:ascii="Times New Roman" w:eastAsia="Times New Roman" w:hAnsi="Times New Roman" w:cs="Times New Roman"/>
          <w:color w:val="000000"/>
          <w:spacing w:val="0"/>
          <w:w w:val="100"/>
          <w:position w:val="0"/>
        </w:rPr>
        <w:t>ISO</w:t>
      </w:r>
      <w:r>
        <w:rPr>
          <w:color w:val="000000"/>
          <w:spacing w:val="0"/>
          <w:w w:val="100"/>
          <w:position w:val="0"/>
        </w:rPr>
        <w:t>、</w:t>
      </w:r>
      <w:r>
        <w:rPr>
          <w:rFonts w:ascii="Times New Roman" w:eastAsia="Times New Roman" w:hAnsi="Times New Roman" w:cs="Times New Roman"/>
          <w:color w:val="000000"/>
          <w:spacing w:val="0"/>
          <w:w w:val="100"/>
          <w:position w:val="0"/>
        </w:rPr>
        <w:t>OHSAS</w:t>
      </w:r>
      <w:r>
        <w:rPr>
          <w:color w:val="000000"/>
          <w:spacing w:val="0"/>
          <w:w w:val="100"/>
          <w:position w:val="0"/>
        </w:rPr>
        <w:t>等国际标准，各项要求有效落实。</w:t>
      </w:r>
    </w:p>
    <w:p>
      <w:pPr>
        <w:pStyle w:val="Style33"/>
        <w:keepNext w:val="0"/>
        <w:keepLines w:val="0"/>
        <w:widowControl w:val="0"/>
        <w:shd w:val="clear" w:color="auto" w:fill="auto"/>
        <w:tabs>
          <w:tab w:pos="981" w:val="left"/>
        </w:tabs>
        <w:bidi w:val="0"/>
        <w:spacing w:before="0" w:after="0" w:line="470" w:lineRule="exact"/>
        <w:ind w:left="0" w:right="0" w:firstLine="440"/>
        <w:jc w:val="both"/>
      </w:pPr>
      <w:bookmarkStart w:id="71" w:name="bookmark71"/>
      <w:r>
        <w:rPr>
          <w:color w:val="000000"/>
          <w:spacing w:val="0"/>
          <w:w w:val="100"/>
          <w:position w:val="0"/>
        </w:rPr>
        <w:t>（</w:t>
      </w:r>
      <w:bookmarkEnd w:id="71"/>
      <w:r>
        <w:rPr>
          <w:color w:val="000000"/>
          <w:spacing w:val="0"/>
          <w:w w:val="100"/>
          <w:position w:val="0"/>
        </w:rPr>
        <w:t>六）</w:t>
        <w:tab/>
        <w:t>报告期内安全生产制度的运行情况</w:t>
      </w:r>
    </w:p>
    <w:p>
      <w:pPr>
        <w:pStyle w:val="Style33"/>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 xml:space="preserve">为提高公司项目的安全文明的管理水平，预防与杜绝安全生产事故的发生，公司制定了《安全生产管 理制度》，以各项安全生产法律、法规、行业安全生产管理标准为准绳，以监督巡检、应急预案演练和落 </w:t>
      </w:r>
      <w:r>
        <w:rPr>
          <w:color w:val="000000"/>
          <w:spacing w:val="0"/>
          <w:w w:val="100"/>
          <w:position w:val="0"/>
        </w:rPr>
        <w:t>实责任制为主要手段，突出重点，夯实基础，加强对安全生产工作的监督管理，促进了各项安全措施的落 实。报告期内，公司组织开展了以</w:t>
      </w:r>
      <w:r>
        <w:rPr>
          <w:rFonts w:ascii="Times New Roman" w:eastAsia="Times New Roman" w:hAnsi="Times New Roman" w:cs="Times New Roman"/>
          <w:color w:val="000000"/>
          <w:spacing w:val="0"/>
          <w:w w:val="100"/>
          <w:position w:val="0"/>
        </w:rPr>
        <w:t>“</w:t>
      </w:r>
      <w:r>
        <w:rPr>
          <w:color w:val="000000"/>
          <w:spacing w:val="0"/>
          <w:w w:val="100"/>
          <w:position w:val="0"/>
        </w:rPr>
        <w:t>防风险、除隐患、遏事故</w:t>
      </w:r>
      <w:r>
        <w:rPr>
          <w:rFonts w:ascii="Times New Roman" w:eastAsia="Times New Roman" w:hAnsi="Times New Roman" w:cs="Times New Roman"/>
          <w:color w:val="000000"/>
          <w:spacing w:val="0"/>
          <w:w w:val="100"/>
          <w:position w:val="0"/>
        </w:rPr>
        <w:t>''</w:t>
      </w:r>
      <w:r>
        <w:rPr>
          <w:color w:val="000000"/>
          <w:spacing w:val="0"/>
          <w:w w:val="100"/>
          <w:position w:val="0"/>
        </w:rPr>
        <w:t>为主题的</w:t>
      </w:r>
      <w:r>
        <w:rPr>
          <w:rFonts w:ascii="Times New Roman" w:eastAsia="Times New Roman" w:hAnsi="Times New Roman" w:cs="Times New Roman"/>
          <w:color w:val="000000"/>
          <w:spacing w:val="0"/>
          <w:w w:val="100"/>
          <w:position w:val="0"/>
        </w:rPr>
        <w:t>“</w:t>
      </w:r>
      <w:r>
        <w:rPr>
          <w:color w:val="000000"/>
          <w:spacing w:val="0"/>
          <w:w w:val="100"/>
          <w:position w:val="0"/>
        </w:rPr>
        <w:t>安全生产月</w:t>
      </w:r>
      <w:r>
        <w:rPr>
          <w:rFonts w:ascii="Times New Roman" w:eastAsia="Times New Roman" w:hAnsi="Times New Roman" w:cs="Times New Roman"/>
          <w:color w:val="000000"/>
          <w:spacing w:val="0"/>
          <w:w w:val="100"/>
          <w:position w:val="0"/>
        </w:rPr>
        <w:t>”</w:t>
      </w:r>
      <w:r>
        <w:rPr>
          <w:color w:val="000000"/>
          <w:spacing w:val="0"/>
          <w:w w:val="100"/>
          <w:position w:val="0"/>
        </w:rPr>
        <w:t>活动，持续强化安全 意识宣贯，促进企业安全运行</w:t>
      </w:r>
      <w:r>
        <w:rPr>
          <w:color w:val="000000"/>
          <w:spacing w:val="0"/>
          <w:w w:val="100"/>
          <w:position w:val="0"/>
        </w:rPr>
        <w:t>，</w:t>
      </w:r>
      <w:r>
        <w:rPr>
          <w:color w:val="000000"/>
          <w:spacing w:val="0"/>
          <w:w w:val="100"/>
          <w:position w:val="0"/>
        </w:rPr>
        <w:t>杜绝企业重大安全责任事故。</w:t>
      </w:r>
    </w:p>
    <w:p>
      <w:pPr>
        <w:pStyle w:val="Style22"/>
        <w:keepNext/>
        <w:keepLines/>
        <w:widowControl w:val="0"/>
        <w:shd w:val="clear" w:color="auto" w:fill="auto"/>
        <w:bidi w:val="0"/>
        <w:spacing w:before="0" w:after="380" w:line="240" w:lineRule="auto"/>
        <w:ind w:left="0" w:right="0" w:firstLine="0"/>
        <w:jc w:val="both"/>
      </w:pPr>
      <w:bookmarkStart w:id="72" w:name="bookmark72"/>
      <w:bookmarkStart w:id="73" w:name="bookmark73"/>
      <w:bookmarkStart w:id="74" w:name="bookmark74"/>
      <w:bookmarkStart w:id="75" w:name="bookmark75"/>
      <w:r>
        <w:rPr>
          <w:color w:val="000000"/>
          <w:spacing w:val="0"/>
          <w:w w:val="100"/>
          <w:position w:val="0"/>
        </w:rPr>
        <w:t>二</w:t>
      </w:r>
      <w:bookmarkEnd w:id="74"/>
      <w:r>
        <w:rPr>
          <w:color w:val="000000"/>
          <w:spacing w:val="0"/>
          <w:w w:val="100"/>
          <w:position w:val="0"/>
        </w:rPr>
        <w:t>、主要资产重大变化情况</w:t>
      </w:r>
      <w:bookmarkEnd w:id="72"/>
      <w:bookmarkEnd w:id="73"/>
      <w:bookmarkEnd w:id="75"/>
    </w:p>
    <w:p>
      <w:pPr>
        <w:pStyle w:val="Style30"/>
        <w:keepNext/>
        <w:keepLines/>
        <w:widowControl w:val="0"/>
        <w:shd w:val="clear" w:color="auto" w:fill="auto"/>
        <w:bidi w:val="0"/>
        <w:spacing w:before="0" w:after="80" w:line="480" w:lineRule="auto"/>
        <w:ind w:left="0" w:right="0" w:firstLine="0"/>
        <w:jc w:val="both"/>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1</w:t>
      </w:r>
      <w:bookmarkEnd w:id="78"/>
      <w:r>
        <w:rPr>
          <w:color w:val="000000"/>
          <w:spacing w:val="0"/>
          <w:w w:val="100"/>
          <w:position w:val="0"/>
        </w:rPr>
        <w:t>、主要资产重大变化情况</w:t>
      </w:r>
      <w:bookmarkEnd w:id="76"/>
      <w:bookmarkEnd w:id="77"/>
      <w:bookmarkEnd w:id="79"/>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主要系新能源电站在建工程转固</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主要系子公司购买土地使用权以及内部研发转入增加</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主要系新能源电站在建工程转固及计提在建工程减值准备使在建工程减少</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主要系本期使用应收票据结算增加</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主要系本期收回前期应收账款的影响</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主要系本期收回保证金及往来款的影响</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主要系本期新能源、生态环保业务形成已完工未结算资产减少</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主要系上期理财产品到期收回及使用前期留抵税额的影响</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主要系本期生产性生物资产投资增加的影响</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主要系本期计提商誉减值准备的影响</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主要系坏账转回导致递延所得税资产减少的影响</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主要系预付新能源电站投资款及</w:t>
            </w:r>
            <w:r>
              <w:rPr>
                <w:color w:val="000000"/>
                <w:spacing w:val="0"/>
                <w:w w:val="100"/>
                <w:position w:val="0"/>
                <w:sz w:val="18"/>
                <w:szCs w:val="18"/>
              </w:rPr>
              <w:t>PPP</w:t>
            </w:r>
            <w:r>
              <w:rPr>
                <w:rFonts w:ascii="SimSun" w:eastAsia="SimSun" w:hAnsi="SimSun" w:cs="SimSun"/>
                <w:color w:val="000000"/>
                <w:spacing w:val="0"/>
                <w:w w:val="100"/>
                <w:position w:val="0"/>
                <w:sz w:val="17"/>
                <w:szCs w:val="17"/>
              </w:rPr>
              <w:t>项目投资款的增加</w:t>
            </w:r>
          </w:p>
        </w:tc>
      </w:tr>
    </w:tbl>
    <w:p>
      <w:pPr>
        <w:widowControl w:val="0"/>
        <w:spacing w:after="79" w:line="1" w:lineRule="exact"/>
      </w:pPr>
    </w:p>
    <w:p>
      <w:pPr>
        <w:pStyle w:val="Style30"/>
        <w:keepNext/>
        <w:keepLines/>
        <w:widowControl w:val="0"/>
        <w:shd w:val="clear" w:color="auto" w:fill="auto"/>
        <w:bidi w:val="0"/>
        <w:spacing w:before="0" w:after="380" w:line="470" w:lineRule="exact"/>
        <w:ind w:left="0" w:right="0" w:firstLine="0"/>
        <w:jc w:val="both"/>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2</w:t>
      </w:r>
      <w:bookmarkEnd w:id="82"/>
      <w:r>
        <w:rPr>
          <w:color w:val="000000"/>
          <w:spacing w:val="0"/>
          <w:w w:val="100"/>
          <w:position w:val="0"/>
        </w:rPr>
        <w:t>、主要境外资产情况</w:t>
      </w:r>
      <w:bookmarkEnd w:id="80"/>
      <w:bookmarkEnd w:id="81"/>
      <w:bookmarkEnd w:id="83"/>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180" w:line="240" w:lineRule="auto"/>
        <w:ind w:left="0" w:right="0" w:firstLine="0"/>
        <w:jc w:val="both"/>
      </w:pPr>
      <w:bookmarkStart w:id="84" w:name="bookmark84"/>
      <w:bookmarkStart w:id="85" w:name="bookmark85"/>
      <w:bookmarkStart w:id="86" w:name="bookmark86"/>
      <w:bookmarkStart w:id="87" w:name="bookmark87"/>
      <w:r>
        <w:rPr>
          <w:color w:val="000000"/>
          <w:spacing w:val="0"/>
          <w:w w:val="100"/>
          <w:position w:val="0"/>
        </w:rPr>
        <w:t>三</w:t>
      </w:r>
      <w:bookmarkEnd w:id="86"/>
      <w:r>
        <w:rPr>
          <w:color w:val="000000"/>
          <w:spacing w:val="0"/>
          <w:w w:val="100"/>
          <w:position w:val="0"/>
        </w:rPr>
        <w:t>、核心竞争力分析</w:t>
      </w:r>
      <w:bookmarkEnd w:id="84"/>
      <w:bookmarkEnd w:id="85"/>
      <w:bookmarkEnd w:id="87"/>
    </w:p>
    <w:p>
      <w:pPr>
        <w:pStyle w:val="Style33"/>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报告期内，公司的核心竞争能力没有发生重大的变化，各竞争力要素均衡发展，公司总体竞争力得到 进一步巩固和提升，未出现可能影响公司未来经营的重大变化。</w:t>
      </w:r>
    </w:p>
    <w:p>
      <w:pPr>
        <w:pStyle w:val="Style33"/>
        <w:keepNext w:val="0"/>
        <w:keepLines w:val="0"/>
        <w:widowControl w:val="0"/>
        <w:shd w:val="clear" w:color="auto" w:fill="auto"/>
        <w:bidi w:val="0"/>
        <w:spacing w:before="0" w:after="0" w:line="470" w:lineRule="exact"/>
        <w:ind w:left="0" w:right="0" w:firstLine="440"/>
        <w:jc w:val="both"/>
      </w:pPr>
      <w:bookmarkStart w:id="88" w:name="bookmark88"/>
      <w:r>
        <w:rPr>
          <w:color w:val="000000"/>
          <w:spacing w:val="0"/>
          <w:w w:val="100"/>
          <w:position w:val="0"/>
        </w:rPr>
        <w:t>（</w:t>
      </w:r>
      <w:bookmarkEnd w:id="88"/>
      <w:r>
        <w:rPr>
          <w:color w:val="000000"/>
          <w:spacing w:val="0"/>
          <w:w w:val="100"/>
          <w:position w:val="0"/>
        </w:rPr>
        <w:t>一）环保和新能源综合服务的独有商业模式</w:t>
      </w:r>
    </w:p>
    <w:p>
      <w:pPr>
        <w:pStyle w:val="Style33"/>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公司始终秉承</w:t>
      </w:r>
      <w:r>
        <w:rPr>
          <w:rFonts w:ascii="Times New Roman" w:eastAsia="Times New Roman" w:hAnsi="Times New Roman" w:cs="Times New Roman"/>
          <w:color w:val="000000"/>
          <w:spacing w:val="0"/>
          <w:w w:val="100"/>
          <w:position w:val="0"/>
        </w:rPr>
        <w:t>“</w:t>
      </w:r>
      <w:r>
        <w:rPr>
          <w:color w:val="000000"/>
          <w:spacing w:val="0"/>
          <w:w w:val="100"/>
          <w:position w:val="0"/>
        </w:rPr>
        <w:t>让天更蓝，让生活更美好</w:t>
      </w:r>
      <w:r>
        <w:rPr>
          <w:rFonts w:ascii="Times New Roman" w:eastAsia="Times New Roman" w:hAnsi="Times New Roman" w:cs="Times New Roman"/>
          <w:color w:val="000000"/>
          <w:spacing w:val="0"/>
          <w:w w:val="100"/>
          <w:position w:val="0"/>
        </w:rPr>
        <w:t>”</w:t>
      </w:r>
      <w:r>
        <w:rPr>
          <w:color w:val="000000"/>
          <w:spacing w:val="0"/>
          <w:w w:val="100"/>
          <w:position w:val="0"/>
        </w:rPr>
        <w:t>的企业愿景，聚焦绿色产业，巩固推进</w:t>
      </w:r>
      <w:r>
        <w:rPr>
          <w:rFonts w:ascii="Times New Roman" w:eastAsia="Times New Roman" w:hAnsi="Times New Roman" w:cs="Times New Roman"/>
          <w:color w:val="000000"/>
          <w:spacing w:val="0"/>
          <w:w w:val="100"/>
          <w:position w:val="0"/>
        </w:rPr>
        <w:t>“</w:t>
      </w:r>
      <w:r>
        <w:rPr>
          <w:color w:val="000000"/>
          <w:spacing w:val="0"/>
          <w:w w:val="100"/>
          <w:position w:val="0"/>
        </w:rPr>
        <w:t>智慧能源</w:t>
      </w:r>
      <w:r>
        <w:rPr>
          <w:rFonts w:ascii="Times New Roman" w:eastAsia="Times New Roman" w:hAnsi="Times New Roman" w:cs="Times New Roman"/>
          <w:color w:val="000000"/>
          <w:spacing w:val="0"/>
          <w:w w:val="100"/>
          <w:position w:val="0"/>
        </w:rPr>
        <w:t>+</w:t>
      </w:r>
      <w:r>
        <w:rPr>
          <w:color w:val="000000"/>
          <w:spacing w:val="0"/>
          <w:w w:val="100"/>
          <w:position w:val="0"/>
        </w:rPr>
        <w:t>环保治理</w:t>
      </w:r>
      <w:r>
        <w:rPr>
          <w:rFonts w:ascii="Times New Roman" w:eastAsia="Times New Roman" w:hAnsi="Times New Roman" w:cs="Times New Roman"/>
          <w:color w:val="000000"/>
          <w:spacing w:val="0"/>
          <w:w w:val="100"/>
          <w:position w:val="0"/>
        </w:rPr>
        <w:t xml:space="preserve">” </w:t>
      </w:r>
      <w:r>
        <w:rPr>
          <w:color w:val="000000"/>
          <w:spacing w:val="0"/>
          <w:w w:val="100"/>
          <w:position w:val="0"/>
        </w:rPr>
        <w:t>独特的产业模式，致力于成为领先的环保新能源综合服务商。公司凭借独特的商业模式、强大的产业整合 能力及市场开拓能力等优势，通过打造综合化服务平台，为客户提供智慧能源运营服务、生态环境治理等 一揽子绿色发展解决方案，核心竞争力和抗风险能力得以提升。</w:t>
      </w:r>
    </w:p>
    <w:p>
      <w:pPr>
        <w:pStyle w:val="Style33"/>
        <w:keepNext w:val="0"/>
        <w:keepLines w:val="0"/>
        <w:widowControl w:val="0"/>
        <w:shd w:val="clear" w:color="auto" w:fill="auto"/>
        <w:tabs>
          <w:tab w:pos="974" w:val="left"/>
        </w:tabs>
        <w:bidi w:val="0"/>
        <w:spacing w:before="0" w:after="0" w:line="468" w:lineRule="exact"/>
        <w:ind w:left="0" w:right="0" w:firstLine="440"/>
        <w:jc w:val="both"/>
      </w:pPr>
      <w:bookmarkStart w:id="89" w:name="bookmark89"/>
      <w:r>
        <w:rPr>
          <w:color w:val="000000"/>
          <w:spacing w:val="0"/>
          <w:w w:val="100"/>
          <w:position w:val="0"/>
        </w:rPr>
        <w:t>（</w:t>
      </w:r>
      <w:bookmarkEnd w:id="89"/>
      <w:r>
        <w:rPr>
          <w:color w:val="000000"/>
          <w:spacing w:val="0"/>
          <w:w w:val="100"/>
          <w:position w:val="0"/>
        </w:rPr>
        <w:t>二）</w:t>
        <w:tab/>
        <w:t>新能源电站经营的规模优势和运营经验</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公司拥有新能源电站开发、工程设计、施工建设、智能运维、技术研发等完整的发电业务体系。公司 依托强大的业务体系后盾，通过近年来新能源项目开发的业务积累，在全国百余县市建立了电站项目公司， 同当地政府保持了良好的合作关系。截至报告期末，公司并网电站规模已超</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GW</w:t>
      </w:r>
      <w:r>
        <w:rPr>
          <w:color w:val="000000"/>
          <w:spacing w:val="0"/>
          <w:w w:val="100"/>
          <w:position w:val="0"/>
        </w:rPr>
        <w:t>，</w:t>
      </w:r>
      <w:r>
        <w:rPr>
          <w:color w:val="000000"/>
          <w:spacing w:val="0"/>
          <w:w w:val="100"/>
          <w:position w:val="0"/>
        </w:rPr>
        <w:t>入选</w:t>
      </w:r>
      <w:r>
        <w:rPr>
          <w:rFonts w:ascii="Times New Roman" w:eastAsia="Times New Roman" w:hAnsi="Times New Roman" w:cs="Times New Roman"/>
          <w:color w:val="000000"/>
          <w:spacing w:val="0"/>
          <w:w w:val="100"/>
          <w:position w:val="0"/>
        </w:rPr>
        <w:t>2019</w:t>
      </w:r>
      <w:r>
        <w:rPr>
          <w:color w:val="000000"/>
          <w:spacing w:val="0"/>
          <w:w w:val="100"/>
          <w:position w:val="0"/>
        </w:rPr>
        <w:t>全球新能源企 业</w:t>
      </w:r>
      <w:r>
        <w:rPr>
          <w:rFonts w:ascii="Times New Roman" w:eastAsia="Times New Roman" w:hAnsi="Times New Roman" w:cs="Times New Roman"/>
          <w:color w:val="000000"/>
          <w:spacing w:val="0"/>
          <w:w w:val="100"/>
          <w:position w:val="0"/>
        </w:rPr>
        <w:t>500</w:t>
      </w:r>
      <w:r>
        <w:rPr>
          <w:color w:val="000000"/>
          <w:spacing w:val="0"/>
          <w:w w:val="100"/>
          <w:position w:val="0"/>
        </w:rPr>
        <w:t>强榜单第</w:t>
      </w:r>
      <w:r>
        <w:rPr>
          <w:rFonts w:ascii="Times New Roman" w:eastAsia="Times New Roman" w:hAnsi="Times New Roman" w:cs="Times New Roman"/>
          <w:color w:val="000000"/>
          <w:spacing w:val="0"/>
          <w:w w:val="100"/>
          <w:position w:val="0"/>
        </w:rPr>
        <w:t>190</w:t>
      </w:r>
      <w:r>
        <w:rPr>
          <w:color w:val="000000"/>
          <w:spacing w:val="0"/>
          <w:w w:val="100"/>
          <w:position w:val="0"/>
        </w:rPr>
        <w:t>位。公司已建成电站批复电价维持二十年不变，可带来持续稳定的业绩保障，是公司重 要的压舱石资产。公司搭建的拥有自主知识产权的光伏电站远程集控智能运维平台已投运，经过不断优化 升级，该系统已实现了光伏电站大数据采集、智能化故障诊断、运维管理全周期的智慧能源管理，为电站 的安全平稳运营提供重要保障。</w:t>
      </w:r>
    </w:p>
    <w:p>
      <w:pPr>
        <w:pStyle w:val="Style33"/>
        <w:keepNext w:val="0"/>
        <w:keepLines w:val="0"/>
        <w:widowControl w:val="0"/>
        <w:shd w:val="clear" w:color="auto" w:fill="auto"/>
        <w:tabs>
          <w:tab w:pos="974" w:val="left"/>
        </w:tabs>
        <w:bidi w:val="0"/>
        <w:spacing w:before="0" w:after="0" w:line="468" w:lineRule="exact"/>
        <w:ind w:left="0" w:right="0" w:firstLine="440"/>
        <w:jc w:val="both"/>
      </w:pPr>
      <w:bookmarkStart w:id="90" w:name="bookmark90"/>
      <w:r>
        <w:rPr>
          <w:color w:val="000000"/>
          <w:spacing w:val="0"/>
          <w:w w:val="100"/>
          <w:position w:val="0"/>
        </w:rPr>
        <w:t>（</w:t>
      </w:r>
      <w:bookmarkEnd w:id="90"/>
      <w:r>
        <w:rPr>
          <w:color w:val="000000"/>
          <w:spacing w:val="0"/>
          <w:w w:val="100"/>
          <w:position w:val="0"/>
        </w:rPr>
        <w:t>三）</w:t>
        <w:tab/>
        <w:t>产业整合优势</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经过多年产业积累和产业链整合，公司快速实现了新能源产业布局，并成功拓宽了绿色产业链，全面 布局生态环保行业，涉足生态修复、流域治理、水处理等业务领域，积累了丰富的行业整合经验，也为公 司未来围绕环保新能源综合服务产业链进行前瞻性布局、开拓新的增长动能提供了有力保障。</w:t>
      </w:r>
    </w:p>
    <w:p>
      <w:pPr>
        <w:pStyle w:val="Style33"/>
        <w:keepNext w:val="0"/>
        <w:keepLines w:val="0"/>
        <w:widowControl w:val="0"/>
        <w:shd w:val="clear" w:color="auto" w:fill="auto"/>
        <w:tabs>
          <w:tab w:pos="974" w:val="left"/>
        </w:tabs>
        <w:bidi w:val="0"/>
        <w:spacing w:before="0" w:after="0" w:line="468" w:lineRule="exact"/>
        <w:ind w:left="0" w:right="0" w:firstLine="440"/>
        <w:jc w:val="both"/>
      </w:pPr>
      <w:bookmarkStart w:id="91" w:name="bookmark91"/>
      <w:r>
        <w:rPr>
          <w:color w:val="000000"/>
          <w:spacing w:val="0"/>
          <w:w w:val="100"/>
          <w:position w:val="0"/>
        </w:rPr>
        <w:t>（</w:t>
      </w:r>
      <w:bookmarkEnd w:id="91"/>
      <w:r>
        <w:rPr>
          <w:color w:val="000000"/>
          <w:spacing w:val="0"/>
          <w:w w:val="100"/>
          <w:position w:val="0"/>
        </w:rPr>
        <w:t>四）</w:t>
        <w:tab/>
        <w:t>强有力的团队战斗力</w:t>
      </w:r>
    </w:p>
    <w:p>
      <w:pPr>
        <w:pStyle w:val="Style33"/>
        <w:keepNext w:val="0"/>
        <w:keepLines w:val="0"/>
        <w:widowControl w:val="0"/>
        <w:shd w:val="clear" w:color="auto" w:fill="auto"/>
        <w:bidi w:val="0"/>
        <w:spacing w:before="0" w:after="0" w:line="467" w:lineRule="exact"/>
        <w:ind w:left="0" w:right="0" w:firstLine="440"/>
        <w:jc w:val="both"/>
        <w:sectPr>
          <w:footnotePr>
            <w:pos w:val="pageBottom"/>
            <w:numFmt w:val="decimal"/>
            <w:numRestart w:val="continuous"/>
          </w:footnotePr>
          <w:pgSz w:w="11900" w:h="16840"/>
          <w:pgMar w:top="1321" w:right="1014" w:bottom="1441" w:left="1094" w:header="0" w:footer="3" w:gutter="0"/>
          <w:cols w:space="720"/>
          <w:noEndnote/>
          <w:rtlGutter w:val="0"/>
          <w:docGrid w:linePitch="360"/>
        </w:sectPr>
      </w:pPr>
      <w:r>
        <w:rPr>
          <w:color w:val="000000"/>
          <w:spacing w:val="0"/>
          <w:w w:val="100"/>
          <w:position w:val="0"/>
        </w:rPr>
        <w:t>公司高度重视人才培养，不断加强人力资源管理能力建设，积极营造尊重人才、爱护人才的企业氛围， 积极为员工干事创业和实现价值提供机会和条件，营造良性的学习与竞争氛围，努力形成团结奋进、和谐 创业的合力，建设大气包容、和谐奋进的合作共事平台。通过近几年规模化的运作，公司团队综合能力进 一步增强、队伍结构更加优化、人才使用效能不断提高。</w:t>
      </w:r>
    </w:p>
    <w:p>
      <w:pPr>
        <w:pStyle w:val="Style10"/>
        <w:keepNext/>
        <w:keepLines/>
        <w:widowControl w:val="0"/>
        <w:shd w:val="clear" w:color="auto" w:fill="auto"/>
        <w:bidi w:val="0"/>
        <w:spacing w:before="600" w:line="240" w:lineRule="auto"/>
        <w:ind w:left="0" w:right="0" w:firstLine="0"/>
        <w:jc w:val="center"/>
      </w:pPr>
      <w:bookmarkStart w:id="92" w:name="bookmark92"/>
      <w:bookmarkStart w:id="93" w:name="bookmark93"/>
      <w:bookmarkStart w:id="94" w:name="bookmark94"/>
      <w:r>
        <w:rPr>
          <w:color w:val="000000"/>
          <w:spacing w:val="0"/>
          <w:w w:val="100"/>
          <w:position w:val="0"/>
        </w:rPr>
        <w:t>第四节经营情况讨论与分析</w:t>
      </w:r>
      <w:bookmarkEnd w:id="92"/>
      <w:bookmarkEnd w:id="93"/>
      <w:bookmarkEnd w:id="94"/>
    </w:p>
    <w:p>
      <w:pPr>
        <w:pStyle w:val="Style22"/>
        <w:keepNext/>
        <w:keepLines/>
        <w:widowControl w:val="0"/>
        <w:shd w:val="clear" w:color="auto" w:fill="auto"/>
        <w:bidi w:val="0"/>
        <w:spacing w:before="0" w:after="220" w:line="240" w:lineRule="auto"/>
        <w:ind w:left="0" w:right="0" w:firstLine="0"/>
        <w:jc w:val="both"/>
      </w:pPr>
      <w:bookmarkStart w:id="95" w:name="bookmark95"/>
      <w:bookmarkStart w:id="96" w:name="bookmark96"/>
      <w:bookmarkStart w:id="97" w:name="bookmark97"/>
      <w:bookmarkStart w:id="98" w:name="bookmark98"/>
      <w:bookmarkStart w:id="99" w:name="bookmark99"/>
      <w:r>
        <w:rPr>
          <w:color w:val="000000"/>
          <w:spacing w:val="0"/>
          <w:w w:val="100"/>
          <w:position w:val="0"/>
        </w:rPr>
        <w:t>一</w:t>
      </w:r>
      <w:bookmarkEnd w:id="98"/>
      <w:r>
        <w:rPr>
          <w:color w:val="000000"/>
          <w:spacing w:val="0"/>
          <w:w w:val="100"/>
          <w:position w:val="0"/>
        </w:rPr>
        <w:t>、概述</w:t>
      </w:r>
      <w:bookmarkEnd w:id="96"/>
      <w:bookmarkEnd w:id="97"/>
      <w:bookmarkEnd w:id="99"/>
      <w:bookmarkEnd w:id="95"/>
    </w:p>
    <w:p>
      <w:pPr>
        <w:pStyle w:val="Style33"/>
        <w:keepNext w:val="0"/>
        <w:keepLines w:val="0"/>
        <w:widowControl w:val="0"/>
        <w:shd w:val="clear" w:color="auto" w:fill="auto"/>
        <w:bidi w:val="0"/>
        <w:spacing w:before="0" w:after="0" w:line="446" w:lineRule="exact"/>
        <w:ind w:left="0" w:right="0" w:firstLine="440"/>
        <w:jc w:val="both"/>
      </w:pPr>
      <w:r>
        <w:rPr>
          <w:color w:val="000000"/>
          <w:spacing w:val="0"/>
          <w:w w:val="100"/>
          <w:position w:val="0"/>
        </w:rPr>
        <w:t>报告期内，公司坚持聚焦主业的发展战略，巩固推进环保新能源综合服务商这一独特产业模式，持续 推动科学化管理与精细化运营。但受宏观经济形势、行业政策波动及市场需求转换，及公司计提资产减值 等因素影响，年度经营业绩欠佳。</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68.06</w:t>
      </w:r>
      <w:r>
        <w:rPr>
          <w:color w:val="000000"/>
          <w:spacing w:val="0"/>
          <w:w w:val="100"/>
          <w:position w:val="0"/>
        </w:rPr>
        <w:t>亿元，同比下降</w:t>
      </w:r>
      <w:r>
        <w:rPr>
          <w:rFonts w:ascii="Times New Roman" w:eastAsia="Times New Roman" w:hAnsi="Times New Roman" w:cs="Times New Roman"/>
          <w:color w:val="000000"/>
          <w:spacing w:val="0"/>
          <w:w w:val="100"/>
          <w:position w:val="0"/>
        </w:rPr>
        <w:t>21.56%</w:t>
      </w:r>
      <w:r>
        <w:rPr>
          <w:color w:val="000000"/>
          <w:spacing w:val="0"/>
          <w:w w:val="100"/>
          <w:position w:val="0"/>
        </w:rPr>
        <w:t>，实现归母净利润</w:t>
      </w:r>
      <w:r>
        <w:rPr>
          <w:rFonts w:ascii="Times New Roman" w:eastAsia="Times New Roman" w:hAnsi="Times New Roman" w:cs="Times New Roman"/>
          <w:color w:val="000000"/>
          <w:spacing w:val="0"/>
          <w:w w:val="100"/>
          <w:position w:val="0"/>
        </w:rPr>
        <w:t>-9.57</w:t>
      </w:r>
      <w:r>
        <w:rPr>
          <w:color w:val="000000"/>
          <w:spacing w:val="0"/>
          <w:w w:val="100"/>
          <w:position w:val="0"/>
        </w:rPr>
        <w:t xml:space="preserve">亿元，同比下降 </w:t>
      </w:r>
      <w:r>
        <w:rPr>
          <w:rFonts w:ascii="Times New Roman" w:eastAsia="Times New Roman" w:hAnsi="Times New Roman" w:cs="Times New Roman"/>
          <w:color w:val="000000"/>
          <w:spacing w:val="0"/>
          <w:w w:val="100"/>
          <w:position w:val="0"/>
        </w:rPr>
        <w:t>185.63%</w:t>
      </w:r>
      <w:r>
        <w:rPr>
          <w:color w:val="000000"/>
          <w:spacing w:val="0"/>
          <w:w w:val="100"/>
          <w:position w:val="0"/>
        </w:rPr>
        <w:t>。报告期末，公司总资产为</w:t>
      </w:r>
      <w:r>
        <w:rPr>
          <w:rFonts w:ascii="Times New Roman" w:eastAsia="Times New Roman" w:hAnsi="Times New Roman" w:cs="Times New Roman"/>
          <w:color w:val="000000"/>
          <w:spacing w:val="0"/>
          <w:w w:val="100"/>
          <w:position w:val="0"/>
        </w:rPr>
        <w:t>309.87</w:t>
      </w:r>
      <w:r>
        <w:rPr>
          <w:color w:val="000000"/>
          <w:spacing w:val="0"/>
          <w:w w:val="100"/>
          <w:position w:val="0"/>
        </w:rPr>
        <w:t>亿元，归母净资产为</w:t>
      </w:r>
      <w:r>
        <w:rPr>
          <w:rFonts w:ascii="Times New Roman" w:eastAsia="Times New Roman" w:hAnsi="Times New Roman" w:cs="Times New Roman"/>
          <w:color w:val="000000"/>
          <w:spacing w:val="0"/>
          <w:w w:val="100"/>
          <w:position w:val="0"/>
        </w:rPr>
        <w:t>134.12</w:t>
      </w:r>
      <w:r>
        <w:rPr>
          <w:color w:val="000000"/>
          <w:spacing w:val="0"/>
          <w:w w:val="100"/>
          <w:position w:val="0"/>
        </w:rPr>
        <w:t>亿元。</w:t>
      </w:r>
    </w:p>
    <w:p>
      <w:pPr>
        <w:pStyle w:val="Style33"/>
        <w:keepNext w:val="0"/>
        <w:keepLines w:val="0"/>
        <w:widowControl w:val="0"/>
        <w:shd w:val="clear" w:color="auto" w:fill="auto"/>
        <w:tabs>
          <w:tab w:pos="999" w:val="left"/>
        </w:tabs>
        <w:bidi w:val="0"/>
        <w:spacing w:before="0" w:after="0" w:line="470" w:lineRule="exact"/>
        <w:ind w:left="0" w:right="0" w:firstLine="440"/>
        <w:jc w:val="both"/>
      </w:pPr>
      <w:bookmarkStart w:id="100" w:name="bookmark100"/>
      <w:r>
        <w:rPr>
          <w:color w:val="000000"/>
          <w:spacing w:val="0"/>
          <w:w w:val="100"/>
          <w:position w:val="0"/>
        </w:rPr>
        <w:t>（</w:t>
      </w:r>
      <w:bookmarkEnd w:id="100"/>
      <w:r>
        <w:rPr>
          <w:color w:val="000000"/>
          <w:spacing w:val="0"/>
          <w:w w:val="100"/>
          <w:position w:val="0"/>
        </w:rPr>
        <w:t>一）</w:t>
        <w:tab/>
        <w:t>新能源产业稳步推进，智慧能源战略升级</w:t>
      </w:r>
    </w:p>
    <w:p>
      <w:pPr>
        <w:pStyle w:val="Style33"/>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年，公司新能源光伏业务板块围绕</w:t>
      </w:r>
      <w:r>
        <w:rPr>
          <w:rFonts w:ascii="Times New Roman" w:eastAsia="Times New Roman" w:hAnsi="Times New Roman" w:cs="Times New Roman"/>
          <w:color w:val="000000"/>
          <w:spacing w:val="0"/>
          <w:w w:val="100"/>
          <w:position w:val="0"/>
        </w:rPr>
        <w:t>“</w:t>
      </w:r>
      <w:r>
        <w:rPr>
          <w:color w:val="000000"/>
          <w:spacing w:val="0"/>
          <w:w w:val="100"/>
          <w:position w:val="0"/>
        </w:rPr>
        <w:t>创新业务、突破发展</w:t>
      </w:r>
      <w:r>
        <w:rPr>
          <w:rFonts w:ascii="Times New Roman" w:eastAsia="Times New Roman" w:hAnsi="Times New Roman" w:cs="Times New Roman"/>
          <w:color w:val="000000"/>
          <w:spacing w:val="0"/>
          <w:w w:val="100"/>
          <w:position w:val="0"/>
        </w:rPr>
        <w:t>''</w:t>
      </w:r>
      <w:r>
        <w:rPr>
          <w:color w:val="000000"/>
          <w:spacing w:val="0"/>
          <w:w w:val="100"/>
          <w:position w:val="0"/>
        </w:rPr>
        <w:t>的主题，积极转变经营思路，业务与管 理双管齐下，实现业务有序推进，管理模式精益高效。</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报告期内，电站资产</w:t>
      </w:r>
      <w:r>
        <w:rPr>
          <w:rFonts w:ascii="Times New Roman" w:eastAsia="Times New Roman" w:hAnsi="Times New Roman" w:cs="Times New Roman"/>
          <w:color w:val="000000"/>
          <w:spacing w:val="0"/>
          <w:w w:val="100"/>
          <w:position w:val="0"/>
        </w:rPr>
        <w:t>“</w:t>
      </w:r>
      <w:r>
        <w:rPr>
          <w:color w:val="000000"/>
          <w:spacing w:val="0"/>
          <w:w w:val="100"/>
          <w:position w:val="0"/>
        </w:rPr>
        <w:t>压舱石</w:t>
      </w:r>
      <w:r>
        <w:rPr>
          <w:rFonts w:ascii="Times New Roman" w:eastAsia="Times New Roman" w:hAnsi="Times New Roman" w:cs="Times New Roman"/>
          <w:color w:val="000000"/>
          <w:spacing w:val="0"/>
          <w:w w:val="100"/>
          <w:position w:val="0"/>
        </w:rPr>
        <w:t>''</w:t>
      </w:r>
      <w:r>
        <w:rPr>
          <w:color w:val="000000"/>
          <w:spacing w:val="0"/>
          <w:w w:val="100"/>
          <w:position w:val="0"/>
        </w:rPr>
        <w:t>的战略定位进一步夯实，运维体系生产技术、生产经营与营销管理全面 提升，生产标准化体系逐步落地，发电量实现稳定增长。截止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月底，公司所拥有的光伏电站并网 装机量</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.16GW</w:t>
      </w:r>
      <w:r>
        <w:rPr>
          <w:color w:val="000000"/>
          <w:spacing w:val="0"/>
          <w:w w:val="100"/>
          <w:position w:val="0"/>
        </w:rPr>
        <w:t>，</w:t>
      </w:r>
      <w:r>
        <w:rPr>
          <w:color w:val="000000"/>
          <w:spacing w:val="0"/>
          <w:w w:val="100"/>
          <w:position w:val="0"/>
        </w:rPr>
        <w:t>电站遍布全国十多个省市地区，全年累计发电量</w:t>
      </w:r>
      <w:r>
        <w:rPr>
          <w:rFonts w:ascii="Times New Roman" w:eastAsia="Times New Roman" w:hAnsi="Times New Roman" w:cs="Times New Roman"/>
          <w:color w:val="000000"/>
          <w:spacing w:val="0"/>
          <w:w w:val="100"/>
          <w:position w:val="0"/>
        </w:rPr>
        <w:t>12.4</w:t>
      </w:r>
      <w:r>
        <w:rPr>
          <w:color w:val="000000"/>
          <w:spacing w:val="0"/>
          <w:w w:val="100"/>
          <w:position w:val="0"/>
        </w:rPr>
        <w:t>亿度，超发</w:t>
      </w:r>
      <w:r>
        <w:rPr>
          <w:rFonts w:ascii="Times New Roman" w:eastAsia="Times New Roman" w:hAnsi="Times New Roman" w:cs="Times New Roman"/>
          <w:color w:val="000000"/>
          <w:spacing w:val="0"/>
          <w:w w:val="100"/>
          <w:position w:val="0"/>
        </w:rPr>
        <w:t>5000</w:t>
      </w:r>
      <w:r>
        <w:rPr>
          <w:color w:val="000000"/>
          <w:spacing w:val="0"/>
          <w:w w:val="100"/>
          <w:position w:val="0"/>
        </w:rPr>
        <w:t>万度，大幅度增加了 回款，资产管理水平和运营效率持续提升，等效小时数</w:t>
      </w:r>
      <w:r>
        <w:rPr>
          <w:rFonts w:ascii="Times New Roman" w:eastAsia="Times New Roman" w:hAnsi="Times New Roman" w:cs="Times New Roman"/>
          <w:color w:val="000000"/>
          <w:spacing w:val="0"/>
          <w:w w:val="100"/>
          <w:position w:val="0"/>
        </w:rPr>
        <w:t>1318</w:t>
      </w:r>
      <w:r>
        <w:rPr>
          <w:color w:val="000000"/>
          <w:spacing w:val="0"/>
          <w:w w:val="100"/>
          <w:position w:val="0"/>
        </w:rPr>
        <w:t>小时，同比增加</w:t>
      </w:r>
      <w:r>
        <w:rPr>
          <w:rFonts w:ascii="Times New Roman" w:eastAsia="Times New Roman" w:hAnsi="Times New Roman" w:cs="Times New Roman"/>
          <w:color w:val="000000"/>
          <w:spacing w:val="0"/>
          <w:w w:val="100"/>
          <w:position w:val="0"/>
        </w:rPr>
        <w:t>20</w:t>
      </w:r>
      <w:r>
        <w:rPr>
          <w:color w:val="000000"/>
          <w:spacing w:val="0"/>
          <w:w w:val="100"/>
          <w:position w:val="0"/>
        </w:rPr>
        <w:t>小时；运维体系精细化管理 显效，电站盈利水平提升，对外承接光伏电站代运维项目</w:t>
      </w:r>
      <w:r>
        <w:rPr>
          <w:rFonts w:ascii="Times New Roman" w:eastAsia="Times New Roman" w:hAnsi="Times New Roman" w:cs="Times New Roman"/>
          <w:color w:val="000000"/>
          <w:spacing w:val="0"/>
          <w:w w:val="100"/>
          <w:position w:val="0"/>
        </w:rPr>
        <w:t>435MW</w:t>
      </w:r>
      <w:r>
        <w:rPr>
          <w:color w:val="000000"/>
          <w:spacing w:val="0"/>
          <w:w w:val="100"/>
          <w:position w:val="0"/>
        </w:rPr>
        <w:t>。</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依托国家</w:t>
      </w:r>
      <w:r>
        <w:rPr>
          <w:rFonts w:ascii="Times New Roman" w:eastAsia="Times New Roman" w:hAnsi="Times New Roman" w:cs="Times New Roman"/>
          <w:color w:val="000000"/>
          <w:spacing w:val="0"/>
          <w:w w:val="100"/>
          <w:position w:val="0"/>
        </w:rPr>
        <w:t>“</w:t>
      </w:r>
      <w:r>
        <w:rPr>
          <w:color w:val="000000"/>
          <w:spacing w:val="0"/>
          <w:w w:val="100"/>
          <w:position w:val="0"/>
        </w:rPr>
        <w:t>一带一路''发展战略，公司也积极尝试开拓海外市场，以柬埔寨西哈努克港</w:t>
      </w:r>
      <w:r>
        <w:rPr>
          <w:rFonts w:ascii="Times New Roman" w:eastAsia="Times New Roman" w:hAnsi="Times New Roman" w:cs="Times New Roman"/>
          <w:color w:val="000000"/>
          <w:spacing w:val="0"/>
          <w:w w:val="100"/>
          <w:position w:val="0"/>
        </w:rPr>
        <w:t>200MW</w:t>
      </w:r>
      <w:r>
        <w:rPr>
          <w:color w:val="000000"/>
          <w:spacing w:val="0"/>
          <w:w w:val="100"/>
          <w:position w:val="0"/>
        </w:rPr>
        <w:t>光伏发电 项目开发建设为契机，进一步打造自身在海外可再生能源项目开发、建设领域的优势，为后续更广泛地参 与国际市场竞争奠定基础。</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公司旗下自主研发的电站线下智能运维机器人已成功实现量产，并应用超过</w:t>
      </w:r>
      <w:r>
        <w:rPr>
          <w:rFonts w:ascii="Times New Roman" w:eastAsia="Times New Roman" w:hAnsi="Times New Roman" w:cs="Times New Roman"/>
          <w:color w:val="000000"/>
          <w:spacing w:val="0"/>
          <w:w w:val="100"/>
          <w:position w:val="0"/>
        </w:rPr>
        <w:t>1GW</w:t>
      </w:r>
      <w:r>
        <w:rPr>
          <w:color w:val="000000"/>
          <w:spacing w:val="0"/>
          <w:w w:val="100"/>
          <w:position w:val="0"/>
        </w:rPr>
        <w:t>的光伏电站，运行效 果获得客户高度好评，销量有望快速突破，加快了公司智慧能源业务的产业化进程，为公司未来提供了利 润增长点。</w:t>
      </w:r>
    </w:p>
    <w:p>
      <w:pPr>
        <w:pStyle w:val="Style33"/>
        <w:keepNext w:val="0"/>
        <w:keepLines w:val="0"/>
        <w:widowControl w:val="0"/>
        <w:shd w:val="clear" w:color="auto" w:fill="auto"/>
        <w:tabs>
          <w:tab w:pos="999" w:val="left"/>
        </w:tabs>
        <w:bidi w:val="0"/>
        <w:spacing w:before="0" w:after="0" w:line="470" w:lineRule="exact"/>
        <w:ind w:left="0" w:right="0" w:firstLine="440"/>
        <w:jc w:val="both"/>
      </w:pPr>
      <w:bookmarkStart w:id="101" w:name="bookmark101"/>
      <w:r>
        <w:rPr>
          <w:color w:val="000000"/>
          <w:spacing w:val="0"/>
          <w:w w:val="100"/>
          <w:position w:val="0"/>
        </w:rPr>
        <w:t>（</w:t>
      </w:r>
      <w:bookmarkEnd w:id="101"/>
      <w:r>
        <w:rPr>
          <w:color w:val="000000"/>
          <w:spacing w:val="0"/>
          <w:w w:val="100"/>
          <w:position w:val="0"/>
        </w:rPr>
        <w:t>二）</w:t>
        <w:tab/>
        <w:t>聚焦生态环保产业主业，实时调整业务策略</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报告期内，公司对原生态、环保业务板块相似的业务体系和方向进行了重新梳理，聚焦优质传统项目， 调整了部分利润低、风险高的非优质项目；重构了业务组织架构，整合生产团队和营销队伍，努力抓生产、 抢工期、保营收、促收款。公司在生态环保工程项目（包括</w:t>
      </w:r>
      <w:r>
        <w:rPr>
          <w:rFonts w:ascii="Times New Roman" w:eastAsia="Times New Roman" w:hAnsi="Times New Roman" w:cs="Times New Roman"/>
          <w:color w:val="000000"/>
          <w:spacing w:val="0"/>
          <w:w w:val="100"/>
          <w:position w:val="0"/>
        </w:rPr>
        <w:t>EPC</w:t>
      </w:r>
      <w:r>
        <w:rPr>
          <w:color w:val="000000"/>
          <w:spacing w:val="0"/>
          <w:w w:val="100"/>
          <w:position w:val="0"/>
        </w:rPr>
        <w:t>、</w:t>
      </w:r>
      <w:r>
        <w:rPr>
          <w:rFonts w:ascii="Times New Roman" w:eastAsia="Times New Roman" w:hAnsi="Times New Roman" w:cs="Times New Roman"/>
          <w:color w:val="000000"/>
          <w:spacing w:val="0"/>
          <w:w w:val="100"/>
          <w:position w:val="0"/>
        </w:rPr>
        <w:t>PPP</w:t>
      </w:r>
      <w:r>
        <w:rPr>
          <w:color w:val="000000"/>
          <w:spacing w:val="0"/>
          <w:w w:val="100"/>
          <w:position w:val="0"/>
        </w:rPr>
        <w:t>项目）的选择上，积极调整业务区 域，重点推进地方财力雄厚、支付能力有保障地区的业务；灵活采用</w:t>
      </w:r>
      <w:r>
        <w:rPr>
          <w:rFonts w:ascii="Times New Roman" w:eastAsia="Times New Roman" w:hAnsi="Times New Roman" w:cs="Times New Roman"/>
          <w:color w:val="000000"/>
          <w:spacing w:val="0"/>
          <w:w w:val="100"/>
          <w:position w:val="0"/>
        </w:rPr>
        <w:t>EPC</w:t>
      </w:r>
      <w:r>
        <w:rPr>
          <w:color w:val="000000"/>
          <w:spacing w:val="0"/>
          <w:w w:val="100"/>
          <w:position w:val="0"/>
        </w:rPr>
        <w:t>模式或</w:t>
      </w:r>
      <w:r>
        <w:rPr>
          <w:rFonts w:ascii="Times New Roman" w:eastAsia="Times New Roman" w:hAnsi="Times New Roman" w:cs="Times New Roman"/>
          <w:color w:val="000000"/>
          <w:spacing w:val="0"/>
          <w:w w:val="100"/>
          <w:position w:val="0"/>
        </w:rPr>
        <w:t>PPP</w:t>
      </w:r>
      <w:r>
        <w:rPr>
          <w:color w:val="000000"/>
          <w:spacing w:val="0"/>
          <w:w w:val="100"/>
          <w:position w:val="0"/>
        </w:rPr>
        <w:t xml:space="preserve">模式开展面向政府的 业务，重点选择资金到位确定性强、回收预期较好的项目；在项目决策过程中进一步强化金融支持，严控 </w:t>
      </w:r>
      <w:r>
        <w:rPr>
          <w:color w:val="000000"/>
          <w:spacing w:val="0"/>
          <w:w w:val="100"/>
          <w:position w:val="0"/>
        </w:rPr>
        <w:t>项目开工条件，确保项目正常实施。</w:t>
      </w:r>
    </w:p>
    <w:p>
      <w:pPr>
        <w:pStyle w:val="Style33"/>
        <w:keepNext w:val="0"/>
        <w:keepLines w:val="0"/>
        <w:widowControl w:val="0"/>
        <w:shd w:val="clear" w:color="auto" w:fill="auto"/>
        <w:tabs>
          <w:tab w:pos="1034" w:val="left"/>
        </w:tabs>
        <w:bidi w:val="0"/>
        <w:spacing w:before="0" w:after="0" w:line="468" w:lineRule="exact"/>
        <w:ind w:left="0" w:right="0" w:firstLine="440"/>
        <w:jc w:val="both"/>
      </w:pPr>
      <w:bookmarkStart w:id="102" w:name="bookmark102"/>
      <w:r>
        <w:rPr>
          <w:color w:val="000000"/>
          <w:spacing w:val="0"/>
          <w:w w:val="100"/>
          <w:position w:val="0"/>
        </w:rPr>
        <w:t>（</w:t>
      </w:r>
      <w:bookmarkEnd w:id="102"/>
      <w:r>
        <w:rPr>
          <w:color w:val="000000"/>
          <w:spacing w:val="0"/>
          <w:w w:val="100"/>
          <w:position w:val="0"/>
        </w:rPr>
        <w:t>三）</w:t>
        <w:tab/>
        <w:t>发挥环保新能源协同优势，打造特色产业园</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公司持续全面推进</w:t>
      </w:r>
      <w:r>
        <w:rPr>
          <w:rFonts w:ascii="Times New Roman" w:eastAsia="Times New Roman" w:hAnsi="Times New Roman" w:cs="Times New Roman"/>
          <w:color w:val="000000"/>
          <w:spacing w:val="0"/>
          <w:w w:val="100"/>
          <w:position w:val="0"/>
        </w:rPr>
        <w:t>“</w:t>
      </w:r>
      <w:r>
        <w:rPr>
          <w:color w:val="000000"/>
          <w:spacing w:val="0"/>
          <w:w w:val="100"/>
          <w:position w:val="0"/>
        </w:rPr>
        <w:t>环保</w:t>
      </w:r>
      <w:r>
        <w:rPr>
          <w:rFonts w:ascii="Times New Roman" w:eastAsia="Times New Roman" w:hAnsi="Times New Roman" w:cs="Times New Roman"/>
          <w:color w:val="000000"/>
          <w:spacing w:val="0"/>
          <w:w w:val="100"/>
          <w:position w:val="0"/>
        </w:rPr>
        <w:t>+</w:t>
      </w:r>
      <w:r>
        <w:rPr>
          <w:color w:val="000000"/>
          <w:spacing w:val="0"/>
          <w:w w:val="100"/>
          <w:position w:val="0"/>
        </w:rPr>
        <w:t>新能源''综合服务模式，实现向环保新能源综合服务商的跨越式发展。具体 为在特定区域内打造优质生态环境，并提供光伏燃气互补、发配售一体、冷热电联供的智慧能源，通过环 保、新能源两个绿色产业协同开发带动，提供一揽子绿色发展解决方案。</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报告期内，公司在河北安平打造了华融环保产业园，该产业园独具公司</w:t>
      </w:r>
      <w:r>
        <w:rPr>
          <w:rFonts w:ascii="Times New Roman" w:eastAsia="Times New Roman" w:hAnsi="Times New Roman" w:cs="Times New Roman"/>
          <w:color w:val="000000"/>
          <w:spacing w:val="0"/>
          <w:w w:val="100"/>
          <w:position w:val="0"/>
        </w:rPr>
        <w:t>IP</w:t>
      </w:r>
      <w:r>
        <w:rPr>
          <w:color w:val="000000"/>
          <w:spacing w:val="0"/>
          <w:w w:val="100"/>
          <w:position w:val="0"/>
        </w:rPr>
        <w:t>特色，为京津冀地区高端制 造业的引进与发展提供支点。公司将为园区及入园企业提供污水、固废等方面的生态环境治理服务，并将 为园区提供分布式光伏、储能等清洁能源的供应和高效管理。该项目已被当地政府列入《</w:t>
      </w:r>
      <w:r>
        <w:rPr>
          <w:rFonts w:ascii="Times New Roman" w:eastAsia="Times New Roman" w:hAnsi="Times New Roman" w:cs="Times New Roman"/>
          <w:color w:val="000000"/>
          <w:spacing w:val="0"/>
          <w:w w:val="100"/>
          <w:position w:val="0"/>
        </w:rPr>
        <w:t>2019</w:t>
      </w:r>
      <w:r>
        <w:rPr>
          <w:color w:val="000000"/>
          <w:spacing w:val="0"/>
          <w:w w:val="100"/>
          <w:position w:val="0"/>
        </w:rPr>
        <w:t>年衡水市政 府工作报告》，作为河北省重点项目优先支持。截至目前，该产业园已取得了环评批复，并与数十家企业 签署了意向入园框架协议或合作备忘录。随着绿色园区项目的稳步推进，经营模式的逐步完善及规模复制， 未来有望成为公司发展的增长点。</w:t>
      </w:r>
    </w:p>
    <w:p>
      <w:pPr>
        <w:pStyle w:val="Style33"/>
        <w:keepNext w:val="0"/>
        <w:keepLines w:val="0"/>
        <w:widowControl w:val="0"/>
        <w:shd w:val="clear" w:color="auto" w:fill="auto"/>
        <w:tabs>
          <w:tab w:pos="1034" w:val="left"/>
        </w:tabs>
        <w:bidi w:val="0"/>
        <w:spacing w:before="0" w:after="0" w:line="468" w:lineRule="exact"/>
        <w:ind w:left="0" w:right="0" w:firstLine="440"/>
        <w:jc w:val="both"/>
      </w:pPr>
      <w:bookmarkStart w:id="103" w:name="bookmark103"/>
      <w:r>
        <w:rPr>
          <w:color w:val="000000"/>
          <w:spacing w:val="0"/>
          <w:w w:val="100"/>
          <w:position w:val="0"/>
        </w:rPr>
        <w:t>（</w:t>
      </w:r>
      <w:bookmarkEnd w:id="103"/>
      <w:r>
        <w:rPr>
          <w:color w:val="000000"/>
          <w:spacing w:val="0"/>
          <w:w w:val="100"/>
          <w:position w:val="0"/>
        </w:rPr>
        <w:t>四）</w:t>
        <w:tab/>
        <w:t>组织管理变革成效显著，打造优秀骨干团队</w:t>
      </w:r>
    </w:p>
    <w:p>
      <w:pPr>
        <w:pStyle w:val="Style33"/>
        <w:keepNext w:val="0"/>
        <w:keepLines w:val="0"/>
        <w:widowControl w:val="0"/>
        <w:shd w:val="clear" w:color="auto" w:fill="auto"/>
        <w:bidi w:val="0"/>
        <w:spacing w:before="0" w:after="920" w:line="468" w:lineRule="exact"/>
        <w:ind w:left="0" w:right="0" w:firstLine="440"/>
        <w:jc w:val="both"/>
      </w:pPr>
      <w:r>
        <w:rPr>
          <w:color w:val="000000"/>
          <w:spacing w:val="0"/>
          <w:w w:val="100"/>
          <w:position w:val="0"/>
        </w:rPr>
        <w:t>根据聚焦主业的发展战略，公司主动推动业务和组织架构的优化，提升管理效率与运营效率。为贯彻 落实管理体系改革目标，公司持续推进组织变革与人员优化、降本增效，积极组建高效管理团队，培养经 营技术销售等骨干团队、强化骨干员工的主人翁意识，推动制度体系建设等重点专项工作，有效提升公司 凝聚力及人均效能。</w:t>
      </w:r>
    </w:p>
    <w:p>
      <w:pPr>
        <w:pStyle w:val="Style22"/>
        <w:keepNext/>
        <w:keepLines/>
        <w:widowControl w:val="0"/>
        <w:shd w:val="clear" w:color="auto" w:fill="auto"/>
        <w:bidi w:val="0"/>
        <w:spacing w:before="0" w:after="380" w:line="240" w:lineRule="auto"/>
        <w:ind w:left="0" w:right="0" w:firstLine="0"/>
        <w:jc w:val="both"/>
      </w:pPr>
      <w:bookmarkStart w:id="104" w:name="bookmark104"/>
      <w:bookmarkStart w:id="105" w:name="bookmark105"/>
      <w:bookmarkStart w:id="106" w:name="bookmark106"/>
      <w:bookmarkStart w:id="107" w:name="bookmark107"/>
      <w:r>
        <w:rPr>
          <w:color w:val="000000"/>
          <w:spacing w:val="0"/>
          <w:w w:val="100"/>
          <w:position w:val="0"/>
        </w:rPr>
        <w:t>二</w:t>
      </w:r>
      <w:bookmarkEnd w:id="106"/>
      <w:r>
        <w:rPr>
          <w:color w:val="000000"/>
          <w:spacing w:val="0"/>
          <w:w w:val="100"/>
          <w:position w:val="0"/>
        </w:rPr>
        <w:t>、主营业务分析</w:t>
      </w:r>
      <w:bookmarkEnd w:id="104"/>
      <w:bookmarkEnd w:id="105"/>
      <w:bookmarkEnd w:id="107"/>
    </w:p>
    <w:p>
      <w:pPr>
        <w:pStyle w:val="Style30"/>
        <w:keepNext/>
        <w:keepLines/>
        <w:widowControl w:val="0"/>
        <w:shd w:val="clear" w:color="auto" w:fill="auto"/>
        <w:tabs>
          <w:tab w:pos="368" w:val="left"/>
        </w:tabs>
        <w:bidi w:val="0"/>
        <w:spacing w:before="0" w:after="140" w:line="480" w:lineRule="auto"/>
        <w:ind w:left="0" w:right="0" w:firstLine="0"/>
        <w:jc w:val="both"/>
      </w:pPr>
      <w:bookmarkStart w:id="108" w:name="bookmark108"/>
      <w:bookmarkStart w:id="109" w:name="bookmark109"/>
      <w:bookmarkStart w:id="110" w:name="bookmark110"/>
      <w:bookmarkStart w:id="111" w:name="bookmark111"/>
      <w:r>
        <w:rPr>
          <w:rFonts w:ascii="Times New Roman" w:eastAsia="Times New Roman" w:hAnsi="Times New Roman" w:cs="Times New Roman"/>
          <w:color w:val="000000"/>
          <w:spacing w:val="0"/>
          <w:w w:val="100"/>
          <w:position w:val="0"/>
        </w:rPr>
        <w:t>1</w:t>
      </w:r>
      <w:bookmarkEnd w:id="110"/>
      <w:r>
        <w:rPr>
          <w:color w:val="000000"/>
          <w:spacing w:val="0"/>
          <w:w w:val="100"/>
          <w:position w:val="0"/>
        </w:rPr>
        <w:t>、</w:t>
        <w:tab/>
        <w:t>概述</w:t>
      </w:r>
      <w:bookmarkEnd w:id="108"/>
      <w:bookmarkEnd w:id="109"/>
      <w:bookmarkEnd w:id="111"/>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0"/>
        <w:keepNext/>
        <w:keepLines/>
        <w:widowControl w:val="0"/>
        <w:shd w:val="clear" w:color="auto" w:fill="auto"/>
        <w:tabs>
          <w:tab w:pos="378" w:val="left"/>
        </w:tabs>
        <w:bidi w:val="0"/>
        <w:spacing w:before="0" w:after="0" w:line="480" w:lineRule="auto"/>
        <w:ind w:left="0" w:right="0" w:firstLine="0"/>
        <w:jc w:val="both"/>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2</w:t>
      </w:r>
      <w:bookmarkEnd w:id="114"/>
      <w:r>
        <w:rPr>
          <w:color w:val="000000"/>
          <w:spacing w:val="0"/>
          <w:w w:val="100"/>
          <w:position w:val="0"/>
        </w:rPr>
        <w:t>、</w:t>
        <w:tab/>
        <w:t>收入与成本</w:t>
      </w:r>
      <w:bookmarkEnd w:id="112"/>
      <w:bookmarkEnd w:id="113"/>
      <w:bookmarkEnd w:id="115"/>
    </w:p>
    <w:p>
      <w:pPr>
        <w:pStyle w:val="Style37"/>
        <w:keepNext/>
        <w:keepLines/>
        <w:widowControl w:val="0"/>
        <w:shd w:val="clear" w:color="auto" w:fill="auto"/>
        <w:bidi w:val="0"/>
        <w:spacing w:before="0" w:line="468" w:lineRule="exact"/>
        <w:ind w:left="0" w:right="0" w:firstLine="0"/>
        <w:jc w:val="both"/>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6"/>
      <w:bookmarkEnd w:id="117"/>
      <w:bookmarkEnd w:id="11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6,805,761,615.72</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8,676,289,465.14</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-21.56%</w:t>
            </w:r>
          </w:p>
        </w:tc>
      </w:tr>
      <w:tr>
        <w:trPr>
          <w:trHeight w:val="403" w:hRule="exact"/>
        </w:trPr>
        <w:tc>
          <w:tcPr>
            <w:gridSpan w:val="6"/>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8"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物业及房屋租赁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282,689,638.58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290,164,473.61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新能源收入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3,633,621,814.28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53.39%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5,043,750,344.48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-27.96%</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生态环保收入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1,005,722,474.66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3,116,624,799.46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-67.73%</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供应链收入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1,883,727,688.20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27.68%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225,749,847.59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734.43%</w:t>
            </w:r>
          </w:p>
        </w:tc>
      </w:tr>
      <w:tr>
        <w:trPr>
          <w:trHeight w:val="403" w:hRule="exact"/>
        </w:trPr>
        <w:tc>
          <w:tcPr>
            <w:gridSpan w:val="6"/>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物业及房屋租赁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282,689,638.58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290,164,473.61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新能源收入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3,633,621,814.28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53.39%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5,043,750,344.48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-27.96%</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生态环保收入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1,005,722,474.66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3,116,624,799.46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-67.73%</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供应链收入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1,883,727,688.20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27.68%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225,749,847.59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734.43%</w:t>
            </w:r>
          </w:p>
        </w:tc>
      </w:tr>
      <w:tr>
        <w:trPr>
          <w:trHeight w:val="398" w:hRule="exact"/>
        </w:trPr>
        <w:tc>
          <w:tcPr>
            <w:gridSpan w:val="6"/>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352,313,476.69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366,367,457.14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2,302,680,707.76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33.83%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3,047,800,538.71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-24.45%</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2,787,407,552.47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40.96%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3,688,729,578.51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-24.43%</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170,160,383.11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212,331,052.44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-19.86%</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79,787,784.20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316,394,979.85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-74.78%</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690,535,980.32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278,163,604.28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148.25%</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371,944,603.57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754,070,262.54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-50.68%</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30,796,815.54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12,431,991.67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147.72%</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东盟地区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10,824,182.28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欧盟地区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9,310,129.78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319" w:line="1" w:lineRule="exact"/>
      </w:pPr>
    </w:p>
    <w:p>
      <w:pPr>
        <w:pStyle w:val="Style37"/>
        <w:keepNext/>
        <w:keepLines/>
        <w:widowControl w:val="0"/>
        <w:numPr>
          <w:ilvl w:val="0"/>
          <w:numId w:val="1"/>
        </w:numPr>
        <w:shd w:val="clear" w:color="auto" w:fill="auto"/>
        <w:bidi w:val="0"/>
        <w:spacing w:before="0" w:line="240" w:lineRule="auto"/>
        <w:ind w:left="0" w:right="0" w:firstLine="0"/>
        <w:jc w:val="left"/>
      </w:pPr>
      <w:bookmarkStart w:id="120" w:name="bookmark120"/>
      <w:bookmarkStart w:id="121" w:name="bookmark121"/>
      <w:bookmarkStart w:id="122" w:name="bookmark122"/>
      <w:bookmarkStart w:id="123" w:name="bookmark123"/>
      <w:bookmarkEnd w:id="122"/>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0"/>
      <w:bookmarkEnd w:id="121"/>
      <w:bookmarkEnd w:id="123"/>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新能源收入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3,633,621,814.28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2,970,467,254.51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-30.84%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生态环保收入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1,005,722,474.66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938,800,842.98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-66.51%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供应链收入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1,883,727,688.20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1,868,409,864.45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w:t>
            </w:r>
          </w:p>
        </w:tc>
      </w:tr>
      <w:tr>
        <w:trPr>
          <w:trHeight w:val="403" w:hRule="exact"/>
        </w:trPr>
        <w:tc>
          <w:tcPr>
            <w:gridSpan w:val="7"/>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新能源收入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3,633,621,814.28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2,970,467,254.51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-30.84%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生态环保收入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1,005,722,474.66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938,800,842.98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-66.51%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供应链收入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1,883,727,688.20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1,868,409,864.45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w:t>
            </w:r>
          </w:p>
        </w:tc>
      </w:tr>
      <w:tr>
        <w:trPr>
          <w:trHeight w:val="413" w:hRule="exact"/>
        </w:trPr>
        <w:tc>
          <w:tcPr>
            <w:gridSpan w:val="7"/>
            <w:tcBorders>
              <w:top w:val="single" w:sz="4"/>
              <w:left w:val="single" w:sz="4"/>
              <w:bottom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2,302,680,707.76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2,066,623,422.13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2,787,407,552.47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2,493,592,621.20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690,535,980.32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657,655,442.73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4"/>
      <w:bookmarkEnd w:id="125"/>
      <w:bookmarkEnd w:id="127"/>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物业及房屋租赁</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282,689,638.58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290,164,473.61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w:t>
            </w:r>
          </w:p>
        </w:tc>
      </w:tr>
      <w:tr>
        <w:trPr>
          <w:trHeight w:val="398" w:hRule="exact"/>
        </w:trPr>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新能源业务</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3,633,621,814.28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5,043,750,344.48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-27.96%</w:t>
            </w:r>
          </w:p>
        </w:tc>
      </w:tr>
      <w:tr>
        <w:trPr>
          <w:trHeight w:val="403" w:hRule="exact"/>
        </w:trPr>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生态环保业务</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1,005,722,474.66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5,043,750,344.48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-67.73%</w:t>
            </w:r>
          </w:p>
        </w:tc>
      </w:tr>
      <w:tr>
        <w:trPr>
          <w:trHeight w:val="398" w:hRule="exact"/>
        </w:trPr>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供应链业务</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1,883,727,688.20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225,749,847.59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734.43%</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numPr>
          <w:ilvl w:val="0"/>
          <w:numId w:val="3"/>
        </w:numPr>
        <w:shd w:val="clear" w:color="auto" w:fill="auto"/>
        <w:tabs>
          <w:tab w:pos="301" w:val="left"/>
        </w:tabs>
        <w:bidi w:val="0"/>
        <w:spacing w:before="0" w:after="100" w:line="240" w:lineRule="auto"/>
        <w:ind w:left="0" w:right="0" w:firstLine="0"/>
        <w:jc w:val="left"/>
      </w:pPr>
      <w:bookmarkStart w:id="128" w:name="bookmark128"/>
      <w:bookmarkEnd w:id="128"/>
      <w:r>
        <w:rPr>
          <w:color w:val="000000"/>
          <w:spacing w:val="0"/>
          <w:w w:val="100"/>
          <w:position w:val="0"/>
        </w:rPr>
        <w:t>本年度生态环保业务规模缩小，收入规模下降；</w:t>
      </w:r>
    </w:p>
    <w:p>
      <w:pPr>
        <w:pStyle w:val="Style26"/>
        <w:keepNext w:val="0"/>
        <w:keepLines w:val="0"/>
        <w:widowControl w:val="0"/>
        <w:numPr>
          <w:ilvl w:val="0"/>
          <w:numId w:val="3"/>
        </w:numPr>
        <w:shd w:val="clear" w:color="auto" w:fill="auto"/>
        <w:tabs>
          <w:tab w:pos="320" w:val="left"/>
        </w:tabs>
        <w:bidi w:val="0"/>
        <w:spacing w:before="0" w:after="700" w:line="240" w:lineRule="auto"/>
        <w:ind w:left="0" w:right="0" w:firstLine="0"/>
        <w:jc w:val="left"/>
      </w:pPr>
      <w:bookmarkStart w:id="129" w:name="bookmark129"/>
      <w:bookmarkEnd w:id="129"/>
      <w:r>
        <w:rPr>
          <w:color w:val="000000"/>
          <w:spacing w:val="0"/>
          <w:w w:val="100"/>
          <w:position w:val="0"/>
        </w:rPr>
        <w:t>本年度供应链业务规模扩大，收入规模增加。</w:t>
      </w:r>
    </w:p>
    <w:p>
      <w:pPr>
        <w:pStyle w:val="Style37"/>
        <w:keepNext/>
        <w:keepLines/>
        <w:widowControl w:val="0"/>
        <w:shd w:val="clear" w:color="auto" w:fill="auto"/>
        <w:tabs>
          <w:tab w:pos="493" w:val="left"/>
        </w:tabs>
        <w:bidi w:val="0"/>
        <w:spacing w:before="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0"/>
      <w:bookmarkEnd w:id="131"/>
      <w:bookmarkEnd w:id="133"/>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7"/>
        <w:keepNext/>
        <w:keepLines/>
        <w:widowControl w:val="0"/>
        <w:shd w:val="clear" w:color="auto" w:fill="auto"/>
        <w:tabs>
          <w:tab w:pos="493" w:val="left"/>
        </w:tabs>
        <w:bidi w:val="0"/>
        <w:spacing w:before="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4"/>
      <w:bookmarkEnd w:id="135"/>
      <w:bookmarkEnd w:id="137"/>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行业和产品分类</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物业及房屋租赁</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152,640,103.55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137,352,685.55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新能源收入</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2,970,467,254.51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4,295,337,713.63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-30.84%</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生态环保收入</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938,800,842.98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2,802,884,142.41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-66.51%</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供应链收入</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1,868,409,864.45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216,125,907.45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764.50%</w:t>
            </w:r>
          </w:p>
        </w:tc>
      </w:tr>
    </w:tbl>
    <w:p>
      <w:pPr>
        <w:spacing w:lineRule="exact" w:line="1"/>
        <w:rPr>
          <w:sz w:val="2"/>
          <w:szCs w:val="2"/>
        </w:rPr>
      </w:pPr>
      <w:r>
        <w:br w:type="page"/>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物业及房屋租赁</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152,640,103.55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137,352,685.55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新能源收入</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2,970,467,254.51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4,295,337,713.63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-30.84%</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生态环保收入</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938,800,842.98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2,802,884,142.41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-66.51%</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供应链收入</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1,868,409,864.45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216,125,907.45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764.50%</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8"/>
      <w:bookmarkEnd w:id="139"/>
      <w:bookmarkEnd w:id="141"/>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3"/>
        <w:keepNext w:val="0"/>
        <w:keepLines w:val="0"/>
        <w:widowControl w:val="0"/>
        <w:shd w:val="clear" w:color="auto" w:fill="auto"/>
        <w:tabs>
          <w:tab w:pos="808" w:val="left"/>
        </w:tabs>
        <w:bidi w:val="0"/>
        <w:spacing w:before="0" w:after="60" w:line="240" w:lineRule="auto"/>
        <w:ind w:left="0" w:right="0" w:firstLine="440"/>
        <w:jc w:val="left"/>
      </w:pPr>
      <w:bookmarkStart w:id="142" w:name="bookmark142"/>
      <w:r>
        <w:rPr>
          <w:rFonts w:ascii="Times New Roman" w:eastAsia="Times New Roman" w:hAnsi="Times New Roman" w:cs="Times New Roman"/>
          <w:b/>
          <w:bCs/>
          <w:color w:val="000000"/>
          <w:spacing w:val="0"/>
          <w:w w:val="100"/>
          <w:position w:val="0"/>
        </w:rPr>
        <w:t>1</w:t>
      </w:r>
      <w:bookmarkEnd w:id="142"/>
      <w:r>
        <w:rPr>
          <w:b/>
          <w:bCs/>
          <w:color w:val="000000"/>
          <w:spacing w:val="0"/>
          <w:w w:val="100"/>
          <w:position w:val="0"/>
        </w:rPr>
        <w:t>、</w:t>
        <w:tab/>
        <w:t>非同一控制下企业合并</w:t>
      </w:r>
    </w:p>
    <w:p>
      <w:pPr>
        <w:pStyle w:val="Style33"/>
        <w:keepNext w:val="0"/>
        <w:keepLines w:val="0"/>
        <w:widowControl w:val="0"/>
        <w:shd w:val="clear" w:color="auto" w:fill="auto"/>
        <w:bidi w:val="0"/>
        <w:spacing w:before="0" w:after="60" w:line="240" w:lineRule="auto"/>
        <w:ind w:left="0" w:right="0" w:firstLine="440"/>
        <w:jc w:val="left"/>
      </w:pPr>
      <w:r>
        <w:rPr>
          <w:color w:val="000000"/>
          <w:spacing w:val="0"/>
          <w:w w:val="100"/>
          <w:position w:val="0"/>
        </w:rPr>
        <w:t>本期无非同一控制下企业合并情况。</w:t>
      </w:r>
    </w:p>
    <w:p>
      <w:pPr>
        <w:pStyle w:val="Style33"/>
        <w:keepNext w:val="0"/>
        <w:keepLines w:val="0"/>
        <w:widowControl w:val="0"/>
        <w:shd w:val="clear" w:color="auto" w:fill="auto"/>
        <w:tabs>
          <w:tab w:pos="818" w:val="left"/>
        </w:tabs>
        <w:bidi w:val="0"/>
        <w:spacing w:before="0" w:after="0" w:line="240" w:lineRule="auto"/>
        <w:ind w:left="0" w:right="0" w:firstLine="440"/>
        <w:jc w:val="left"/>
      </w:pPr>
      <w:bookmarkStart w:id="143" w:name="bookmark143"/>
      <w:r>
        <w:rPr>
          <w:rFonts w:ascii="Times New Roman" w:eastAsia="Times New Roman" w:hAnsi="Times New Roman" w:cs="Times New Roman"/>
          <w:b/>
          <w:bCs/>
          <w:color w:val="000000"/>
          <w:spacing w:val="0"/>
          <w:w w:val="100"/>
          <w:position w:val="0"/>
        </w:rPr>
        <w:t>2</w:t>
      </w:r>
      <w:bookmarkEnd w:id="143"/>
      <w:r>
        <w:rPr>
          <w:b/>
          <w:bCs/>
          <w:color w:val="000000"/>
          <w:spacing w:val="0"/>
          <w:w w:val="100"/>
          <w:position w:val="0"/>
        </w:rPr>
        <w:t>、</w:t>
        <w:tab/>
        <w:t>本期新设增加的子公司</w:t>
      </w:r>
    </w:p>
    <w:tbl>
      <w:tblPr>
        <w:tblOverlap w:val="never"/>
        <w:jc w:val="center"/>
        <w:tblLayout w:type="fixed"/>
      </w:tblPr>
      <w:tblGrid>
        <w:gridCol w:w="4512"/>
        <w:gridCol w:w="1272"/>
        <w:gridCol w:w="850"/>
        <w:gridCol w:w="931"/>
        <w:gridCol w:w="1738"/>
      </w:tblGrid>
      <w:tr>
        <w:trPr>
          <w:trHeight w:val="365"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公司名称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公司关系</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持股比例（</w:t>
            </w:r>
            <w:r>
              <w:rPr>
                <w:rFonts w:ascii="SimSun" w:eastAsia="SimSun" w:hAnsi="SimSun" w:cs="SimSun"/>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注册资本（万元）</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直接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间接</w:t>
            </w:r>
          </w:p>
        </w:tc>
        <w:tc>
          <w:tcPr>
            <w:vMerge/>
            <w:tcBorders>
              <w:left w:val="single" w:sz="4"/>
              <w:right w:val="single" w:sz="4"/>
            </w:tcBorders>
            <w:shd w:val="clear" w:color="auto" w:fill="FFFFFF"/>
            <w:vAlign w:val="center"/>
          </w:tcPr>
          <w:p>
            <w:pP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锦州旭蓝电力新能源有限公司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80,000.00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安徽旭禾农业科技有限公司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2,000.00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团风县正旭新能源有限公司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长春市旭蓝新能源有限公司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安阳旭冠日冕新能源科技有限公司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安阳东沪龙跃新能源科技有限公司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青岛旭辰节能科技有限公司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20,000.00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青岛旭蓝产业基金合伙企业</w:t>
            </w:r>
            <w:r>
              <w:rPr>
                <w:color w:val="000000"/>
                <w:spacing w:val="0"/>
                <w:w w:val="100"/>
                <w:position w:val="0"/>
                <w:sz w:val="20"/>
                <w:szCs w:val="20"/>
              </w:rPr>
              <w:t>（</w:t>
            </w:r>
            <w:r>
              <w:rPr>
                <w:rFonts w:ascii="SimSun" w:eastAsia="SimSun" w:hAnsi="SimSun" w:cs="SimSun"/>
                <w:color w:val="000000"/>
                <w:spacing w:val="0"/>
                <w:w w:val="100"/>
                <w:position w:val="0"/>
                <w:sz w:val="20"/>
                <w:szCs w:val="20"/>
              </w:rPr>
              <w:t>有限合伙</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一级子公司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东旭鸿鼎（天津）文化旅游有限公司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一级子公司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2,000.00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东旭制胜（厦门）节能科技有限公司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一级子公司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5,000.00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海南旭通新能源科技有限公司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青岛旭阳新能源有限公司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平度市旭弘新能源有限公司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3,000.00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宁夏旭通新能源科技有限公司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宁夏旭卫新能源科技有限公司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承德新旭新能源科技有限公司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滦平县旭欣新能源科技有限公司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宁夏旭盛新能源科技有限公司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45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宁夏旭蓝新能源科技有限公司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三级子公司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bl>
    <w:p>
      <w:pPr>
        <w:spacing w:lineRule="exact" w:line="1"/>
        <w:rPr>
          <w:sz w:val="2"/>
          <w:szCs w:val="2"/>
        </w:rPr>
      </w:pPr>
      <w:r>
        <w:br w:type="page"/>
      </w:r>
    </w:p>
    <w:p>
      <w:pPr>
        <w:pStyle w:val="Style33"/>
        <w:keepNext w:val="0"/>
        <w:keepLines w:val="0"/>
        <w:widowControl w:val="0"/>
        <w:shd w:val="clear" w:color="auto" w:fill="auto"/>
        <w:bidi w:val="0"/>
        <w:spacing w:before="0" w:after="0" w:line="240" w:lineRule="auto"/>
        <w:ind w:left="0" w:right="0" w:firstLine="440"/>
        <w:jc w:val="left"/>
      </w:pPr>
      <w:bookmarkStart w:id="144" w:name="bookmark144"/>
      <w:r>
        <w:rPr>
          <w:rFonts w:ascii="Times New Roman" w:eastAsia="Times New Roman" w:hAnsi="Times New Roman" w:cs="Times New Roman"/>
          <w:b/>
          <w:bCs/>
          <w:color w:val="000000"/>
          <w:spacing w:val="0"/>
          <w:w w:val="100"/>
          <w:position w:val="0"/>
        </w:rPr>
        <w:t>3</w:t>
      </w:r>
      <w:bookmarkEnd w:id="144"/>
      <w:r>
        <w:rPr>
          <w:b/>
          <w:bCs/>
          <w:color w:val="000000"/>
          <w:spacing w:val="0"/>
          <w:w w:val="100"/>
          <w:position w:val="0"/>
        </w:rPr>
        <w:t>、本期减少合并范围</w:t>
      </w:r>
    </w:p>
    <w:tbl>
      <w:tblPr>
        <w:tblOverlap w:val="never"/>
        <w:jc w:val="center"/>
        <w:tblLayout w:type="fixed"/>
      </w:tblPr>
      <w:tblGrid>
        <w:gridCol w:w="1387"/>
        <w:gridCol w:w="1186"/>
        <w:gridCol w:w="989"/>
        <w:gridCol w:w="960"/>
        <w:gridCol w:w="1066"/>
        <w:gridCol w:w="2131"/>
        <w:gridCol w:w="1502"/>
      </w:tblGrid>
      <w:tr>
        <w:trPr>
          <w:trHeight w:val="19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b/>
                <w:bCs/>
                <w:color w:val="000000"/>
                <w:spacing w:val="0"/>
                <w:w w:val="100"/>
                <w:position w:val="0"/>
                <w:sz w:val="20"/>
                <w:szCs w:val="20"/>
              </w:rPr>
              <w:t>股权处置价 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center"/>
              <w:rPr>
                <w:sz w:val="20"/>
                <w:szCs w:val="20"/>
              </w:rPr>
            </w:pPr>
            <w:r>
              <w:rPr>
                <w:rFonts w:ascii="SimSun" w:eastAsia="SimSun" w:hAnsi="SimSun" w:cs="SimSun"/>
                <w:b/>
                <w:bCs/>
                <w:color w:val="000000"/>
                <w:spacing w:val="0"/>
                <w:w w:val="100"/>
                <w:position w:val="0"/>
                <w:sz w:val="20"/>
                <w:szCs w:val="20"/>
              </w:rPr>
              <w:t>股权处置 比例（</w:t>
            </w:r>
            <w:r>
              <w:rPr>
                <w:rFonts w:ascii="SimSun" w:eastAsia="SimSun" w:hAnsi="SimSun" w:cs="SimSun"/>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260" w:right="0" w:hanging="260"/>
              <w:jc w:val="left"/>
              <w:rPr>
                <w:sz w:val="20"/>
                <w:szCs w:val="20"/>
              </w:rPr>
            </w:pPr>
            <w:r>
              <w:rPr>
                <w:rFonts w:ascii="SimSun" w:eastAsia="SimSun" w:hAnsi="SimSun" w:cs="SimSun"/>
                <w:b/>
                <w:bCs/>
                <w:color w:val="000000"/>
                <w:spacing w:val="0"/>
                <w:w w:val="100"/>
                <w:position w:val="0"/>
                <w:sz w:val="20"/>
                <w:szCs w:val="20"/>
              </w:rPr>
              <w:t>股权处置 方式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center"/>
              <w:rPr>
                <w:sz w:val="20"/>
                <w:szCs w:val="20"/>
              </w:rPr>
            </w:pPr>
            <w:r>
              <w:rPr>
                <w:rFonts w:ascii="SimSun" w:eastAsia="SimSun" w:hAnsi="SimSun" w:cs="SimSun"/>
                <w:b/>
                <w:bCs/>
                <w:color w:val="000000"/>
                <w:spacing w:val="0"/>
                <w:w w:val="100"/>
                <w:position w:val="0"/>
                <w:sz w:val="20"/>
                <w:szCs w:val="20"/>
              </w:rPr>
              <w:t>丧失控制</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权的时点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840" w:right="0" w:hanging="840"/>
              <w:jc w:val="both"/>
              <w:rPr>
                <w:sz w:val="20"/>
                <w:szCs w:val="20"/>
              </w:rPr>
            </w:pPr>
            <w:r>
              <w:rPr>
                <w:rFonts w:ascii="SimSun" w:eastAsia="SimSun" w:hAnsi="SimSun" w:cs="SimSun"/>
                <w:b/>
                <w:bCs/>
                <w:color w:val="000000"/>
                <w:spacing w:val="0"/>
                <w:w w:val="100"/>
                <w:position w:val="0"/>
                <w:sz w:val="20"/>
                <w:szCs w:val="20"/>
              </w:rPr>
              <w:t>丧失控制权时点的确定 依据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b/>
                <w:bCs/>
                <w:color w:val="000000"/>
                <w:spacing w:val="0"/>
                <w:w w:val="100"/>
                <w:position w:val="0"/>
                <w:sz w:val="20"/>
                <w:szCs w:val="20"/>
              </w:rPr>
              <w:t>处置价款与处 置投资对应的 合并报表层面 享有该子公司 净资产份额的 差额</w:t>
            </w:r>
          </w:p>
        </w:tc>
      </w:tr>
      <w:tr>
        <w:trPr>
          <w:trHeight w:val="106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80" w:line="240" w:lineRule="auto"/>
              <w:ind w:left="0" w:right="0" w:firstLine="0"/>
              <w:jc w:val="both"/>
              <w:rPr>
                <w:sz w:val="20"/>
                <w:szCs w:val="20"/>
              </w:rPr>
            </w:pPr>
            <w:r>
              <w:rPr>
                <w:rFonts w:ascii="SimSun" w:eastAsia="SimSun" w:hAnsi="SimSun" w:cs="SimSun"/>
                <w:color w:val="000000"/>
                <w:spacing w:val="0"/>
                <w:w w:val="100"/>
                <w:position w:val="0"/>
                <w:sz w:val="20"/>
                <w:szCs w:val="20"/>
              </w:rPr>
              <w:t>深圳市宝鹏物</w:t>
            </w:r>
          </w:p>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流有限公司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420"/>
              <w:jc w:val="left"/>
            </w:pPr>
            <w:r>
              <w:rPr>
                <w:color w:val="000000"/>
                <w:spacing w:val="0"/>
                <w:w w:val="100"/>
                <w:position w:val="0"/>
              </w:rPr>
              <w:t>1.00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240"/>
              <w:jc w:val="left"/>
            </w:pPr>
            <w:r>
              <w:rPr>
                <w:color w:val="000000"/>
                <w:spacing w:val="0"/>
                <w:w w:val="100"/>
                <w:position w:val="0"/>
              </w:rPr>
              <w:t>100.00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协议转让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2019.3.29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权力机构批准，收到</w:t>
            </w:r>
            <w:r>
              <w:rPr>
                <w:color w:val="000000"/>
                <w:spacing w:val="0"/>
                <w:w w:val="100"/>
                <w:position w:val="0"/>
                <w:sz w:val="18"/>
                <w:szCs w:val="18"/>
              </w:rPr>
              <w:t>50%</w:t>
            </w:r>
            <w:r>
              <w:rPr>
                <w:rFonts w:ascii="SimSun" w:eastAsia="SimSun" w:hAnsi="SimSun" w:cs="SimSun"/>
                <w:color w:val="000000"/>
                <w:spacing w:val="0"/>
                <w:w w:val="100"/>
                <w:position w:val="0"/>
                <w:sz w:val="17"/>
                <w:szCs w:val="17"/>
              </w:rPr>
              <w:t>以 上股权转让款且完成财产 交接，收益和风险转移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20,480,848.82</w:t>
            </w:r>
          </w:p>
        </w:tc>
      </w:tr>
      <w:tr>
        <w:trPr>
          <w:trHeight w:val="106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80" w:line="240" w:lineRule="auto"/>
              <w:ind w:left="0" w:right="0" w:firstLine="0"/>
              <w:jc w:val="both"/>
              <w:rPr>
                <w:sz w:val="20"/>
                <w:szCs w:val="20"/>
              </w:rPr>
            </w:pPr>
            <w:r>
              <w:rPr>
                <w:rFonts w:ascii="SimSun" w:eastAsia="SimSun" w:hAnsi="SimSun" w:cs="SimSun"/>
                <w:color w:val="000000"/>
                <w:spacing w:val="0"/>
                <w:w w:val="100"/>
                <w:position w:val="0"/>
                <w:sz w:val="20"/>
                <w:szCs w:val="20"/>
              </w:rPr>
              <w:t>深圳市鸿基物</w:t>
            </w:r>
          </w:p>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流有限公司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420"/>
              <w:jc w:val="left"/>
            </w:pPr>
            <w:r>
              <w:rPr>
                <w:color w:val="000000"/>
                <w:spacing w:val="0"/>
                <w:w w:val="100"/>
                <w:position w:val="0"/>
              </w:rPr>
              <w:t>2.00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240"/>
              <w:jc w:val="left"/>
            </w:pPr>
            <w:r>
              <w:rPr>
                <w:color w:val="000000"/>
                <w:spacing w:val="0"/>
                <w:w w:val="100"/>
                <w:position w:val="0"/>
              </w:rPr>
              <w:t>100.00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协议转让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2019.3.29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权力机构批准，收到</w:t>
            </w:r>
            <w:r>
              <w:rPr>
                <w:color w:val="000000"/>
                <w:spacing w:val="0"/>
                <w:w w:val="100"/>
                <w:position w:val="0"/>
                <w:sz w:val="18"/>
                <w:szCs w:val="18"/>
              </w:rPr>
              <w:t>50%</w:t>
            </w:r>
            <w:r>
              <w:rPr>
                <w:rFonts w:ascii="SimSun" w:eastAsia="SimSun" w:hAnsi="SimSun" w:cs="SimSun"/>
                <w:color w:val="000000"/>
                <w:spacing w:val="0"/>
                <w:w w:val="100"/>
                <w:position w:val="0"/>
                <w:sz w:val="17"/>
                <w:szCs w:val="17"/>
              </w:rPr>
              <w:t>以 上股权转让款且完成财产 交接，收益和风险转移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58,449,176.90</w:t>
            </w:r>
          </w:p>
        </w:tc>
      </w:tr>
      <w:tr>
        <w:trPr>
          <w:trHeight w:val="10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深圳市虹海假</w:t>
            </w:r>
          </w:p>
          <w:p>
            <w:pPr>
              <w:pStyle w:val="Style1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日酒店管理有</w:t>
            </w:r>
          </w:p>
          <w:p>
            <w:pPr>
              <w:pStyle w:val="Style1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420"/>
              <w:jc w:val="left"/>
            </w:pPr>
            <w:r>
              <w:rPr>
                <w:color w:val="000000"/>
                <w:spacing w:val="0"/>
                <w:w w:val="100"/>
                <w:position w:val="0"/>
              </w:rPr>
              <w:t>1.00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240"/>
              <w:jc w:val="left"/>
            </w:pPr>
            <w:r>
              <w:rPr>
                <w:color w:val="000000"/>
                <w:spacing w:val="0"/>
                <w:w w:val="100"/>
                <w:position w:val="0"/>
              </w:rPr>
              <w:t>100.00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协议转让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2019.3.29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权力机构批准，收到</w:t>
            </w:r>
            <w:r>
              <w:rPr>
                <w:color w:val="000000"/>
                <w:spacing w:val="0"/>
                <w:w w:val="100"/>
                <w:position w:val="0"/>
                <w:sz w:val="18"/>
                <w:szCs w:val="18"/>
              </w:rPr>
              <w:t>50%</w:t>
            </w:r>
            <w:r>
              <w:rPr>
                <w:rFonts w:ascii="SimSun" w:eastAsia="SimSun" w:hAnsi="SimSun" w:cs="SimSun"/>
                <w:color w:val="000000"/>
                <w:spacing w:val="0"/>
                <w:w w:val="100"/>
                <w:position w:val="0"/>
                <w:sz w:val="17"/>
                <w:szCs w:val="17"/>
              </w:rPr>
              <w:t>以 上股权转让款且完成财产 交接，收益和风险转移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1.00</w:t>
            </w:r>
          </w:p>
        </w:tc>
      </w:tr>
      <w:tr>
        <w:trPr>
          <w:trHeight w:val="10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深圳市鸿基兆</w:t>
            </w:r>
          </w:p>
          <w:p>
            <w:pPr>
              <w:pStyle w:val="Style1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丰商业服务管</w:t>
            </w:r>
          </w:p>
          <w:p>
            <w:pPr>
              <w:pStyle w:val="Style1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理有限公司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420"/>
              <w:jc w:val="left"/>
            </w:pPr>
            <w:r>
              <w:rPr>
                <w:color w:val="000000"/>
                <w:spacing w:val="0"/>
                <w:w w:val="100"/>
                <w:position w:val="0"/>
              </w:rPr>
              <w:t>1.00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240"/>
              <w:jc w:val="left"/>
            </w:pPr>
            <w:r>
              <w:rPr>
                <w:color w:val="000000"/>
                <w:spacing w:val="0"/>
                <w:w w:val="100"/>
                <w:position w:val="0"/>
              </w:rPr>
              <w:t>100.00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协议转让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2019.3.29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权力机构批准，收到</w:t>
            </w:r>
            <w:r>
              <w:rPr>
                <w:color w:val="000000"/>
                <w:spacing w:val="0"/>
                <w:w w:val="100"/>
                <w:position w:val="0"/>
                <w:sz w:val="18"/>
                <w:szCs w:val="18"/>
              </w:rPr>
              <w:t>50%</w:t>
            </w:r>
            <w:r>
              <w:rPr>
                <w:rFonts w:ascii="SimSun" w:eastAsia="SimSun" w:hAnsi="SimSun" w:cs="SimSun"/>
                <w:color w:val="000000"/>
                <w:spacing w:val="0"/>
                <w:w w:val="100"/>
                <w:position w:val="0"/>
                <w:sz w:val="17"/>
                <w:szCs w:val="17"/>
              </w:rPr>
              <w:t>以 上股权转让款且完成财产 交接，收益和风险转移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1.00</w:t>
            </w:r>
          </w:p>
        </w:tc>
      </w:tr>
      <w:tr>
        <w:trPr>
          <w:trHeight w:val="10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20"/>
                <w:szCs w:val="20"/>
              </w:rPr>
            </w:pPr>
            <w:r>
              <w:rPr>
                <w:rFonts w:ascii="SimSun" w:eastAsia="SimSun" w:hAnsi="SimSun" w:cs="SimSun"/>
                <w:color w:val="000000"/>
                <w:spacing w:val="0"/>
                <w:w w:val="100"/>
                <w:position w:val="0"/>
                <w:sz w:val="20"/>
                <w:szCs w:val="20"/>
              </w:rPr>
              <w:t>内蒙古旭峰光</w:t>
            </w:r>
          </w:p>
          <w:p>
            <w:pPr>
              <w:pStyle w:val="Style19"/>
              <w:keepNext w:val="0"/>
              <w:keepLines w:val="0"/>
              <w:widowControl w:val="0"/>
              <w:shd w:val="clear" w:color="auto" w:fill="auto"/>
              <w:bidi w:val="0"/>
              <w:spacing w:before="0" w:after="0" w:line="322" w:lineRule="exact"/>
              <w:ind w:left="0" w:right="0" w:firstLine="0"/>
              <w:jc w:val="both"/>
              <w:rPr>
                <w:sz w:val="20"/>
                <w:szCs w:val="20"/>
              </w:rPr>
            </w:pPr>
            <w:r>
              <w:rPr>
                <w:rFonts w:ascii="SimSun" w:eastAsia="SimSun" w:hAnsi="SimSun" w:cs="SimSun"/>
                <w:color w:val="000000"/>
                <w:spacing w:val="0"/>
                <w:w w:val="100"/>
                <w:position w:val="0"/>
                <w:sz w:val="20"/>
                <w:szCs w:val="20"/>
              </w:rPr>
              <w:t>伏科技有限公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420"/>
              <w:jc w:val="left"/>
            </w:pPr>
            <w:r>
              <w:rPr>
                <w:color w:val="000000"/>
                <w:spacing w:val="0"/>
                <w:w w:val="100"/>
                <w:position w:val="0"/>
              </w:rPr>
              <w:t>1.00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240"/>
              <w:jc w:val="left"/>
            </w:pPr>
            <w:r>
              <w:rPr>
                <w:color w:val="000000"/>
                <w:spacing w:val="0"/>
                <w:w w:val="100"/>
                <w:position w:val="0"/>
              </w:rPr>
              <w:t>100.00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协议转让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pPr>
            <w:r>
              <w:rPr>
                <w:color w:val="000000"/>
                <w:spacing w:val="0"/>
                <w:w w:val="100"/>
                <w:position w:val="0"/>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权力机构批准，收到</w:t>
            </w:r>
            <w:r>
              <w:rPr>
                <w:color w:val="000000"/>
                <w:spacing w:val="0"/>
                <w:w w:val="100"/>
                <w:position w:val="0"/>
                <w:sz w:val="18"/>
                <w:szCs w:val="18"/>
              </w:rPr>
              <w:t>50%</w:t>
            </w:r>
            <w:r>
              <w:rPr>
                <w:rFonts w:ascii="SimSun" w:eastAsia="SimSun" w:hAnsi="SimSun" w:cs="SimSun"/>
                <w:color w:val="000000"/>
                <w:spacing w:val="0"/>
                <w:w w:val="100"/>
                <w:position w:val="0"/>
                <w:sz w:val="17"/>
                <w:szCs w:val="17"/>
              </w:rPr>
              <w:t>以 上股权转让款且完成财产 交接，收益和风险转移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1,326,444.68</w:t>
            </w:r>
          </w:p>
        </w:tc>
      </w:tr>
      <w:tr>
        <w:trPr>
          <w:trHeight w:val="10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禹州市东旭新</w:t>
            </w:r>
          </w:p>
          <w:p>
            <w:pPr>
              <w:pStyle w:val="Style1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能源科技有限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420"/>
              <w:jc w:val="left"/>
            </w:pPr>
            <w:r>
              <w:rPr>
                <w:color w:val="000000"/>
                <w:spacing w:val="0"/>
                <w:w w:val="100"/>
                <w:position w:val="0"/>
              </w:rPr>
              <w:t>1.00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240"/>
              <w:jc w:val="left"/>
            </w:pPr>
            <w:r>
              <w:rPr>
                <w:color w:val="000000"/>
                <w:spacing w:val="0"/>
                <w:w w:val="100"/>
                <w:position w:val="0"/>
              </w:rPr>
              <w:t>100.00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协议转让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pPr>
            <w:r>
              <w:rPr>
                <w:color w:val="000000"/>
                <w:spacing w:val="0"/>
                <w:w w:val="100"/>
                <w:position w:val="0"/>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权力机构批准，收到</w:t>
            </w:r>
            <w:r>
              <w:rPr>
                <w:color w:val="000000"/>
                <w:spacing w:val="0"/>
                <w:w w:val="100"/>
                <w:position w:val="0"/>
                <w:sz w:val="18"/>
                <w:szCs w:val="18"/>
              </w:rPr>
              <w:t>50%</w:t>
            </w:r>
            <w:r>
              <w:rPr>
                <w:rFonts w:ascii="SimSun" w:eastAsia="SimSun" w:hAnsi="SimSun" w:cs="SimSun"/>
                <w:color w:val="000000"/>
                <w:spacing w:val="0"/>
                <w:w w:val="100"/>
                <w:position w:val="0"/>
                <w:sz w:val="17"/>
                <w:szCs w:val="17"/>
              </w:rPr>
              <w:t>以 上股权转让款且完成财产 交接，收益和风险转移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12,712,133.94</w:t>
            </w:r>
          </w:p>
        </w:tc>
      </w:tr>
      <w:tr>
        <w:trPr>
          <w:trHeight w:val="10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辽宁旭红供应</w:t>
            </w:r>
          </w:p>
          <w:p>
            <w:pPr>
              <w:pStyle w:val="Style1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链管理有限公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124.81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240"/>
              <w:jc w:val="left"/>
            </w:pPr>
            <w:r>
              <w:rPr>
                <w:color w:val="000000"/>
                <w:spacing w:val="0"/>
                <w:w w:val="100"/>
                <w:position w:val="0"/>
              </w:rPr>
              <w:t>100.00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协议转让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2019.11.30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权力机构批准，收到</w:t>
            </w:r>
            <w:r>
              <w:rPr>
                <w:color w:val="000000"/>
                <w:spacing w:val="0"/>
                <w:w w:val="100"/>
                <w:position w:val="0"/>
                <w:sz w:val="18"/>
                <w:szCs w:val="18"/>
              </w:rPr>
              <w:t>50%</w:t>
            </w:r>
            <w:r>
              <w:rPr>
                <w:rFonts w:ascii="SimSun" w:eastAsia="SimSun" w:hAnsi="SimSun" w:cs="SimSun"/>
                <w:color w:val="000000"/>
                <w:spacing w:val="0"/>
                <w:w w:val="100"/>
                <w:position w:val="0"/>
                <w:sz w:val="17"/>
                <w:szCs w:val="17"/>
              </w:rPr>
              <w:t>以 上股权转让款且完成财产 交接，收益和风险转移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-7.36</w:t>
            </w:r>
          </w:p>
        </w:tc>
      </w:tr>
      <w:tr>
        <w:trPr>
          <w:trHeight w:val="10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上海陇商供应 链管理有限公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99,244.71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67.00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协议转让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2019.11.30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权力机构批准，收到</w:t>
            </w:r>
            <w:r>
              <w:rPr>
                <w:color w:val="000000"/>
                <w:spacing w:val="0"/>
                <w:w w:val="100"/>
                <w:position w:val="0"/>
                <w:sz w:val="18"/>
                <w:szCs w:val="18"/>
              </w:rPr>
              <w:t>50%</w:t>
            </w:r>
            <w:r>
              <w:rPr>
                <w:rFonts w:ascii="SimSun" w:eastAsia="SimSun" w:hAnsi="SimSun" w:cs="SimSun"/>
                <w:color w:val="000000"/>
                <w:spacing w:val="0"/>
                <w:w w:val="100"/>
                <w:position w:val="0"/>
                <w:sz w:val="17"/>
                <w:szCs w:val="17"/>
              </w:rPr>
              <w:t>以 上股权转让款且完成财产 交接，收益和风险转移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39,245.76</w:t>
            </w:r>
          </w:p>
        </w:tc>
      </w:tr>
      <w:tr>
        <w:trPr>
          <w:trHeight w:val="10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宁夏旭通新能 源科技有限公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pPr>
            <w:r>
              <w:rPr>
                <w:color w:val="000000"/>
                <w:spacing w:val="0"/>
                <w:w w:val="100"/>
                <w:position w:val="0"/>
              </w:rPr>
              <w:t>5,000,000.00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240"/>
              <w:jc w:val="left"/>
            </w:pPr>
            <w:r>
              <w:rPr>
                <w:color w:val="000000"/>
                <w:spacing w:val="0"/>
                <w:w w:val="100"/>
                <w:position w:val="0"/>
              </w:rPr>
              <w:t>100.00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协议转让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pPr>
            <w:r>
              <w:rPr>
                <w:color w:val="000000"/>
                <w:spacing w:val="0"/>
                <w:w w:val="100"/>
                <w:position w:val="0"/>
              </w:rPr>
              <w:t>2019.11.30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权力机构批准，收到</w:t>
            </w:r>
            <w:r>
              <w:rPr>
                <w:color w:val="000000"/>
                <w:spacing w:val="0"/>
                <w:w w:val="100"/>
                <w:position w:val="0"/>
                <w:sz w:val="18"/>
                <w:szCs w:val="18"/>
              </w:rPr>
              <w:t>50%</w:t>
            </w:r>
            <w:r>
              <w:rPr>
                <w:rFonts w:ascii="SimSun" w:eastAsia="SimSun" w:hAnsi="SimSun" w:cs="SimSun"/>
                <w:color w:val="000000"/>
                <w:spacing w:val="0"/>
                <w:w w:val="100"/>
                <w:position w:val="0"/>
                <w:sz w:val="17"/>
                <w:szCs w:val="17"/>
              </w:rPr>
              <w:t>以 上股权转让款且完成财产 交接，收益和风险转移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4,750,689.90</w:t>
            </w:r>
          </w:p>
        </w:tc>
      </w:tr>
      <w:tr>
        <w:trPr>
          <w:trHeight w:val="106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both"/>
              <w:rPr>
                <w:sz w:val="20"/>
                <w:szCs w:val="20"/>
              </w:rPr>
            </w:pPr>
            <w:r>
              <w:rPr>
                <w:rFonts w:ascii="SimSun" w:eastAsia="SimSun" w:hAnsi="SimSun" w:cs="SimSun"/>
                <w:color w:val="000000"/>
                <w:spacing w:val="0"/>
                <w:w w:val="100"/>
                <w:position w:val="0"/>
                <w:sz w:val="20"/>
                <w:szCs w:val="20"/>
              </w:rPr>
              <w:t>青岛旭辰节能 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pPr>
            <w:r>
              <w:rPr>
                <w:color w:val="000000"/>
                <w:spacing w:val="0"/>
                <w:w w:val="100"/>
                <w:position w:val="0"/>
              </w:rPr>
              <w:t>3,000,000.00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240"/>
              <w:jc w:val="left"/>
            </w:pPr>
            <w:r>
              <w:rPr>
                <w:color w:val="000000"/>
                <w:spacing w:val="0"/>
                <w:w w:val="100"/>
                <w:position w:val="0"/>
              </w:rPr>
              <w:t>100.00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协议转让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2019.9.30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权力机构批准，收到</w:t>
            </w:r>
            <w:r>
              <w:rPr>
                <w:color w:val="000000"/>
                <w:spacing w:val="0"/>
                <w:w w:val="100"/>
                <w:position w:val="0"/>
                <w:sz w:val="18"/>
                <w:szCs w:val="18"/>
              </w:rPr>
              <w:t>50%</w:t>
            </w:r>
            <w:r>
              <w:rPr>
                <w:rFonts w:ascii="SimSun" w:eastAsia="SimSun" w:hAnsi="SimSun" w:cs="SimSun"/>
                <w:color w:val="000000"/>
                <w:spacing w:val="0"/>
                <w:w w:val="100"/>
                <w:position w:val="0"/>
                <w:sz w:val="17"/>
                <w:szCs w:val="17"/>
              </w:rPr>
              <w:t>以 上股权转让款且完成财产 交接，收益和风险转移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3,000,000.00</w:t>
            </w:r>
          </w:p>
        </w:tc>
      </w:tr>
      <w:tr>
        <w:trPr>
          <w:trHeight w:val="38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8,099,376.52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100,758,534.64</w:t>
            </w:r>
          </w:p>
        </w:tc>
      </w:tr>
    </w:tbl>
    <w:p>
      <w:pPr>
        <w:pStyle w:val="Style33"/>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续前表:</w:t>
      </w:r>
      <w:r>
        <w:br w:type="page"/>
      </w:r>
    </w:p>
    <w:tbl>
      <w:tblPr>
        <w:tblOverlap w:val="never"/>
        <w:jc w:val="center"/>
        <w:tblLayout w:type="fixed"/>
      </w:tblPr>
      <w:tblGrid>
        <w:gridCol w:w="2054"/>
        <w:gridCol w:w="1186"/>
        <w:gridCol w:w="1109"/>
        <w:gridCol w:w="902"/>
        <w:gridCol w:w="1109"/>
        <w:gridCol w:w="1445"/>
        <w:gridCol w:w="1416"/>
      </w:tblGrid>
      <w:tr>
        <w:trPr>
          <w:trHeight w:val="169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b/>
                <w:bCs/>
                <w:color w:val="000000"/>
                <w:spacing w:val="0"/>
                <w:w w:val="100"/>
                <w:position w:val="0"/>
                <w:sz w:val="20"/>
                <w:szCs w:val="20"/>
              </w:rPr>
              <w:t>丧失控制权 之日剩余股 权的比例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0" w:lineRule="exact"/>
              <w:ind w:left="0" w:right="0" w:firstLine="0"/>
              <w:jc w:val="center"/>
              <w:rPr>
                <w:sz w:val="20"/>
                <w:szCs w:val="20"/>
              </w:rPr>
            </w:pPr>
            <w:r>
              <w:rPr>
                <w:rFonts w:ascii="SimSun" w:eastAsia="SimSun" w:hAnsi="SimSun" w:cs="SimSun"/>
                <w:b/>
                <w:bCs/>
                <w:color w:val="000000"/>
                <w:spacing w:val="0"/>
                <w:w w:val="100"/>
                <w:position w:val="0"/>
                <w:sz w:val="20"/>
                <w:szCs w:val="20"/>
              </w:rPr>
              <w:t>丧失控制权 之日剩余股 权的账面价 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rPr>
                <w:sz w:val="20"/>
                <w:szCs w:val="20"/>
              </w:rPr>
            </w:pPr>
            <w:r>
              <w:rPr>
                <w:rFonts w:ascii="SimSun" w:eastAsia="SimSun" w:hAnsi="SimSun" w:cs="SimSun"/>
                <w:b/>
                <w:bCs/>
                <w:color w:val="000000"/>
                <w:spacing w:val="0"/>
                <w:w w:val="100"/>
                <w:position w:val="0"/>
                <w:sz w:val="20"/>
                <w:szCs w:val="20"/>
              </w:rPr>
              <w:t>丧失控制 权之日剩 余股权的 公允价值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b/>
                <w:bCs/>
                <w:color w:val="000000"/>
                <w:spacing w:val="0"/>
                <w:w w:val="100"/>
                <w:position w:val="0"/>
                <w:sz w:val="20"/>
                <w:szCs w:val="20"/>
              </w:rPr>
              <w:t>按照公允价 值重新计量 剩余股权产 生的利得或 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center"/>
              <w:rPr>
                <w:sz w:val="20"/>
                <w:szCs w:val="20"/>
              </w:rPr>
            </w:pPr>
            <w:r>
              <w:rPr>
                <w:rFonts w:ascii="SimSun" w:eastAsia="SimSun" w:hAnsi="SimSun" w:cs="SimSun"/>
                <w:b/>
                <w:bCs/>
                <w:color w:val="000000"/>
                <w:spacing w:val="0"/>
                <w:w w:val="100"/>
                <w:position w:val="0"/>
                <w:sz w:val="20"/>
                <w:szCs w:val="20"/>
              </w:rPr>
              <w:t>丧失控制权之 日剩余股权公 允价值的确定 方法及主要假 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b/>
                <w:bCs/>
                <w:color w:val="000000"/>
                <w:spacing w:val="0"/>
                <w:w w:val="100"/>
                <w:position w:val="0"/>
                <w:sz w:val="20"/>
                <w:szCs w:val="20"/>
              </w:rPr>
              <w:t>与原子公司股 权投资相关的 其他综合收益 转入投资损益 的金额</w:t>
            </w:r>
          </w:p>
        </w:tc>
      </w:tr>
      <w:tr>
        <w:trPr>
          <w:trHeight w:val="75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深圳市宝鹏物流有限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r>
      <w:tr>
        <w:trPr>
          <w:trHeight w:val="75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深圳市鸿基物流有限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r>
      <w:tr>
        <w:trPr>
          <w:trHeight w:val="75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深圳市虹海假日酒店 管理有限公司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r>
      <w:tr>
        <w:trPr>
          <w:trHeight w:val="75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深圳市鸿基兆丰商业 服务管理有限公司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r>
      <w:tr>
        <w:trPr>
          <w:trHeight w:val="75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内蒙古旭峰光伏科技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r>
      <w:tr>
        <w:trPr>
          <w:trHeight w:val="75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禹州市东旭新能源科 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r>
      <w:tr>
        <w:trPr>
          <w:trHeight w:val="75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20"/>
                <w:szCs w:val="20"/>
              </w:rPr>
            </w:pPr>
            <w:r>
              <w:rPr>
                <w:rFonts w:ascii="SimSun" w:eastAsia="SimSun" w:hAnsi="SimSun" w:cs="SimSun"/>
                <w:color w:val="000000"/>
                <w:spacing w:val="0"/>
                <w:w w:val="100"/>
                <w:position w:val="0"/>
                <w:sz w:val="20"/>
                <w:szCs w:val="20"/>
              </w:rPr>
              <w:t>辽宁旭红供应链管理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r>
      <w:tr>
        <w:trPr>
          <w:trHeight w:val="75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上海陇商供应链管理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r>
      <w:tr>
        <w:trPr>
          <w:trHeight w:val="75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宁夏旭通新能源科技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r>
      <w:tr>
        <w:trPr>
          <w:trHeight w:val="7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青岛旭辰节能科技有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r>
      <w:tr>
        <w:trPr>
          <w:trHeight w:val="46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r>
    </w:tbl>
    <w:p>
      <w:pPr>
        <w:pStyle w:val="Style33"/>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备注：子公司深圳市鸿基集装箱运输有限公司、深圳市鸿永通国际货运代理有限公司、宁夏旭卫新能 源科技有限公司已于本报告期出售。</w:t>
      </w:r>
    </w:p>
    <w:p>
      <w:pPr>
        <w:pStyle w:val="Style33"/>
        <w:keepNext w:val="0"/>
        <w:keepLines w:val="0"/>
        <w:widowControl w:val="0"/>
        <w:shd w:val="clear" w:color="auto" w:fill="auto"/>
        <w:bidi w:val="0"/>
        <w:spacing w:before="0" w:after="0"/>
        <w:ind w:left="0" w:right="0" w:firstLine="440"/>
        <w:jc w:val="both"/>
      </w:pPr>
      <w:bookmarkStart w:id="145" w:name="bookmark145"/>
      <w:r>
        <w:rPr>
          <w:rFonts w:ascii="Times New Roman" w:eastAsia="Times New Roman" w:hAnsi="Times New Roman" w:cs="Times New Roman"/>
          <w:b/>
          <w:bCs/>
          <w:color w:val="000000"/>
          <w:spacing w:val="0"/>
          <w:w w:val="100"/>
          <w:position w:val="0"/>
        </w:rPr>
        <w:t>4</w:t>
      </w:r>
      <w:bookmarkEnd w:id="145"/>
      <w:r>
        <w:rPr>
          <w:b/>
          <w:bCs/>
          <w:color w:val="000000"/>
          <w:spacing w:val="0"/>
          <w:w w:val="100"/>
          <w:position w:val="0"/>
        </w:rPr>
        <w:t>、其他原因的合并范围变动</w:t>
      </w:r>
    </w:p>
    <w:p>
      <w:pPr>
        <w:pStyle w:val="Style33"/>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 xml:space="preserve">本公司子公司东旭鸿海环保科技有限公司、旭农农业发展有限公司、宝丰旭阳新能源有限公司、黑山 旭恒新能源科技有限公司、衡阳市旭晖新能源科技有限公司、吉林众凯新能源有限公司、靖边东旭新能源 科技有限公司、山西国山新能源有限责任公司、陕西东泉新能源科技有限公司、扎鲁特旗通宝蓝天新能源 有限公司、张家川回族自治县天旭新能源科技有限公司、宝鸡东旭新能源科技有限公司、成都旭蓉新能源 科技有限公司、大名县旭农农业科技有限公司、东港熠彩新能源科技有限公司、馆陶县旭蓝新能源有限公 司、海南晟源新能源有限公司、邯郸市峰峰矿区旭晨新能源有限公司、金寨蓝天大别山光伏科技有限公司、 </w:t>
      </w:r>
      <w:r>
        <w:rPr>
          <w:color w:val="000000"/>
          <w:spacing w:val="0"/>
          <w:w w:val="100"/>
          <w:position w:val="0"/>
        </w:rPr>
        <w:t>岢岚县东旭新能源有限公司、聊城市东昌府区旭蓝新能源科技有限公司、林甸县旭蓝新能源科技有限公司、 临漳县旭蓝新能源科技有限公司、鲁山东旭新能源科技有限公司、鲁山旭蓝新能源有限公司、牡丹江市旭 蓝新能源有限责任公司、内蒙古旭景新能源科技有限公司、嫩江县量子新能源有限公司、宁波市旭鸿新能 源科技有限公司、农安旭阳新能源科技有限公司、平山旭蓝新能源科技有限公司、山西尚电新能源开发有 限公司、台州旭宏新能源有限公司、围场满族蒙古族自治县旭通光伏发电有限公司、新乡市旭蓝新能源技 术有限公司、宿州市旭蓝新能源有限公司、徐州市旭蓝新能源科技有限公司、烟台旭阳新能源科技有限公 司、张家口旭弘能源科技有限公司、郑州市旭蓝新能源科技有限公司、巩义市旭达新能源有限公司、建平 县旭蓝新能源科技有限公司、丹东市旭弘新能源科技有限公司、洪洞旭蓝新能源科技有限公司、安达市招 蓝新能源有限公司、安达市旭宁新能源有限公司、肇东市锦旭新能源有限公司、营口旭东新能源科技有限 公司、大庆市萨尔图区宝蓝新能源有限公司、大庆市萨尔图区宝东新能源有限公司、景县旭蓝新能源科技 有限公司、巴州正旭新能源有限公司、当阳旭天新能源科技有限公司、塔河旭阳新能源有限公司、远安东 旭阳光新能源科技有限公司、濮阳县东旭新能源科技有限公司、大庆高新区旭扬新能源有限公司、营口旭 蓝新能源科技有限公司、临沂旭辉新能源有限公司、大连旺禾粮油有限公司、团风县正旭新能源有限公司 已于本报告期注销。</w:t>
      </w:r>
    </w:p>
    <w:p>
      <w:pPr>
        <w:pStyle w:val="Style37"/>
        <w:keepNext/>
        <w:keepLines/>
        <w:widowControl w:val="0"/>
        <w:shd w:val="clear" w:color="auto" w:fill="auto"/>
        <w:bidi w:val="0"/>
        <w:spacing w:before="0" w:line="468" w:lineRule="exact"/>
        <w:ind w:left="0" w:right="0" w:firstLine="0"/>
        <w:jc w:val="both"/>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46"/>
      <w:bookmarkEnd w:id="147"/>
      <w:bookmarkEnd w:id="149"/>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33" w:val="left"/>
        </w:tabs>
        <w:bidi w:val="0"/>
        <w:spacing w:before="0" w:line="468" w:lineRule="exact"/>
        <w:ind w:left="0" w:right="0" w:firstLine="0"/>
        <w:jc w:val="both"/>
      </w:pPr>
      <w:bookmarkStart w:id="150" w:name="bookmark150"/>
      <w:bookmarkStart w:id="151" w:name="bookmark151"/>
      <w:bookmarkStart w:id="152" w:name="bookmark152"/>
      <w:bookmarkStart w:id="153" w:name="bookmark153"/>
      <w:r>
        <w:rPr>
          <w:color w:val="000000"/>
          <w:spacing w:val="0"/>
          <w:w w:val="100"/>
          <w:position w:val="0"/>
        </w:rPr>
        <w:t>（</w:t>
      </w:r>
      <w:bookmarkEnd w:id="15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0"/>
      <w:bookmarkEnd w:id="151"/>
      <w:bookmarkEnd w:id="153"/>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2,651,401,910.70</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38.96%</w:t>
            </w:r>
          </w:p>
        </w:tc>
      </w:tr>
      <w:tr>
        <w:trPr>
          <w:trHeight w:val="725"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5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767,445,860.88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639,739,307.70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color w:val="000000"/>
                <w:spacing w:val="0"/>
                <w:w w:val="100"/>
                <w:position w:val="0"/>
              </w:rPr>
              <w:t>9.40%</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539,878,310.72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color w:val="000000"/>
                <w:spacing w:val="0"/>
                <w:w w:val="100"/>
                <w:position w:val="0"/>
              </w:rPr>
              <w:t>7.93%</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357,550,508.72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color w:val="000000"/>
                <w:spacing w:val="0"/>
                <w:w w:val="100"/>
                <w:position w:val="0"/>
              </w:rPr>
              <w:t>5.25%</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346,787,922.68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color w:val="000000"/>
                <w:spacing w:val="0"/>
                <w:w w:val="100"/>
                <w:position w:val="0"/>
              </w:rPr>
              <w:t>5.10%</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2,651,401,910.70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38.96%</w:t>
            </w:r>
          </w:p>
        </w:tc>
      </w:tr>
    </w:tbl>
    <w:p>
      <w:pPr>
        <w:spacing w:lineRule="exact" w:line="1"/>
        <w:rPr>
          <w:sz w:val="2"/>
          <w:szCs w:val="2"/>
        </w:rPr>
      </w:pPr>
      <w:r>
        <w:br w:type="page"/>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2,748,734,207.04</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36.55%</w:t>
            </w:r>
          </w:p>
        </w:tc>
      </w:tr>
      <w:tr>
        <w:trPr>
          <w:trHeight w:val="725"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1,079,741,446.17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14.36%</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622,006,740.00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color w:val="000000"/>
                <w:spacing w:val="0"/>
                <w:w w:val="100"/>
                <w:position w:val="0"/>
              </w:rPr>
              <w:t>8.27%</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426,155,500.00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color w:val="000000"/>
                <w:spacing w:val="0"/>
                <w:w w:val="100"/>
                <w:position w:val="0"/>
              </w:rPr>
              <w:t>5.67%</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314,343,020.87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4.18%</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306,487,500.00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both"/>
            </w:pPr>
            <w:r>
              <w:rPr>
                <w:color w:val="000000"/>
                <w:spacing w:val="0"/>
                <w:w w:val="100"/>
                <w:position w:val="0"/>
              </w:rPr>
              <w:t>4.07%</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2,748,734,207.04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36.55%</w:t>
            </w:r>
          </w:p>
        </w:tc>
      </w:tr>
    </w:tbl>
    <w:p>
      <w:pPr>
        <w:widowControl w:val="0"/>
        <w:spacing w:after="5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3</w:t>
      </w:r>
      <w:bookmarkEnd w:id="156"/>
      <w:r>
        <w:rPr>
          <w:color w:val="000000"/>
          <w:spacing w:val="0"/>
          <w:w w:val="100"/>
          <w:position w:val="0"/>
        </w:rPr>
        <w:t>、费用</w:t>
      </w:r>
      <w:bookmarkEnd w:id="154"/>
      <w:bookmarkEnd w:id="155"/>
      <w:bookmarkEnd w:id="157"/>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14,605,977.87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19,124,356.52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-23.63%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主要系本期人员减少的影响</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269,191,422.99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315,221,467.23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-14.60%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主要系行政办公费、折旧及摊销减少 的影响</w:t>
            </w:r>
          </w:p>
        </w:tc>
      </w:tr>
      <w:tr>
        <w:trPr>
          <w:trHeight w:val="710"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609,740,021.58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514,270,193.90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本期借款平均余额相比上年同期增 加，利息支出增加</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35,414,974.27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51,329,254.83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-31.00%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主要系本期研发投资减少的影响</w:t>
            </w: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4</w:t>
      </w:r>
      <w:bookmarkEnd w:id="160"/>
      <w:r>
        <w:rPr>
          <w:color w:val="000000"/>
          <w:spacing w:val="0"/>
          <w:w w:val="100"/>
          <w:position w:val="0"/>
        </w:rPr>
        <w:t>、研发投入</w:t>
      </w:r>
      <w:bookmarkEnd w:id="158"/>
      <w:bookmarkEnd w:id="159"/>
      <w:bookmarkEnd w:id="161"/>
    </w:p>
    <w:p>
      <w:pPr>
        <w:pStyle w:val="Style26"/>
        <w:keepNext w:val="0"/>
        <w:keepLines w:val="0"/>
        <w:widowControl w:val="0"/>
        <w:shd w:val="clear" w:color="auto" w:fill="auto"/>
        <w:bidi w:val="0"/>
        <w:spacing w:before="0" w:after="6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440" w:line="312" w:lineRule="exact"/>
        <w:ind w:left="0" w:right="0" w:firstLine="0"/>
        <w:jc w:val="left"/>
      </w:pPr>
      <w:r>
        <w:rPr>
          <w:color w:val="000000"/>
          <w:spacing w:val="0"/>
          <w:w w:val="100"/>
          <w:position w:val="0"/>
        </w:rPr>
        <w:t>公司计划通过项目研发，形成新能源及环保专利技术，在提高主营业务竞争力的同时形成技术储备。截至目前，主要研发项 目已开发完成或已进入开发阶段，预计会对公司在新能源及环保领域发展构成积极影响。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-43.32%</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40,756,211.06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59,476,797.04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-31.48%</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6,894,394.88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5,171,422.19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33.32%</w:t>
            </w:r>
          </w:p>
        </w:tc>
      </w:tr>
      <w:tr>
        <w:trPr>
          <w:trHeight w:val="725"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研发投入总额占营业收入的比重较上年发生显著变化的原因</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700" w:line="240" w:lineRule="auto"/>
        <w:ind w:left="0" w:right="0" w:firstLine="0"/>
        <w:jc w:val="left"/>
      </w:pPr>
      <w:r>
        <w:rPr>
          <w:color w:val="000000"/>
          <w:spacing w:val="0"/>
          <w:w w:val="100"/>
          <w:position w:val="0"/>
        </w:rPr>
        <w:t>本期符合资本化条件的研发支出增加，部分项目形成研发成果。</w:t>
      </w:r>
    </w:p>
    <w:p>
      <w:pPr>
        <w:pStyle w:val="Style30"/>
        <w:keepNext/>
        <w:keepLines/>
        <w:widowControl w:val="0"/>
        <w:shd w:val="clear" w:color="auto" w:fill="auto"/>
        <w:bidi w:val="0"/>
        <w:spacing w:before="0" w:after="38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5</w:t>
      </w:r>
      <w:bookmarkEnd w:id="164"/>
      <w:r>
        <w:rPr>
          <w:color w:val="000000"/>
          <w:spacing w:val="0"/>
          <w:w w:val="100"/>
          <w:position w:val="0"/>
        </w:rPr>
        <w:t>、现金流</w:t>
      </w:r>
      <w:bookmarkEnd w:id="162"/>
      <w:bookmarkEnd w:id="163"/>
      <w:bookmarkEnd w:id="16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8,801,975,585.37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6,591,135,047.38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33.54%</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8,221,594,648.11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10,424,393,311.12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-21.13%</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580,380,937.26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-3,833,258,263.74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115.14%</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90,121,502.65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3,978,317,824.56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-97.73%</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4,788,646,860.20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4,612,601,680.07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-4,698,525,357.55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-634,283,855.51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-640.76%</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2,427,079,787.62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7,237,438,759.21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-66.46%</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5,093,073,373.94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5,292,847,457.10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w:t>
            </w:r>
          </w:p>
        </w:tc>
      </w:tr>
      <w:tr>
        <w:trPr>
          <w:trHeight w:val="710"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-2,665,993,586.32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1,944,591,302.11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-237.10%</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-6,783,706,421.03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-2,524,968,523.11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168.66%</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numPr>
          <w:ilvl w:val="0"/>
          <w:numId w:val="5"/>
        </w:numPr>
        <w:shd w:val="clear" w:color="auto" w:fill="auto"/>
        <w:tabs>
          <w:tab w:pos="301" w:val="left"/>
        </w:tabs>
        <w:bidi w:val="0"/>
        <w:spacing w:before="0" w:line="240" w:lineRule="auto"/>
        <w:ind w:left="0" w:right="0" w:firstLine="0"/>
        <w:jc w:val="both"/>
      </w:pPr>
      <w:bookmarkStart w:id="166" w:name="bookmark166"/>
      <w:bookmarkEnd w:id="166"/>
      <w:r>
        <w:rPr>
          <w:color w:val="000000"/>
          <w:spacing w:val="0"/>
          <w:w w:val="100"/>
          <w:position w:val="0"/>
        </w:rPr>
        <w:t>本期经营活动现金流入增加，主要系本期加强应收账款管理，回款较快的影响；</w:t>
      </w:r>
    </w:p>
    <w:p>
      <w:pPr>
        <w:pStyle w:val="Style26"/>
        <w:keepNext w:val="0"/>
        <w:keepLines w:val="0"/>
        <w:widowControl w:val="0"/>
        <w:numPr>
          <w:ilvl w:val="0"/>
          <w:numId w:val="5"/>
        </w:numPr>
        <w:shd w:val="clear" w:color="auto" w:fill="auto"/>
        <w:tabs>
          <w:tab w:pos="320" w:val="left"/>
        </w:tabs>
        <w:bidi w:val="0"/>
        <w:spacing w:before="0" w:line="240" w:lineRule="auto"/>
        <w:ind w:left="0" w:right="0" w:firstLine="0"/>
        <w:jc w:val="both"/>
      </w:pPr>
      <w:bookmarkStart w:id="167" w:name="bookmark167"/>
      <w:bookmarkEnd w:id="167"/>
      <w:r>
        <w:rPr>
          <w:color w:val="000000"/>
          <w:spacing w:val="0"/>
          <w:w w:val="100"/>
          <w:position w:val="0"/>
        </w:rPr>
        <w:t>本期经营活动现金流出减少，主要系本期预付生态环保及新能源业务款项、支付往来款及押金保证金减少的影响;</w:t>
      </w:r>
    </w:p>
    <w:p>
      <w:pPr>
        <w:pStyle w:val="Style26"/>
        <w:keepNext w:val="0"/>
        <w:keepLines w:val="0"/>
        <w:widowControl w:val="0"/>
        <w:numPr>
          <w:ilvl w:val="0"/>
          <w:numId w:val="5"/>
        </w:numPr>
        <w:shd w:val="clear" w:color="auto" w:fill="auto"/>
        <w:tabs>
          <w:tab w:pos="320" w:val="left"/>
        </w:tabs>
        <w:bidi w:val="0"/>
        <w:spacing w:before="0" w:line="240" w:lineRule="auto"/>
        <w:ind w:left="0" w:right="0" w:firstLine="0"/>
        <w:jc w:val="both"/>
      </w:pPr>
      <w:bookmarkStart w:id="168" w:name="bookmark168"/>
      <w:bookmarkEnd w:id="168"/>
      <w:r>
        <w:rPr>
          <w:color w:val="000000"/>
          <w:spacing w:val="0"/>
          <w:w w:val="100"/>
          <w:position w:val="0"/>
        </w:rPr>
        <w:t>本期投资活动现金流入较上年同期减少，主要系上期剥离地产业务影响；</w:t>
      </w:r>
    </w:p>
    <w:p>
      <w:pPr>
        <w:pStyle w:val="Style26"/>
        <w:keepNext w:val="0"/>
        <w:keepLines w:val="0"/>
        <w:widowControl w:val="0"/>
        <w:numPr>
          <w:ilvl w:val="0"/>
          <w:numId w:val="5"/>
        </w:numPr>
        <w:shd w:val="clear" w:color="auto" w:fill="auto"/>
        <w:tabs>
          <w:tab w:pos="320" w:val="left"/>
        </w:tabs>
        <w:bidi w:val="0"/>
        <w:spacing w:before="0" w:line="240" w:lineRule="auto"/>
        <w:ind w:left="0" w:right="0" w:firstLine="0"/>
        <w:jc w:val="both"/>
      </w:pPr>
      <w:bookmarkStart w:id="169" w:name="bookmark169"/>
      <w:bookmarkEnd w:id="169"/>
      <w:r>
        <w:rPr>
          <w:color w:val="000000"/>
          <w:spacing w:val="0"/>
          <w:w w:val="100"/>
          <w:position w:val="0"/>
        </w:rPr>
        <w:t>本期筹资活动现金流入交上年同期减少，主要系本期融资规模减少的影响。</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本期经营活动产生的现金净流量大于年度净利润，主要系本期计提减值损失造成净利润大幅下降的影响。</w:t>
      </w:r>
    </w:p>
    <w:p>
      <w:pPr>
        <w:pStyle w:val="Style22"/>
        <w:keepNext/>
        <w:keepLines/>
        <w:widowControl w:val="0"/>
        <w:shd w:val="clear" w:color="auto" w:fill="auto"/>
        <w:bidi w:val="0"/>
        <w:spacing w:before="0" w:line="240" w:lineRule="auto"/>
        <w:ind w:left="0" w:right="0" w:firstLine="0"/>
        <w:jc w:val="both"/>
      </w:pPr>
      <w:bookmarkStart w:id="170" w:name="bookmark170"/>
      <w:bookmarkStart w:id="171" w:name="bookmark171"/>
      <w:bookmarkStart w:id="172" w:name="bookmark172"/>
      <w:bookmarkStart w:id="173" w:name="bookmark173"/>
      <w:r>
        <w:rPr>
          <w:color w:val="000000"/>
          <w:spacing w:val="0"/>
          <w:w w:val="100"/>
          <w:position w:val="0"/>
        </w:rPr>
        <w:t>三</w:t>
      </w:r>
      <w:bookmarkEnd w:id="172"/>
      <w:r>
        <w:rPr>
          <w:color w:val="000000"/>
          <w:spacing w:val="0"/>
          <w:w w:val="100"/>
          <w:position w:val="0"/>
        </w:rPr>
        <w:t>、非主营业务分析</w:t>
      </w:r>
      <w:bookmarkEnd w:id="170"/>
      <w:bookmarkEnd w:id="171"/>
      <w:bookmarkEnd w:id="173"/>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是否具有可持续性</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102,127,720.91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因剥离物流产生的投资收 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-311,938,422.06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因计提在建工程减值准备 及商誉减值准备产生的资 产减值损失</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120,179,226.21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因公益性对外捐赠支出及 借款违约金的影响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37"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信用减值损失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-519,611,870.29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因计提应收账款坏账准备 及其他应收款坏账准备产 生的信用减值损失</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359" w:line="1" w:lineRule="exact"/>
      </w:pPr>
    </w:p>
    <w:p>
      <w:pPr>
        <w:pStyle w:val="Style22"/>
        <w:keepNext/>
        <w:keepLines/>
        <w:widowControl w:val="0"/>
        <w:shd w:val="clear" w:color="auto" w:fill="auto"/>
        <w:bidi w:val="0"/>
        <w:spacing w:before="0" w:line="240" w:lineRule="auto"/>
        <w:ind w:left="0" w:right="0" w:firstLine="0"/>
        <w:jc w:val="both"/>
      </w:pPr>
      <w:bookmarkStart w:id="174" w:name="bookmark174"/>
      <w:bookmarkStart w:id="175" w:name="bookmark175"/>
      <w:bookmarkStart w:id="176" w:name="bookmark176"/>
      <w:bookmarkStart w:id="177" w:name="bookmark177"/>
      <w:r>
        <w:rPr>
          <w:color w:val="000000"/>
          <w:spacing w:val="0"/>
          <w:w w:val="100"/>
          <w:position w:val="0"/>
        </w:rPr>
        <w:t>四</w:t>
      </w:r>
      <w:bookmarkEnd w:id="176"/>
      <w:r>
        <w:rPr>
          <w:color w:val="000000"/>
          <w:spacing w:val="0"/>
          <w:w w:val="100"/>
          <w:position w:val="0"/>
        </w:rPr>
        <w:t>、资产及负债状况</w:t>
      </w:r>
      <w:bookmarkEnd w:id="174"/>
      <w:bookmarkEnd w:id="175"/>
      <w:bookmarkEnd w:id="177"/>
    </w:p>
    <w:p>
      <w:pPr>
        <w:pStyle w:val="Style30"/>
        <w:keepNext/>
        <w:keepLines/>
        <w:widowControl w:val="0"/>
        <w:shd w:val="clear" w:color="auto" w:fill="auto"/>
        <w:bidi w:val="0"/>
        <w:spacing w:before="0" w:line="240" w:lineRule="auto"/>
        <w:ind w:left="0" w:right="0" w:firstLine="0"/>
        <w:jc w:val="both"/>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1</w:t>
      </w:r>
      <w:bookmarkEnd w:id="180"/>
      <w:r>
        <w:rPr>
          <w:color w:val="000000"/>
          <w:spacing w:val="0"/>
          <w:w w:val="100"/>
          <w:position w:val="0"/>
        </w:rPr>
        <w:t>、资产构成重大变动情况</w:t>
      </w:r>
      <w:bookmarkEnd w:id="178"/>
      <w:bookmarkEnd w:id="179"/>
      <w:bookmarkEnd w:id="181"/>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年起首次执行新金融工具准则、新收入准则或新租赁准则且调整执行当年年初财务报表相关项目</w:t>
      </w:r>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25"/>
        <w:gridCol w:w="902"/>
        <w:gridCol w:w="1195"/>
        <w:gridCol w:w="1061"/>
        <w:gridCol w:w="797"/>
        <w:gridCol w:w="2928"/>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占总资产 比例</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4,717,284,263.63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7,493,492,185.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-6.56%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主要系预付新能源电站投资款、</w:t>
            </w:r>
            <w:r>
              <w:rPr>
                <w:color w:val="000000"/>
                <w:spacing w:val="0"/>
                <w:w w:val="100"/>
                <w:position w:val="0"/>
                <w:sz w:val="18"/>
                <w:szCs w:val="18"/>
              </w:rPr>
              <w:t xml:space="preserve">PPP </w:t>
            </w:r>
            <w:r>
              <w:rPr>
                <w:rFonts w:ascii="SimSun" w:eastAsia="SimSun" w:hAnsi="SimSun" w:cs="SimSun"/>
                <w:color w:val="000000"/>
                <w:spacing w:val="0"/>
                <w:w w:val="100"/>
                <w:position w:val="0"/>
                <w:sz w:val="17"/>
                <w:szCs w:val="17"/>
              </w:rPr>
              <w:t>项目投资款增加的影响</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2,986,108,843.89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9.64%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3,287,424,527.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9.55%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2,482,258,945.56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8.01%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3,445,020,169.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1,539,722,510.04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4.97%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1,599,807,043.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4.65%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0.32%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9,266,106.87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9,970,731.52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5,820,999,223.56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18.79%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5,637,026,735.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2.41%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524,358,423.69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937,087,373.81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2.72%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25"/>
        <w:gridCol w:w="902"/>
        <w:gridCol w:w="1195"/>
        <w:gridCol w:w="1061"/>
        <w:gridCol w:w="797"/>
        <w:gridCol w:w="2928"/>
      </w:tblGrid>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2,590,779,510.12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2,724,536,191.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0.44%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3,288,240,859.86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4,023,650,989.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4,883,792,708.46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4,641,887,925.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4,444,466,863.38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3,165,292,114.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主要系预付新能源电站投资款及</w:t>
            </w:r>
            <w:r>
              <w:rPr>
                <w:color w:val="000000"/>
                <w:spacing w:val="0"/>
                <w:w w:val="100"/>
                <w:position w:val="0"/>
                <w:sz w:val="18"/>
                <w:szCs w:val="18"/>
              </w:rPr>
              <w:t xml:space="preserve">PPP </w:t>
            </w:r>
            <w:r>
              <w:rPr>
                <w:rFonts w:ascii="SimSun" w:eastAsia="SimSun" w:hAnsi="SimSun" w:cs="SimSun"/>
                <w:color w:val="000000"/>
                <w:spacing w:val="0"/>
                <w:w w:val="100"/>
                <w:position w:val="0"/>
                <w:sz w:val="17"/>
                <w:szCs w:val="17"/>
              </w:rPr>
              <w:t>项目投资款的增加</w:t>
            </w:r>
          </w:p>
        </w:tc>
      </w:tr>
      <w:tr>
        <w:trPr>
          <w:trHeight w:val="725"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4,046,836,598.21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5,211,083,645.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both"/>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2</w:t>
      </w:r>
      <w:bookmarkEnd w:id="184"/>
      <w:r>
        <w:rPr>
          <w:color w:val="000000"/>
          <w:spacing w:val="0"/>
          <w:w w:val="100"/>
          <w:position w:val="0"/>
        </w:rPr>
        <w:t>、以公允价值计量的资产和负债</w:t>
      </w:r>
      <w:bookmarkEnd w:id="182"/>
      <w:bookmarkEnd w:id="183"/>
      <w:bookmarkEnd w:id="185"/>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094"/>
        <w:gridCol w:w="1090"/>
        <w:gridCol w:w="1090"/>
        <w:gridCol w:w="1090"/>
        <w:gridCol w:w="1090"/>
        <w:gridCol w:w="1090"/>
        <w:gridCol w:w="869"/>
        <w:gridCol w:w="1070"/>
      </w:tblGrid>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本期公允价</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值变动损益</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计入权益的 累计公允价 值变动</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本期计提的</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本期购买金 额</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本期出售金 额</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c>
          <w:tcPr>
            <w:gridSpan w:val="8"/>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其他权益工 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4,371,357.37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2,775,282.24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4,275,282.24</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金融资产小 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4,371,357.37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2,775,282.24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4,275,282.24</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4,371,357.37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2,775,282.24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4,275,282.24</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其他变动的内容</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报告期内公司主要资产计量属性是否发生重大变化</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bidi w:val="0"/>
        <w:spacing w:before="0" w:after="32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3</w:t>
      </w:r>
      <w:bookmarkEnd w:id="188"/>
      <w:r>
        <w:rPr>
          <w:color w:val="000000"/>
          <w:spacing w:val="0"/>
          <w:w w:val="100"/>
          <w:position w:val="0"/>
        </w:rPr>
        <w:t>、截至报告期末的资产权利受限情况</w:t>
      </w:r>
      <w:bookmarkEnd w:id="186"/>
      <w:bookmarkEnd w:id="187"/>
      <w:bookmarkEnd w:id="189"/>
    </w:p>
    <w:tbl>
      <w:tblPr>
        <w:tblOverlap w:val="never"/>
        <w:jc w:val="center"/>
        <w:tblLayout w:type="fixed"/>
      </w:tblPr>
      <w:tblGrid>
        <w:gridCol w:w="2395"/>
        <w:gridCol w:w="2717"/>
        <w:gridCol w:w="4210"/>
      </w:tblGrid>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期末账面价值</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受限原因</w:t>
            </w:r>
          </w:p>
        </w:tc>
      </w:tr>
      <w:tr>
        <w:trPr>
          <w:trHeight w:val="658"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货币资金</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4,001,706,717.34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保证金存款、司法冻结资金、银行质押及共管 资金、存出投资款</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1,489,320,508.22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抵押</w:t>
            </w:r>
          </w:p>
        </w:tc>
      </w:tr>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2,113,802,490.56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抵押</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49,988,693.09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抵押</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4,623,942,163.64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质押</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192,520,000.00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质押</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12,471,280,572.85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2"/>
        <w:keepNext/>
        <w:keepLines/>
        <w:widowControl w:val="0"/>
        <w:shd w:val="clear" w:color="auto" w:fill="auto"/>
        <w:bidi w:val="0"/>
        <w:spacing w:before="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rPr>
        <w:t>五</w:t>
      </w:r>
      <w:bookmarkEnd w:id="192"/>
      <w:r>
        <w:rPr>
          <w:color w:val="000000"/>
          <w:spacing w:val="0"/>
          <w:w w:val="100"/>
          <w:position w:val="0"/>
        </w:rPr>
        <w:t>、投资状况</w:t>
      </w:r>
      <w:bookmarkEnd w:id="190"/>
      <w:bookmarkEnd w:id="191"/>
      <w:bookmarkEnd w:id="193"/>
    </w:p>
    <w:p>
      <w:pPr>
        <w:pStyle w:val="Style30"/>
        <w:keepNext/>
        <w:keepLines/>
        <w:widowControl w:val="0"/>
        <w:shd w:val="clear" w:color="auto" w:fill="auto"/>
        <w:bidi w:val="0"/>
        <w:spacing w:before="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1</w:t>
      </w:r>
      <w:bookmarkEnd w:id="196"/>
      <w:r>
        <w:rPr>
          <w:color w:val="000000"/>
          <w:spacing w:val="0"/>
          <w:w w:val="100"/>
          <w:position w:val="0"/>
        </w:rPr>
        <w:t>、总体情况</w:t>
      </w:r>
      <w:bookmarkEnd w:id="194"/>
      <w:bookmarkEnd w:id="195"/>
      <w:bookmarkEnd w:id="197"/>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261,328,256.13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1,314,380,466.15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-80.12%</w:t>
            </w:r>
          </w:p>
        </w:tc>
      </w:tr>
    </w:tbl>
    <w:p>
      <w:pPr>
        <w:widowControl w:val="0"/>
        <w:spacing w:after="319" w:line="1" w:lineRule="exact"/>
      </w:pPr>
    </w:p>
    <w:p>
      <w:pPr>
        <w:pStyle w:val="Style30"/>
        <w:keepNext/>
        <w:keepLines/>
        <w:widowControl w:val="0"/>
        <w:shd w:val="clear" w:color="auto" w:fill="auto"/>
        <w:tabs>
          <w:tab w:pos="378" w:val="left"/>
        </w:tabs>
        <w:bidi w:val="0"/>
        <w:spacing w:before="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2</w:t>
      </w:r>
      <w:bookmarkEnd w:id="200"/>
      <w:r>
        <w:rPr>
          <w:color w:val="000000"/>
          <w:spacing w:val="0"/>
          <w:w w:val="100"/>
          <w:position w:val="0"/>
        </w:rPr>
        <w:t>、</w:t>
        <w:tab/>
        <w:t>报告期内获取的重大的股权投资情况</w:t>
      </w:r>
      <w:bookmarkEnd w:id="198"/>
      <w:bookmarkEnd w:id="199"/>
      <w:bookmarkEnd w:id="201"/>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3</w:t>
      </w:r>
      <w:bookmarkEnd w:id="204"/>
      <w:r>
        <w:rPr>
          <w:color w:val="000000"/>
          <w:spacing w:val="0"/>
          <w:w w:val="100"/>
          <w:position w:val="0"/>
        </w:rPr>
        <w:t>、</w:t>
        <w:tab/>
        <w:t>报告期内正在进行的重大的非股权投资情况</w:t>
      </w:r>
      <w:bookmarkEnd w:id="202"/>
      <w:bookmarkEnd w:id="203"/>
      <w:bookmarkEnd w:id="205"/>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656"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投资方 式</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是否为 固定资 产投资</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投资项 目涉及 行业</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本报告 期投入 金额</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截至报 告期末 累计实 际投入 金额</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项目进 度</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预计收 益</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8" w:lineRule="exact"/>
              <w:ind w:left="0" w:right="0" w:firstLine="0"/>
              <w:jc w:val="center"/>
              <w:rPr>
                <w:sz w:val="17"/>
                <w:szCs w:val="17"/>
              </w:rPr>
            </w:pPr>
            <w:r>
              <w:rPr>
                <w:rFonts w:ascii="SimSun" w:eastAsia="SimSun" w:hAnsi="SimSun" w:cs="SimSun"/>
                <w:color w:val="000000"/>
                <w:spacing w:val="0"/>
                <w:w w:val="100"/>
                <w:position w:val="0"/>
                <w:sz w:val="17"/>
                <w:szCs w:val="17"/>
              </w:rPr>
              <w:t>截止报 告期末 累计实 现的收 益</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未达到 计划进 度和预 计收益 的原因</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披露日</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期（如</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披露索 引（如 有）</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6" w:lineRule="exact"/>
              <w:ind w:left="0" w:right="0" w:firstLine="0"/>
              <w:jc w:val="both"/>
              <w:rPr>
                <w:sz w:val="17"/>
                <w:szCs w:val="17"/>
              </w:rPr>
            </w:pPr>
            <w:r>
              <w:rPr>
                <w:rFonts w:ascii="SimSun" w:eastAsia="SimSun" w:hAnsi="SimSun" w:cs="SimSun"/>
                <w:color w:val="000000"/>
                <w:spacing w:val="0"/>
                <w:w w:val="100"/>
                <w:position w:val="0"/>
                <w:sz w:val="17"/>
                <w:szCs w:val="17"/>
              </w:rPr>
              <w:t xml:space="preserve">金寨一 期 </w:t>
            </w:r>
            <w:r>
              <w:rPr>
                <w:color w:val="000000"/>
                <w:spacing w:val="0"/>
                <w:w w:val="100"/>
                <w:position w:val="0"/>
                <w:sz w:val="18"/>
                <w:szCs w:val="18"/>
              </w:rPr>
              <w:t xml:space="preserve">100MW </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光伏行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3,365,99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378,923,</w:t>
            </w:r>
          </w:p>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937.66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募集资</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金寨二</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期</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100MW</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光伏项</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光伏行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82,310,9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140,135,</w:t>
            </w:r>
          </w:p>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296.36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募集资</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林州东</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姚镇石</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大沟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光伏行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29,539,8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168,455,</w:t>
            </w:r>
          </w:p>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077.48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募集资</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海南省</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文昌市</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100MW</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渔光互</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补项目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光伏行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762,911.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130,411,</w:t>
            </w:r>
          </w:p>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292.97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自由资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湖北鸿</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路钢构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光伏行 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8,735,31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28,888,8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自由资 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98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三期</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27MW</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安平华 融产业 园一期 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工业园 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24,586,3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29,485,4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自由资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149,301,</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334.60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876,299,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866.91</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4</w:t>
      </w:r>
      <w:bookmarkEnd w:id="208"/>
      <w:r>
        <w:rPr>
          <w:color w:val="000000"/>
          <w:spacing w:val="0"/>
          <w:w w:val="100"/>
          <w:position w:val="0"/>
        </w:rPr>
        <w:t>、金融资产投资</w:t>
      </w:r>
      <w:bookmarkEnd w:id="206"/>
      <w:bookmarkEnd w:id="207"/>
      <w:bookmarkEnd w:id="209"/>
    </w:p>
    <w:p>
      <w:pPr>
        <w:pStyle w:val="Style37"/>
        <w:keepNext/>
        <w:keepLines/>
        <w:widowControl w:val="0"/>
        <w:shd w:val="clear" w:color="auto" w:fill="auto"/>
        <w:bidi w:val="0"/>
        <w:spacing w:before="0" w:after="36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rPr>
        <w:t>（</w:t>
      </w:r>
      <w:bookmarkEnd w:id="212"/>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210"/>
      <w:bookmarkEnd w:id="211"/>
      <w:bookmarkEnd w:id="213"/>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706"/>
        <w:gridCol w:w="682"/>
        <w:gridCol w:w="682"/>
        <w:gridCol w:w="682"/>
        <w:gridCol w:w="677"/>
        <w:gridCol w:w="682"/>
        <w:gridCol w:w="682"/>
        <w:gridCol w:w="682"/>
        <w:gridCol w:w="677"/>
        <w:gridCol w:w="682"/>
        <w:gridCol w:w="682"/>
        <w:gridCol w:w="701"/>
      </w:tblGrid>
      <w:tr>
        <w:trPr>
          <w:trHeight w:val="1656"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证券品 种</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证券代 码</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证券简 称</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最初投</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资成本</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会计计</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量模式</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期初账</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面价值</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6" w:lineRule="exact"/>
              <w:ind w:left="0" w:right="0" w:firstLine="0"/>
              <w:jc w:val="center"/>
              <w:rPr>
                <w:sz w:val="17"/>
                <w:szCs w:val="17"/>
              </w:rPr>
            </w:pPr>
            <w:r>
              <w:rPr>
                <w:rFonts w:ascii="SimSun" w:eastAsia="SimSun" w:hAnsi="SimSun" w:cs="SimSun"/>
                <w:color w:val="000000"/>
                <w:spacing w:val="0"/>
                <w:w w:val="100"/>
                <w:position w:val="0"/>
                <w:sz w:val="17"/>
                <w:szCs w:val="17"/>
              </w:rPr>
              <w:t>本期公 允价值 变动损 益</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计入权</w:t>
            </w:r>
          </w:p>
          <w:p>
            <w:pPr>
              <w:pStyle w:val="Style19"/>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color w:val="000000"/>
                <w:spacing w:val="0"/>
                <w:w w:val="100"/>
                <w:position w:val="0"/>
                <w:sz w:val="17"/>
                <w:szCs w:val="17"/>
              </w:rPr>
              <w:t>益的累 计公允 价值变 动</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本期购</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买金额</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本期出</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售金额</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报告期 损益</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期末账</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面价值</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会计核</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算科目</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境内外</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000509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华塑控 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公允价</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值计量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2,227,5</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1,480,0</w:t>
            </w:r>
          </w:p>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1,980,0</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债权投 资</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自有资 金</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境内外</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000506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中润资</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公允价</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值计量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2,143,8</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57.37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1,295,2</w:t>
            </w:r>
          </w:p>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82.24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2,295,2</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82.24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债权投 资</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自有资 金</w:t>
            </w:r>
          </w:p>
        </w:tc>
      </w:tr>
      <w:tr>
        <w:trPr>
          <w:trHeight w:val="710" w:hRule="exact"/>
        </w:trPr>
        <w:tc>
          <w:tcPr>
            <w:gridSpan w:val="3"/>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00.00</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4,371,3</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57.37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2,775,2</w:t>
            </w:r>
          </w:p>
          <w:p>
            <w:pPr>
              <w:pStyle w:val="Style19"/>
              <w:keepNext w:val="0"/>
              <w:keepLines w:val="0"/>
              <w:widowControl w:val="0"/>
              <w:shd w:val="clear" w:color="auto" w:fill="auto"/>
              <w:bidi w:val="0"/>
              <w:spacing w:before="0" w:after="0" w:line="240" w:lineRule="auto"/>
              <w:ind w:left="0" w:right="0" w:firstLine="240"/>
              <w:jc w:val="both"/>
            </w:pPr>
            <w:r>
              <w:rPr>
                <w:color w:val="000000"/>
                <w:spacing w:val="0"/>
                <w:w w:val="100"/>
                <w:position w:val="0"/>
              </w:rPr>
              <w:t>82.24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4,275,2</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82.24</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r>
      <w:tr>
        <w:trPr>
          <w:trHeight w:val="715" w:hRule="exact"/>
        </w:trPr>
        <w:tc>
          <w:tcPr>
            <w:gridSpan w:val="3"/>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证券投资审批董事会公告 披露日期</w:t>
            </w: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3"/>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证券投资审批股东会公告 披露日期（如有</w:t>
            </w:r>
            <w:r>
              <w:rPr>
                <w:rFonts w:ascii="SimSun" w:eastAsia="SimSun" w:hAnsi="SimSun" w:cs="SimSun"/>
                <w:color w:val="000000"/>
                <w:spacing w:val="0"/>
                <w:w w:val="100"/>
                <w:position w:val="0"/>
              </w:rPr>
              <w:t>）</w:t>
            </w: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bidi w:val="0"/>
        <w:spacing w:before="0" w:after="36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rPr>
        <w:t>（</w:t>
      </w:r>
      <w:bookmarkEnd w:id="216"/>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214"/>
      <w:bookmarkEnd w:id="215"/>
      <w:bookmarkEnd w:id="217"/>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30"/>
        <w:keepNext/>
        <w:keepLines/>
        <w:widowControl w:val="0"/>
        <w:shd w:val="clear" w:color="auto" w:fill="auto"/>
        <w:bidi w:val="0"/>
        <w:spacing w:before="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5</w:t>
      </w:r>
      <w:bookmarkEnd w:id="220"/>
      <w:r>
        <w:rPr>
          <w:color w:val="000000"/>
          <w:spacing w:val="0"/>
          <w:w w:val="100"/>
          <w:position w:val="0"/>
        </w:rPr>
        <w:t>、募集资金使用情况</w:t>
      </w:r>
      <w:bookmarkEnd w:id="218"/>
      <w:bookmarkEnd w:id="219"/>
      <w:bookmarkEnd w:id="221"/>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37"/>
        <w:keepNext/>
        <w:keepLines/>
        <w:widowControl w:val="0"/>
        <w:numPr>
          <w:ilvl w:val="0"/>
          <w:numId w:val="7"/>
        </w:numPr>
        <w:shd w:val="clear" w:color="auto" w:fill="auto"/>
        <w:bidi w:val="0"/>
        <w:spacing w:before="0" w:after="360" w:line="240" w:lineRule="auto"/>
        <w:ind w:left="0" w:right="0" w:firstLine="0"/>
        <w:jc w:val="left"/>
      </w:pPr>
      <w:bookmarkStart w:id="222" w:name="bookmark222"/>
      <w:bookmarkStart w:id="223" w:name="bookmark223"/>
      <w:bookmarkStart w:id="224" w:name="bookmark224"/>
      <w:bookmarkStart w:id="225" w:name="bookmark225"/>
      <w:bookmarkEnd w:id="224"/>
      <w:r>
        <w:rPr>
          <w:color w:val="000000"/>
          <w:spacing w:val="0"/>
          <w:w w:val="100"/>
          <w:position w:val="0"/>
        </w:rPr>
        <w:t>募集资金总体使用情况</w:t>
      </w:r>
      <w:bookmarkEnd w:id="222"/>
      <w:bookmarkEnd w:id="223"/>
      <w:bookmarkEnd w:id="225"/>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募集年份</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募集方式</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总额</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本期已使</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用募集资</w:t>
            </w:r>
          </w:p>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金总额</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已累计使</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用募集资</w:t>
            </w:r>
          </w:p>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金总额</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报告期内</w:t>
            </w:r>
          </w:p>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变更用途</w:t>
            </w:r>
          </w:p>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的募集资</w:t>
            </w:r>
          </w:p>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金总额</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累计变更</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用途的募</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集资金总</w:t>
            </w:r>
          </w:p>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累计变更</w:t>
            </w:r>
          </w:p>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用途的募</w:t>
            </w:r>
          </w:p>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集资金总</w:t>
            </w:r>
          </w:p>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额比例</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尚未使用</w:t>
            </w:r>
          </w:p>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募集资金</w:t>
            </w:r>
          </w:p>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总额</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用途及去 向</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闲置两年 以上募集 资金金额</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950,000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10,622.45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516,731.19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222,830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补流</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非公开发</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195,391.12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8,022.61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76,043.98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补流</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1,145,391.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18,645.06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592,775.17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222,830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1"/>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2443" w:hRule="exact"/>
        </w:trPr>
        <w:tc>
          <w:tcPr>
            <w:gridSpan w:val="11"/>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tabs>
                <w:tab w:pos="254" w:val="left"/>
              </w:tabs>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年非公开发行股票</w:t>
            </w:r>
          </w:p>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年度募集资金实际使用</w:t>
            </w:r>
            <w:r>
              <w:rPr>
                <w:color w:val="000000"/>
                <w:spacing w:val="0"/>
                <w:w w:val="100"/>
                <w:position w:val="0"/>
                <w:sz w:val="18"/>
                <w:szCs w:val="18"/>
              </w:rPr>
              <w:t>10,622.45</w:t>
            </w:r>
            <w:r>
              <w:rPr>
                <w:rFonts w:ascii="SimSun" w:eastAsia="SimSun" w:hAnsi="SimSun" w:cs="SimSun"/>
                <w:color w:val="000000"/>
                <w:spacing w:val="0"/>
                <w:w w:val="100"/>
                <w:position w:val="0"/>
                <w:sz w:val="17"/>
                <w:szCs w:val="17"/>
              </w:rPr>
              <w:t>万元，其中用于募投项目</w:t>
            </w:r>
            <w:r>
              <w:rPr>
                <w:color w:val="000000"/>
                <w:spacing w:val="0"/>
                <w:w w:val="100"/>
                <w:position w:val="0"/>
                <w:sz w:val="18"/>
                <w:szCs w:val="18"/>
              </w:rPr>
              <w:t>10,622.45</w:t>
            </w:r>
            <w:r>
              <w:rPr>
                <w:rFonts w:ascii="SimSun" w:eastAsia="SimSun" w:hAnsi="SimSun" w:cs="SimSun"/>
                <w:color w:val="000000"/>
                <w:spacing w:val="0"/>
                <w:w w:val="100"/>
                <w:position w:val="0"/>
                <w:sz w:val="17"/>
                <w:szCs w:val="17"/>
              </w:rPr>
              <w:t>万元，累计实际使用募集资金</w:t>
            </w:r>
            <w:r>
              <w:rPr>
                <w:color w:val="000000"/>
                <w:spacing w:val="0"/>
                <w:w w:val="100"/>
                <w:position w:val="0"/>
                <w:sz w:val="18"/>
                <w:szCs w:val="18"/>
              </w:rPr>
              <w:t>516,731.19</w:t>
            </w:r>
            <w:r>
              <w:rPr>
                <w:rFonts w:ascii="SimSun" w:eastAsia="SimSun" w:hAnsi="SimSun" w:cs="SimSun"/>
                <w:color w:val="000000"/>
                <w:spacing w:val="0"/>
                <w:w w:val="100"/>
                <w:position w:val="0"/>
                <w:sz w:val="17"/>
                <w:szCs w:val="17"/>
              </w:rPr>
              <w:t>万元。</w:t>
            </w:r>
          </w:p>
          <w:p>
            <w:pPr>
              <w:pStyle w:val="Style19"/>
              <w:keepNext w:val="0"/>
              <w:keepLines w:val="0"/>
              <w:widowControl w:val="0"/>
              <w:shd w:val="clear" w:color="auto" w:fill="auto"/>
              <w:tabs>
                <w:tab w:pos="274" w:val="left"/>
              </w:tabs>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2018</w:t>
            </w:r>
            <w:r>
              <w:rPr>
                <w:rFonts w:ascii="SimSun" w:eastAsia="SimSun" w:hAnsi="SimSun" w:cs="SimSun"/>
                <w:color w:val="000000"/>
                <w:spacing w:val="0"/>
                <w:w w:val="100"/>
                <w:position w:val="0"/>
                <w:sz w:val="17"/>
                <w:szCs w:val="17"/>
              </w:rPr>
              <w:t>年非公开发行股票</w:t>
            </w:r>
          </w:p>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年度募集资金实际使用</w:t>
            </w:r>
            <w:r>
              <w:rPr>
                <w:color w:val="000000"/>
                <w:spacing w:val="0"/>
                <w:w w:val="100"/>
                <w:position w:val="0"/>
                <w:sz w:val="18"/>
                <w:szCs w:val="18"/>
              </w:rPr>
              <w:t>8,022.61</w:t>
            </w:r>
            <w:r>
              <w:rPr>
                <w:rFonts w:ascii="SimSun" w:eastAsia="SimSun" w:hAnsi="SimSun" w:cs="SimSun"/>
                <w:color w:val="000000"/>
                <w:spacing w:val="0"/>
                <w:w w:val="100"/>
                <w:position w:val="0"/>
                <w:sz w:val="17"/>
                <w:szCs w:val="17"/>
              </w:rPr>
              <w:t>万元，其中用于募投项目</w:t>
            </w:r>
            <w:r>
              <w:rPr>
                <w:color w:val="000000"/>
                <w:spacing w:val="0"/>
                <w:w w:val="100"/>
                <w:position w:val="0"/>
                <w:sz w:val="18"/>
                <w:szCs w:val="18"/>
              </w:rPr>
              <w:t>8,022.61</w:t>
            </w:r>
            <w:r>
              <w:rPr>
                <w:rFonts w:ascii="SimSun" w:eastAsia="SimSun" w:hAnsi="SimSun" w:cs="SimSun"/>
                <w:color w:val="000000"/>
                <w:spacing w:val="0"/>
                <w:w w:val="100"/>
                <w:position w:val="0"/>
                <w:sz w:val="17"/>
                <w:szCs w:val="17"/>
              </w:rPr>
              <w:t>万元，累计实际使用募集资金</w:t>
            </w:r>
            <w:r>
              <w:rPr>
                <w:color w:val="000000"/>
                <w:spacing w:val="0"/>
                <w:w w:val="100"/>
                <w:position w:val="0"/>
                <w:sz w:val="18"/>
                <w:szCs w:val="18"/>
              </w:rPr>
              <w:t>76,043.98</w:t>
            </w:r>
            <w:r>
              <w:rPr>
                <w:rFonts w:ascii="SimSun" w:eastAsia="SimSun" w:hAnsi="SimSun" w:cs="SimSun"/>
                <w:color w:val="000000"/>
                <w:spacing w:val="0"/>
                <w:w w:val="100"/>
                <w:position w:val="0"/>
                <w:sz w:val="17"/>
                <w:szCs w:val="17"/>
              </w:rPr>
              <w:t>万元。截 止</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日，公司已使用闲置募集资金暂时补充流动资金</w:t>
            </w:r>
            <w:r>
              <w:rPr>
                <w:color w:val="000000"/>
                <w:spacing w:val="0"/>
                <w:w w:val="100"/>
                <w:position w:val="0"/>
                <w:sz w:val="18"/>
                <w:szCs w:val="18"/>
              </w:rPr>
              <w:t>120,000.00</w:t>
            </w:r>
            <w:r>
              <w:rPr>
                <w:rFonts w:ascii="SimSun" w:eastAsia="SimSun" w:hAnsi="SimSun" w:cs="SimSun"/>
                <w:color w:val="000000"/>
                <w:spacing w:val="0"/>
                <w:w w:val="100"/>
                <w:position w:val="0"/>
                <w:sz w:val="17"/>
                <w:szCs w:val="17"/>
              </w:rPr>
              <w:t>万元。</w:t>
            </w:r>
          </w:p>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经公司于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日召开的第九届董事会第二十七次会议、第九届监事会第十二次会议、</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日召开的</w:t>
            </w:r>
          </w:p>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年第一次临时股东大会审议同意，公司终止实施金寨</w:t>
            </w:r>
            <w:r>
              <w:rPr>
                <w:color w:val="000000"/>
                <w:spacing w:val="0"/>
                <w:w w:val="100"/>
                <w:position w:val="0"/>
                <w:sz w:val="18"/>
                <w:szCs w:val="18"/>
              </w:rPr>
              <w:t>200MW</w:t>
            </w:r>
            <w:r>
              <w:rPr>
                <w:rFonts w:ascii="SimSun" w:eastAsia="SimSun" w:hAnsi="SimSun" w:cs="SimSun"/>
                <w:color w:val="000000"/>
                <w:spacing w:val="0"/>
                <w:w w:val="100"/>
                <w:position w:val="0"/>
                <w:sz w:val="17"/>
                <w:szCs w:val="17"/>
              </w:rPr>
              <w:t>项目，并将剩余募集资金进行永久补充流动资金。</w:t>
            </w:r>
          </w:p>
        </w:tc>
      </w:tr>
    </w:tbl>
    <w:p>
      <w:pPr>
        <w:widowControl w:val="0"/>
        <w:spacing w:after="319" w:line="1" w:lineRule="exact"/>
      </w:pPr>
    </w:p>
    <w:p>
      <w:pPr>
        <w:pStyle w:val="Style37"/>
        <w:keepNext/>
        <w:keepLines/>
        <w:widowControl w:val="0"/>
        <w:numPr>
          <w:ilvl w:val="0"/>
          <w:numId w:val="7"/>
        </w:numPr>
        <w:shd w:val="clear" w:color="auto" w:fill="auto"/>
        <w:bidi w:val="0"/>
        <w:spacing w:before="0" w:after="360" w:line="240" w:lineRule="auto"/>
        <w:ind w:left="0" w:right="0" w:firstLine="0"/>
        <w:jc w:val="left"/>
      </w:pPr>
      <w:bookmarkStart w:id="226" w:name="bookmark226"/>
      <w:bookmarkStart w:id="227" w:name="bookmark227"/>
      <w:bookmarkStart w:id="228" w:name="bookmark228"/>
      <w:bookmarkStart w:id="229" w:name="bookmark229"/>
      <w:bookmarkEnd w:id="228"/>
      <w:r>
        <w:rPr>
          <w:color w:val="000000"/>
          <w:spacing w:val="0"/>
          <w:w w:val="100"/>
          <w:position w:val="0"/>
        </w:rPr>
        <w:t>募集资金承诺项目情况</w:t>
      </w:r>
      <w:bookmarkEnd w:id="226"/>
      <w:bookmarkEnd w:id="227"/>
      <w:bookmarkEnd w:id="229"/>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142"/>
        <w:gridCol w:w="710"/>
        <w:gridCol w:w="850"/>
        <w:gridCol w:w="850"/>
        <w:gridCol w:w="566"/>
        <w:gridCol w:w="854"/>
        <w:gridCol w:w="706"/>
        <w:gridCol w:w="1277"/>
        <w:gridCol w:w="710"/>
        <w:gridCol w:w="989"/>
        <w:gridCol w:w="1032"/>
      </w:tblGrid>
      <w:tr>
        <w:trPr>
          <w:trHeight w:val="1344"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目和超募资</w:t>
            </w:r>
          </w:p>
          <w:p>
            <w:pPr>
              <w:pStyle w:val="Style19"/>
              <w:keepNext w:val="0"/>
              <w:keepLines w:val="0"/>
              <w:widowControl w:val="0"/>
              <w:shd w:val="clear" w:color="auto" w:fill="auto"/>
              <w:bidi w:val="0"/>
              <w:spacing w:before="0" w:after="120" w:line="240" w:lineRule="auto"/>
              <w:ind w:left="0" w:right="0" w:firstLine="300"/>
              <w:jc w:val="left"/>
              <w:rPr>
                <w:sz w:val="17"/>
                <w:szCs w:val="17"/>
              </w:rPr>
            </w:pPr>
            <w:r>
              <w:rPr>
                <w:rFonts w:ascii="SimSun" w:eastAsia="SimSun" w:hAnsi="SimSun" w:cs="SimSun"/>
                <w:color w:val="000000"/>
                <w:spacing w:val="0"/>
                <w:w w:val="100"/>
                <w:position w:val="0"/>
                <w:sz w:val="17"/>
                <w:szCs w:val="17"/>
              </w:rPr>
              <w:t>金投向</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是否已 变更项 目</w:t>
            </w:r>
            <w:r>
              <w:rPr>
                <w:color w:val="000000"/>
                <w:spacing w:val="0"/>
                <w:w w:val="100"/>
                <w:position w:val="0"/>
              </w:rPr>
              <w:t>(</w:t>
            </w:r>
            <w:r>
              <w:rPr>
                <w:rFonts w:ascii="SimSun" w:eastAsia="SimSun" w:hAnsi="SimSun" w:cs="SimSun"/>
                <w:color w:val="000000"/>
                <w:spacing w:val="0"/>
                <w:w w:val="100"/>
                <w:position w:val="0"/>
                <w:sz w:val="17"/>
                <w:szCs w:val="17"/>
              </w:rPr>
              <w:t>含部 分变更</w:t>
            </w:r>
            <w:r>
              <w:rPr>
                <w:color w:val="000000"/>
                <w:spacing w:val="0"/>
                <w:w w:val="100"/>
                <w:position w:val="0"/>
              </w:rPr>
              <w:t>)</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总额</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调整后投</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资总额</w:t>
            </w:r>
            <w:r>
              <w:rPr>
                <w:color w:val="000000"/>
                <w:spacing w:val="0"/>
                <w:w w:val="100"/>
                <w:position w:val="0"/>
              </w:rPr>
              <w:t>(1)</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本报</w:t>
            </w:r>
          </w:p>
          <w:p>
            <w:pPr>
              <w:pStyle w:val="Style19"/>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告期 投入 金额</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sz w:val="17"/>
                <w:szCs w:val="17"/>
              </w:rPr>
              <w:t>截至期 末投资 进度</w:t>
            </w:r>
            <w:r>
              <w:rPr>
                <w:color w:val="000000"/>
                <w:spacing w:val="0"/>
                <w:w w:val="100"/>
                <w:position w:val="0"/>
              </w:rPr>
              <w:t xml:space="preserve">(3) </w:t>
            </w:r>
            <w:r>
              <w:rPr>
                <w:rFonts w:ascii="SimSun" w:eastAsia="SimSun" w:hAnsi="SimSun" w:cs="SimSun"/>
                <w:color w:val="000000"/>
                <w:spacing w:val="0"/>
                <w:w w:val="100"/>
                <w:position w:val="0"/>
                <w:sz w:val="17"/>
                <w:szCs w:val="17"/>
              </w:rPr>
              <w:t>=</w:t>
            </w:r>
            <w:r>
              <w:rPr>
                <w:color w:val="000000"/>
                <w:spacing w:val="0"/>
                <w:w w:val="100"/>
                <w:position w:val="0"/>
              </w:rPr>
              <w:t>(2)/(1)</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项目达到预定</w:t>
            </w:r>
          </w:p>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可使用状态日 期</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本报告</w:t>
            </w:r>
          </w:p>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期实现</w:t>
            </w:r>
          </w:p>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的效益</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是否达到预 计效益</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项目可行性</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是否发生重</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大变化</w:t>
            </w:r>
          </w:p>
        </w:tc>
      </w:tr>
      <w:tr>
        <w:trPr>
          <w:trHeight w:val="403" w:hRule="exact"/>
        </w:trPr>
        <w:tc>
          <w:tcPr>
            <w:gridSpan w:val="11"/>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莒县</w:t>
            </w:r>
            <w:r>
              <w:rPr>
                <w:color w:val="000000"/>
                <w:spacing w:val="0"/>
                <w:w w:val="100"/>
                <w:position w:val="0"/>
              </w:rPr>
              <w:t>40MW</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33,900.00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33,900.00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31,147.34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91.88%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1,863.53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长武</w:t>
            </w:r>
            <w:r>
              <w:rPr>
                <w:color w:val="000000"/>
                <w:spacing w:val="0"/>
                <w:w w:val="100"/>
                <w:position w:val="0"/>
              </w:rPr>
              <w:t>30MW</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23,000.00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广水</w:t>
            </w:r>
            <w:r>
              <w:rPr>
                <w:color w:val="000000"/>
                <w:spacing w:val="0"/>
                <w:w w:val="100"/>
                <w:position w:val="0"/>
              </w:rPr>
              <w:t>40MW</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30,500.00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30,500.00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仙桃</w:t>
            </w:r>
            <w:r>
              <w:rPr>
                <w:color w:val="000000"/>
                <w:spacing w:val="0"/>
                <w:w w:val="100"/>
                <w:position w:val="0"/>
              </w:rPr>
              <w:t>20MW</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15,900.00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15,900.00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13,459.74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84.65%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142"/>
        <w:gridCol w:w="710"/>
        <w:gridCol w:w="850"/>
        <w:gridCol w:w="850"/>
        <w:gridCol w:w="566"/>
        <w:gridCol w:w="854"/>
        <w:gridCol w:w="706"/>
        <w:gridCol w:w="1277"/>
        <w:gridCol w:w="710"/>
        <w:gridCol w:w="989"/>
        <w:gridCol w:w="1032"/>
      </w:tblGrid>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仙居</w:t>
            </w:r>
            <w:r>
              <w:rPr>
                <w:color w:val="000000"/>
                <w:spacing w:val="0"/>
                <w:w w:val="100"/>
                <w:position w:val="0"/>
              </w:rPr>
              <w:t>20MW</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已终止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17,200.00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116.29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11,109.24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龙泉</w:t>
            </w:r>
            <w:r>
              <w:rPr>
                <w:color w:val="000000"/>
                <w:spacing w:val="0"/>
                <w:w w:val="100"/>
                <w:position w:val="0"/>
              </w:rPr>
              <w:t>30MW</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26,400.00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26,400.00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1,217.</w:t>
            </w:r>
          </w:p>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24,296.30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92.03%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1,624.02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金寨</w:t>
            </w:r>
            <w:r>
              <w:rPr>
                <w:color w:val="000000"/>
                <w:spacing w:val="0"/>
                <w:w w:val="100"/>
                <w:position w:val="0"/>
              </w:rPr>
              <w:t>200MW</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已终止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164,000.0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1,093.</w:t>
            </w:r>
          </w:p>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108,732.5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2,277.52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内蒙古察右 中旗</w:t>
            </w:r>
            <w:r>
              <w:rPr>
                <w:color w:val="000000"/>
                <w:spacing w:val="0"/>
                <w:w w:val="100"/>
                <w:position w:val="0"/>
                <w:sz w:val="18"/>
                <w:szCs w:val="18"/>
              </w:rPr>
              <w:t xml:space="preserve">70MW </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已终止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赤峰</w:t>
            </w:r>
            <w:r>
              <w:rPr>
                <w:color w:val="000000"/>
                <w:spacing w:val="0"/>
                <w:w w:val="100"/>
                <w:position w:val="0"/>
              </w:rPr>
              <w:t>20MW</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18,650.00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18,650.00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2,199.</w:t>
            </w:r>
          </w:p>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17,466.68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93.66%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1,449.96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赤峰</w:t>
            </w:r>
            <w:r>
              <w:rPr>
                <w:color w:val="000000"/>
                <w:spacing w:val="0"/>
                <w:w w:val="100"/>
                <w:position w:val="0"/>
              </w:rPr>
              <w:t>100MW</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88,250.00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卫辉</w:t>
            </w:r>
            <w:r>
              <w:rPr>
                <w:color w:val="000000"/>
                <w:spacing w:val="0"/>
                <w:w w:val="100"/>
                <w:position w:val="0"/>
              </w:rPr>
              <w:t>20MW</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已终止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17,800.00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4,042.60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林州</w:t>
            </w:r>
            <w:r>
              <w:rPr>
                <w:color w:val="000000"/>
                <w:spacing w:val="0"/>
                <w:w w:val="100"/>
                <w:position w:val="0"/>
              </w:rPr>
              <w:t>80MW</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已终止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66,400.00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610.56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63,025.45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-176.86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攸县</w:t>
            </w:r>
            <w:r>
              <w:rPr>
                <w:color w:val="000000"/>
                <w:spacing w:val="0"/>
                <w:w w:val="100"/>
                <w:position w:val="0"/>
              </w:rPr>
              <w:t>100MW</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已终止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81,600.00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20,234.73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澧县</w:t>
            </w:r>
            <w:r>
              <w:rPr>
                <w:color w:val="000000"/>
                <w:spacing w:val="0"/>
                <w:w w:val="100"/>
                <w:position w:val="0"/>
              </w:rPr>
              <w:t>60MW</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已终止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45,120.00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4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澧县</w:t>
            </w:r>
            <w:r>
              <w:rPr>
                <w:color w:val="000000"/>
                <w:spacing w:val="0"/>
                <w:w w:val="100"/>
                <w:position w:val="0"/>
              </w:rPr>
              <w:t>40MW</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30,080.00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4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娄底</w:t>
            </w:r>
            <w:r>
              <w:rPr>
                <w:color w:val="000000"/>
                <w:spacing w:val="0"/>
                <w:w w:val="100"/>
                <w:position w:val="0"/>
              </w:rPr>
              <w:t>140MW</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已终止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112,700.0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娄底</w:t>
            </w:r>
            <w:r>
              <w:rPr>
                <w:color w:val="000000"/>
                <w:spacing w:val="0"/>
                <w:w w:val="100"/>
                <w:position w:val="0"/>
              </w:rPr>
              <w:t>40MW</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已终止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32,000.00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-1,168.</w:t>
            </w:r>
          </w:p>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28,625.05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娄底</w:t>
            </w:r>
            <w:r>
              <w:rPr>
                <w:color w:val="000000"/>
                <w:spacing w:val="0"/>
                <w:w w:val="100"/>
                <w:position w:val="0"/>
              </w:rPr>
              <w:t>20MW</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4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茶陵</w:t>
            </w:r>
            <w:r>
              <w:rPr>
                <w:color w:val="000000"/>
                <w:spacing w:val="0"/>
                <w:w w:val="100"/>
                <w:position w:val="0"/>
              </w:rPr>
              <w:t>80MW</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65,500.00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4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汪清</w:t>
            </w:r>
            <w:r>
              <w:rPr>
                <w:color w:val="000000"/>
                <w:spacing w:val="0"/>
                <w:w w:val="100"/>
                <w:position w:val="0"/>
              </w:rPr>
              <w:t>100MW</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74,000.00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74,000.00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both"/>
            </w:pPr>
            <w:r>
              <w:rPr>
                <w:color w:val="000000"/>
                <w:spacing w:val="0"/>
                <w:w w:val="100"/>
                <w:position w:val="0"/>
              </w:rPr>
              <w:t>6,850.28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舟山</w:t>
            </w:r>
            <w:r>
              <w:rPr>
                <w:color w:val="000000"/>
                <w:spacing w:val="0"/>
                <w:w w:val="100"/>
                <w:position w:val="0"/>
              </w:rPr>
              <w:t>14MW</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7,500.00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7,500.00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right"/>
            </w:pPr>
            <w:r>
              <w:rPr>
                <w:color w:val="000000"/>
                <w:spacing w:val="0"/>
                <w:w w:val="100"/>
                <w:position w:val="0"/>
              </w:rPr>
              <w:t>801.86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新泰</w:t>
            </w:r>
            <w:r>
              <w:rPr>
                <w:color w:val="000000"/>
                <w:spacing w:val="0"/>
                <w:w w:val="100"/>
                <w:position w:val="0"/>
              </w:rPr>
              <w:t>50MW</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43,933.85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441.46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39,125.06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89.05%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both"/>
            </w:pPr>
            <w:r>
              <w:rPr>
                <w:color w:val="000000"/>
                <w:spacing w:val="0"/>
                <w:w w:val="100"/>
                <w:position w:val="0"/>
              </w:rPr>
              <w:t>2,322.72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中阳</w:t>
            </w:r>
            <w:r>
              <w:rPr>
                <w:color w:val="000000"/>
                <w:spacing w:val="0"/>
                <w:w w:val="100"/>
                <w:position w:val="0"/>
              </w:rPr>
              <w:t>20MW</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已终止</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2,984.24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142"/>
        <w:gridCol w:w="710"/>
        <w:gridCol w:w="850"/>
        <w:gridCol w:w="139"/>
        <w:gridCol w:w="710"/>
        <w:gridCol w:w="566"/>
        <w:gridCol w:w="854"/>
        <w:gridCol w:w="706"/>
        <w:gridCol w:w="1277"/>
        <w:gridCol w:w="710"/>
        <w:gridCol w:w="989"/>
        <w:gridCol w:w="1032"/>
      </w:tblGrid>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沧州</w:t>
            </w:r>
            <w:r>
              <w:rPr>
                <w:color w:val="000000"/>
                <w:spacing w:val="0"/>
                <w:w w:val="100"/>
                <w:position w:val="0"/>
              </w:rPr>
              <w:t>15MW</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10,122.50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143.92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9,512.67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93.98%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卫辉</w:t>
            </w:r>
            <w:r>
              <w:rPr>
                <w:color w:val="000000"/>
                <w:spacing w:val="0"/>
                <w:w w:val="100"/>
                <w:position w:val="0"/>
              </w:rPr>
              <w:t>20MW</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屋顶项目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已终止</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300.05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4,787.99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胶州</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10.96MW </w:t>
            </w:r>
            <w:r>
              <w:rPr>
                <w:rFonts w:ascii="SimSun" w:eastAsia="SimSun" w:hAnsi="SimSun" w:cs="SimSun"/>
                <w:color w:val="000000"/>
                <w:spacing w:val="0"/>
                <w:w w:val="100"/>
                <w:position w:val="0"/>
                <w:sz w:val="17"/>
                <w:szCs w:val="17"/>
              </w:rPr>
              <w:t>项</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6,290.72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1,518.</w:t>
            </w:r>
          </w:p>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5,501.70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87.46%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right"/>
            </w:pPr>
            <w:r>
              <w:rPr>
                <w:color w:val="000000"/>
                <w:spacing w:val="0"/>
                <w:w w:val="100"/>
                <w:position w:val="0"/>
              </w:rPr>
              <w:t>469.81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汪清</w:t>
            </w:r>
            <w:r>
              <w:rPr>
                <w:color w:val="000000"/>
                <w:spacing w:val="0"/>
                <w:w w:val="100"/>
                <w:position w:val="0"/>
              </w:rPr>
              <w:t>30MW</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21,103.00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1,233.</w:t>
            </w:r>
          </w:p>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12,714.34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60.25%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1,634.31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青铜峡</w:t>
            </w:r>
            <w:r>
              <w:rPr>
                <w:color w:val="000000"/>
                <w:spacing w:val="0"/>
                <w:w w:val="100"/>
                <w:position w:val="0"/>
              </w:rPr>
              <w:t>50MW</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32,285.30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1,753.</w:t>
            </w:r>
          </w:p>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7,908.52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left"/>
            </w:pPr>
            <w:r>
              <w:rPr>
                <w:color w:val="000000"/>
                <w:spacing w:val="0"/>
                <w:w w:val="100"/>
                <w:position w:val="0"/>
              </w:rPr>
              <w:t>1,829.83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广水</w:t>
            </w:r>
            <w:r>
              <w:rPr>
                <w:color w:val="000000"/>
                <w:spacing w:val="0"/>
                <w:w w:val="100"/>
                <w:position w:val="0"/>
              </w:rPr>
              <w:t>20MW</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已终止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14,064.00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1,750.</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10,405.22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726.35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衡东</w:t>
            </w:r>
            <w:r>
              <w:rPr>
                <w:color w:val="000000"/>
                <w:spacing w:val="0"/>
                <w:w w:val="100"/>
                <w:position w:val="0"/>
              </w:rPr>
              <w:t>40MW</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已终止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28,123.00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4,693.</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20,264.37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1,140.37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新疆第十师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已终止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41,071.00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248.20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14,634.31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-118.76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高密</w:t>
            </w:r>
            <w:r>
              <w:rPr>
                <w:color w:val="000000"/>
                <w:spacing w:val="0"/>
                <w:w w:val="100"/>
                <w:position w:val="0"/>
                <w:sz w:val="18"/>
                <w:szCs w:val="18"/>
              </w:rPr>
              <w:t>3MW</w:t>
            </w:r>
            <w:r>
              <w:rPr>
                <w:rFonts w:ascii="SimSun" w:eastAsia="SimSun" w:hAnsi="SimSun" w:cs="SimSun"/>
                <w:color w:val="000000"/>
                <w:spacing w:val="0"/>
                <w:w w:val="100"/>
                <w:position w:val="0"/>
                <w:sz w:val="17"/>
                <w:szCs w:val="17"/>
              </w:rPr>
              <w:t>项 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2,050.00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both"/>
            </w:pPr>
            <w:r>
              <w:rPr>
                <w:color w:val="000000"/>
                <w:spacing w:val="0"/>
                <w:w w:val="100"/>
                <w:position w:val="0"/>
              </w:rPr>
              <w:t>201.85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台州</w:t>
            </w:r>
            <w:r>
              <w:rPr>
                <w:color w:val="000000"/>
                <w:spacing w:val="0"/>
                <w:w w:val="100"/>
                <w:position w:val="0"/>
              </w:rPr>
              <w:t>20MW</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已终止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12,872.00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705.45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6,685.54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both"/>
            </w:pPr>
            <w:r>
              <w:rPr>
                <w:color w:val="000000"/>
                <w:spacing w:val="0"/>
                <w:w w:val="100"/>
                <w:position w:val="0"/>
              </w:rPr>
              <w:t>373.14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中储粮</w:t>
            </w:r>
          </w:p>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180.64MW </w:t>
            </w:r>
            <w:r>
              <w:rPr>
                <w:rFonts w:ascii="SimSun" w:eastAsia="SimSun" w:hAnsi="SimSun" w:cs="SimSun"/>
                <w:color w:val="000000"/>
                <w:spacing w:val="0"/>
                <w:w w:val="100"/>
                <w:position w:val="0"/>
                <w:sz w:val="17"/>
                <w:szCs w:val="17"/>
              </w:rPr>
              <w:t>项 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已终止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121,700.0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624.25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22,004.54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1,129.43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目小计</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1,169,880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18,645</w:t>
            </w:r>
          </w:p>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592,775.1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398" w:hRule="exact"/>
        </w:trPr>
        <w:tc>
          <w:tcPr>
            <w:gridSpan w:val="12"/>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1,169,880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18,645</w:t>
            </w:r>
          </w:p>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592,775.1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3221" w:hRule="exact"/>
        </w:trPr>
        <w:tc>
          <w:tcPr>
            <w:gridSpan w:val="4"/>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未达到计划进度或预计收益的情况 和原因（分具体项目）</w:t>
            </w:r>
          </w:p>
        </w:tc>
        <w:tc>
          <w:tcPr>
            <w:gridSpan w:val="8"/>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tabs>
                <w:tab w:pos="264" w:val="left"/>
              </w:tabs>
              <w:bidi w:val="0"/>
              <w:spacing w:before="0" w:after="0" w:line="314"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仙居</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项目、林州</w:t>
            </w:r>
            <w:r>
              <w:rPr>
                <w:color w:val="000000"/>
                <w:spacing w:val="0"/>
                <w:w w:val="100"/>
                <w:position w:val="0"/>
                <w:sz w:val="18"/>
                <w:szCs w:val="18"/>
              </w:rPr>
              <w:t>80MW</w:t>
            </w:r>
            <w:r>
              <w:rPr>
                <w:rFonts w:ascii="SimSun" w:eastAsia="SimSun" w:hAnsi="SimSun" w:cs="SimSun"/>
                <w:color w:val="000000"/>
                <w:spacing w:val="0"/>
                <w:w w:val="100"/>
                <w:position w:val="0"/>
                <w:sz w:val="17"/>
                <w:szCs w:val="17"/>
              </w:rPr>
              <w:t>项目、娄底</w:t>
            </w:r>
            <w:r>
              <w:rPr>
                <w:color w:val="000000"/>
                <w:spacing w:val="0"/>
                <w:w w:val="100"/>
                <w:position w:val="0"/>
                <w:sz w:val="18"/>
                <w:szCs w:val="18"/>
              </w:rPr>
              <w:t>40MW</w:t>
            </w:r>
            <w:r>
              <w:rPr>
                <w:rFonts w:ascii="SimSun" w:eastAsia="SimSun" w:hAnsi="SimSun" w:cs="SimSun"/>
                <w:color w:val="000000"/>
                <w:spacing w:val="0"/>
                <w:w w:val="100"/>
                <w:position w:val="0"/>
                <w:sz w:val="17"/>
                <w:szCs w:val="17"/>
              </w:rPr>
              <w:t>项目、卫辉</w:t>
            </w:r>
            <w:r>
              <w:rPr>
                <w:color w:val="000000"/>
                <w:spacing w:val="0"/>
                <w:w w:val="100"/>
                <w:position w:val="0"/>
                <w:sz w:val="18"/>
                <w:szCs w:val="18"/>
              </w:rPr>
              <w:t>20MW</w:t>
            </w:r>
            <w:r>
              <w:rPr>
                <w:rFonts w:ascii="SimSun" w:eastAsia="SimSun" w:hAnsi="SimSun" w:cs="SimSun"/>
                <w:color w:val="000000"/>
                <w:spacing w:val="0"/>
                <w:w w:val="100"/>
                <w:position w:val="0"/>
                <w:sz w:val="17"/>
                <w:szCs w:val="17"/>
              </w:rPr>
              <w:t>屋顶项目、卫 辉</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项目、攸县</w:t>
            </w:r>
            <w:r>
              <w:rPr>
                <w:color w:val="000000"/>
                <w:spacing w:val="0"/>
                <w:w w:val="100"/>
                <w:position w:val="0"/>
                <w:sz w:val="18"/>
                <w:szCs w:val="18"/>
              </w:rPr>
              <w:t>100MW</w:t>
            </w:r>
            <w:r>
              <w:rPr>
                <w:rFonts w:ascii="SimSun" w:eastAsia="SimSun" w:hAnsi="SimSun" w:cs="SimSun"/>
                <w:color w:val="000000"/>
                <w:spacing w:val="0"/>
                <w:w w:val="100"/>
                <w:position w:val="0"/>
                <w:sz w:val="17"/>
                <w:szCs w:val="17"/>
              </w:rPr>
              <w:t>项目、察右中旗</w:t>
            </w:r>
            <w:r>
              <w:rPr>
                <w:color w:val="000000"/>
                <w:spacing w:val="0"/>
                <w:w w:val="100"/>
                <w:position w:val="0"/>
                <w:sz w:val="18"/>
                <w:szCs w:val="18"/>
              </w:rPr>
              <w:t>70MW</w:t>
            </w:r>
            <w:r>
              <w:rPr>
                <w:rFonts w:ascii="SimSun" w:eastAsia="SimSun" w:hAnsi="SimSun" w:cs="SimSun"/>
                <w:color w:val="000000"/>
                <w:spacing w:val="0"/>
                <w:w w:val="100"/>
                <w:position w:val="0"/>
                <w:sz w:val="17"/>
                <w:szCs w:val="17"/>
              </w:rPr>
              <w:t>项目、澧县</w:t>
            </w:r>
            <w:r>
              <w:rPr>
                <w:color w:val="000000"/>
                <w:spacing w:val="0"/>
                <w:w w:val="100"/>
                <w:position w:val="0"/>
                <w:sz w:val="18"/>
                <w:szCs w:val="18"/>
              </w:rPr>
              <w:t>60MW</w:t>
            </w:r>
            <w:r>
              <w:rPr>
                <w:rFonts w:ascii="SimSun" w:eastAsia="SimSun" w:hAnsi="SimSun" w:cs="SimSun"/>
                <w:color w:val="000000"/>
                <w:spacing w:val="0"/>
                <w:w w:val="100"/>
                <w:position w:val="0"/>
                <w:sz w:val="17"/>
                <w:szCs w:val="17"/>
              </w:rPr>
              <w:t>项目、娄底</w:t>
            </w:r>
            <w:r>
              <w:rPr>
                <w:color w:val="000000"/>
                <w:spacing w:val="0"/>
                <w:w w:val="100"/>
                <w:position w:val="0"/>
                <w:sz w:val="18"/>
                <w:szCs w:val="18"/>
              </w:rPr>
              <w:t xml:space="preserve">140MW </w:t>
            </w:r>
            <w:r>
              <w:rPr>
                <w:rFonts w:ascii="SimSun" w:eastAsia="SimSun" w:hAnsi="SimSun" w:cs="SimSun"/>
                <w:color w:val="000000"/>
                <w:spacing w:val="0"/>
                <w:w w:val="100"/>
                <w:position w:val="0"/>
                <w:sz w:val="17"/>
                <w:szCs w:val="17"/>
              </w:rPr>
              <w:t>项目、中阳</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项目在实施过程中，因项目情况变化，项目建设进度缓于预期，预 计实际收益率将远低于预期，为提高剩余募集资金使用效率，公司于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 召开的第九届董事会第二十次会议、第九届监事会第八次会议、</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日召开 的第五次临时股东大会审议通过了《关于部分募集资金投资项目结项、终止并将剩余募 集资金永久补充流动资金的议案》，公司终止实施以上项目，并将剩余募集资金进行永 久补充流动资金。公司独立董事、保荐机构发表了同意的意见。公司已对上述事项进行 了公告。</w:t>
            </w:r>
          </w:p>
          <w:p>
            <w:pPr>
              <w:pStyle w:val="Style19"/>
              <w:keepNext w:val="0"/>
              <w:keepLines w:val="0"/>
              <w:widowControl w:val="0"/>
              <w:shd w:val="clear" w:color="auto" w:fill="auto"/>
              <w:tabs>
                <w:tab w:pos="278" w:val="left"/>
              </w:tabs>
              <w:bidi w:val="0"/>
              <w:spacing w:before="0" w:after="0" w:line="314"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金寨</w:t>
            </w:r>
            <w:r>
              <w:rPr>
                <w:color w:val="000000"/>
                <w:spacing w:val="0"/>
                <w:w w:val="100"/>
                <w:position w:val="0"/>
                <w:sz w:val="18"/>
                <w:szCs w:val="18"/>
              </w:rPr>
              <w:t>200MW</w:t>
            </w:r>
            <w:r>
              <w:rPr>
                <w:rFonts w:ascii="SimSun" w:eastAsia="SimSun" w:hAnsi="SimSun" w:cs="SimSun"/>
                <w:color w:val="000000"/>
                <w:spacing w:val="0"/>
                <w:w w:val="100"/>
                <w:position w:val="0"/>
                <w:sz w:val="17"/>
                <w:szCs w:val="17"/>
              </w:rPr>
              <w:t>项目在实施过程中，因项目情况变化、光伏行业相关政策调整等，项</w:t>
            </w:r>
          </w:p>
        </w:tc>
      </w:tr>
    </w:tbl>
    <w:p>
      <w:pPr>
        <w:spacing w:lineRule="exact" w:line="1"/>
        <w:rPr>
          <w:sz w:val="2"/>
          <w:szCs w:val="2"/>
        </w:rPr>
      </w:pPr>
      <w:r>
        <w:br w:type="page"/>
      </w:r>
    </w:p>
    <w:tbl>
      <w:tblPr>
        <w:tblOverlap w:val="never"/>
        <w:jc w:val="center"/>
        <w:tblLayout w:type="fixed"/>
      </w:tblPr>
      <w:tblGrid>
        <w:gridCol w:w="2837"/>
        <w:gridCol w:w="6850"/>
      </w:tblGrid>
      <w:tr>
        <w:trPr>
          <w:trHeight w:val="551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311" w:lineRule="exact"/>
              <w:ind w:left="0" w:right="0" w:firstLine="0"/>
              <w:jc w:val="left"/>
              <w:rPr>
                <w:sz w:val="17"/>
                <w:szCs w:val="17"/>
              </w:rPr>
            </w:pPr>
            <w:r>
              <w:rPr>
                <w:rFonts w:ascii="SimSun" w:eastAsia="SimSun" w:hAnsi="SimSun" w:cs="SimSun"/>
                <w:color w:val="000000"/>
                <w:spacing w:val="0"/>
                <w:w w:val="100"/>
                <w:position w:val="0"/>
                <w:sz w:val="17"/>
                <w:szCs w:val="17"/>
              </w:rPr>
              <w:t>目建设进度缓于预期，预计实际收益率将远低于预期，为提高剩余募集资金使用效率， 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日召开的第九届董事会第二十七次会议、第九届监事会第十二次会 议、</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日召开的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年第一次临时股东大会审议通过了《关于募集资金投 资项目结项、终止并将剩余募集资金永久补充流动资金的议案》，公司终止实施以上项 目，并将剩余募集资金进行永久补充流动资金。公司独立董事、保荐机构发表了同意的 意见。公司已对上述事项进行了公告。</w:t>
            </w:r>
          </w:p>
          <w:p>
            <w:pPr>
              <w:pStyle w:val="Style19"/>
              <w:keepNext w:val="0"/>
              <w:keepLines w:val="0"/>
              <w:widowControl w:val="0"/>
              <w:shd w:val="clear" w:color="auto" w:fill="auto"/>
              <w:tabs>
                <w:tab w:pos="288" w:val="left"/>
              </w:tabs>
              <w:bidi w:val="0"/>
              <w:spacing w:before="0" w:after="140" w:line="313"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由于天气原因，</w:t>
            </w:r>
            <w:r>
              <w:rPr>
                <w:color w:val="000000"/>
                <w:spacing w:val="0"/>
                <w:w w:val="100"/>
                <w:position w:val="0"/>
                <w:sz w:val="18"/>
                <w:szCs w:val="18"/>
              </w:rPr>
              <w:t>2019</w:t>
            </w:r>
            <w:r>
              <w:rPr>
                <w:rFonts w:ascii="SimSun" w:eastAsia="SimSun" w:hAnsi="SimSun" w:cs="SimSun"/>
                <w:color w:val="000000"/>
                <w:spacing w:val="0"/>
                <w:w w:val="100"/>
                <w:position w:val="0"/>
                <w:sz w:val="17"/>
                <w:szCs w:val="17"/>
              </w:rPr>
              <w:t>年仙桃</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项目发电收益有所下降，实现</w:t>
            </w:r>
            <w:r>
              <w:rPr>
                <w:color w:val="000000"/>
                <w:spacing w:val="0"/>
                <w:w w:val="100"/>
                <w:position w:val="0"/>
                <w:sz w:val="18"/>
                <w:szCs w:val="18"/>
              </w:rPr>
              <w:t>97%</w:t>
            </w:r>
            <w:r>
              <w:rPr>
                <w:rFonts w:ascii="SimSun" w:eastAsia="SimSun" w:hAnsi="SimSun" w:cs="SimSun"/>
                <w:color w:val="000000"/>
                <w:spacing w:val="0"/>
                <w:w w:val="100"/>
                <w:position w:val="0"/>
                <w:sz w:val="17"/>
                <w:szCs w:val="17"/>
              </w:rPr>
              <w:t>的预计效益。</w:t>
            </w:r>
          </w:p>
          <w:p>
            <w:pPr>
              <w:pStyle w:val="Style19"/>
              <w:keepNext w:val="0"/>
              <w:keepLines w:val="0"/>
              <w:widowControl w:val="0"/>
              <w:shd w:val="clear" w:color="auto" w:fill="auto"/>
              <w:tabs>
                <w:tab w:pos="278" w:val="left"/>
              </w:tabs>
              <w:bidi w:val="0"/>
              <w:spacing w:before="0" w:after="0" w:line="36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林州</w:t>
            </w:r>
            <w:r>
              <w:rPr>
                <w:color w:val="000000"/>
                <w:spacing w:val="0"/>
                <w:w w:val="100"/>
                <w:position w:val="0"/>
                <w:sz w:val="18"/>
                <w:szCs w:val="18"/>
              </w:rPr>
              <w:t>80MW</w:t>
            </w:r>
            <w:r>
              <w:rPr>
                <w:rFonts w:ascii="SimSun" w:eastAsia="SimSun" w:hAnsi="SimSun" w:cs="SimSun"/>
                <w:color w:val="000000"/>
                <w:spacing w:val="0"/>
                <w:w w:val="100"/>
                <w:position w:val="0"/>
                <w:sz w:val="17"/>
                <w:szCs w:val="17"/>
              </w:rPr>
              <w:t>项目已并网部分尚未取得国家光伏补贴指标，本年度亏损。</w:t>
            </w:r>
          </w:p>
          <w:p>
            <w:pPr>
              <w:pStyle w:val="Style19"/>
              <w:keepNext w:val="0"/>
              <w:keepLines w:val="0"/>
              <w:widowControl w:val="0"/>
              <w:shd w:val="clear" w:color="auto" w:fill="auto"/>
              <w:tabs>
                <w:tab w:pos="269" w:val="left"/>
              </w:tabs>
              <w:bidi w:val="0"/>
              <w:spacing w:before="0" w:after="140" w:line="313"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t>广水</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项目、衡东</w:t>
            </w:r>
            <w:r>
              <w:rPr>
                <w:color w:val="000000"/>
                <w:spacing w:val="0"/>
                <w:w w:val="100"/>
                <w:position w:val="0"/>
                <w:sz w:val="18"/>
                <w:szCs w:val="18"/>
              </w:rPr>
              <w:t>40MW</w:t>
            </w:r>
            <w:r>
              <w:rPr>
                <w:rFonts w:ascii="SimSun" w:eastAsia="SimSun" w:hAnsi="SimSun" w:cs="SimSun"/>
                <w:color w:val="000000"/>
                <w:spacing w:val="0"/>
                <w:w w:val="100"/>
                <w:position w:val="0"/>
                <w:sz w:val="17"/>
                <w:szCs w:val="17"/>
              </w:rPr>
              <w:t>项目、新疆第十师</w:t>
            </w:r>
            <w:r>
              <w:rPr>
                <w:color w:val="000000"/>
                <w:spacing w:val="0"/>
                <w:w w:val="100"/>
                <w:position w:val="0"/>
                <w:sz w:val="18"/>
                <w:szCs w:val="18"/>
              </w:rPr>
              <w:t>60MW</w:t>
            </w:r>
            <w:r>
              <w:rPr>
                <w:rFonts w:ascii="SimSun" w:eastAsia="SimSun" w:hAnsi="SimSun" w:cs="SimSun"/>
                <w:color w:val="000000"/>
                <w:spacing w:val="0"/>
                <w:w w:val="100"/>
                <w:position w:val="0"/>
                <w:sz w:val="17"/>
                <w:szCs w:val="17"/>
              </w:rPr>
              <w:t>项目、台州</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 中储粮</w:t>
            </w:r>
            <w:r>
              <w:rPr>
                <w:color w:val="000000"/>
                <w:spacing w:val="0"/>
                <w:w w:val="100"/>
                <w:position w:val="0"/>
                <w:sz w:val="18"/>
                <w:szCs w:val="18"/>
              </w:rPr>
              <w:t>180.64MW</w:t>
            </w:r>
            <w:r>
              <w:rPr>
                <w:rFonts w:ascii="SimSun" w:eastAsia="SimSun" w:hAnsi="SimSun" w:cs="SimSun"/>
                <w:color w:val="000000"/>
                <w:spacing w:val="0"/>
                <w:w w:val="100"/>
                <w:position w:val="0"/>
                <w:sz w:val="17"/>
                <w:szCs w:val="17"/>
              </w:rPr>
              <w:t>项目在实施过程中，因项目情况变化、光伏行业相关政策调整等，项 目建设进度缓于预期，预计实际收益率将远低于预期，为提高剩余募集资金使用效率， 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日召开的第九届董事会第二十七次会议、第九届监事会第十二次会 议、</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日召开的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年第一次临时股东大会审议通过了《关于募集资金投 资项目结项、终止并将剩余募集资金永久补充流动资金的议案》，公司终止实施以上项 目，并将剩余募集资金进行永久补充流动资金。公司独立董事、保荐机构发表了同意的 意见。公司已对上述事项进行了公告。</w:t>
            </w:r>
          </w:p>
          <w:p>
            <w:pPr>
              <w:pStyle w:val="Style19"/>
              <w:keepNext w:val="0"/>
              <w:keepLines w:val="0"/>
              <w:widowControl w:val="0"/>
              <w:shd w:val="clear" w:color="auto" w:fill="auto"/>
              <w:tabs>
                <w:tab w:pos="274" w:val="left"/>
              </w:tabs>
              <w:bidi w:val="0"/>
              <w:spacing w:before="0" w:after="140" w:line="36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w:t>
              <w:tab/>
              <w:t>新疆第十师</w:t>
            </w:r>
            <w:r>
              <w:rPr>
                <w:color w:val="000000"/>
                <w:spacing w:val="0"/>
                <w:w w:val="100"/>
                <w:position w:val="0"/>
                <w:sz w:val="18"/>
                <w:szCs w:val="18"/>
              </w:rPr>
              <w:t>60MW</w:t>
            </w:r>
            <w:r>
              <w:rPr>
                <w:rFonts w:ascii="SimSun" w:eastAsia="SimSun" w:hAnsi="SimSun" w:cs="SimSun"/>
                <w:color w:val="000000"/>
                <w:spacing w:val="0"/>
                <w:w w:val="100"/>
                <w:position w:val="0"/>
                <w:sz w:val="17"/>
                <w:szCs w:val="17"/>
              </w:rPr>
              <w:t>项目已并网部分尚未取得国家光伏补贴指标，本年度亏损。</w:t>
            </w:r>
          </w:p>
        </w:tc>
      </w:tr>
      <w:tr>
        <w:trPr>
          <w:trHeight w:val="4891"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项目可行性发生重大变化的情况说 明</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tabs>
                <w:tab w:pos="278" w:val="left"/>
              </w:tabs>
              <w:bidi w:val="0"/>
              <w:spacing w:before="0" w:after="4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茶陵</w:t>
            </w:r>
            <w:r>
              <w:rPr>
                <w:color w:val="000000"/>
                <w:spacing w:val="0"/>
                <w:w w:val="100"/>
                <w:position w:val="0"/>
                <w:sz w:val="18"/>
                <w:szCs w:val="18"/>
              </w:rPr>
              <w:t>80MW</w:t>
            </w:r>
            <w:r>
              <w:rPr>
                <w:rFonts w:ascii="SimSun" w:eastAsia="SimSun" w:hAnsi="SimSun" w:cs="SimSun"/>
                <w:color w:val="000000"/>
                <w:spacing w:val="0"/>
                <w:w w:val="100"/>
                <w:position w:val="0"/>
                <w:sz w:val="17"/>
                <w:szCs w:val="17"/>
              </w:rPr>
              <w:t>项目、娄底</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项目、赤峰</w:t>
            </w:r>
            <w:r>
              <w:rPr>
                <w:color w:val="000000"/>
                <w:spacing w:val="0"/>
                <w:w w:val="100"/>
                <w:position w:val="0"/>
                <w:sz w:val="18"/>
                <w:szCs w:val="18"/>
              </w:rPr>
              <w:t>100MW</w:t>
            </w:r>
            <w:r>
              <w:rPr>
                <w:rFonts w:ascii="SimSun" w:eastAsia="SimSun" w:hAnsi="SimSun" w:cs="SimSun"/>
                <w:color w:val="000000"/>
                <w:spacing w:val="0"/>
                <w:w w:val="100"/>
                <w:position w:val="0"/>
                <w:sz w:val="17"/>
                <w:szCs w:val="17"/>
              </w:rPr>
              <w:t>项目、长武</w:t>
            </w:r>
            <w:r>
              <w:rPr>
                <w:color w:val="000000"/>
                <w:spacing w:val="0"/>
                <w:w w:val="100"/>
                <w:position w:val="0"/>
                <w:sz w:val="18"/>
                <w:szCs w:val="18"/>
              </w:rPr>
              <w:t>30MW</w:t>
            </w:r>
            <w:r>
              <w:rPr>
                <w:rFonts w:ascii="SimSun" w:eastAsia="SimSun" w:hAnsi="SimSun" w:cs="SimSun"/>
                <w:color w:val="000000"/>
                <w:spacing w:val="0"/>
                <w:w w:val="100"/>
                <w:position w:val="0"/>
                <w:sz w:val="17"/>
                <w:szCs w:val="17"/>
              </w:rPr>
              <w:t xml:space="preserve">项目、澧县 </w:t>
            </w:r>
            <w:r>
              <w:rPr>
                <w:color w:val="000000"/>
                <w:spacing w:val="0"/>
                <w:w w:val="100"/>
                <w:position w:val="0"/>
                <w:sz w:val="18"/>
                <w:szCs w:val="18"/>
              </w:rPr>
              <w:t>40MW</w:t>
            </w:r>
            <w:r>
              <w:rPr>
                <w:rFonts w:ascii="SimSun" w:eastAsia="SimSun" w:hAnsi="SimSun" w:cs="SimSun"/>
                <w:color w:val="000000"/>
                <w:spacing w:val="0"/>
                <w:w w:val="100"/>
                <w:position w:val="0"/>
                <w:sz w:val="17"/>
                <w:szCs w:val="17"/>
              </w:rPr>
              <w:t>项目的变更情况，详见附件</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19"/>
              <w:keepNext w:val="0"/>
              <w:keepLines w:val="0"/>
              <w:widowControl w:val="0"/>
              <w:shd w:val="clear" w:color="auto" w:fill="auto"/>
              <w:tabs>
                <w:tab w:pos="274" w:val="left"/>
              </w:tabs>
              <w:bidi w:val="0"/>
              <w:spacing w:before="0" w:after="40" w:line="317" w:lineRule="exact"/>
              <w:ind w:left="0" w:right="0" w:firstLine="0"/>
              <w:jc w:val="left"/>
            </w:pPr>
            <w:r>
              <w:rPr>
                <w:color w:val="000000"/>
                <w:spacing w:val="0"/>
                <w:w w:val="100"/>
                <w:position w:val="0"/>
              </w:rPr>
              <w:t>2</w:t>
            </w:r>
            <w:r>
              <w:rPr>
                <w:rFonts w:ascii="SimSun" w:eastAsia="SimSun" w:hAnsi="SimSun" w:cs="SimSun"/>
                <w:color w:val="000000"/>
                <w:spacing w:val="0"/>
                <w:w w:val="100"/>
                <w:position w:val="0"/>
                <w:sz w:val="17"/>
                <w:szCs w:val="17"/>
              </w:rPr>
              <w:t>、</w:t>
              <w:tab/>
              <w:t>仙居</w:t>
            </w:r>
            <w:r>
              <w:rPr>
                <w:color w:val="000000"/>
                <w:spacing w:val="0"/>
                <w:w w:val="100"/>
                <w:position w:val="0"/>
              </w:rPr>
              <w:t>20MW</w:t>
            </w:r>
            <w:r>
              <w:rPr>
                <w:rFonts w:ascii="SimSun" w:eastAsia="SimSun" w:hAnsi="SimSun" w:cs="SimSun"/>
                <w:color w:val="000000"/>
                <w:spacing w:val="0"/>
                <w:w w:val="100"/>
                <w:position w:val="0"/>
                <w:sz w:val="17"/>
                <w:szCs w:val="17"/>
              </w:rPr>
              <w:t>项目、林州</w:t>
            </w:r>
            <w:r>
              <w:rPr>
                <w:color w:val="000000"/>
                <w:spacing w:val="0"/>
                <w:w w:val="100"/>
                <w:position w:val="0"/>
              </w:rPr>
              <w:t>80MW</w:t>
            </w:r>
            <w:r>
              <w:rPr>
                <w:rFonts w:ascii="SimSun" w:eastAsia="SimSun" w:hAnsi="SimSun" w:cs="SimSun"/>
                <w:color w:val="000000"/>
                <w:spacing w:val="0"/>
                <w:w w:val="100"/>
                <w:position w:val="0"/>
                <w:sz w:val="17"/>
                <w:szCs w:val="17"/>
              </w:rPr>
              <w:t>项目、娄底</w:t>
            </w:r>
            <w:r>
              <w:rPr>
                <w:color w:val="000000"/>
                <w:spacing w:val="0"/>
                <w:w w:val="100"/>
                <w:position w:val="0"/>
              </w:rPr>
              <w:t>40MW</w:t>
            </w:r>
            <w:r>
              <w:rPr>
                <w:rFonts w:ascii="SimSun" w:eastAsia="SimSun" w:hAnsi="SimSun" w:cs="SimSun"/>
                <w:color w:val="000000"/>
                <w:spacing w:val="0"/>
                <w:w w:val="100"/>
                <w:position w:val="0"/>
                <w:sz w:val="17"/>
                <w:szCs w:val="17"/>
              </w:rPr>
              <w:t>项目、卫辉</w:t>
            </w:r>
            <w:r>
              <w:rPr>
                <w:color w:val="000000"/>
                <w:spacing w:val="0"/>
                <w:w w:val="100"/>
                <w:position w:val="0"/>
              </w:rPr>
              <w:t>20MW</w:t>
            </w:r>
            <w:r>
              <w:rPr>
                <w:rFonts w:ascii="SimSun" w:eastAsia="SimSun" w:hAnsi="SimSun" w:cs="SimSun"/>
                <w:color w:val="000000"/>
                <w:spacing w:val="0"/>
                <w:w w:val="100"/>
                <w:position w:val="0"/>
                <w:sz w:val="17"/>
                <w:szCs w:val="17"/>
              </w:rPr>
              <w:t>屋顶项目、卫 辉</w:t>
            </w:r>
            <w:r>
              <w:rPr>
                <w:color w:val="000000"/>
                <w:spacing w:val="0"/>
                <w:w w:val="100"/>
                <w:position w:val="0"/>
              </w:rPr>
              <w:t>20MW</w:t>
            </w:r>
            <w:r>
              <w:rPr>
                <w:rFonts w:ascii="SimSun" w:eastAsia="SimSun" w:hAnsi="SimSun" w:cs="SimSun"/>
                <w:color w:val="000000"/>
                <w:spacing w:val="0"/>
                <w:w w:val="100"/>
                <w:position w:val="0"/>
                <w:sz w:val="17"/>
                <w:szCs w:val="17"/>
              </w:rPr>
              <w:t>项目、攸县</w:t>
            </w:r>
            <w:r>
              <w:rPr>
                <w:color w:val="000000"/>
                <w:spacing w:val="0"/>
                <w:w w:val="100"/>
                <w:position w:val="0"/>
              </w:rPr>
              <w:t>100MW</w:t>
            </w:r>
            <w:r>
              <w:rPr>
                <w:rFonts w:ascii="SimSun" w:eastAsia="SimSun" w:hAnsi="SimSun" w:cs="SimSun"/>
                <w:color w:val="000000"/>
                <w:spacing w:val="0"/>
                <w:w w:val="100"/>
                <w:position w:val="0"/>
                <w:sz w:val="17"/>
                <w:szCs w:val="17"/>
              </w:rPr>
              <w:t>项目、察右中旗</w:t>
            </w:r>
            <w:r>
              <w:rPr>
                <w:color w:val="000000"/>
                <w:spacing w:val="0"/>
                <w:w w:val="100"/>
                <w:position w:val="0"/>
              </w:rPr>
              <w:t>70MW</w:t>
            </w:r>
            <w:r>
              <w:rPr>
                <w:rFonts w:ascii="SimSun" w:eastAsia="SimSun" w:hAnsi="SimSun" w:cs="SimSun"/>
                <w:color w:val="000000"/>
                <w:spacing w:val="0"/>
                <w:w w:val="100"/>
                <w:position w:val="0"/>
                <w:sz w:val="17"/>
                <w:szCs w:val="17"/>
              </w:rPr>
              <w:t>项目、澧县</w:t>
            </w:r>
            <w:r>
              <w:rPr>
                <w:color w:val="000000"/>
                <w:spacing w:val="0"/>
                <w:w w:val="100"/>
                <w:position w:val="0"/>
              </w:rPr>
              <w:t>60MW</w:t>
            </w:r>
            <w:r>
              <w:rPr>
                <w:rFonts w:ascii="SimSun" w:eastAsia="SimSun" w:hAnsi="SimSun" w:cs="SimSun"/>
                <w:color w:val="000000"/>
                <w:spacing w:val="0"/>
                <w:w w:val="100"/>
                <w:position w:val="0"/>
                <w:sz w:val="17"/>
                <w:szCs w:val="17"/>
              </w:rPr>
              <w:t>项目、娄底</w:t>
            </w:r>
            <w:r>
              <w:rPr>
                <w:color w:val="000000"/>
                <w:spacing w:val="0"/>
                <w:w w:val="100"/>
                <w:position w:val="0"/>
              </w:rPr>
              <w:t xml:space="preserve">140MW </w:t>
            </w:r>
            <w:r>
              <w:rPr>
                <w:rFonts w:ascii="SimSun" w:eastAsia="SimSun" w:hAnsi="SimSun" w:cs="SimSun"/>
                <w:color w:val="000000"/>
                <w:spacing w:val="0"/>
                <w:w w:val="100"/>
                <w:position w:val="0"/>
                <w:sz w:val="17"/>
                <w:szCs w:val="17"/>
              </w:rPr>
              <w:t>项目、中阳</w:t>
            </w:r>
            <w:r>
              <w:rPr>
                <w:color w:val="000000"/>
                <w:spacing w:val="0"/>
                <w:w w:val="100"/>
                <w:position w:val="0"/>
              </w:rPr>
              <w:t>20MW</w:t>
            </w:r>
            <w:r>
              <w:rPr>
                <w:rFonts w:ascii="SimSun" w:eastAsia="SimSun" w:hAnsi="SimSun" w:cs="SimSun"/>
                <w:color w:val="000000"/>
                <w:spacing w:val="0"/>
                <w:w w:val="100"/>
                <w:position w:val="0"/>
                <w:sz w:val="17"/>
                <w:szCs w:val="17"/>
              </w:rPr>
              <w:t>项目、金寨</w:t>
            </w:r>
            <w:r>
              <w:rPr>
                <w:color w:val="000000"/>
                <w:spacing w:val="0"/>
                <w:w w:val="100"/>
                <w:position w:val="0"/>
              </w:rPr>
              <w:t>200MW</w:t>
            </w:r>
            <w:r>
              <w:rPr>
                <w:rFonts w:ascii="SimSun" w:eastAsia="SimSun" w:hAnsi="SimSun" w:cs="SimSun"/>
                <w:color w:val="000000"/>
                <w:spacing w:val="0"/>
                <w:w w:val="100"/>
                <w:position w:val="0"/>
                <w:sz w:val="17"/>
                <w:szCs w:val="17"/>
              </w:rPr>
              <w:t>项目情况，详见本附件</w:t>
            </w:r>
            <w:r>
              <w:rPr>
                <w:color w:val="000000"/>
                <w:spacing w:val="0"/>
                <w:w w:val="100"/>
                <w:position w:val="0"/>
              </w:rPr>
              <w:t>1“</w:t>
            </w:r>
            <w:r>
              <w:rPr>
                <w:rFonts w:ascii="SimSun" w:eastAsia="SimSun" w:hAnsi="SimSun" w:cs="SimSun"/>
                <w:color w:val="000000"/>
                <w:spacing w:val="0"/>
                <w:w w:val="100"/>
                <w:position w:val="0"/>
                <w:sz w:val="17"/>
                <w:szCs w:val="17"/>
              </w:rPr>
              <w:t>未达到计划进度或预 计收益的情况和原因（分具体项目）</w:t>
            </w:r>
            <w:r>
              <w:rPr>
                <w:color w:val="000000"/>
                <w:spacing w:val="0"/>
                <w:w w:val="100"/>
                <w:position w:val="0"/>
              </w:rPr>
              <w:t>”</w:t>
            </w:r>
          </w:p>
          <w:p>
            <w:pPr>
              <w:pStyle w:val="Style19"/>
              <w:keepNext w:val="0"/>
              <w:keepLines w:val="0"/>
              <w:widowControl w:val="0"/>
              <w:shd w:val="clear" w:color="auto" w:fill="auto"/>
              <w:tabs>
                <w:tab w:pos="269" w:val="left"/>
              </w:tabs>
              <w:bidi w:val="0"/>
              <w:spacing w:before="0" w:after="40" w:line="313"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广水</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项目、衡东</w:t>
            </w:r>
            <w:r>
              <w:rPr>
                <w:color w:val="000000"/>
                <w:spacing w:val="0"/>
                <w:w w:val="100"/>
                <w:position w:val="0"/>
                <w:sz w:val="18"/>
                <w:szCs w:val="18"/>
              </w:rPr>
              <w:t>40MW</w:t>
            </w:r>
            <w:r>
              <w:rPr>
                <w:rFonts w:ascii="SimSun" w:eastAsia="SimSun" w:hAnsi="SimSun" w:cs="SimSun"/>
                <w:color w:val="000000"/>
                <w:spacing w:val="0"/>
                <w:w w:val="100"/>
                <w:position w:val="0"/>
                <w:sz w:val="17"/>
                <w:szCs w:val="17"/>
              </w:rPr>
              <w:t>项目、新疆第十师</w:t>
            </w:r>
            <w:r>
              <w:rPr>
                <w:color w:val="000000"/>
                <w:spacing w:val="0"/>
                <w:w w:val="100"/>
                <w:position w:val="0"/>
                <w:sz w:val="18"/>
                <w:szCs w:val="18"/>
              </w:rPr>
              <w:t>60MW</w:t>
            </w:r>
            <w:r>
              <w:rPr>
                <w:rFonts w:ascii="SimSun" w:eastAsia="SimSun" w:hAnsi="SimSun" w:cs="SimSun"/>
                <w:color w:val="000000"/>
                <w:spacing w:val="0"/>
                <w:w w:val="100"/>
                <w:position w:val="0"/>
                <w:sz w:val="17"/>
                <w:szCs w:val="17"/>
              </w:rPr>
              <w:t>项目、台州</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 中储粮</w:t>
            </w:r>
            <w:r>
              <w:rPr>
                <w:color w:val="000000"/>
                <w:spacing w:val="0"/>
                <w:w w:val="100"/>
                <w:position w:val="0"/>
                <w:sz w:val="18"/>
                <w:szCs w:val="18"/>
              </w:rPr>
              <w:t>180.64MW</w:t>
            </w:r>
            <w:r>
              <w:rPr>
                <w:rFonts w:ascii="SimSun" w:eastAsia="SimSun" w:hAnsi="SimSun" w:cs="SimSun"/>
                <w:color w:val="000000"/>
                <w:spacing w:val="0"/>
                <w:w w:val="100"/>
                <w:position w:val="0"/>
                <w:sz w:val="17"/>
                <w:szCs w:val="17"/>
              </w:rPr>
              <w:t>项目在实施过程中，因项目情况变化、光伏行业相关政策调整等，项 目建设进度缓于预期，预计实际收益率将远低于预期，为提高剩余募集资金使用效率， 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日召开的第九届董事会第二十七次会议、第九届监事会第十二次会 议、</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日召开的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年第一次临时股东大会审议通过了《关于募集资金投 资项目结项、终止并将剩余募集资金永久补充流动资金的议案》，公司终止实施以上项 目，并将剩余募集资金进行永久补充流动资金。公司独立董事、保荐机构发表了同意的 意见。公司已对上述事项进行了公告。</w:t>
            </w:r>
          </w:p>
          <w:p>
            <w:pPr>
              <w:pStyle w:val="Style19"/>
              <w:keepNext w:val="0"/>
              <w:keepLines w:val="0"/>
              <w:widowControl w:val="0"/>
              <w:shd w:val="clear" w:color="auto" w:fill="auto"/>
              <w:tabs>
                <w:tab w:pos="278" w:val="left"/>
              </w:tabs>
              <w:bidi w:val="0"/>
              <w:spacing w:before="0" w:after="40" w:line="313"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新疆第十师</w:t>
            </w:r>
            <w:r>
              <w:rPr>
                <w:color w:val="000000"/>
                <w:spacing w:val="0"/>
                <w:w w:val="100"/>
                <w:position w:val="0"/>
                <w:sz w:val="18"/>
                <w:szCs w:val="18"/>
              </w:rPr>
              <w:t>60MW</w:t>
            </w:r>
            <w:r>
              <w:rPr>
                <w:rFonts w:ascii="SimSun" w:eastAsia="SimSun" w:hAnsi="SimSun" w:cs="SimSun"/>
                <w:color w:val="000000"/>
                <w:spacing w:val="0"/>
                <w:w w:val="100"/>
                <w:position w:val="0"/>
                <w:sz w:val="17"/>
                <w:szCs w:val="17"/>
              </w:rPr>
              <w:t>项目已并网部分尚未取得国家光伏补贴指标，本年度亏损。</w:t>
            </w:r>
          </w:p>
        </w:tc>
      </w:tr>
      <w:tr>
        <w:trPr>
          <w:trHeight w:val="403" w:hRule="exact"/>
        </w:trPr>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超募资金的金额、用途及使用进展 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募集资金投资项目实施地点变更情 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募集资金投资项目实施方式调整情 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6850"/>
      </w:tblGrid>
      <w:tr>
        <w:trPr>
          <w:trHeight w:val="403" w:hRule="exact"/>
        </w:trPr>
        <w:tc>
          <w:tcPr>
            <w:tcBorders>
              <w:top w:val="single" w:sz="4"/>
              <w:left w:val="single" w:sz="4"/>
            </w:tcBorders>
            <w:shd w:val="clear" w:color="auto" w:fill="D4D4D4"/>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募集资金投资项目先期投入及置换</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left w:val="single" w:sz="4"/>
            </w:tcBorders>
            <w:shd w:val="clear" w:color="auto" w:fill="D4D4D4"/>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3562" w:hRule="exact"/>
        </w:trPr>
        <w:tc>
          <w:tcPr>
            <w:tcBorders>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用闲置募集资金暂时补充流动资金 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公司第九届董事会第二次会议于</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日审议通过了《关于使用部分闲置募集 资金暂时补充流动资金的议案》，同意使用不超过</w:t>
            </w:r>
            <w:r>
              <w:rPr>
                <w:color w:val="000000"/>
                <w:spacing w:val="0"/>
                <w:w w:val="100"/>
                <w:position w:val="0"/>
                <w:sz w:val="18"/>
                <w:szCs w:val="18"/>
              </w:rPr>
              <w:t>300,000.00</w:t>
            </w:r>
            <w:r>
              <w:rPr>
                <w:rFonts w:ascii="SimSun" w:eastAsia="SimSun" w:hAnsi="SimSun" w:cs="SimSun"/>
                <w:color w:val="000000"/>
                <w:spacing w:val="0"/>
                <w:w w:val="100"/>
                <w:position w:val="0"/>
                <w:sz w:val="17"/>
                <w:szCs w:val="17"/>
              </w:rPr>
              <w:t xml:space="preserve">万元的闲置募集资金暂时 补充流动资金，待募投项目需要时及时归还，使用期限自董事会审议通过之日起不超过 </w:t>
            </w:r>
            <w:r>
              <w:rPr>
                <w:color w:val="000000"/>
                <w:spacing w:val="0"/>
                <w:w w:val="100"/>
                <w:position w:val="0"/>
                <w:sz w:val="18"/>
                <w:szCs w:val="18"/>
              </w:rPr>
              <w:t>12</w:t>
            </w:r>
            <w:r>
              <w:rPr>
                <w:rFonts w:ascii="SimSun" w:eastAsia="SimSun" w:hAnsi="SimSun" w:cs="SimSun"/>
                <w:color w:val="000000"/>
                <w:spacing w:val="0"/>
                <w:w w:val="100"/>
                <w:position w:val="0"/>
                <w:sz w:val="17"/>
                <w:szCs w:val="17"/>
              </w:rPr>
              <w:t>个月，到期将归还至募集资金专户。截至</w:t>
            </w:r>
            <w:r>
              <w:rPr>
                <w:color w:val="000000"/>
                <w:spacing w:val="0"/>
                <w:w w:val="100"/>
                <w:position w:val="0"/>
                <w:sz w:val="18"/>
                <w:szCs w:val="18"/>
              </w:rPr>
              <w:t>2019</w:t>
            </w:r>
            <w:r>
              <w:rPr>
                <w:rFonts w:ascii="SimSun" w:eastAsia="SimSun" w:hAnsi="SimSun" w:cs="SimSun"/>
                <w:color w:val="000000"/>
                <w:spacing w:val="0"/>
                <w:w w:val="100"/>
                <w:position w:val="0"/>
                <w:sz w:val="17"/>
                <w:szCs w:val="17"/>
              </w:rPr>
              <w:t>年底，该部分资金已用于永久补充流 动资金。</w:t>
            </w:r>
          </w:p>
          <w:p>
            <w:pPr>
              <w:pStyle w:val="Style19"/>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日第九届董事会第二十二次会议审议通过了《关于使用部分闲置募 集资金暂时补充流动资金的议案》，同意使用不超过</w:t>
            </w:r>
            <w:r>
              <w:rPr>
                <w:color w:val="000000"/>
                <w:spacing w:val="0"/>
                <w:w w:val="100"/>
                <w:position w:val="0"/>
                <w:sz w:val="18"/>
                <w:szCs w:val="18"/>
              </w:rPr>
              <w:t>12</w:t>
            </w:r>
            <w:r>
              <w:rPr>
                <w:rFonts w:ascii="SimSun" w:eastAsia="SimSun" w:hAnsi="SimSun" w:cs="SimSun"/>
                <w:color w:val="000000"/>
                <w:spacing w:val="0"/>
                <w:w w:val="100"/>
                <w:position w:val="0"/>
                <w:sz w:val="17"/>
                <w:szCs w:val="17"/>
              </w:rPr>
              <w:t>亿元的闲置募集资金暂时补充 流动资金，待募投项目需要时及时归还，使用期限自董事会审议通过之日起不超过</w:t>
            </w:r>
            <w:r>
              <w:rPr>
                <w:color w:val="000000"/>
                <w:spacing w:val="0"/>
                <w:w w:val="100"/>
                <w:position w:val="0"/>
                <w:sz w:val="18"/>
                <w:szCs w:val="18"/>
              </w:rPr>
              <w:t>12</w:t>
            </w:r>
            <w:r>
              <w:rPr>
                <w:rFonts w:ascii="SimSun" w:eastAsia="SimSun" w:hAnsi="SimSun" w:cs="SimSun"/>
                <w:color w:val="000000"/>
                <w:spacing w:val="0"/>
                <w:w w:val="100"/>
                <w:position w:val="0"/>
                <w:sz w:val="17"/>
                <w:szCs w:val="17"/>
              </w:rPr>
              <w:t>个 月，到期将归还至募集资金专户。截止</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日，公司已使用闲置募集资金 暂时补充流动资金</w:t>
            </w:r>
            <w:r>
              <w:rPr>
                <w:color w:val="000000"/>
                <w:spacing w:val="0"/>
                <w:w w:val="100"/>
                <w:position w:val="0"/>
                <w:sz w:val="18"/>
                <w:szCs w:val="18"/>
              </w:rPr>
              <w:t>12</w:t>
            </w:r>
            <w:r>
              <w:rPr>
                <w:rFonts w:ascii="SimSun" w:eastAsia="SimSun" w:hAnsi="SimSun" w:cs="SimSun"/>
                <w:color w:val="000000"/>
                <w:spacing w:val="0"/>
                <w:w w:val="100"/>
                <w:position w:val="0"/>
                <w:sz w:val="17"/>
                <w:szCs w:val="17"/>
              </w:rPr>
              <w:t>亿元。截至本核查意见出具日，该部分资金已用于永久补充流动 资金。</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项目实施出现募集资金结余的金额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left w:val="single" w:sz="4"/>
            </w:tcBorders>
            <w:shd w:val="clear" w:color="auto" w:fill="D4D4D4"/>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及原因</w:t>
            </w:r>
          </w:p>
        </w:tc>
        <w:tc>
          <w:tcPr>
            <w:tcBorders>
              <w:top w:val="single" w:sz="4"/>
              <w:left w:val="single" w:sz="4"/>
              <w:right w:val="single" w:sz="4"/>
            </w:tcBorders>
            <w:shd w:val="clear" w:color="auto" w:fill="FFFFFF"/>
            <w:vAlign w:val="top"/>
          </w:tcPr>
          <w:p>
            <w:pPr>
              <w:widowControl w:val="0"/>
              <w:rPr>
                <w:sz w:val="10"/>
                <w:szCs w:val="10"/>
              </w:rPr>
            </w:pPr>
          </w:p>
        </w:tc>
      </w:tr>
      <w:tr>
        <w:trPr>
          <w:trHeight w:val="293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尚未使用的募集资金用途及去向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经公司于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日召开的第九届董事会第二十七次会议、第九届监事会第十二 次会议、</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日召开的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年第一次临时股东大会审议同意，公司终止实施 金寨</w:t>
            </w:r>
            <w:r>
              <w:rPr>
                <w:color w:val="000000"/>
                <w:spacing w:val="0"/>
                <w:w w:val="100"/>
                <w:position w:val="0"/>
                <w:sz w:val="18"/>
                <w:szCs w:val="18"/>
              </w:rPr>
              <w:t>200MW</w:t>
            </w:r>
            <w:r>
              <w:rPr>
                <w:rFonts w:ascii="SimSun" w:eastAsia="SimSun" w:hAnsi="SimSun" w:cs="SimSun"/>
                <w:color w:val="000000"/>
                <w:spacing w:val="0"/>
                <w:w w:val="100"/>
                <w:position w:val="0"/>
                <w:sz w:val="17"/>
                <w:szCs w:val="17"/>
              </w:rPr>
              <w:t>项目，并将剩余募集资金进行永久补充流动资金。截至本核查意见出具日， 募集资金已使用完毕。</w:t>
            </w:r>
          </w:p>
          <w:p>
            <w:pPr>
              <w:pStyle w:val="Style19"/>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经公司于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日召开的第九届董事会第二十七次会议、第九届监事会第十二 次会议＞</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日召开的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年第一次临时股东大会审议同意，公司对高密</w:t>
            </w:r>
            <w:r>
              <w:rPr>
                <w:color w:val="000000"/>
                <w:spacing w:val="0"/>
                <w:w w:val="100"/>
                <w:position w:val="0"/>
                <w:sz w:val="18"/>
                <w:szCs w:val="18"/>
              </w:rPr>
              <w:t xml:space="preserve">3MW </w:t>
            </w:r>
            <w:r>
              <w:rPr>
                <w:rFonts w:ascii="SimSun" w:eastAsia="SimSun" w:hAnsi="SimSun" w:cs="SimSun"/>
                <w:color w:val="000000"/>
                <w:spacing w:val="0"/>
                <w:w w:val="100"/>
                <w:position w:val="0"/>
                <w:sz w:val="17"/>
                <w:szCs w:val="17"/>
              </w:rPr>
              <w:t>项目进行结项及终止实施广水</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项目、衡东</w:t>
            </w:r>
            <w:r>
              <w:rPr>
                <w:color w:val="000000"/>
                <w:spacing w:val="0"/>
                <w:w w:val="100"/>
                <w:position w:val="0"/>
                <w:sz w:val="18"/>
                <w:szCs w:val="18"/>
              </w:rPr>
              <w:t>40MW</w:t>
            </w:r>
            <w:r>
              <w:rPr>
                <w:rFonts w:ascii="SimSun" w:eastAsia="SimSun" w:hAnsi="SimSun" w:cs="SimSun"/>
                <w:color w:val="000000"/>
                <w:spacing w:val="0"/>
                <w:w w:val="100"/>
                <w:position w:val="0"/>
                <w:sz w:val="17"/>
                <w:szCs w:val="17"/>
              </w:rPr>
              <w:t>项目、新疆</w:t>
            </w:r>
            <w:r>
              <w:rPr>
                <w:color w:val="000000"/>
                <w:spacing w:val="0"/>
                <w:w w:val="100"/>
                <w:position w:val="0"/>
                <w:sz w:val="18"/>
                <w:szCs w:val="18"/>
              </w:rPr>
              <w:t>60MW</w:t>
            </w:r>
            <w:r>
              <w:rPr>
                <w:rFonts w:ascii="SimSun" w:eastAsia="SimSun" w:hAnsi="SimSun" w:cs="SimSun"/>
                <w:color w:val="000000"/>
                <w:spacing w:val="0"/>
                <w:w w:val="100"/>
                <w:position w:val="0"/>
                <w:sz w:val="17"/>
                <w:szCs w:val="17"/>
              </w:rPr>
              <w:t xml:space="preserve">项目、台州 </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项目、中储粮</w:t>
            </w:r>
            <w:r>
              <w:rPr>
                <w:color w:val="000000"/>
                <w:spacing w:val="0"/>
                <w:w w:val="100"/>
                <w:position w:val="0"/>
                <w:sz w:val="18"/>
                <w:szCs w:val="18"/>
              </w:rPr>
              <w:t>180.64MW</w:t>
            </w:r>
            <w:r>
              <w:rPr>
                <w:rFonts w:ascii="SimSun" w:eastAsia="SimSun" w:hAnsi="SimSun" w:cs="SimSun"/>
                <w:color w:val="000000"/>
                <w:spacing w:val="0"/>
                <w:w w:val="100"/>
                <w:position w:val="0"/>
                <w:sz w:val="17"/>
                <w:szCs w:val="17"/>
              </w:rPr>
              <w:t>项目，并将剩余募集资金进行永久补充流动资金。截 至本核查意见出具日，募集资金已使用完毕。</w:t>
            </w:r>
          </w:p>
        </w:tc>
      </w:tr>
      <w:tr>
        <w:trPr>
          <w:trHeight w:val="720"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募集资金使用及披露中存在的问题 或其他情况</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widowControl w:val="0"/>
        <w:spacing w:after="319" w:line="1" w:lineRule="exact"/>
      </w:pPr>
    </w:p>
    <w:p>
      <w:pPr>
        <w:pStyle w:val="Style37"/>
        <w:keepNext/>
        <w:keepLines/>
        <w:widowControl w:val="0"/>
        <w:numPr>
          <w:ilvl w:val="0"/>
          <w:numId w:val="9"/>
        </w:numPr>
        <w:shd w:val="clear" w:color="auto" w:fill="auto"/>
        <w:bidi w:val="0"/>
        <w:spacing w:before="0" w:after="360" w:line="240" w:lineRule="auto"/>
        <w:ind w:left="0" w:right="0" w:firstLine="0"/>
        <w:jc w:val="left"/>
      </w:pPr>
      <w:bookmarkStart w:id="230" w:name="bookmark230"/>
      <w:bookmarkStart w:id="231" w:name="bookmark231"/>
      <w:bookmarkStart w:id="232" w:name="bookmark232"/>
      <w:bookmarkStart w:id="233" w:name="bookmark233"/>
      <w:bookmarkEnd w:id="232"/>
      <w:r>
        <w:rPr>
          <w:color w:val="000000"/>
          <w:spacing w:val="0"/>
          <w:w w:val="100"/>
          <w:position w:val="0"/>
        </w:rPr>
        <w:t>募集资金变更项目情况</w:t>
      </w:r>
      <w:bookmarkEnd w:id="230"/>
      <w:bookmarkEnd w:id="231"/>
      <w:bookmarkEnd w:id="233"/>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2"/>
        <w:gridCol w:w="1757"/>
        <w:gridCol w:w="994"/>
        <w:gridCol w:w="994"/>
        <w:gridCol w:w="994"/>
        <w:gridCol w:w="1099"/>
        <w:gridCol w:w="773"/>
        <w:gridCol w:w="1142"/>
        <w:gridCol w:w="523"/>
        <w:gridCol w:w="610"/>
      </w:tblGrid>
      <w:tr>
        <w:trPr>
          <w:trHeight w:val="196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变更后的 项目</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对应的原承诺项目</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7"/>
                <w:szCs w:val="17"/>
              </w:rPr>
              <w:t>变更后项目 拟投入募集 资金总额</w:t>
            </w:r>
            <w:r>
              <w:rPr>
                <w:color w:val="000000"/>
                <w:spacing w:val="0"/>
                <w:w w:val="100"/>
                <w:position w:val="0"/>
              </w:rPr>
              <w:t>(1)</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本报告期实</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际投入金额</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截至期末实 际累计投入 金额⑵</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307" w:lineRule="exact"/>
              <w:ind w:left="0" w:right="0" w:firstLine="0"/>
              <w:jc w:val="center"/>
              <w:rPr>
                <w:sz w:val="17"/>
                <w:szCs w:val="17"/>
              </w:rPr>
            </w:pPr>
            <w:r>
              <w:rPr>
                <w:rFonts w:ascii="SimSun" w:eastAsia="SimSun" w:hAnsi="SimSun" w:cs="SimSun"/>
                <w:color w:val="000000"/>
                <w:spacing w:val="0"/>
                <w:w w:val="100"/>
                <w:position w:val="0"/>
                <w:sz w:val="17"/>
                <w:szCs w:val="17"/>
              </w:rPr>
              <w:t>截至期末投 资进度</w:t>
            </w:r>
          </w:p>
          <w:p>
            <w:pPr>
              <w:pStyle w:val="Style19"/>
              <w:keepNext w:val="0"/>
              <w:keepLines w:val="0"/>
              <w:widowControl w:val="0"/>
              <w:shd w:val="clear" w:color="auto" w:fill="auto"/>
              <w:bidi w:val="0"/>
              <w:spacing w:before="0" w:after="0" w:line="360" w:lineRule="auto"/>
              <w:ind w:left="0" w:right="0" w:firstLine="140"/>
              <w:jc w:val="left"/>
            </w:pPr>
            <w:r>
              <w:rPr>
                <w:color w:val="000000"/>
                <w:spacing w:val="0"/>
                <w:w w:val="100"/>
                <w:position w:val="0"/>
              </w:rPr>
              <w:t>(3)=(2)/(1)</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项目达 到预定 可使用 状态日 期</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本报告期实现</w:t>
            </w:r>
          </w:p>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的效益</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是否 达到 预计 效益</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变更后 的项目 可行性 是否发 生重大 变化</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汪清</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100MW</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茶陵</w:t>
            </w:r>
            <w:r>
              <w:rPr>
                <w:color w:val="000000"/>
                <w:spacing w:val="0"/>
                <w:w w:val="100"/>
                <w:position w:val="0"/>
                <w:sz w:val="18"/>
                <w:szCs w:val="18"/>
              </w:rPr>
              <w:t>80MW</w:t>
            </w:r>
            <w:r>
              <w:rPr>
                <w:rFonts w:ascii="SimSun" w:eastAsia="SimSun" w:hAnsi="SimSun" w:cs="SimSun"/>
                <w:color w:val="000000"/>
                <w:spacing w:val="0"/>
                <w:w w:val="100"/>
                <w:position w:val="0"/>
                <w:sz w:val="17"/>
                <w:szCs w:val="17"/>
              </w:rPr>
              <w:t>项目、娄 底</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74,000.00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74,000.00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6,850.28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802"/>
        <w:gridCol w:w="1099"/>
        <w:gridCol w:w="658"/>
        <w:gridCol w:w="994"/>
        <w:gridCol w:w="994"/>
        <w:gridCol w:w="994"/>
        <w:gridCol w:w="1099"/>
        <w:gridCol w:w="773"/>
        <w:gridCol w:w="1142"/>
        <w:gridCol w:w="523"/>
        <w:gridCol w:w="610"/>
      </w:tblGrid>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舟山</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14MW </w:t>
            </w:r>
            <w:r>
              <w:rPr>
                <w:rFonts w:ascii="SimSun" w:eastAsia="SimSun" w:hAnsi="SimSun" w:cs="SimSun"/>
                <w:color w:val="000000"/>
                <w:spacing w:val="0"/>
                <w:w w:val="100"/>
                <w:position w:val="0"/>
                <w:sz w:val="17"/>
                <w:szCs w:val="17"/>
              </w:rPr>
              <w:t>项</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茶陵</w:t>
            </w:r>
            <w:r>
              <w:rPr>
                <w:color w:val="000000"/>
                <w:spacing w:val="0"/>
                <w:w w:val="100"/>
                <w:position w:val="0"/>
                <w:sz w:val="18"/>
                <w:szCs w:val="18"/>
              </w:rPr>
              <w:t>80MW</w:t>
            </w:r>
            <w:r>
              <w:rPr>
                <w:rFonts w:ascii="SimSun" w:eastAsia="SimSun" w:hAnsi="SimSun" w:cs="SimSun"/>
                <w:color w:val="000000"/>
                <w:spacing w:val="0"/>
                <w:w w:val="100"/>
                <w:position w:val="0"/>
                <w:sz w:val="17"/>
                <w:szCs w:val="17"/>
              </w:rPr>
              <w:t>项目、娄 底</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1</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801.86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新泰</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50MW </w:t>
            </w:r>
            <w:r>
              <w:rPr>
                <w:rFonts w:ascii="SimSun" w:eastAsia="SimSun" w:hAnsi="SimSun" w:cs="SimSun"/>
                <w:color w:val="000000"/>
                <w:spacing w:val="0"/>
                <w:w w:val="100"/>
                <w:position w:val="0"/>
                <w:sz w:val="17"/>
                <w:szCs w:val="17"/>
              </w:rPr>
              <w:t>项</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赤峰</w:t>
            </w:r>
            <w:r>
              <w:rPr>
                <w:color w:val="000000"/>
                <w:spacing w:val="0"/>
                <w:w w:val="100"/>
                <w:position w:val="0"/>
                <w:sz w:val="18"/>
                <w:szCs w:val="18"/>
              </w:rPr>
              <w:t>100MW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43,933.85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441.46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39,125.06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89.05%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2,322.72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中阳</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20MW </w:t>
            </w:r>
            <w:r>
              <w:rPr>
                <w:rFonts w:ascii="SimSun" w:eastAsia="SimSun" w:hAnsi="SimSun" w:cs="SimSun"/>
                <w:color w:val="000000"/>
                <w:spacing w:val="0"/>
                <w:w w:val="100"/>
                <w:position w:val="0"/>
                <w:sz w:val="17"/>
                <w:szCs w:val="17"/>
              </w:rPr>
              <w:t>项</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赤峰</w:t>
            </w:r>
            <w:r>
              <w:rPr>
                <w:color w:val="000000"/>
                <w:spacing w:val="0"/>
                <w:w w:val="100"/>
                <w:position w:val="0"/>
                <w:sz w:val="18"/>
                <w:szCs w:val="18"/>
              </w:rPr>
              <w:t>100MW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2,984.24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不适 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沧州</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15MW </w:t>
            </w:r>
            <w:r>
              <w:rPr>
                <w:rFonts w:ascii="SimSun" w:eastAsia="SimSun" w:hAnsi="SimSun" w:cs="SimSun"/>
                <w:color w:val="000000"/>
                <w:spacing w:val="0"/>
                <w:w w:val="100"/>
                <w:position w:val="0"/>
                <w:sz w:val="17"/>
                <w:szCs w:val="17"/>
              </w:rPr>
              <w:t>项</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赤峰</w:t>
            </w:r>
            <w:r>
              <w:rPr>
                <w:color w:val="000000"/>
                <w:spacing w:val="0"/>
                <w:w w:val="100"/>
                <w:position w:val="0"/>
                <w:sz w:val="18"/>
                <w:szCs w:val="18"/>
              </w:rPr>
              <w:t>100MW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10,122.50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143.92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9,512.67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93.98%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1</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804.80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卫辉</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 xml:space="preserve">20MW </w:t>
            </w:r>
            <w:r>
              <w:rPr>
                <w:rFonts w:ascii="SimSun" w:eastAsia="SimSun" w:hAnsi="SimSun" w:cs="SimSun"/>
                <w:color w:val="000000"/>
                <w:spacing w:val="0"/>
                <w:w w:val="100"/>
                <w:position w:val="0"/>
                <w:sz w:val="17"/>
                <w:szCs w:val="17"/>
              </w:rPr>
              <w:t>屋</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顶项目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赤峰</w:t>
            </w:r>
            <w:r>
              <w:rPr>
                <w:color w:val="000000"/>
                <w:spacing w:val="0"/>
                <w:w w:val="100"/>
                <w:position w:val="0"/>
                <w:sz w:val="18"/>
                <w:szCs w:val="18"/>
              </w:rPr>
              <w:t>100MW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4,787.99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不适 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胶州</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10.96MW</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赤峰</w:t>
            </w:r>
            <w:r>
              <w:rPr>
                <w:color w:val="000000"/>
                <w:spacing w:val="0"/>
                <w:w w:val="100"/>
                <w:position w:val="0"/>
                <w:sz w:val="18"/>
                <w:szCs w:val="18"/>
              </w:rPr>
              <w:t>100MW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6,290.72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1,518.87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5,501.70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87.46%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1</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469.81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汪清</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30MW </w:t>
            </w:r>
            <w:r>
              <w:rPr>
                <w:rFonts w:ascii="SimSun" w:eastAsia="SimSun" w:hAnsi="SimSun" w:cs="SimSun"/>
                <w:color w:val="000000"/>
                <w:spacing w:val="0"/>
                <w:w w:val="100"/>
                <w:position w:val="0"/>
                <w:sz w:val="17"/>
                <w:szCs w:val="17"/>
              </w:rPr>
              <w:t>项</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长武</w:t>
            </w:r>
            <w:r>
              <w:rPr>
                <w:color w:val="000000"/>
                <w:spacing w:val="0"/>
                <w:w w:val="100"/>
                <w:position w:val="0"/>
                <w:sz w:val="18"/>
                <w:szCs w:val="18"/>
              </w:rPr>
              <w:t>30MW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21,103.00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1,233.25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12,714.34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60.25%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9 </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1,634.31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青铜峡</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50MW </w:t>
            </w:r>
            <w:r>
              <w:rPr>
                <w:rFonts w:ascii="SimSun" w:eastAsia="SimSun" w:hAnsi="SimSun" w:cs="SimSun"/>
                <w:color w:val="000000"/>
                <w:spacing w:val="0"/>
                <w:w w:val="100"/>
                <w:position w:val="0"/>
                <w:sz w:val="17"/>
                <w:szCs w:val="17"/>
              </w:rPr>
              <w:t>项</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澧县</w:t>
            </w:r>
            <w:r>
              <w:rPr>
                <w:color w:val="000000"/>
                <w:spacing w:val="0"/>
                <w:w w:val="100"/>
                <w:position w:val="0"/>
                <w:sz w:val="18"/>
                <w:szCs w:val="18"/>
              </w:rPr>
              <w:t>40MW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32,285.30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1,753.94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7,908.52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1,829.83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gridSpan w:val="2"/>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5,391.49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164,034.52</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r>
      <w:tr>
        <w:trPr>
          <w:trHeight w:val="5136" w:hRule="exact"/>
        </w:trPr>
        <w:tc>
          <w:tcPr>
            <w:gridSpan w:val="2"/>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变更原因、决策程序及 信息披露情况说明</w:t>
            </w:r>
            <w:r>
              <w:rPr>
                <w:color w:val="000000"/>
                <w:spacing w:val="0"/>
                <w:w w:val="100"/>
                <w:position w:val="0"/>
              </w:rPr>
              <w:t>（</w:t>
            </w:r>
            <w:r>
              <w:rPr>
                <w:rFonts w:ascii="SimSun" w:eastAsia="SimSun" w:hAnsi="SimSun" w:cs="SimSun"/>
                <w:color w:val="000000"/>
                <w:spacing w:val="0"/>
                <w:w w:val="100"/>
                <w:position w:val="0"/>
                <w:sz w:val="17"/>
                <w:szCs w:val="17"/>
              </w:rPr>
              <w:t>分 具体项目</w:t>
            </w:r>
            <w:r>
              <w:rPr>
                <w:rFonts w:ascii="SimSun" w:eastAsia="SimSun" w:hAnsi="SimSun" w:cs="SimSun"/>
                <w:color w:val="000000"/>
                <w:spacing w:val="0"/>
                <w:w w:val="100"/>
                <w:position w:val="0"/>
              </w:rPr>
              <w:t>）</w:t>
            </w:r>
          </w:p>
        </w:tc>
        <w:tc>
          <w:tcPr>
            <w:gridSpan w:val="9"/>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tabs>
                <w:tab w:pos="254" w:val="left"/>
              </w:tabs>
              <w:bidi w:val="0"/>
              <w:spacing w:before="0" w:after="40" w:line="313"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茶陵</w:t>
            </w:r>
            <w:r>
              <w:rPr>
                <w:color w:val="000000"/>
                <w:spacing w:val="0"/>
                <w:w w:val="100"/>
                <w:position w:val="0"/>
                <w:sz w:val="18"/>
                <w:szCs w:val="18"/>
              </w:rPr>
              <w:t>80MW</w:t>
            </w:r>
            <w:r>
              <w:rPr>
                <w:rFonts w:ascii="SimSun" w:eastAsia="SimSun" w:hAnsi="SimSun" w:cs="SimSun"/>
                <w:color w:val="000000"/>
                <w:spacing w:val="0"/>
                <w:w w:val="100"/>
                <w:position w:val="0"/>
                <w:sz w:val="17"/>
                <w:szCs w:val="17"/>
              </w:rPr>
              <w:t>项目及娄底</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项目因施工水面情况变化较大，项目建设难度加大，建设成本大 幅增加导致收益低于预期等原因一直未能开工建设，为了提高募集资金使用效率，加快募投项目建 设，提高募投项目收益水平，公司</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日召开的第八届董事会第三十八次会议、第八届 监事会第十八次会议、</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日召开</w:t>
            </w:r>
            <w:r>
              <w:rPr>
                <w:color w:val="000000"/>
                <w:spacing w:val="0"/>
                <w:w w:val="100"/>
                <w:position w:val="0"/>
                <w:sz w:val="18"/>
                <w:szCs w:val="18"/>
              </w:rPr>
              <w:t>2017</w:t>
            </w:r>
            <w:r>
              <w:rPr>
                <w:rFonts w:ascii="SimSun" w:eastAsia="SimSun" w:hAnsi="SimSun" w:cs="SimSun"/>
                <w:color w:val="000000"/>
                <w:spacing w:val="0"/>
                <w:w w:val="100"/>
                <w:position w:val="0"/>
                <w:sz w:val="17"/>
                <w:szCs w:val="17"/>
              </w:rPr>
              <w:t>年第三次临时股东大会审议通过了《关于公司变 更部分募投项目的议案》，将茶陵</w:t>
            </w:r>
            <w:r>
              <w:rPr>
                <w:color w:val="000000"/>
                <w:spacing w:val="0"/>
                <w:w w:val="100"/>
                <w:position w:val="0"/>
                <w:sz w:val="18"/>
                <w:szCs w:val="18"/>
              </w:rPr>
              <w:t>80MW</w:t>
            </w:r>
            <w:r>
              <w:rPr>
                <w:rFonts w:ascii="SimSun" w:eastAsia="SimSun" w:hAnsi="SimSun" w:cs="SimSun"/>
                <w:color w:val="000000"/>
                <w:spacing w:val="0"/>
                <w:w w:val="100"/>
                <w:position w:val="0"/>
                <w:sz w:val="17"/>
                <w:szCs w:val="17"/>
              </w:rPr>
              <w:t>项目及娄底</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项目变更为汪清县</w:t>
            </w:r>
            <w:r>
              <w:rPr>
                <w:color w:val="000000"/>
                <w:spacing w:val="0"/>
                <w:w w:val="100"/>
                <w:position w:val="0"/>
                <w:sz w:val="18"/>
                <w:szCs w:val="18"/>
              </w:rPr>
              <w:t>100MW</w:t>
            </w:r>
            <w:r>
              <w:rPr>
                <w:rFonts w:ascii="SimSun" w:eastAsia="SimSun" w:hAnsi="SimSun" w:cs="SimSun"/>
                <w:color w:val="000000"/>
                <w:spacing w:val="0"/>
                <w:w w:val="100"/>
                <w:position w:val="0"/>
                <w:sz w:val="17"/>
                <w:szCs w:val="17"/>
              </w:rPr>
              <w:t>、舟山</w:t>
            </w:r>
            <w:r>
              <w:rPr>
                <w:color w:val="000000"/>
                <w:spacing w:val="0"/>
                <w:w w:val="100"/>
                <w:position w:val="0"/>
                <w:sz w:val="18"/>
                <w:szCs w:val="18"/>
              </w:rPr>
              <w:t xml:space="preserve">14MW </w:t>
            </w:r>
            <w:r>
              <w:rPr>
                <w:rFonts w:ascii="SimSun" w:eastAsia="SimSun" w:hAnsi="SimSun" w:cs="SimSun"/>
                <w:color w:val="000000"/>
                <w:spacing w:val="0"/>
                <w:w w:val="100"/>
                <w:position w:val="0"/>
                <w:sz w:val="17"/>
                <w:szCs w:val="17"/>
              </w:rPr>
              <w:t>项目。公司独立董事、保荐机构发表了同意的意见。公司已对上述事项进行了公告。</w:t>
            </w:r>
          </w:p>
          <w:p>
            <w:pPr>
              <w:pStyle w:val="Style19"/>
              <w:keepNext w:val="0"/>
              <w:keepLines w:val="0"/>
              <w:widowControl w:val="0"/>
              <w:shd w:val="clear" w:color="auto" w:fill="auto"/>
              <w:tabs>
                <w:tab w:pos="230" w:val="left"/>
              </w:tabs>
              <w:bidi w:val="0"/>
              <w:spacing w:before="0" w:after="0" w:line="313"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赤峰</w:t>
            </w:r>
            <w:r>
              <w:rPr>
                <w:color w:val="000000"/>
                <w:spacing w:val="0"/>
                <w:w w:val="100"/>
                <w:position w:val="0"/>
                <w:sz w:val="18"/>
                <w:szCs w:val="18"/>
              </w:rPr>
              <w:t>100MW</w:t>
            </w:r>
            <w:r>
              <w:rPr>
                <w:rFonts w:ascii="SimSun" w:eastAsia="SimSun" w:hAnsi="SimSun" w:cs="SimSun"/>
                <w:color w:val="000000"/>
                <w:spacing w:val="0"/>
                <w:w w:val="100"/>
                <w:position w:val="0"/>
                <w:sz w:val="17"/>
                <w:szCs w:val="17"/>
              </w:rPr>
              <w:t>项目因政策变化收益率远低于预期，项目未开工建设，为了提高募集资金使用效率， 加快募投项目建设，提高募投项目收益水平，公司于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日召开的第八届董事会第四十 七次会议、第八届监事会第二十二次会议、</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日召开</w:t>
            </w:r>
            <w:r>
              <w:rPr>
                <w:color w:val="000000"/>
                <w:spacing w:val="0"/>
                <w:w w:val="100"/>
                <w:position w:val="0"/>
                <w:sz w:val="18"/>
                <w:szCs w:val="18"/>
              </w:rPr>
              <w:t>2017</w:t>
            </w:r>
            <w:r>
              <w:rPr>
                <w:rFonts w:ascii="SimSun" w:eastAsia="SimSun" w:hAnsi="SimSun" w:cs="SimSun"/>
                <w:color w:val="000000"/>
                <w:spacing w:val="0"/>
                <w:w w:val="100"/>
                <w:position w:val="0"/>
                <w:sz w:val="17"/>
                <w:szCs w:val="17"/>
              </w:rPr>
              <w:t>年第七次临时股东大会审 议通过了《关于变更部分募集资金投资项目的议案》，将赤峰</w:t>
            </w:r>
            <w:r>
              <w:rPr>
                <w:color w:val="000000"/>
                <w:spacing w:val="0"/>
                <w:w w:val="100"/>
                <w:position w:val="0"/>
                <w:sz w:val="18"/>
                <w:szCs w:val="18"/>
              </w:rPr>
              <w:t>100MW</w:t>
            </w:r>
            <w:r>
              <w:rPr>
                <w:rFonts w:ascii="SimSun" w:eastAsia="SimSun" w:hAnsi="SimSun" w:cs="SimSun"/>
                <w:color w:val="000000"/>
                <w:spacing w:val="0"/>
                <w:w w:val="100"/>
                <w:position w:val="0"/>
                <w:sz w:val="17"/>
                <w:szCs w:val="17"/>
              </w:rPr>
              <w:t>项目变更为：新泰</w:t>
            </w:r>
            <w:r>
              <w:rPr>
                <w:color w:val="000000"/>
                <w:spacing w:val="0"/>
                <w:w w:val="100"/>
                <w:position w:val="0"/>
                <w:sz w:val="18"/>
                <w:szCs w:val="18"/>
              </w:rPr>
              <w:t>50MW</w:t>
            </w:r>
            <w:r>
              <w:rPr>
                <w:rFonts w:ascii="SimSun" w:eastAsia="SimSun" w:hAnsi="SimSun" w:cs="SimSun"/>
                <w:color w:val="000000"/>
                <w:spacing w:val="0"/>
                <w:w w:val="100"/>
                <w:position w:val="0"/>
                <w:sz w:val="17"/>
                <w:szCs w:val="17"/>
              </w:rPr>
              <w:t>项 目、中阳</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项目、卫辉</w:t>
            </w:r>
            <w:r>
              <w:rPr>
                <w:color w:val="000000"/>
                <w:spacing w:val="0"/>
                <w:w w:val="100"/>
                <w:position w:val="0"/>
                <w:sz w:val="18"/>
                <w:szCs w:val="18"/>
              </w:rPr>
              <w:t>20MW</w:t>
            </w:r>
            <w:r>
              <w:rPr>
                <w:rFonts w:ascii="SimSun" w:eastAsia="SimSun" w:hAnsi="SimSun" w:cs="SimSun"/>
                <w:color w:val="000000"/>
                <w:spacing w:val="0"/>
                <w:w w:val="100"/>
                <w:position w:val="0"/>
                <w:sz w:val="17"/>
                <w:szCs w:val="17"/>
              </w:rPr>
              <w:t>屋顶项目、沧州</w:t>
            </w:r>
            <w:r>
              <w:rPr>
                <w:color w:val="000000"/>
                <w:spacing w:val="0"/>
                <w:w w:val="100"/>
                <w:position w:val="0"/>
                <w:sz w:val="18"/>
                <w:szCs w:val="18"/>
              </w:rPr>
              <w:t>15MW</w:t>
            </w:r>
            <w:r>
              <w:rPr>
                <w:rFonts w:ascii="SimSun" w:eastAsia="SimSun" w:hAnsi="SimSun" w:cs="SimSun"/>
                <w:color w:val="000000"/>
                <w:spacing w:val="0"/>
                <w:w w:val="100"/>
                <w:position w:val="0"/>
                <w:sz w:val="17"/>
                <w:szCs w:val="17"/>
              </w:rPr>
              <w:t>项目、胶州</w:t>
            </w:r>
            <w:r>
              <w:rPr>
                <w:color w:val="000000"/>
                <w:spacing w:val="0"/>
                <w:w w:val="100"/>
                <w:position w:val="0"/>
                <w:sz w:val="18"/>
                <w:szCs w:val="18"/>
              </w:rPr>
              <w:t>10.96MW</w:t>
            </w:r>
            <w:r>
              <w:rPr>
                <w:rFonts w:ascii="SimSun" w:eastAsia="SimSun" w:hAnsi="SimSun" w:cs="SimSun"/>
                <w:color w:val="000000"/>
                <w:spacing w:val="0"/>
                <w:w w:val="100"/>
                <w:position w:val="0"/>
                <w:sz w:val="17"/>
                <w:szCs w:val="17"/>
              </w:rPr>
              <w:t>项目。原募投项 目剩余募集资金</w:t>
            </w:r>
            <w:r>
              <w:rPr>
                <w:color w:val="000000"/>
                <w:spacing w:val="0"/>
                <w:w w:val="100"/>
                <w:position w:val="0"/>
                <w:sz w:val="18"/>
                <w:szCs w:val="18"/>
              </w:rPr>
              <w:t>308.30</w:t>
            </w:r>
            <w:r>
              <w:rPr>
                <w:rFonts w:ascii="SimSun" w:eastAsia="SimSun" w:hAnsi="SimSun" w:cs="SimSun"/>
                <w:color w:val="000000"/>
                <w:spacing w:val="0"/>
                <w:w w:val="100"/>
                <w:position w:val="0"/>
                <w:sz w:val="17"/>
                <w:szCs w:val="17"/>
              </w:rPr>
              <w:t>万元将继续存放于募集资金专户，并根据相关规定妥善安排使用。公司独立</w:t>
            </w:r>
          </w:p>
          <w:p>
            <w:pPr>
              <w:pStyle w:val="Style19"/>
              <w:keepNext w:val="0"/>
              <w:keepLines w:val="0"/>
              <w:widowControl w:val="0"/>
              <w:shd w:val="clear" w:color="auto" w:fill="auto"/>
              <w:bidi w:val="0"/>
              <w:spacing w:before="0" w:after="40" w:line="313" w:lineRule="exact"/>
              <w:ind w:left="0" w:right="0" w:firstLine="0"/>
              <w:jc w:val="both"/>
              <w:rPr>
                <w:sz w:val="17"/>
                <w:szCs w:val="17"/>
              </w:rPr>
            </w:pPr>
            <w:r>
              <w:rPr>
                <w:rFonts w:ascii="SimSun" w:eastAsia="SimSun" w:hAnsi="SimSun" w:cs="SimSun"/>
                <w:color w:val="000000"/>
                <w:spacing w:val="0"/>
                <w:w w:val="100"/>
                <w:position w:val="0"/>
                <w:sz w:val="17"/>
                <w:szCs w:val="17"/>
              </w:rPr>
              <w:t>董事、保荐机构发表了同意的意见。公司已对上述事项进行了公告。</w:t>
            </w:r>
          </w:p>
          <w:p>
            <w:pPr>
              <w:pStyle w:val="Style19"/>
              <w:keepNext w:val="0"/>
              <w:keepLines w:val="0"/>
              <w:widowControl w:val="0"/>
              <w:shd w:val="clear" w:color="auto" w:fill="auto"/>
              <w:tabs>
                <w:tab w:pos="230" w:val="left"/>
              </w:tabs>
              <w:bidi w:val="0"/>
              <w:spacing w:before="0" w:after="40" w:line="314"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长武</w:t>
            </w:r>
            <w:r>
              <w:rPr>
                <w:color w:val="000000"/>
                <w:spacing w:val="0"/>
                <w:w w:val="100"/>
                <w:position w:val="0"/>
                <w:sz w:val="18"/>
                <w:szCs w:val="18"/>
              </w:rPr>
              <w:t>30MW</w:t>
            </w:r>
            <w:r>
              <w:rPr>
                <w:rFonts w:ascii="SimSun" w:eastAsia="SimSun" w:hAnsi="SimSun" w:cs="SimSun"/>
                <w:color w:val="000000"/>
                <w:spacing w:val="0"/>
                <w:w w:val="100"/>
                <w:position w:val="0"/>
                <w:sz w:val="17"/>
                <w:szCs w:val="17"/>
              </w:rPr>
              <w:t>项目、澧县</w:t>
            </w:r>
            <w:r>
              <w:rPr>
                <w:color w:val="000000"/>
                <w:spacing w:val="0"/>
                <w:w w:val="100"/>
                <w:position w:val="0"/>
                <w:sz w:val="18"/>
                <w:szCs w:val="18"/>
              </w:rPr>
              <w:t>40MW</w:t>
            </w:r>
            <w:r>
              <w:rPr>
                <w:rFonts w:ascii="SimSun" w:eastAsia="SimSun" w:hAnsi="SimSun" w:cs="SimSun"/>
                <w:color w:val="000000"/>
                <w:spacing w:val="0"/>
                <w:w w:val="100"/>
                <w:position w:val="0"/>
                <w:sz w:val="17"/>
                <w:szCs w:val="17"/>
              </w:rPr>
              <w:t>项目因项目情况变化项目建设进度缓于预期，收益率远低于预期， 为了提高募集资金使用效率，加快募投项目建设，提高募投项目收益水平，公司于</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日召开的第九届董事会第二次会议、第九届监事会第二次会议、</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日召开</w:t>
            </w:r>
            <w:r>
              <w:rPr>
                <w:color w:val="000000"/>
                <w:spacing w:val="0"/>
                <w:w w:val="100"/>
                <w:position w:val="0"/>
                <w:sz w:val="18"/>
                <w:szCs w:val="18"/>
              </w:rPr>
              <w:t>2018</w:t>
            </w:r>
            <w:r>
              <w:rPr>
                <w:rFonts w:ascii="SimSun" w:eastAsia="SimSun" w:hAnsi="SimSun" w:cs="SimSun"/>
                <w:color w:val="000000"/>
                <w:spacing w:val="0"/>
                <w:w w:val="100"/>
                <w:position w:val="0"/>
                <w:sz w:val="17"/>
                <w:szCs w:val="17"/>
              </w:rPr>
              <w:t>年第五</w:t>
            </w:r>
          </w:p>
        </w:tc>
      </w:tr>
    </w:tbl>
    <w:p>
      <w:pPr>
        <w:spacing w:lineRule="exact" w:line="1"/>
        <w:rPr>
          <w:sz w:val="2"/>
          <w:szCs w:val="2"/>
        </w:rPr>
      </w:pPr>
      <w:r>
        <w:br w:type="page"/>
      </w:r>
    </w:p>
    <w:tbl>
      <w:tblPr>
        <w:tblOverlap w:val="never"/>
        <w:jc w:val="center"/>
        <w:tblLayout w:type="fixed"/>
      </w:tblPr>
      <w:tblGrid>
        <w:gridCol w:w="1901"/>
        <w:gridCol w:w="7786"/>
      </w:tblGrid>
      <w:tr>
        <w:trPr>
          <w:trHeight w:val="1301"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次临时股东大会审议通过了《关于变更部分募集资金投资项目的议案》，将长武</w:t>
            </w:r>
            <w:r>
              <w:rPr>
                <w:color w:val="000000"/>
                <w:spacing w:val="0"/>
                <w:w w:val="100"/>
                <w:position w:val="0"/>
                <w:sz w:val="18"/>
                <w:szCs w:val="18"/>
              </w:rPr>
              <w:t>30MW</w:t>
            </w:r>
            <w:r>
              <w:rPr>
                <w:rFonts w:ascii="SimSun" w:eastAsia="SimSun" w:hAnsi="SimSun" w:cs="SimSun"/>
                <w:color w:val="000000"/>
                <w:spacing w:val="0"/>
                <w:w w:val="100"/>
                <w:position w:val="0"/>
                <w:sz w:val="17"/>
                <w:szCs w:val="17"/>
              </w:rPr>
              <w:t xml:space="preserve">项目、澧县 </w:t>
            </w:r>
            <w:r>
              <w:rPr>
                <w:color w:val="000000"/>
                <w:spacing w:val="0"/>
                <w:w w:val="100"/>
                <w:position w:val="0"/>
                <w:sz w:val="18"/>
                <w:szCs w:val="18"/>
              </w:rPr>
              <w:t>40MW</w:t>
            </w:r>
            <w:r>
              <w:rPr>
                <w:rFonts w:ascii="SimSun" w:eastAsia="SimSun" w:hAnsi="SimSun" w:cs="SimSun"/>
                <w:color w:val="000000"/>
                <w:spacing w:val="0"/>
                <w:w w:val="100"/>
                <w:position w:val="0"/>
                <w:sz w:val="17"/>
                <w:szCs w:val="17"/>
              </w:rPr>
              <w:t>项目拟使用募集资金金额及前次变更剩余未使用募集资金金额合计为</w:t>
            </w:r>
            <w:r>
              <w:rPr>
                <w:color w:val="000000"/>
                <w:spacing w:val="0"/>
                <w:w w:val="100"/>
                <w:position w:val="0"/>
                <w:sz w:val="18"/>
                <w:szCs w:val="18"/>
              </w:rPr>
              <w:t>53,388.30</w:t>
            </w:r>
            <w:r>
              <w:rPr>
                <w:rFonts w:ascii="SimSun" w:eastAsia="SimSun" w:hAnsi="SimSun" w:cs="SimSun"/>
                <w:color w:val="000000"/>
                <w:spacing w:val="0"/>
                <w:w w:val="100"/>
                <w:position w:val="0"/>
                <w:sz w:val="17"/>
                <w:szCs w:val="17"/>
              </w:rPr>
              <w:t>万元，变更 为：汪清</w:t>
            </w:r>
            <w:r>
              <w:rPr>
                <w:color w:val="000000"/>
                <w:spacing w:val="0"/>
                <w:w w:val="100"/>
                <w:position w:val="0"/>
                <w:sz w:val="18"/>
                <w:szCs w:val="18"/>
              </w:rPr>
              <w:t>30MW</w:t>
            </w:r>
            <w:r>
              <w:rPr>
                <w:rFonts w:ascii="SimSun" w:eastAsia="SimSun" w:hAnsi="SimSun" w:cs="SimSun"/>
                <w:color w:val="000000"/>
                <w:spacing w:val="0"/>
                <w:w w:val="100"/>
                <w:position w:val="0"/>
                <w:sz w:val="17"/>
                <w:szCs w:val="17"/>
              </w:rPr>
              <w:t>项目、青铜峡</w:t>
            </w:r>
            <w:r>
              <w:rPr>
                <w:color w:val="000000"/>
                <w:spacing w:val="0"/>
                <w:w w:val="100"/>
                <w:position w:val="0"/>
                <w:sz w:val="18"/>
                <w:szCs w:val="18"/>
              </w:rPr>
              <w:t>50MW</w:t>
            </w:r>
            <w:r>
              <w:rPr>
                <w:rFonts w:ascii="SimSun" w:eastAsia="SimSun" w:hAnsi="SimSun" w:cs="SimSun"/>
                <w:color w:val="000000"/>
                <w:spacing w:val="0"/>
                <w:w w:val="100"/>
                <w:position w:val="0"/>
                <w:sz w:val="17"/>
                <w:szCs w:val="17"/>
              </w:rPr>
              <w:t>项目。公司独立董事、保荐机构发表了同意的意见。公司已 对上述事项进行了公告。</w:t>
            </w:r>
          </w:p>
        </w:tc>
      </w:tr>
      <w:tr>
        <w:trPr>
          <w:trHeight w:val="196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sz w:val="17"/>
                <w:szCs w:val="17"/>
              </w:rPr>
              <w:t>未达到计划进度或预计 收益的情况和原因</w:t>
            </w:r>
            <w:r>
              <w:rPr>
                <w:color w:val="000000"/>
                <w:spacing w:val="0"/>
                <w:w w:val="100"/>
                <w:position w:val="0"/>
              </w:rPr>
              <w:t>（</w:t>
            </w:r>
            <w:r>
              <w:rPr>
                <w:rFonts w:ascii="SimSun" w:eastAsia="SimSun" w:hAnsi="SimSun" w:cs="SimSun"/>
                <w:color w:val="000000"/>
                <w:spacing w:val="0"/>
                <w:w w:val="100"/>
                <w:position w:val="0"/>
                <w:sz w:val="17"/>
                <w:szCs w:val="17"/>
              </w:rPr>
              <w:t>分 具体项目</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卫辉</w:t>
            </w:r>
            <w:r>
              <w:rPr>
                <w:color w:val="000000"/>
                <w:spacing w:val="0"/>
                <w:w w:val="100"/>
                <w:position w:val="0"/>
                <w:sz w:val="18"/>
                <w:szCs w:val="18"/>
              </w:rPr>
              <w:t>20MW</w:t>
            </w:r>
            <w:r>
              <w:rPr>
                <w:rFonts w:ascii="SimSun" w:eastAsia="SimSun" w:hAnsi="SimSun" w:cs="SimSun"/>
                <w:color w:val="000000"/>
                <w:spacing w:val="0"/>
                <w:w w:val="100"/>
                <w:position w:val="0"/>
                <w:sz w:val="17"/>
                <w:szCs w:val="17"/>
              </w:rPr>
              <w:t>屋顶项目、中阳</w:t>
            </w:r>
            <w:r>
              <w:rPr>
                <w:color w:val="000000"/>
                <w:spacing w:val="0"/>
                <w:w w:val="100"/>
                <w:position w:val="0"/>
                <w:sz w:val="18"/>
                <w:szCs w:val="18"/>
              </w:rPr>
              <w:t>20MW</w:t>
            </w:r>
            <w:r>
              <w:rPr>
                <w:rFonts w:ascii="SimSun" w:eastAsia="SimSun" w:hAnsi="SimSun" w:cs="SimSun"/>
                <w:color w:val="000000"/>
                <w:spacing w:val="0"/>
                <w:w w:val="100"/>
                <w:position w:val="0"/>
                <w:sz w:val="17"/>
                <w:szCs w:val="17"/>
              </w:rPr>
              <w:t>项目在实施过程中，因项目情况变化，项目建设进度缓于预期， 预计实际收益率将远低于预期，为提高剩余募集资金使用效率，公司于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日召开的第 九届董事会第二十次会议、第九届监事会第八次会议、</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日召开的第五次临时股东大 会审议通过了《关于部分募集资金投资项目结项、终止并将剩余募集资金永久补充流动资金的议 案》，公司终止实施以上项目，并将剩余募集资金进行永久补充流动资金。公司独立董事、保荐机 构发表了同意的意见。公司已对上述事项进行了公告。</w:t>
            </w:r>
          </w:p>
        </w:tc>
      </w:tr>
      <w:tr>
        <w:trPr>
          <w:trHeight w:val="725"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变更后的项目可行性发 生重大变化的情况说明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同上。</w:t>
            </w:r>
          </w:p>
        </w:tc>
      </w:tr>
    </w:tbl>
    <w:p>
      <w:pPr>
        <w:widowControl w:val="0"/>
        <w:spacing w:after="319" w:line="1" w:lineRule="exact"/>
      </w:pPr>
    </w:p>
    <w:p>
      <w:pPr>
        <w:pStyle w:val="Style22"/>
        <w:keepNext/>
        <w:keepLines/>
        <w:widowControl w:val="0"/>
        <w:shd w:val="clear" w:color="auto" w:fill="auto"/>
        <w:tabs>
          <w:tab w:pos="517" w:val="left"/>
        </w:tabs>
        <w:bidi w:val="0"/>
        <w:spacing w:before="0" w:after="38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rPr>
        <w:t>六</w:t>
      </w:r>
      <w:bookmarkEnd w:id="236"/>
      <w:r>
        <w:rPr>
          <w:color w:val="000000"/>
          <w:spacing w:val="0"/>
          <w:w w:val="100"/>
          <w:position w:val="0"/>
        </w:rPr>
        <w:t>、</w:t>
        <w:tab/>
        <w:t>重大资产和股权出售</w:t>
      </w:r>
      <w:bookmarkEnd w:id="234"/>
      <w:bookmarkEnd w:id="235"/>
      <w:bookmarkEnd w:id="237"/>
    </w:p>
    <w:p>
      <w:pPr>
        <w:pStyle w:val="Style30"/>
        <w:keepNext/>
        <w:keepLines/>
        <w:widowControl w:val="0"/>
        <w:shd w:val="clear" w:color="auto" w:fill="auto"/>
        <w:tabs>
          <w:tab w:pos="402" w:val="left"/>
        </w:tabs>
        <w:bidi w:val="0"/>
        <w:spacing w:before="0" w:after="380" w:line="240" w:lineRule="auto"/>
        <w:ind w:left="0" w:right="0" w:firstLine="0"/>
        <w:jc w:val="left"/>
      </w:pPr>
      <w:bookmarkStart w:id="238" w:name="bookmark238"/>
      <w:bookmarkStart w:id="239" w:name="bookmark239"/>
      <w:bookmarkStart w:id="240" w:name="bookmark240"/>
      <w:bookmarkStart w:id="241" w:name="bookmark241"/>
      <w:r>
        <w:rPr>
          <w:rFonts w:ascii="Times New Roman" w:eastAsia="Times New Roman" w:hAnsi="Times New Roman" w:cs="Times New Roman"/>
          <w:color w:val="000000"/>
          <w:spacing w:val="0"/>
          <w:w w:val="100"/>
          <w:position w:val="0"/>
        </w:rPr>
        <w:t>1</w:t>
      </w:r>
      <w:bookmarkEnd w:id="240"/>
      <w:r>
        <w:rPr>
          <w:color w:val="000000"/>
          <w:spacing w:val="0"/>
          <w:w w:val="100"/>
          <w:position w:val="0"/>
        </w:rPr>
        <w:t>、</w:t>
        <w:tab/>
        <w:t>出售重大资产情况</w:t>
      </w:r>
      <w:bookmarkEnd w:id="238"/>
      <w:bookmarkEnd w:id="239"/>
      <w:bookmarkEnd w:id="241"/>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0"/>
        <w:keepNext/>
        <w:keepLines/>
        <w:widowControl w:val="0"/>
        <w:shd w:val="clear" w:color="auto" w:fill="auto"/>
        <w:tabs>
          <w:tab w:pos="402" w:val="left"/>
        </w:tabs>
        <w:bidi w:val="0"/>
        <w:spacing w:before="0" w:after="380" w:line="240" w:lineRule="auto"/>
        <w:ind w:left="0" w:right="0" w:firstLine="0"/>
        <w:jc w:val="left"/>
      </w:pPr>
      <w:bookmarkStart w:id="242" w:name="bookmark242"/>
      <w:bookmarkStart w:id="243" w:name="bookmark243"/>
      <w:bookmarkStart w:id="244" w:name="bookmark244"/>
      <w:bookmarkStart w:id="245" w:name="bookmark245"/>
      <w:r>
        <w:rPr>
          <w:rFonts w:ascii="Times New Roman" w:eastAsia="Times New Roman" w:hAnsi="Times New Roman" w:cs="Times New Roman"/>
          <w:color w:val="000000"/>
          <w:spacing w:val="0"/>
          <w:w w:val="100"/>
          <w:position w:val="0"/>
        </w:rPr>
        <w:t>2</w:t>
      </w:r>
      <w:bookmarkEnd w:id="244"/>
      <w:r>
        <w:rPr>
          <w:color w:val="000000"/>
          <w:spacing w:val="0"/>
          <w:w w:val="100"/>
          <w:position w:val="0"/>
        </w:rPr>
        <w:t>、</w:t>
        <w:tab/>
        <w:t>出售重大股权情况</w:t>
      </w:r>
      <w:bookmarkEnd w:id="242"/>
      <w:bookmarkEnd w:id="243"/>
      <w:bookmarkEnd w:id="245"/>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22" w:val="left"/>
        </w:tabs>
        <w:bidi w:val="0"/>
        <w:spacing w:before="0" w:after="380" w:line="240" w:lineRule="auto"/>
        <w:ind w:left="0" w:right="0" w:firstLine="0"/>
        <w:jc w:val="left"/>
      </w:pPr>
      <w:bookmarkStart w:id="246" w:name="bookmark246"/>
      <w:bookmarkStart w:id="247" w:name="bookmark247"/>
      <w:bookmarkStart w:id="248" w:name="bookmark248"/>
      <w:bookmarkStart w:id="249" w:name="bookmark249"/>
      <w:r>
        <w:rPr>
          <w:color w:val="000000"/>
          <w:spacing w:val="0"/>
          <w:w w:val="100"/>
          <w:position w:val="0"/>
        </w:rPr>
        <w:t>七</w:t>
      </w:r>
      <w:bookmarkEnd w:id="248"/>
      <w:r>
        <w:rPr>
          <w:color w:val="000000"/>
          <w:spacing w:val="0"/>
          <w:w w:val="100"/>
          <w:position w:val="0"/>
        </w:rPr>
        <w:t>、</w:t>
        <w:tab/>
        <w:t>主要控股参股公司分析</w:t>
      </w:r>
      <w:bookmarkEnd w:id="246"/>
      <w:bookmarkEnd w:id="247"/>
      <w:bookmarkEnd w:id="249"/>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东旭新能源 投资有限公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投资兴办实 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10,946,973,2</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34.61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18,432,269,0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9,991,507,13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47,547,886.7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-634,120,919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-655,546,694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r>
      <w:tr>
        <w:trPr>
          <w:trHeight w:val="10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西藏东旭电</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力工程有限</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电力工程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5,839,802,51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325,884,526.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879,473,291.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-73,468,961.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-112,263,939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报告期内取得和处置子公司的情况</w:t>
      </w:r>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对整体生产经营和业绩的影响</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锦州旭蓝电力新能源有限公司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安徽旭禾农业科技有限公司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团风县正旭新能源有限公司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长春市旭蓝新能源有限公司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安阳旭冠日冕新能源科技有限公司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安阳东沪龙跃新能源科技有限公司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青岛旭辰节能科技有限公司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青岛旭蓝产业基金合伙企业</w:t>
            </w:r>
            <w:r>
              <w:rPr>
                <w:color w:val="000000"/>
                <w:spacing w:val="0"/>
                <w:w w:val="100"/>
                <w:position w:val="0"/>
              </w:rPr>
              <w:t>（</w:t>
            </w:r>
            <w:r>
              <w:rPr>
                <w:rFonts w:ascii="SimSun" w:eastAsia="SimSun" w:hAnsi="SimSun" w:cs="SimSun"/>
                <w:color w:val="000000"/>
                <w:spacing w:val="0"/>
                <w:w w:val="100"/>
                <w:position w:val="0"/>
                <w:sz w:val="17"/>
                <w:szCs w:val="17"/>
              </w:rPr>
              <w:t>有限合伙</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东旭鸿鼎（天津）文化旅游有限公司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东旭制胜（厦门）节能科技有限公司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海南旭通新能源科技有限公司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青岛旭阳新能源有限公司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平度市旭弘新能源有限公司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宁夏旭通新能源科技有限公司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宁夏旭卫新能源科技有限公司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承德新旭新能源科技有限公司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滦平县旭欣新能源科技有限公司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宁夏旭盛新能源科技有限公司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宁夏旭蓝新能源科技有限公司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新设</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深圳市宝鹏物流有限公司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产生投资收益</w:t>
            </w:r>
            <w:r>
              <w:rPr>
                <w:color w:val="000000"/>
                <w:spacing w:val="0"/>
                <w:w w:val="100"/>
                <w:position w:val="0"/>
                <w:sz w:val="18"/>
                <w:szCs w:val="18"/>
              </w:rPr>
              <w:t>20,480,848.82</w:t>
            </w:r>
            <w:r>
              <w:rPr>
                <w:rFonts w:ascii="SimSun" w:eastAsia="SimSun" w:hAnsi="SimSun" w:cs="SimSun"/>
                <w:color w:val="000000"/>
                <w:spacing w:val="0"/>
                <w:w w:val="100"/>
                <w:position w:val="0"/>
                <w:sz w:val="17"/>
                <w:szCs w:val="17"/>
              </w:rPr>
              <w:t>元</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深圳市鸿基物流有限公司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产生投资收益</w:t>
            </w:r>
            <w:r>
              <w:rPr>
                <w:color w:val="000000"/>
                <w:spacing w:val="0"/>
                <w:w w:val="100"/>
                <w:position w:val="0"/>
                <w:sz w:val="18"/>
                <w:szCs w:val="18"/>
              </w:rPr>
              <w:t>58,449,176.90</w:t>
            </w:r>
            <w:r>
              <w:rPr>
                <w:rFonts w:ascii="SimSun" w:eastAsia="SimSun" w:hAnsi="SimSun" w:cs="SimSun"/>
                <w:color w:val="000000"/>
                <w:spacing w:val="0"/>
                <w:w w:val="100"/>
                <w:position w:val="0"/>
                <w:sz w:val="17"/>
                <w:szCs w:val="17"/>
              </w:rPr>
              <w:t>元</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深圳市虹海假日酒店管理有限公司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产生投资收益</w:t>
            </w:r>
            <w:r>
              <w:rPr>
                <w:color w:val="000000"/>
                <w:spacing w:val="0"/>
                <w:w w:val="100"/>
                <w:position w:val="0"/>
                <w:sz w:val="18"/>
                <w:szCs w:val="18"/>
              </w:rPr>
              <w:t>1.00</w:t>
            </w:r>
            <w:r>
              <w:rPr>
                <w:rFonts w:ascii="SimSun" w:eastAsia="SimSun" w:hAnsi="SimSun" w:cs="SimSun"/>
                <w:color w:val="000000"/>
                <w:spacing w:val="0"/>
                <w:w w:val="100"/>
                <w:position w:val="0"/>
                <w:sz w:val="17"/>
                <w:szCs w:val="17"/>
              </w:rPr>
              <w:t>元</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深圳市鸿基兆丰商业服务管理有限公司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产生投资收益</w:t>
            </w:r>
            <w:r>
              <w:rPr>
                <w:color w:val="000000"/>
                <w:spacing w:val="0"/>
                <w:w w:val="100"/>
                <w:position w:val="0"/>
                <w:sz w:val="18"/>
                <w:szCs w:val="18"/>
              </w:rPr>
              <w:t>1.00</w:t>
            </w:r>
            <w:r>
              <w:rPr>
                <w:rFonts w:ascii="SimSun" w:eastAsia="SimSun" w:hAnsi="SimSun" w:cs="SimSun"/>
                <w:color w:val="000000"/>
                <w:spacing w:val="0"/>
                <w:w w:val="100"/>
                <w:position w:val="0"/>
                <w:sz w:val="17"/>
                <w:szCs w:val="17"/>
              </w:rPr>
              <w:t>元</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内蒙古旭峰光伏科技有限公司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产生投资收益</w:t>
            </w:r>
            <w:r>
              <w:rPr>
                <w:color w:val="000000"/>
                <w:spacing w:val="0"/>
                <w:w w:val="100"/>
                <w:position w:val="0"/>
                <w:sz w:val="18"/>
                <w:szCs w:val="18"/>
              </w:rPr>
              <w:t>1,326,444.68</w:t>
            </w:r>
            <w:r>
              <w:rPr>
                <w:rFonts w:ascii="SimSun" w:eastAsia="SimSun" w:hAnsi="SimSun" w:cs="SimSun"/>
                <w:color w:val="000000"/>
                <w:spacing w:val="0"/>
                <w:w w:val="100"/>
                <w:position w:val="0"/>
                <w:sz w:val="17"/>
                <w:szCs w:val="17"/>
              </w:rPr>
              <w:t>元</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禹州市东旭新能源科技有限公司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产生投资收益</w:t>
            </w:r>
            <w:r>
              <w:rPr>
                <w:color w:val="000000"/>
                <w:spacing w:val="0"/>
                <w:w w:val="100"/>
                <w:position w:val="0"/>
                <w:sz w:val="18"/>
                <w:szCs w:val="18"/>
              </w:rPr>
              <w:t>12,712,133.94</w:t>
            </w:r>
            <w:r>
              <w:rPr>
                <w:rFonts w:ascii="SimSun" w:eastAsia="SimSun" w:hAnsi="SimSun" w:cs="SimSun"/>
                <w:color w:val="000000"/>
                <w:spacing w:val="0"/>
                <w:w w:val="100"/>
                <w:position w:val="0"/>
                <w:sz w:val="17"/>
                <w:szCs w:val="17"/>
              </w:rPr>
              <w:t>元</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辽宁旭红供应链管理有限公司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产生投资收益</w:t>
            </w:r>
            <w:r>
              <w:rPr>
                <w:color w:val="000000"/>
                <w:spacing w:val="0"/>
                <w:w w:val="100"/>
                <w:position w:val="0"/>
                <w:sz w:val="18"/>
                <w:szCs w:val="18"/>
              </w:rPr>
              <w:t>-7.36</w:t>
            </w:r>
            <w:r>
              <w:rPr>
                <w:rFonts w:ascii="SimSun" w:eastAsia="SimSun" w:hAnsi="SimSun" w:cs="SimSun"/>
                <w:color w:val="000000"/>
                <w:spacing w:val="0"/>
                <w:w w:val="100"/>
                <w:position w:val="0"/>
                <w:sz w:val="17"/>
                <w:szCs w:val="17"/>
              </w:rPr>
              <w:t>元</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上海陇商供应链管理有限公司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产生投资收益</w:t>
            </w:r>
            <w:r>
              <w:rPr>
                <w:color w:val="000000"/>
                <w:spacing w:val="0"/>
                <w:w w:val="100"/>
                <w:position w:val="0"/>
                <w:sz w:val="18"/>
                <w:szCs w:val="18"/>
              </w:rPr>
              <w:t>39,245.76</w:t>
            </w:r>
            <w:r>
              <w:rPr>
                <w:rFonts w:ascii="SimSun" w:eastAsia="SimSun" w:hAnsi="SimSun" w:cs="SimSun"/>
                <w:color w:val="000000"/>
                <w:spacing w:val="0"/>
                <w:w w:val="100"/>
                <w:position w:val="0"/>
                <w:sz w:val="17"/>
                <w:szCs w:val="17"/>
              </w:rPr>
              <w:t>元</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宁夏旭通新能源科技有限公司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产生投资收益</w:t>
            </w:r>
            <w:r>
              <w:rPr>
                <w:color w:val="000000"/>
                <w:spacing w:val="0"/>
                <w:w w:val="100"/>
                <w:position w:val="0"/>
                <w:sz w:val="18"/>
                <w:szCs w:val="18"/>
              </w:rPr>
              <w:t>4,750,689.90</w:t>
            </w:r>
            <w:r>
              <w:rPr>
                <w:rFonts w:ascii="SimSun" w:eastAsia="SimSun" w:hAnsi="SimSun" w:cs="SimSun"/>
                <w:color w:val="000000"/>
                <w:spacing w:val="0"/>
                <w:w w:val="100"/>
                <w:position w:val="0"/>
                <w:sz w:val="17"/>
                <w:szCs w:val="17"/>
              </w:rPr>
              <w:t>元</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青岛旭辰节能科技有限公司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产生投资收益</w:t>
            </w:r>
            <w:r>
              <w:rPr>
                <w:color w:val="000000"/>
                <w:spacing w:val="0"/>
                <w:w w:val="100"/>
                <w:position w:val="0"/>
                <w:sz w:val="18"/>
                <w:szCs w:val="18"/>
              </w:rPr>
              <w:t>3,000,000.00</w:t>
            </w:r>
            <w:r>
              <w:rPr>
                <w:rFonts w:ascii="SimSun" w:eastAsia="SimSun" w:hAnsi="SimSun" w:cs="SimSun"/>
                <w:color w:val="000000"/>
                <w:spacing w:val="0"/>
                <w:w w:val="100"/>
                <w:position w:val="0"/>
                <w:sz w:val="17"/>
                <w:szCs w:val="17"/>
              </w:rPr>
              <w:t>元</w:t>
            </w: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both"/>
      </w:pPr>
      <w:bookmarkStart w:id="250" w:name="bookmark250"/>
      <w:bookmarkStart w:id="251" w:name="bookmark251"/>
      <w:bookmarkStart w:id="252" w:name="bookmark252"/>
      <w:bookmarkStart w:id="253" w:name="bookmark253"/>
      <w:r>
        <w:rPr>
          <w:color w:val="000000"/>
          <w:spacing w:val="0"/>
          <w:w w:val="100"/>
          <w:position w:val="0"/>
        </w:rPr>
        <w:t>八</w:t>
      </w:r>
      <w:bookmarkEnd w:id="252"/>
      <w:r>
        <w:rPr>
          <w:color w:val="000000"/>
          <w:spacing w:val="0"/>
          <w:w w:val="100"/>
          <w:position w:val="0"/>
        </w:rPr>
        <w:t>、公司控制的结构化主体情况</w:t>
      </w:r>
      <w:bookmarkEnd w:id="250"/>
      <w:bookmarkEnd w:id="251"/>
      <w:bookmarkEnd w:id="253"/>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日，本公司与信达金控（宁波）投资管理有限公司（以下简称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信达金控</w:t>
      </w:r>
      <w:r>
        <w:rPr>
          <w:rFonts w:ascii="Times New Roman" w:eastAsia="Times New Roman" w:hAnsi="Times New Roman" w:cs="Times New Roman"/>
          <w:color w:val="000000"/>
          <w:spacing w:val="0"/>
          <w:w w:val="100"/>
          <w:position w:val="0"/>
        </w:rPr>
        <w:t>”</w:t>
      </w:r>
      <w:r>
        <w:rPr>
          <w:color w:val="000000"/>
          <w:spacing w:val="0"/>
          <w:w w:val="100"/>
          <w:position w:val="0"/>
        </w:rPr>
        <w:t>）、国投泰康 信托有限公司（以下简称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国投泰康</w:t>
      </w:r>
      <w:r>
        <w:rPr>
          <w:rFonts w:ascii="Times New Roman" w:eastAsia="Times New Roman" w:hAnsi="Times New Roman" w:cs="Times New Roman"/>
          <w:color w:val="000000"/>
          <w:spacing w:val="0"/>
          <w:w w:val="100"/>
          <w:position w:val="0"/>
        </w:rPr>
        <w:t>”</w:t>
      </w:r>
      <w:r>
        <w:rPr>
          <w:color w:val="000000"/>
          <w:spacing w:val="0"/>
          <w:w w:val="100"/>
          <w:position w:val="0"/>
        </w:rPr>
        <w:t>）共同投资设立宁波梅山保税港区信控东旭新能源投资合伙企业（有 限合伙）（以下简称</w:t>
      </w:r>
      <w:r>
        <w:rPr>
          <w:rFonts w:ascii="Times New Roman" w:eastAsia="Times New Roman" w:hAnsi="Times New Roman" w:cs="Times New Roman"/>
          <w:color w:val="000000"/>
          <w:spacing w:val="0"/>
          <w:w w:val="100"/>
          <w:position w:val="0"/>
        </w:rPr>
        <w:t>“</w:t>
      </w:r>
      <w:r>
        <w:rPr>
          <w:color w:val="000000"/>
          <w:spacing w:val="0"/>
          <w:w w:val="100"/>
          <w:position w:val="0"/>
        </w:rPr>
        <w:t>宁波信控新能源合伙</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月，信达金控作为普通合伙人出资</w:t>
      </w:r>
      <w:r>
        <w:rPr>
          <w:rFonts w:ascii="Times New Roman" w:eastAsia="Times New Roman" w:hAnsi="Times New Roman" w:cs="Times New Roman"/>
          <w:color w:val="000000"/>
          <w:spacing w:val="0"/>
          <w:w w:val="100"/>
          <w:position w:val="0"/>
        </w:rPr>
        <w:t>100</w:t>
      </w:r>
      <w:r>
        <w:rPr>
          <w:color w:val="000000"/>
          <w:spacing w:val="0"/>
          <w:w w:val="100"/>
          <w:position w:val="0"/>
        </w:rPr>
        <w:t>万元，国 投泰康信托有限公司作为优先级有限合伙人出资</w:t>
      </w:r>
      <w:r>
        <w:rPr>
          <w:rFonts w:ascii="Times New Roman" w:eastAsia="Times New Roman" w:hAnsi="Times New Roman" w:cs="Times New Roman"/>
          <w:color w:val="000000"/>
          <w:spacing w:val="0"/>
          <w:w w:val="100"/>
          <w:position w:val="0"/>
        </w:rPr>
        <w:t>10</w:t>
      </w:r>
      <w:r>
        <w:rPr>
          <w:color w:val="000000"/>
          <w:spacing w:val="0"/>
          <w:w w:val="100"/>
          <w:position w:val="0"/>
        </w:rPr>
        <w:t>亿元，本公司作为劣后级有限合伙人出资</w:t>
      </w:r>
      <w:r>
        <w:rPr>
          <w:rFonts w:ascii="Times New Roman" w:eastAsia="Times New Roman" w:hAnsi="Times New Roman" w:cs="Times New Roman"/>
          <w:color w:val="000000"/>
          <w:spacing w:val="0"/>
          <w:w w:val="100"/>
          <w:position w:val="0"/>
        </w:rPr>
        <w:t>5</w:t>
      </w:r>
      <w:r>
        <w:rPr>
          <w:color w:val="000000"/>
          <w:spacing w:val="0"/>
          <w:w w:val="100"/>
          <w:position w:val="0"/>
        </w:rPr>
        <w:t>亿元。</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日，公司全资子公司东旭新能源投资有限公司向其融资人民币</w:t>
      </w:r>
      <w:r>
        <w:rPr>
          <w:rFonts w:ascii="Times New Roman" w:eastAsia="Times New Roman" w:hAnsi="Times New Roman" w:cs="Times New Roman"/>
          <w:color w:val="000000"/>
          <w:spacing w:val="0"/>
          <w:w w:val="100"/>
          <w:position w:val="0"/>
        </w:rPr>
        <w:t>15</w:t>
      </w:r>
      <w:r>
        <w:rPr>
          <w:color w:val="000000"/>
          <w:spacing w:val="0"/>
          <w:w w:val="100"/>
          <w:position w:val="0"/>
        </w:rPr>
        <w:t>亿元，由于在国投泰康投资期内合 伙企业若不能按时足额分配国投泰康投资预期收益等情形下，公司需按相关协议约定条件受让国投泰康持 有的合伙企业份额，因此该有限合伙企业属于本公司控制的结构化主体，纳入合并范围。</w:t>
      </w:r>
    </w:p>
    <w:p>
      <w:pPr>
        <w:pStyle w:val="Style33"/>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日，本公司与广州南粤产业投资基金管理有限公司（以下简称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广州南粤</w:t>
      </w:r>
      <w:r>
        <w:rPr>
          <w:rFonts w:ascii="Times New Roman" w:eastAsia="Times New Roman" w:hAnsi="Times New Roman" w:cs="Times New Roman"/>
          <w:color w:val="000000"/>
          <w:spacing w:val="0"/>
          <w:w w:val="100"/>
          <w:position w:val="0"/>
        </w:rPr>
        <w:t>”</w:t>
      </w:r>
      <w:r>
        <w:rPr>
          <w:color w:val="000000"/>
          <w:spacing w:val="0"/>
          <w:w w:val="100"/>
          <w:position w:val="0"/>
        </w:rPr>
        <w:t>）、长城新盛信 托有限责任公司（以下简称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长城新盛信托</w:t>
      </w:r>
      <w:r>
        <w:rPr>
          <w:rFonts w:ascii="Times New Roman" w:eastAsia="Times New Roman" w:hAnsi="Times New Roman" w:cs="Times New Roman"/>
          <w:color w:val="000000"/>
          <w:spacing w:val="0"/>
          <w:w w:val="100"/>
          <w:position w:val="0"/>
        </w:rPr>
        <w:t>”</w:t>
      </w:r>
      <w:r>
        <w:rPr>
          <w:color w:val="000000"/>
          <w:spacing w:val="0"/>
          <w:w w:val="100"/>
          <w:position w:val="0"/>
        </w:rPr>
        <w:t>）共同设立广州南粤趋势创新投资中心（有限合伙）（以下简 称</w:t>
      </w:r>
      <w:r>
        <w:rPr>
          <w:rFonts w:ascii="Times New Roman" w:eastAsia="Times New Roman" w:hAnsi="Times New Roman" w:cs="Times New Roman"/>
          <w:color w:val="000000"/>
          <w:spacing w:val="0"/>
          <w:w w:val="100"/>
          <w:position w:val="0"/>
        </w:rPr>
        <w:t>“</w:t>
      </w:r>
      <w:r>
        <w:rPr>
          <w:color w:val="000000"/>
          <w:spacing w:val="0"/>
          <w:w w:val="100"/>
          <w:position w:val="0"/>
        </w:rPr>
        <w:t>广州南粤投资有限合伙</w:t>
      </w:r>
      <w:r>
        <w:rPr>
          <w:rFonts w:ascii="Times New Roman" w:eastAsia="Times New Roman" w:hAnsi="Times New Roman" w:cs="Times New Roman"/>
          <w:color w:val="000000"/>
          <w:spacing w:val="0"/>
          <w:w w:val="100"/>
          <w:position w:val="0"/>
        </w:rPr>
        <w:t>”</w:t>
      </w:r>
      <w:r>
        <w:rPr>
          <w:color w:val="000000"/>
          <w:spacing w:val="0"/>
          <w:w w:val="100"/>
          <w:position w:val="0"/>
        </w:rPr>
        <w:t>）。广州南粤作为普通合伙人出资</w:t>
      </w:r>
      <w:r>
        <w:rPr>
          <w:rFonts w:ascii="Times New Roman" w:eastAsia="Times New Roman" w:hAnsi="Times New Roman" w:cs="Times New Roman"/>
          <w:color w:val="000000"/>
          <w:spacing w:val="0"/>
          <w:w w:val="100"/>
          <w:position w:val="0"/>
        </w:rPr>
        <w:t>1</w:t>
      </w:r>
      <w:r>
        <w:rPr>
          <w:color w:val="000000"/>
          <w:spacing w:val="0"/>
          <w:w w:val="100"/>
          <w:position w:val="0"/>
        </w:rPr>
        <w:t>万元，长城新盛信托为优先级有限合伙人出 资</w:t>
      </w:r>
      <w:r>
        <w:rPr>
          <w:rFonts w:ascii="Times New Roman" w:eastAsia="Times New Roman" w:hAnsi="Times New Roman" w:cs="Times New Roman"/>
          <w:color w:val="000000"/>
          <w:spacing w:val="0"/>
          <w:w w:val="100"/>
          <w:position w:val="0"/>
        </w:rPr>
        <w:t>4.95</w:t>
      </w:r>
      <w:r>
        <w:rPr>
          <w:color w:val="000000"/>
          <w:spacing w:val="0"/>
          <w:w w:val="100"/>
          <w:position w:val="0"/>
        </w:rPr>
        <w:t>亿元，本公司作为劣后级有限合伙人出资</w:t>
      </w:r>
      <w:r>
        <w:rPr>
          <w:rFonts w:ascii="Times New Roman" w:eastAsia="Times New Roman" w:hAnsi="Times New Roman" w:cs="Times New Roman"/>
          <w:color w:val="000000"/>
          <w:spacing w:val="0"/>
          <w:w w:val="100"/>
          <w:position w:val="0"/>
        </w:rPr>
        <w:t>2</w:t>
      </w:r>
      <w:r>
        <w:rPr>
          <w:color w:val="000000"/>
          <w:spacing w:val="0"/>
          <w:w w:val="100"/>
          <w:position w:val="0"/>
        </w:rPr>
        <w:t>亿元。合伙企业成立后，本公司向其融资人民币</w:t>
      </w:r>
      <w:r>
        <w:rPr>
          <w:rFonts w:ascii="Times New Roman" w:eastAsia="Times New Roman" w:hAnsi="Times New Roman" w:cs="Times New Roman"/>
          <w:color w:val="000000"/>
          <w:spacing w:val="0"/>
          <w:w w:val="100"/>
          <w:position w:val="0"/>
        </w:rPr>
        <w:t>6.95</w:t>
      </w:r>
      <w:r>
        <w:rPr>
          <w:color w:val="000000"/>
          <w:spacing w:val="0"/>
          <w:w w:val="100"/>
          <w:position w:val="0"/>
        </w:rPr>
        <w:t>亿元， 由于优先级有限合伙人享有本金及利息优先受偿权，因此该有限合伙企业属于本公司控制的结构化主体， 纳入合并范围。</w:t>
      </w:r>
    </w:p>
    <w:p>
      <w:pPr>
        <w:pStyle w:val="Style33"/>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日，本公司全子资公司东旭新能源投资有限公司向中信信托有限责任公司的</w:t>
      </w:r>
      <w:r>
        <w:rPr>
          <w:rFonts w:ascii="Times New Roman" w:eastAsia="Times New Roman" w:hAnsi="Times New Roman" w:cs="Times New Roman"/>
          <w:color w:val="000000"/>
          <w:spacing w:val="0"/>
          <w:w w:val="100"/>
          <w:position w:val="0"/>
        </w:rPr>
        <w:t>“</w:t>
      </w:r>
      <w:r>
        <w:rPr>
          <w:color w:val="000000"/>
          <w:spacing w:val="0"/>
          <w:w w:val="100"/>
          <w:position w:val="0"/>
        </w:rPr>
        <w:t>信金东旭二 期新能源投资基金''融资</w:t>
      </w:r>
      <w:r>
        <w:rPr>
          <w:rFonts w:ascii="Times New Roman" w:eastAsia="Times New Roman" w:hAnsi="Times New Roman" w:cs="Times New Roman"/>
          <w:color w:val="000000"/>
          <w:spacing w:val="0"/>
          <w:w w:val="100"/>
          <w:position w:val="0"/>
        </w:rPr>
        <w:t>7.5</w:t>
      </w:r>
      <w:r>
        <w:rPr>
          <w:color w:val="000000"/>
          <w:spacing w:val="0"/>
          <w:w w:val="100"/>
          <w:position w:val="0"/>
        </w:rPr>
        <w:t>亿元信托资金。基金计划由本公司的控股股东东旭集团有限公司作为保证人， 本公司作为基金计划的次级委托人，出资</w:t>
      </w:r>
      <w:r>
        <w:rPr>
          <w:rFonts w:ascii="Times New Roman" w:eastAsia="Times New Roman" w:hAnsi="Times New Roman" w:cs="Times New Roman"/>
          <w:color w:val="000000"/>
          <w:spacing w:val="0"/>
          <w:w w:val="100"/>
          <w:position w:val="0"/>
        </w:rPr>
        <w:t>2.5</w:t>
      </w:r>
      <w:r>
        <w:rPr>
          <w:color w:val="000000"/>
          <w:spacing w:val="0"/>
          <w:w w:val="100"/>
          <w:position w:val="0"/>
        </w:rPr>
        <w:t>亿认购次级收益权，并约定公司按相关协议约定条件受让中信 信托有限公司持有的合伙企业份额。因此该信托计划属于本公司控制的结构化主体，纳入合并范围。</w:t>
      </w:r>
    </w:p>
    <w:p>
      <w:pPr>
        <w:pStyle w:val="Style33"/>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日，本公司与中国信达资产管理股份有限公司（以下简称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中国信达</w:t>
      </w:r>
      <w:r>
        <w:rPr>
          <w:rFonts w:ascii="Times New Roman" w:eastAsia="Times New Roman" w:hAnsi="Times New Roman" w:cs="Times New Roman"/>
          <w:color w:val="000000"/>
          <w:spacing w:val="0"/>
          <w:w w:val="100"/>
          <w:position w:val="0"/>
        </w:rPr>
        <w:t>”</w:t>
      </w:r>
      <w:r>
        <w:rPr>
          <w:color w:val="000000"/>
          <w:spacing w:val="0"/>
          <w:w w:val="100"/>
          <w:position w:val="0"/>
        </w:rPr>
        <w:t>）、信达资本管理有 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信达资本</w:t>
      </w:r>
      <w:r>
        <w:rPr>
          <w:rFonts w:ascii="Times New Roman" w:eastAsia="Times New Roman" w:hAnsi="Times New Roman" w:cs="Times New Roman"/>
          <w:color w:val="000000"/>
          <w:spacing w:val="0"/>
          <w:w w:val="100"/>
          <w:position w:val="0"/>
        </w:rPr>
        <w:t>”</w:t>
      </w:r>
      <w:r>
        <w:rPr>
          <w:color w:val="000000"/>
          <w:spacing w:val="0"/>
          <w:w w:val="100"/>
          <w:position w:val="0"/>
        </w:rPr>
        <w:t>）共同投资设立宁波梅山保税港区东信旭新能源投资合伙企业（有限合伙） （以下简称</w:t>
      </w:r>
      <w:r>
        <w:rPr>
          <w:rFonts w:ascii="Times New Roman" w:eastAsia="Times New Roman" w:hAnsi="Times New Roman" w:cs="Times New Roman"/>
          <w:color w:val="000000"/>
          <w:spacing w:val="0"/>
          <w:w w:val="100"/>
          <w:position w:val="0"/>
        </w:rPr>
        <w:t>“</w:t>
      </w:r>
      <w:r>
        <w:rPr>
          <w:color w:val="000000"/>
          <w:spacing w:val="0"/>
          <w:w w:val="100"/>
          <w:position w:val="0"/>
        </w:rPr>
        <w:t>宁波东信旭新能源合伙</w:t>
      </w:r>
      <w:r>
        <w:rPr>
          <w:rFonts w:ascii="Times New Roman" w:eastAsia="Times New Roman" w:hAnsi="Times New Roman" w:cs="Times New Roman"/>
          <w:color w:val="000000"/>
          <w:spacing w:val="0"/>
          <w:w w:val="100"/>
          <w:position w:val="0"/>
        </w:rPr>
        <w:t>”</w:t>
      </w:r>
      <w:r>
        <w:rPr>
          <w:color w:val="000000"/>
          <w:spacing w:val="0"/>
          <w:w w:val="100"/>
          <w:position w:val="0"/>
        </w:rPr>
        <w:t>）。信达资本作为普通合伙人出资</w:t>
      </w:r>
      <w:r>
        <w:rPr>
          <w:rFonts w:ascii="Times New Roman" w:eastAsia="Times New Roman" w:hAnsi="Times New Roman" w:cs="Times New Roman"/>
          <w:color w:val="000000"/>
          <w:spacing w:val="0"/>
          <w:w w:val="100"/>
          <w:position w:val="0"/>
        </w:rPr>
        <w:t>100</w:t>
      </w:r>
      <w:r>
        <w:rPr>
          <w:color w:val="000000"/>
          <w:spacing w:val="0"/>
          <w:w w:val="100"/>
          <w:position w:val="0"/>
        </w:rPr>
        <w:t>万元，中国信达作为作为有限 合伙人</w:t>
      </w:r>
      <w:r>
        <w:rPr>
          <w:rFonts w:ascii="Times New Roman" w:eastAsia="Times New Roman" w:hAnsi="Times New Roman" w:cs="Times New Roman"/>
          <w:color w:val="000000"/>
          <w:spacing w:val="0"/>
          <w:w w:val="100"/>
          <w:position w:val="0"/>
        </w:rPr>
        <w:t>A</w:t>
      </w:r>
      <w:r>
        <w:rPr>
          <w:color w:val="000000"/>
          <w:spacing w:val="0"/>
          <w:w w:val="100"/>
          <w:position w:val="0"/>
        </w:rPr>
        <w:t>类资金认缴出资人认缴</w:t>
      </w:r>
      <w:r>
        <w:rPr>
          <w:rFonts w:ascii="Times New Roman" w:eastAsia="Times New Roman" w:hAnsi="Times New Roman" w:cs="Times New Roman"/>
          <w:color w:val="000000"/>
          <w:spacing w:val="0"/>
          <w:w w:val="100"/>
          <w:position w:val="0"/>
        </w:rPr>
        <w:t>8.8</w:t>
      </w:r>
      <w:r>
        <w:rPr>
          <w:color w:val="000000"/>
          <w:spacing w:val="0"/>
          <w:w w:val="100"/>
          <w:position w:val="0"/>
        </w:rPr>
        <w:t>亿元，作为</w:t>
      </w:r>
      <w:r>
        <w:rPr>
          <w:rFonts w:ascii="Times New Roman" w:eastAsia="Times New Roman" w:hAnsi="Times New Roman" w:cs="Times New Roman"/>
          <w:color w:val="000000"/>
          <w:spacing w:val="0"/>
          <w:w w:val="100"/>
          <w:position w:val="0"/>
        </w:rPr>
        <w:t>B</w:t>
      </w:r>
      <w:r>
        <w:rPr>
          <w:color w:val="000000"/>
          <w:spacing w:val="0"/>
          <w:w w:val="100"/>
          <w:position w:val="0"/>
        </w:rPr>
        <w:t>类资金认缴出资人认缴</w:t>
      </w:r>
      <w:r>
        <w:rPr>
          <w:rFonts w:ascii="Times New Roman" w:eastAsia="Times New Roman" w:hAnsi="Times New Roman" w:cs="Times New Roman"/>
          <w:color w:val="000000"/>
          <w:spacing w:val="0"/>
          <w:w w:val="100"/>
          <w:position w:val="0"/>
        </w:rPr>
        <w:t>4.39</w:t>
      </w:r>
      <w:r>
        <w:rPr>
          <w:color w:val="000000"/>
          <w:spacing w:val="0"/>
          <w:w w:val="100"/>
          <w:position w:val="0"/>
        </w:rPr>
        <w:t>亿元，本公司作为有限合伙人</w:t>
      </w:r>
      <w:r>
        <w:rPr>
          <w:rFonts w:ascii="Times New Roman" w:eastAsia="Times New Roman" w:hAnsi="Times New Roman" w:cs="Times New Roman"/>
          <w:color w:val="000000"/>
          <w:spacing w:val="0"/>
          <w:w w:val="100"/>
          <w:position w:val="0"/>
        </w:rPr>
        <w:t xml:space="preserve">C </w:t>
      </w:r>
      <w:r>
        <w:rPr>
          <w:color w:val="000000"/>
          <w:spacing w:val="0"/>
          <w:w w:val="100"/>
          <w:position w:val="0"/>
        </w:rPr>
        <w:t>类资金认缴出资人认缴</w:t>
      </w:r>
      <w:r>
        <w:rPr>
          <w:rFonts w:ascii="Times New Roman" w:eastAsia="Times New Roman" w:hAnsi="Times New Roman" w:cs="Times New Roman"/>
          <w:color w:val="000000"/>
          <w:spacing w:val="0"/>
          <w:w w:val="100"/>
          <w:position w:val="0"/>
        </w:rPr>
        <w:t>4.4</w:t>
      </w:r>
      <w:r>
        <w:rPr>
          <w:color w:val="000000"/>
          <w:spacing w:val="0"/>
          <w:w w:val="100"/>
          <w:position w:val="0"/>
        </w:rPr>
        <w:t>亿元。合伙企业成立后，主要对己运营并产生现金流的新能源电站项目进行股权 投资。由于宁波东信旭新能源合伙收益按照</w:t>
      </w:r>
      <w:r>
        <w:rPr>
          <w:rFonts w:ascii="Times New Roman" w:eastAsia="Times New Roman" w:hAnsi="Times New Roman" w:cs="Times New Roman"/>
          <w:color w:val="000000"/>
          <w:spacing w:val="0"/>
          <w:w w:val="100"/>
          <w:position w:val="0"/>
        </w:rPr>
        <w:t>A</w:t>
      </w:r>
      <w:r>
        <w:rPr>
          <w:color w:val="000000"/>
          <w:spacing w:val="0"/>
          <w:w w:val="100"/>
          <w:position w:val="0"/>
        </w:rPr>
        <w:t>类资金认缴出资人、</w:t>
      </w:r>
      <w:r>
        <w:rPr>
          <w:rFonts w:ascii="Times New Roman" w:eastAsia="Times New Roman" w:hAnsi="Times New Roman" w:cs="Times New Roman"/>
          <w:color w:val="000000"/>
          <w:spacing w:val="0"/>
          <w:w w:val="100"/>
          <w:position w:val="0"/>
        </w:rPr>
        <w:t>B</w:t>
      </w:r>
      <w:r>
        <w:rPr>
          <w:color w:val="000000"/>
          <w:spacing w:val="0"/>
          <w:w w:val="100"/>
          <w:position w:val="0"/>
        </w:rPr>
        <w:t>类资金认缴出资人、</w:t>
      </w:r>
      <w:r>
        <w:rPr>
          <w:rFonts w:ascii="Times New Roman" w:eastAsia="Times New Roman" w:hAnsi="Times New Roman" w:cs="Times New Roman"/>
          <w:color w:val="000000"/>
          <w:spacing w:val="0"/>
          <w:w w:val="100"/>
          <w:position w:val="0"/>
        </w:rPr>
        <w:t>C</w:t>
      </w:r>
      <w:r>
        <w:rPr>
          <w:color w:val="000000"/>
          <w:spacing w:val="0"/>
          <w:w w:val="100"/>
          <w:position w:val="0"/>
        </w:rPr>
        <w:t>类资金认缴出资 人顺序分配，且本公司承诺以收购宁波东信旭新能源合伙持有的项目公司股权的方式，使中国信达、信达 资本的投资得以退出，因此该有限合伙企业属于本公司控制的结构化主体，纳入合并范围。</w:t>
      </w:r>
    </w:p>
    <w:p>
      <w:pPr>
        <w:pStyle w:val="Style33"/>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日，本公司与宁波鼎杭投资管理有限公司（以下简称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宁波鼎杭</w:t>
      </w:r>
      <w:r>
        <w:rPr>
          <w:rFonts w:ascii="Times New Roman" w:eastAsia="Times New Roman" w:hAnsi="Times New Roman" w:cs="Times New Roman"/>
          <w:color w:val="000000"/>
          <w:spacing w:val="0"/>
          <w:w w:val="100"/>
          <w:position w:val="0"/>
        </w:rPr>
        <w:t>”</w:t>
      </w:r>
      <w:r>
        <w:rPr>
          <w:color w:val="000000"/>
          <w:spacing w:val="0"/>
          <w:w w:val="100"/>
          <w:position w:val="0"/>
        </w:rPr>
        <w:t>）、天津信托有限责任公 司（以下简称</w:t>
      </w:r>
      <w:r>
        <w:rPr>
          <w:rFonts w:ascii="Times New Roman" w:eastAsia="Times New Roman" w:hAnsi="Times New Roman" w:cs="Times New Roman"/>
          <w:color w:val="000000"/>
          <w:spacing w:val="0"/>
          <w:w w:val="100"/>
          <w:position w:val="0"/>
        </w:rPr>
        <w:t>“</w:t>
      </w:r>
      <w:r>
        <w:rPr>
          <w:color w:val="000000"/>
          <w:spacing w:val="0"/>
          <w:w w:val="100"/>
          <w:position w:val="0"/>
        </w:rPr>
        <w:t>天津信托</w:t>
      </w:r>
      <w:r>
        <w:rPr>
          <w:rFonts w:ascii="Times New Roman" w:eastAsia="Times New Roman" w:hAnsi="Times New Roman" w:cs="Times New Roman"/>
          <w:color w:val="000000"/>
          <w:spacing w:val="0"/>
          <w:w w:val="100"/>
          <w:position w:val="0"/>
        </w:rPr>
        <w:t>”</w:t>
      </w:r>
      <w:r>
        <w:rPr>
          <w:color w:val="000000"/>
          <w:spacing w:val="0"/>
          <w:w w:val="100"/>
          <w:position w:val="0"/>
        </w:rPr>
        <w:t>）共同投资设立杭州旭海鼎杭投资管理合伙企业（有限合伙）（以下简称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杭州 旭海合伙</w:t>
      </w:r>
      <w:r>
        <w:rPr>
          <w:rFonts w:ascii="Times New Roman" w:eastAsia="Times New Roman" w:hAnsi="Times New Roman" w:cs="Times New Roman"/>
          <w:color w:val="000000"/>
          <w:spacing w:val="0"/>
          <w:w w:val="100"/>
          <w:position w:val="0"/>
        </w:rPr>
        <w:t>”</w:t>
      </w:r>
      <w:r>
        <w:rPr>
          <w:color w:val="000000"/>
          <w:spacing w:val="0"/>
          <w:w w:val="100"/>
          <w:position w:val="0"/>
        </w:rPr>
        <w:t>）。宁波鼎杭作为普通合伙人出资</w:t>
      </w:r>
      <w:r>
        <w:rPr>
          <w:rFonts w:ascii="Times New Roman" w:eastAsia="Times New Roman" w:hAnsi="Times New Roman" w:cs="Times New Roman"/>
          <w:color w:val="000000"/>
          <w:spacing w:val="0"/>
          <w:w w:val="100"/>
          <w:position w:val="0"/>
        </w:rPr>
        <w:t>100</w:t>
      </w:r>
      <w:r>
        <w:rPr>
          <w:color w:val="000000"/>
          <w:spacing w:val="0"/>
          <w:w w:val="100"/>
          <w:position w:val="0"/>
        </w:rPr>
        <w:t>万元，天津信托作为优先级有限合伙人出资</w:t>
      </w:r>
      <w:r>
        <w:rPr>
          <w:rFonts w:ascii="Times New Roman" w:eastAsia="Times New Roman" w:hAnsi="Times New Roman" w:cs="Times New Roman"/>
          <w:color w:val="000000"/>
          <w:spacing w:val="0"/>
          <w:w w:val="100"/>
          <w:position w:val="0"/>
        </w:rPr>
        <w:t>10</w:t>
      </w:r>
      <w:r>
        <w:rPr>
          <w:color w:val="000000"/>
          <w:spacing w:val="0"/>
          <w:w w:val="100"/>
          <w:position w:val="0"/>
        </w:rPr>
        <w:t>亿元，本 公司作为劣后级有限合伙人出资</w:t>
      </w:r>
      <w:r>
        <w:rPr>
          <w:rFonts w:ascii="Times New Roman" w:eastAsia="Times New Roman" w:hAnsi="Times New Roman" w:cs="Times New Roman"/>
          <w:color w:val="000000"/>
          <w:spacing w:val="0"/>
          <w:w w:val="100"/>
          <w:position w:val="0"/>
        </w:rPr>
        <w:t>5</w:t>
      </w:r>
      <w:r>
        <w:rPr>
          <w:color w:val="000000"/>
          <w:spacing w:val="0"/>
          <w:w w:val="100"/>
          <w:position w:val="0"/>
        </w:rPr>
        <w:t>亿元。合伙企业成立后，公司全资子公司东旭新能源投资有限公司向其 融资人民币</w:t>
      </w:r>
      <w:r>
        <w:rPr>
          <w:rFonts w:ascii="Times New Roman" w:eastAsia="Times New Roman" w:hAnsi="Times New Roman" w:cs="Times New Roman"/>
          <w:color w:val="000000"/>
          <w:spacing w:val="0"/>
          <w:w w:val="100"/>
          <w:position w:val="0"/>
        </w:rPr>
        <w:t>15</w:t>
      </w:r>
      <w:r>
        <w:rPr>
          <w:color w:val="000000"/>
          <w:spacing w:val="0"/>
          <w:w w:val="100"/>
          <w:position w:val="0"/>
        </w:rPr>
        <w:t>亿元，由于在天津信托投资期内合伙企业若不能按时足额分配天津信托投资预期收益等情形 下，公司需按相关协议约定条件受让天津信托持有的合伙企业份额，因此该有限合伙企业属于本公司控制 的结构化主体，纳入合并范围。</w:t>
      </w:r>
    </w:p>
    <w:p>
      <w:pPr>
        <w:pStyle w:val="Style22"/>
        <w:keepNext/>
        <w:keepLines/>
        <w:widowControl w:val="0"/>
        <w:shd w:val="clear" w:color="auto" w:fill="auto"/>
        <w:bidi w:val="0"/>
        <w:spacing w:before="0" w:after="20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rPr>
        <w:t>九</w:t>
      </w:r>
      <w:bookmarkEnd w:id="256"/>
      <w:r>
        <w:rPr>
          <w:color w:val="000000"/>
          <w:spacing w:val="0"/>
          <w:w w:val="100"/>
          <w:position w:val="0"/>
        </w:rPr>
        <w:t>、公司未来发展的展望</w:t>
      </w:r>
      <w:bookmarkEnd w:id="254"/>
      <w:bookmarkEnd w:id="255"/>
      <w:bookmarkEnd w:id="257"/>
    </w:p>
    <w:p>
      <w:pPr>
        <w:pStyle w:val="Style33"/>
        <w:keepNext w:val="0"/>
        <w:keepLines w:val="0"/>
        <w:widowControl w:val="0"/>
        <w:shd w:val="clear" w:color="auto" w:fill="auto"/>
        <w:tabs>
          <w:tab w:pos="1034" w:val="left"/>
        </w:tabs>
        <w:bidi w:val="0"/>
        <w:spacing w:before="0" w:after="0" w:line="471" w:lineRule="exact"/>
        <w:ind w:left="0" w:right="0" w:firstLine="440"/>
        <w:jc w:val="both"/>
      </w:pPr>
      <w:bookmarkStart w:id="258" w:name="bookmark258"/>
      <w:r>
        <w:rPr>
          <w:color w:val="000000"/>
          <w:spacing w:val="0"/>
          <w:w w:val="100"/>
          <w:position w:val="0"/>
        </w:rPr>
        <w:t>（</w:t>
      </w:r>
      <w:bookmarkEnd w:id="258"/>
      <w:r>
        <w:rPr>
          <w:color w:val="000000"/>
          <w:spacing w:val="0"/>
          <w:w w:val="100"/>
          <w:position w:val="0"/>
        </w:rPr>
        <w:t>一）</w:t>
        <w:tab/>
        <w:t>行业格局及趋势</w:t>
      </w:r>
    </w:p>
    <w:p>
      <w:pPr>
        <w:pStyle w:val="Style33"/>
        <w:keepNext w:val="0"/>
        <w:keepLines w:val="0"/>
        <w:widowControl w:val="0"/>
        <w:shd w:val="clear" w:color="auto" w:fill="auto"/>
        <w:bidi w:val="0"/>
        <w:spacing w:before="0" w:after="0" w:line="471" w:lineRule="exact"/>
        <w:ind w:left="0" w:right="0" w:firstLine="440"/>
        <w:jc w:val="left"/>
      </w:pPr>
      <w:r>
        <w:rPr>
          <w:color w:val="000000"/>
          <w:spacing w:val="0"/>
          <w:w w:val="100"/>
          <w:position w:val="0"/>
        </w:rPr>
        <w:t>详细内容请参见本报告第三节</w:t>
      </w:r>
      <w:r>
        <w:rPr>
          <w:rFonts w:ascii="Times New Roman" w:eastAsia="Times New Roman" w:hAnsi="Times New Roman" w:cs="Times New Roman"/>
          <w:color w:val="000000"/>
          <w:spacing w:val="0"/>
          <w:w w:val="100"/>
          <w:position w:val="0"/>
        </w:rPr>
        <w:t>“</w:t>
      </w:r>
      <w:r>
        <w:rPr>
          <w:color w:val="000000"/>
          <w:spacing w:val="0"/>
          <w:w w:val="100"/>
          <w:position w:val="0"/>
        </w:rPr>
        <w:t>公司业务概要</w:t>
      </w:r>
      <w:r>
        <w:rPr>
          <w:rFonts w:ascii="Times New Roman" w:eastAsia="Times New Roman" w:hAnsi="Times New Roman" w:cs="Times New Roman"/>
          <w:color w:val="000000"/>
          <w:spacing w:val="0"/>
          <w:w w:val="100"/>
          <w:position w:val="0"/>
        </w:rPr>
        <w:t>-</w:t>
      </w:r>
      <w:r>
        <w:rPr>
          <w:color w:val="000000"/>
          <w:spacing w:val="0"/>
          <w:w w:val="100"/>
          <w:position w:val="0"/>
        </w:rPr>
        <w:t>公司所处的行业宏观形势、政策等情况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val="0"/>
        <w:keepLines w:val="0"/>
        <w:widowControl w:val="0"/>
        <w:shd w:val="clear" w:color="auto" w:fill="auto"/>
        <w:tabs>
          <w:tab w:pos="1034" w:val="left"/>
        </w:tabs>
        <w:bidi w:val="0"/>
        <w:spacing w:before="0" w:after="0" w:line="471" w:lineRule="exact"/>
        <w:ind w:left="0" w:right="0" w:firstLine="440"/>
        <w:jc w:val="left"/>
      </w:pPr>
      <w:bookmarkStart w:id="259" w:name="bookmark259"/>
      <w:r>
        <w:rPr>
          <w:color w:val="000000"/>
          <w:spacing w:val="0"/>
          <w:w w:val="100"/>
          <w:position w:val="0"/>
        </w:rPr>
        <w:t>（</w:t>
      </w:r>
      <w:bookmarkEnd w:id="259"/>
      <w:r>
        <w:rPr>
          <w:color w:val="000000"/>
          <w:spacing w:val="0"/>
          <w:w w:val="100"/>
          <w:position w:val="0"/>
        </w:rPr>
        <w:t>二）</w:t>
        <w:tab/>
        <w:t>公司未来发展战略</w:t>
      </w:r>
    </w:p>
    <w:p>
      <w:pPr>
        <w:pStyle w:val="Style33"/>
        <w:keepNext w:val="0"/>
        <w:keepLines w:val="0"/>
        <w:widowControl w:val="0"/>
        <w:shd w:val="clear" w:color="auto" w:fill="auto"/>
        <w:tabs>
          <w:tab w:pos="794" w:val="left"/>
        </w:tabs>
        <w:bidi w:val="0"/>
        <w:spacing w:before="0" w:after="0" w:line="471" w:lineRule="exact"/>
        <w:ind w:left="0" w:right="0" w:firstLine="440"/>
        <w:jc w:val="left"/>
      </w:pPr>
      <w:bookmarkStart w:id="260" w:name="bookmark260"/>
      <w:r>
        <w:rPr>
          <w:rFonts w:ascii="Times New Roman" w:eastAsia="Times New Roman" w:hAnsi="Times New Roman" w:cs="Times New Roman"/>
          <w:color w:val="000000"/>
          <w:spacing w:val="0"/>
          <w:w w:val="100"/>
          <w:position w:val="0"/>
        </w:rPr>
        <w:t>1</w:t>
      </w:r>
      <w:bookmarkEnd w:id="260"/>
      <w:r>
        <w:rPr>
          <w:color w:val="000000"/>
          <w:spacing w:val="0"/>
          <w:w w:val="100"/>
          <w:position w:val="0"/>
        </w:rPr>
        <w:t>、</w:t>
        <w:tab/>
        <w:t>加强新能源项目开发和系统集成能力，拓展智慧能源服务领域</w:t>
      </w:r>
    </w:p>
    <w:p>
      <w:pPr>
        <w:pStyle w:val="Style33"/>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在</w:t>
      </w:r>
      <w:r>
        <w:rPr>
          <w:rFonts w:ascii="Times New Roman" w:eastAsia="Times New Roman" w:hAnsi="Times New Roman" w:cs="Times New Roman"/>
          <w:color w:val="000000"/>
          <w:spacing w:val="0"/>
          <w:w w:val="100"/>
          <w:position w:val="0"/>
        </w:rPr>
        <w:t>2019-202</w:t>
      </w:r>
      <w:r>
        <w:rPr>
          <w:rFonts w:ascii="Times New Roman" w:eastAsia="Times New Roman" w:hAnsi="Times New Roman" w:cs="Times New Roman"/>
          <w:color w:val="000000"/>
          <w:spacing w:val="0"/>
          <w:w w:val="100"/>
          <w:position w:val="0"/>
        </w:rPr>
        <w:t>1</w:t>
      </w:r>
      <w:r>
        <w:rPr>
          <w:color w:val="000000"/>
          <w:spacing w:val="0"/>
          <w:w w:val="100"/>
          <w:position w:val="0"/>
        </w:rPr>
        <w:t>年行业平价上网过渡期，按照国家能源局《</w:t>
      </w:r>
      <w:r>
        <w:rPr>
          <w:rFonts w:ascii="Times New Roman" w:eastAsia="Times New Roman" w:hAnsi="Times New Roman" w:cs="Times New Roman"/>
          <w:color w:val="000000"/>
          <w:spacing w:val="0"/>
          <w:w w:val="100"/>
          <w:position w:val="0"/>
        </w:rPr>
        <w:t>2019</w:t>
      </w:r>
      <w:r>
        <w:rPr>
          <w:color w:val="000000"/>
          <w:spacing w:val="0"/>
          <w:w w:val="100"/>
          <w:position w:val="0"/>
        </w:rPr>
        <w:t>年风电、光伏发电建设管理有关要求》， 聚焦平价光伏、风电项目开发，储备优质项目资源。加大优质新能源电站投资，进一步做实资产。在工程 建设方面，继续加强队伍管理，全面实施项目统一规范形象展示，强化公司品牌。公司将认真研判能源互 联网产业发展形势，发挥自身在光伏发电、风电、智能微电网、增量配电网以及综合能源服务方面所积累 的人才、管理经验、项目开发渠道优势，积极参与泛在电力物联网及能源互联网产业的建设。</w:t>
      </w:r>
    </w:p>
    <w:p>
      <w:pPr>
        <w:pStyle w:val="Style33"/>
        <w:keepNext w:val="0"/>
        <w:keepLines w:val="0"/>
        <w:widowControl w:val="0"/>
        <w:shd w:val="clear" w:color="auto" w:fill="auto"/>
        <w:tabs>
          <w:tab w:pos="813" w:val="left"/>
        </w:tabs>
        <w:bidi w:val="0"/>
        <w:spacing w:before="0" w:after="0" w:line="471" w:lineRule="exact"/>
        <w:ind w:left="0" w:right="0" w:firstLine="440"/>
        <w:jc w:val="left"/>
      </w:pPr>
      <w:bookmarkStart w:id="261" w:name="bookmark261"/>
      <w:r>
        <w:rPr>
          <w:rFonts w:ascii="Times New Roman" w:eastAsia="Times New Roman" w:hAnsi="Times New Roman" w:cs="Times New Roman"/>
          <w:color w:val="000000"/>
          <w:spacing w:val="0"/>
          <w:w w:val="100"/>
          <w:position w:val="0"/>
        </w:rPr>
        <w:t>2</w:t>
      </w:r>
      <w:bookmarkEnd w:id="261"/>
      <w:r>
        <w:rPr>
          <w:color w:val="000000"/>
          <w:spacing w:val="0"/>
          <w:w w:val="100"/>
          <w:position w:val="0"/>
        </w:rPr>
        <w:t>、</w:t>
        <w:tab/>
        <w:t>快速开拓生态环保业务市场，抢占战略机遇</w:t>
      </w:r>
    </w:p>
    <w:p>
      <w:pPr>
        <w:pStyle w:val="Style33"/>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公司将继续抓紧生态文明建设快速发展机遇，在生态治理、环境保护、美丽乡村等领域加快优质生态 环境治理项目的开发建设，加大生态环保项目的布局和产业链纵深的开拓，与产业链上下游增加互动合作 和资源整合，和业内伙伴一起，以开放共赢的心态，共筑绿色生态企业圈，保障业绩的快速增长。</w:t>
      </w:r>
    </w:p>
    <w:p>
      <w:pPr>
        <w:pStyle w:val="Style33"/>
        <w:keepNext w:val="0"/>
        <w:keepLines w:val="0"/>
        <w:widowControl w:val="0"/>
        <w:shd w:val="clear" w:color="auto" w:fill="auto"/>
        <w:tabs>
          <w:tab w:pos="813" w:val="left"/>
        </w:tabs>
        <w:bidi w:val="0"/>
        <w:spacing w:before="0" w:after="0" w:line="471" w:lineRule="exact"/>
        <w:ind w:left="0" w:right="0" w:firstLine="440"/>
        <w:jc w:val="left"/>
      </w:pPr>
      <w:bookmarkStart w:id="262" w:name="bookmark262"/>
      <w:r>
        <w:rPr>
          <w:rFonts w:ascii="Times New Roman" w:eastAsia="Times New Roman" w:hAnsi="Times New Roman" w:cs="Times New Roman"/>
          <w:color w:val="000000"/>
          <w:spacing w:val="0"/>
          <w:w w:val="100"/>
          <w:position w:val="0"/>
        </w:rPr>
        <w:t>3</w:t>
      </w:r>
      <w:bookmarkEnd w:id="262"/>
      <w:r>
        <w:rPr>
          <w:color w:val="000000"/>
          <w:spacing w:val="0"/>
          <w:w w:val="100"/>
          <w:position w:val="0"/>
        </w:rPr>
        <w:t>、</w:t>
        <w:tab/>
        <w:t>积极在产业链相关技术领域进行前瞻性布局</w:t>
      </w:r>
    </w:p>
    <w:p>
      <w:pPr>
        <w:pStyle w:val="Style33"/>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公司将围绕环保新能源综合服务产业链相关技术，积极进行前瞻性布局，提升公司核心竞争力和增长 动能。</w:t>
      </w:r>
    </w:p>
    <w:p>
      <w:pPr>
        <w:pStyle w:val="Style33"/>
        <w:keepNext w:val="0"/>
        <w:keepLines w:val="0"/>
        <w:widowControl w:val="0"/>
        <w:shd w:val="clear" w:color="auto" w:fill="auto"/>
        <w:tabs>
          <w:tab w:pos="1034" w:val="left"/>
        </w:tabs>
        <w:bidi w:val="0"/>
        <w:spacing w:before="0" w:after="0" w:line="471" w:lineRule="exact"/>
        <w:ind w:left="0" w:right="0" w:firstLine="440"/>
        <w:jc w:val="left"/>
      </w:pPr>
      <w:bookmarkStart w:id="263" w:name="bookmark263"/>
      <w:r>
        <w:rPr>
          <w:color w:val="000000"/>
          <w:spacing w:val="0"/>
          <w:w w:val="100"/>
          <w:position w:val="0"/>
        </w:rPr>
        <w:t>（</w:t>
      </w:r>
      <w:bookmarkEnd w:id="263"/>
      <w:r>
        <w:rPr>
          <w:color w:val="000000"/>
          <w:spacing w:val="0"/>
          <w:w w:val="100"/>
          <w:position w:val="0"/>
        </w:rPr>
        <w:t>三）</w:t>
        <w:tab/>
      </w:r>
      <w:r>
        <w:rPr>
          <w:rFonts w:ascii="Times New Roman" w:eastAsia="Times New Roman" w:hAnsi="Times New Roman" w:cs="Times New Roman"/>
          <w:color w:val="000000"/>
          <w:spacing w:val="0"/>
          <w:w w:val="100"/>
          <w:position w:val="0"/>
        </w:rPr>
        <w:t>2020</w:t>
      </w:r>
      <w:r>
        <w:rPr>
          <w:color w:val="000000"/>
          <w:spacing w:val="0"/>
          <w:w w:val="100"/>
          <w:position w:val="0"/>
        </w:rPr>
        <w:t>年工作重点</w:t>
      </w:r>
    </w:p>
    <w:p>
      <w:pPr>
        <w:pStyle w:val="Style33"/>
        <w:keepNext w:val="0"/>
        <w:keepLines w:val="0"/>
        <w:widowControl w:val="0"/>
        <w:shd w:val="clear" w:color="auto" w:fill="auto"/>
        <w:tabs>
          <w:tab w:pos="794" w:val="left"/>
        </w:tabs>
        <w:bidi w:val="0"/>
        <w:spacing w:before="0" w:after="0" w:line="471" w:lineRule="exact"/>
        <w:ind w:left="0" w:right="0" w:firstLine="440"/>
        <w:jc w:val="left"/>
      </w:pPr>
      <w:bookmarkStart w:id="264" w:name="bookmark264"/>
      <w:r>
        <w:rPr>
          <w:rFonts w:ascii="Times New Roman" w:eastAsia="Times New Roman" w:hAnsi="Times New Roman" w:cs="Times New Roman"/>
          <w:color w:val="000000"/>
          <w:spacing w:val="0"/>
          <w:w w:val="100"/>
          <w:position w:val="0"/>
        </w:rPr>
        <w:t>1</w:t>
      </w:r>
      <w:bookmarkEnd w:id="264"/>
      <w:r>
        <w:rPr>
          <w:color w:val="000000"/>
          <w:spacing w:val="0"/>
          <w:w w:val="100"/>
          <w:position w:val="0"/>
        </w:rPr>
        <w:t>、</w:t>
        <w:tab/>
        <w:t>进一步发挥新能源业务</w:t>
      </w:r>
      <w:r>
        <w:rPr>
          <w:rFonts w:ascii="Times New Roman" w:eastAsia="Times New Roman" w:hAnsi="Times New Roman" w:cs="Times New Roman"/>
          <w:color w:val="000000"/>
          <w:spacing w:val="0"/>
          <w:w w:val="100"/>
          <w:position w:val="0"/>
        </w:rPr>
        <w:t>“</w:t>
      </w:r>
      <w:r>
        <w:rPr>
          <w:color w:val="000000"/>
          <w:spacing w:val="0"/>
          <w:w w:val="100"/>
          <w:position w:val="0"/>
        </w:rPr>
        <w:t>压舱石</w:t>
      </w:r>
      <w:r>
        <w:rPr>
          <w:rFonts w:ascii="Times New Roman" w:eastAsia="Times New Roman" w:hAnsi="Times New Roman" w:cs="Times New Roman"/>
          <w:color w:val="000000"/>
          <w:spacing w:val="0"/>
          <w:w w:val="100"/>
          <w:position w:val="0"/>
        </w:rPr>
        <w:t>”</w:t>
      </w:r>
      <w:r>
        <w:rPr>
          <w:color w:val="000000"/>
          <w:spacing w:val="0"/>
          <w:w w:val="100"/>
          <w:position w:val="0"/>
        </w:rPr>
        <w:t>作用，继续提升资产运营能力</w:t>
      </w:r>
    </w:p>
    <w:p>
      <w:pPr>
        <w:pStyle w:val="Style33"/>
        <w:keepNext w:val="0"/>
        <w:keepLines w:val="0"/>
        <w:widowControl w:val="0"/>
        <w:shd w:val="clear" w:color="auto" w:fill="auto"/>
        <w:bidi w:val="0"/>
        <w:spacing w:before="0" w:after="0" w:line="471"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年，新能源行业全面迈入平价时代，行业前景光明但任务艰巨。公司将围绕经营目标，立足</w:t>
      </w:r>
      <w:r>
        <w:rPr>
          <w:rFonts w:ascii="Times New Roman" w:eastAsia="Times New Roman" w:hAnsi="Times New Roman" w:cs="Times New Roman"/>
          <w:color w:val="000000"/>
          <w:spacing w:val="0"/>
          <w:w w:val="100"/>
          <w:position w:val="0"/>
        </w:rPr>
        <w:t>“</w:t>
      </w:r>
      <w:r>
        <w:rPr>
          <w:color w:val="000000"/>
          <w:spacing w:val="0"/>
          <w:w w:val="100"/>
          <w:position w:val="0"/>
        </w:rPr>
        <w:t>利 润导向、现金为王</w:t>
      </w:r>
      <w:r>
        <w:rPr>
          <w:rFonts w:ascii="Times New Roman" w:eastAsia="Times New Roman" w:hAnsi="Times New Roman" w:cs="Times New Roman"/>
          <w:color w:val="000000"/>
          <w:spacing w:val="0"/>
          <w:w w:val="100"/>
          <w:position w:val="0"/>
        </w:rPr>
        <w:t>”</w:t>
      </w:r>
      <w:r>
        <w:rPr>
          <w:color w:val="000000"/>
          <w:spacing w:val="0"/>
          <w:w w:val="100"/>
          <w:position w:val="0"/>
        </w:rPr>
        <w:t>的理念，坚持结果导向，积极探索新的业务模式，加强对机遇的把握，对形势的分析 判断及系统思考，坚持以利润创造与现金流贡献为核心，敢于创新、敢于作为、多管齐下、多种方式布局 业务开展，拓宽收益获取渠道，实现以多元和灵活的路径获取合理回报的目标。继续开拓</w:t>
      </w:r>
      <w:r>
        <w:rPr>
          <w:rFonts w:ascii="Times New Roman" w:eastAsia="Times New Roman" w:hAnsi="Times New Roman" w:cs="Times New Roman"/>
          <w:color w:val="000000"/>
          <w:spacing w:val="0"/>
          <w:w w:val="100"/>
          <w:position w:val="0"/>
        </w:rPr>
        <w:t>“</w:t>
      </w:r>
      <w:r>
        <w:rPr>
          <w:color w:val="000000"/>
          <w:spacing w:val="0"/>
          <w:w w:val="100"/>
          <w:position w:val="0"/>
        </w:rPr>
        <w:t>工程管理服务 模式</w:t>
      </w:r>
      <w:r>
        <w:rPr>
          <w:rFonts w:ascii="Times New Roman" w:eastAsia="Times New Roman" w:hAnsi="Times New Roman" w:cs="Times New Roman"/>
          <w:color w:val="000000"/>
          <w:spacing w:val="0"/>
          <w:w w:val="100"/>
          <w:position w:val="0"/>
        </w:rPr>
        <w:t>''</w:t>
      </w:r>
      <w:r>
        <w:rPr>
          <w:color w:val="000000"/>
          <w:spacing w:val="0"/>
          <w:w w:val="100"/>
          <w:position w:val="0"/>
        </w:rPr>
        <w:t>，实现能力变现，获取服务收益。</w:t>
      </w:r>
    </w:p>
    <w:p>
      <w:pPr>
        <w:pStyle w:val="Style33"/>
        <w:keepNext w:val="0"/>
        <w:keepLines w:val="0"/>
        <w:widowControl w:val="0"/>
        <w:shd w:val="clear" w:color="auto" w:fill="auto"/>
        <w:tabs>
          <w:tab w:pos="813" w:val="left"/>
        </w:tabs>
        <w:bidi w:val="0"/>
        <w:spacing w:before="0" w:after="0" w:line="471" w:lineRule="exact"/>
        <w:ind w:left="0" w:right="0" w:firstLine="440"/>
        <w:jc w:val="both"/>
      </w:pPr>
      <w:bookmarkStart w:id="265" w:name="bookmark265"/>
      <w:r>
        <w:rPr>
          <w:rFonts w:ascii="Times New Roman" w:eastAsia="Times New Roman" w:hAnsi="Times New Roman" w:cs="Times New Roman"/>
          <w:color w:val="000000"/>
          <w:spacing w:val="0"/>
          <w:w w:val="100"/>
          <w:position w:val="0"/>
        </w:rPr>
        <w:t>2</w:t>
      </w:r>
      <w:bookmarkEnd w:id="265"/>
      <w:r>
        <w:rPr>
          <w:color w:val="000000"/>
          <w:spacing w:val="0"/>
          <w:w w:val="100"/>
          <w:position w:val="0"/>
        </w:rPr>
        <w:t>、</w:t>
        <w:tab/>
        <w:t>抓住成本底线，严控成本支出</w:t>
      </w:r>
    </w:p>
    <w:p>
      <w:pPr>
        <w:pStyle w:val="Style3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公司将加强对子公司的财务管控和风险控制，全面推进并优化经营管理的各项指标，加速各部门的效 益提升；优化债务结构，力争降低财务费用；匹配企业经营目标实现性进行岗位优化设置，提高运营效率， 降低人力资源成本。通过内部管理改进、工艺创新，效率提升、推动成本降低及中标率提升，加强前期客 户资信审查，控制合同风险。</w:t>
      </w:r>
    </w:p>
    <w:p>
      <w:pPr>
        <w:pStyle w:val="Style33"/>
        <w:keepNext w:val="0"/>
        <w:keepLines w:val="0"/>
        <w:widowControl w:val="0"/>
        <w:shd w:val="clear" w:color="auto" w:fill="auto"/>
        <w:tabs>
          <w:tab w:pos="792" w:val="left"/>
        </w:tabs>
        <w:bidi w:val="0"/>
        <w:spacing w:before="0" w:after="0" w:line="468" w:lineRule="exact"/>
        <w:ind w:left="0" w:right="0" w:firstLine="440"/>
        <w:jc w:val="both"/>
      </w:pPr>
      <w:bookmarkStart w:id="266" w:name="bookmark266"/>
      <w:r>
        <w:rPr>
          <w:rFonts w:ascii="Times New Roman" w:eastAsia="Times New Roman" w:hAnsi="Times New Roman" w:cs="Times New Roman"/>
          <w:color w:val="000000"/>
          <w:spacing w:val="0"/>
          <w:w w:val="100"/>
          <w:position w:val="0"/>
        </w:rPr>
        <w:t>3</w:t>
      </w:r>
      <w:bookmarkEnd w:id="266"/>
      <w:r>
        <w:rPr>
          <w:color w:val="000000"/>
          <w:spacing w:val="0"/>
          <w:w w:val="100"/>
          <w:position w:val="0"/>
        </w:rPr>
        <w:t>、</w:t>
        <w:tab/>
        <w:t>营销拓展工作寻求突破</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公司将进一步加强营销工作，激发营销团队活力。模式上寻求突破，打开边界，贯通合作渠道，创新 业务领域，积极储备现金流好、利润可控的优质项目。</w:t>
      </w:r>
    </w:p>
    <w:p>
      <w:pPr>
        <w:pStyle w:val="Style33"/>
        <w:keepNext w:val="0"/>
        <w:keepLines w:val="0"/>
        <w:widowControl w:val="0"/>
        <w:shd w:val="clear" w:color="auto" w:fill="auto"/>
        <w:tabs>
          <w:tab w:pos="792" w:val="left"/>
        </w:tabs>
        <w:bidi w:val="0"/>
        <w:spacing w:before="0" w:after="0" w:line="468" w:lineRule="exact"/>
        <w:ind w:left="0" w:right="0" w:firstLine="440"/>
        <w:jc w:val="both"/>
      </w:pPr>
      <w:bookmarkStart w:id="267" w:name="bookmark267"/>
      <w:r>
        <w:rPr>
          <w:rFonts w:ascii="Times New Roman" w:eastAsia="Times New Roman" w:hAnsi="Times New Roman" w:cs="Times New Roman"/>
          <w:color w:val="000000"/>
          <w:spacing w:val="0"/>
          <w:w w:val="100"/>
          <w:position w:val="0"/>
        </w:rPr>
        <w:t>4</w:t>
      </w:r>
      <w:bookmarkEnd w:id="267"/>
      <w:r>
        <w:rPr>
          <w:color w:val="000000"/>
          <w:spacing w:val="0"/>
          <w:w w:val="100"/>
          <w:position w:val="0"/>
        </w:rPr>
        <w:t>、</w:t>
        <w:tab/>
        <w:t>聚焦主业处置低效资产</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在国家政策的支持下，公司将继续立足主业，推动生态环保及新能源业务发展。与此同时，综合考虑 当前市场环境、金融环境及企业自身现状，公司拟处置部分前期己布局但开发难度大、资金投入高、不符 合公司目前战略定位的项目，改善公司资产结构。</w:t>
      </w:r>
    </w:p>
    <w:p>
      <w:pPr>
        <w:pStyle w:val="Style33"/>
        <w:keepNext w:val="0"/>
        <w:keepLines w:val="0"/>
        <w:widowControl w:val="0"/>
        <w:shd w:val="clear" w:color="auto" w:fill="auto"/>
        <w:tabs>
          <w:tab w:pos="787" w:val="left"/>
        </w:tabs>
        <w:bidi w:val="0"/>
        <w:spacing w:before="0" w:after="0" w:line="468" w:lineRule="exact"/>
        <w:ind w:left="0" w:right="0" w:firstLine="440"/>
        <w:jc w:val="both"/>
      </w:pPr>
      <w:bookmarkStart w:id="268" w:name="bookmark268"/>
      <w:r>
        <w:rPr>
          <w:rFonts w:ascii="Times New Roman" w:eastAsia="Times New Roman" w:hAnsi="Times New Roman" w:cs="Times New Roman"/>
          <w:color w:val="000000"/>
          <w:spacing w:val="0"/>
          <w:w w:val="100"/>
          <w:position w:val="0"/>
        </w:rPr>
        <w:t>5</w:t>
      </w:r>
      <w:bookmarkEnd w:id="268"/>
      <w:r>
        <w:rPr>
          <w:color w:val="000000"/>
          <w:spacing w:val="0"/>
          <w:w w:val="100"/>
          <w:position w:val="0"/>
        </w:rPr>
        <w:t>、</w:t>
        <w:tab/>
        <w:t>积极拓展新的融资渠道</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公司将继续加强与金融机构的深度沟通及合作，努力拓展新的融资渠道，稳步增加中长期贷款的比重， 改善债务结构。另外，还将进一步提高公司现金计划管理能力，科学匹配现金流入与支出的金额、期限， 保持合理的现金储备，以满足公司日常支出及偿债需要。</w:t>
      </w:r>
    </w:p>
    <w:p>
      <w:pPr>
        <w:pStyle w:val="Style33"/>
        <w:keepNext w:val="0"/>
        <w:keepLines w:val="0"/>
        <w:widowControl w:val="0"/>
        <w:shd w:val="clear" w:color="auto" w:fill="auto"/>
        <w:tabs>
          <w:tab w:pos="792" w:val="left"/>
        </w:tabs>
        <w:bidi w:val="0"/>
        <w:spacing w:before="0" w:after="0" w:line="468" w:lineRule="exact"/>
        <w:ind w:left="0" w:right="0" w:firstLine="440"/>
        <w:jc w:val="both"/>
      </w:pPr>
      <w:bookmarkStart w:id="269" w:name="bookmark269"/>
      <w:r>
        <w:rPr>
          <w:rFonts w:ascii="Times New Roman" w:eastAsia="Times New Roman" w:hAnsi="Times New Roman" w:cs="Times New Roman"/>
          <w:color w:val="000000"/>
          <w:spacing w:val="0"/>
          <w:w w:val="100"/>
          <w:position w:val="0"/>
        </w:rPr>
        <w:t>6</w:t>
      </w:r>
      <w:bookmarkEnd w:id="269"/>
      <w:r>
        <w:rPr>
          <w:color w:val="000000"/>
          <w:spacing w:val="0"/>
          <w:w w:val="100"/>
          <w:position w:val="0"/>
        </w:rPr>
        <w:t>、</w:t>
        <w:tab/>
        <w:t>提升组织效率，强化考核，加强管控</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进一步提升公司内部运营管理效率，强化利润中心导向体系，以提高各部门的自身管理水平以及积极 性，提高公司整体运营效率。公司将持续优化现有流程，借助信息化工具实现高效管理目标，持续深化集 团化管控，通过经营分析做好过程管理，对利润单元进行全面评估；通过定期考核、定期复盘激发组织新 活力，支撑战略目标实现。</w:t>
      </w:r>
    </w:p>
    <w:p>
      <w:pPr>
        <w:pStyle w:val="Style33"/>
        <w:keepNext w:val="0"/>
        <w:keepLines w:val="0"/>
        <w:widowControl w:val="0"/>
        <w:shd w:val="clear" w:color="auto" w:fill="auto"/>
        <w:bidi w:val="0"/>
        <w:spacing w:before="0" w:after="0" w:line="468" w:lineRule="exact"/>
        <w:ind w:left="0" w:right="0" w:firstLine="440"/>
        <w:jc w:val="both"/>
      </w:pPr>
      <w:bookmarkStart w:id="270" w:name="bookmark270"/>
      <w:r>
        <w:rPr>
          <w:color w:val="000000"/>
          <w:spacing w:val="0"/>
          <w:w w:val="100"/>
          <w:position w:val="0"/>
        </w:rPr>
        <w:t>（</w:t>
      </w:r>
      <w:bookmarkEnd w:id="270"/>
      <w:r>
        <w:rPr>
          <w:color w:val="000000"/>
          <w:spacing w:val="0"/>
          <w:w w:val="100"/>
          <w:position w:val="0"/>
        </w:rPr>
        <w:t>四）可能面临的风险及应对措施</w:t>
      </w:r>
    </w:p>
    <w:p>
      <w:pPr>
        <w:pStyle w:val="Style33"/>
        <w:keepNext w:val="0"/>
        <w:keepLines w:val="0"/>
        <w:widowControl w:val="0"/>
        <w:shd w:val="clear" w:color="auto" w:fill="auto"/>
        <w:tabs>
          <w:tab w:pos="773" w:val="left"/>
        </w:tabs>
        <w:bidi w:val="0"/>
        <w:spacing w:before="0" w:after="0" w:line="468" w:lineRule="exact"/>
        <w:ind w:left="0" w:right="0" w:firstLine="440"/>
        <w:jc w:val="both"/>
      </w:pPr>
      <w:bookmarkStart w:id="271" w:name="bookmark271"/>
      <w:r>
        <w:rPr>
          <w:rFonts w:ascii="Times New Roman" w:eastAsia="Times New Roman" w:hAnsi="Times New Roman" w:cs="Times New Roman"/>
          <w:color w:val="000000"/>
          <w:spacing w:val="0"/>
          <w:w w:val="100"/>
          <w:position w:val="0"/>
        </w:rPr>
        <w:t>1</w:t>
      </w:r>
      <w:bookmarkEnd w:id="271"/>
      <w:r>
        <w:rPr>
          <w:color w:val="000000"/>
          <w:spacing w:val="0"/>
          <w:w w:val="100"/>
          <w:position w:val="0"/>
        </w:rPr>
        <w:t>、</w:t>
        <w:tab/>
        <w:t>政策风险</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由于光伏发电成本目前仍高于常规发电，其发展得益于政府的补贴政策，目前还不能达到平价上网状 态，公司存在因光伏行业扶持和补贴政策变化导致的市场风险。目前国内光伏补贴力度进一步降低，装机 规模指标尚未明确，国内光伏市场需求仍存在不确定性。公司生态环保业务主要业务模式为</w:t>
      </w:r>
      <w:r>
        <w:rPr>
          <w:rFonts w:ascii="Times New Roman" w:eastAsia="Times New Roman" w:hAnsi="Times New Roman" w:cs="Times New Roman"/>
          <w:color w:val="000000"/>
          <w:spacing w:val="0"/>
          <w:w w:val="100"/>
          <w:position w:val="0"/>
        </w:rPr>
        <w:t>PPP</w:t>
      </w:r>
      <w:r>
        <w:rPr>
          <w:color w:val="000000"/>
          <w:spacing w:val="0"/>
          <w:w w:val="100"/>
          <w:position w:val="0"/>
        </w:rPr>
        <w:t>，因法律 法规与合同环境的不够公开透明，政府政策的不连续性，变化过于频繁，政策风险使企业难以预料与防范； 公司项目中标之后，存在着项目资金来源偏重于银行贷款而依赖性强、回款慢等潜在风险。</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应对措施：针对以上风险，公司将紧跟行业动态及政策导向，将行业及政策的发展趋势与研发、生产 和销售结合起来，通过持续进行工艺改进、成本优化、效率提升等措施，实现降本、增效、提质，迎接</w:t>
      </w:r>
      <w:r>
        <w:rPr>
          <w:rFonts w:ascii="Times New Roman" w:eastAsia="Times New Roman" w:hAnsi="Times New Roman" w:cs="Times New Roman"/>
          <w:color w:val="000000"/>
          <w:spacing w:val="0"/>
          <w:w w:val="100"/>
          <w:position w:val="0"/>
        </w:rPr>
        <w:t>“</w:t>
      </w:r>
      <w:r>
        <w:rPr>
          <w:color w:val="000000"/>
          <w:spacing w:val="0"/>
          <w:w w:val="100"/>
          <w:position w:val="0"/>
        </w:rPr>
        <w:t>平 价上网</w:t>
      </w:r>
      <w:r>
        <w:rPr>
          <w:rFonts w:ascii="Times New Roman" w:eastAsia="Times New Roman" w:hAnsi="Times New Roman" w:cs="Times New Roman"/>
          <w:color w:val="000000"/>
          <w:spacing w:val="0"/>
          <w:w w:val="100"/>
          <w:position w:val="0"/>
        </w:rPr>
        <w:t>”</w:t>
      </w:r>
      <w:r>
        <w:rPr>
          <w:color w:val="000000"/>
          <w:spacing w:val="0"/>
          <w:w w:val="100"/>
          <w:position w:val="0"/>
        </w:rPr>
        <w:t>时代的到来。针对</w:t>
      </w:r>
      <w:r>
        <w:rPr>
          <w:rFonts w:ascii="Times New Roman" w:eastAsia="Times New Roman" w:hAnsi="Times New Roman" w:cs="Times New Roman"/>
          <w:color w:val="000000"/>
          <w:spacing w:val="0"/>
          <w:w w:val="100"/>
          <w:position w:val="0"/>
        </w:rPr>
        <w:t>PPP</w:t>
      </w:r>
      <w:r>
        <w:rPr>
          <w:color w:val="000000"/>
          <w:spacing w:val="0"/>
          <w:w w:val="100"/>
          <w:position w:val="0"/>
        </w:rPr>
        <w:t>项目审慎评估项目风险，筛选优质低风险的项目。</w:t>
      </w:r>
    </w:p>
    <w:p>
      <w:pPr>
        <w:pStyle w:val="Style33"/>
        <w:keepNext w:val="0"/>
        <w:keepLines w:val="0"/>
        <w:widowControl w:val="0"/>
        <w:shd w:val="clear" w:color="auto" w:fill="auto"/>
        <w:tabs>
          <w:tab w:pos="792" w:val="left"/>
        </w:tabs>
        <w:bidi w:val="0"/>
        <w:spacing w:before="0" w:after="0" w:line="468" w:lineRule="exact"/>
        <w:ind w:left="0" w:right="0" w:firstLine="440"/>
        <w:jc w:val="both"/>
      </w:pPr>
      <w:bookmarkStart w:id="272" w:name="bookmark272"/>
      <w:r>
        <w:rPr>
          <w:rFonts w:ascii="Times New Roman" w:eastAsia="Times New Roman" w:hAnsi="Times New Roman" w:cs="Times New Roman"/>
          <w:color w:val="000000"/>
          <w:spacing w:val="0"/>
          <w:w w:val="100"/>
          <w:position w:val="0"/>
        </w:rPr>
        <w:t>2</w:t>
      </w:r>
      <w:bookmarkEnd w:id="272"/>
      <w:r>
        <w:rPr>
          <w:color w:val="000000"/>
          <w:spacing w:val="0"/>
          <w:w w:val="100"/>
          <w:position w:val="0"/>
        </w:rPr>
        <w:t>、</w:t>
        <w:tab/>
        <w:t>融资风险</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公司新能源及生态环保产业特点决定了需要有充足的资金支持，近几年实体制造业面临着融资难的问 题，加之市场和产业政策的不断变换，光伏企业均不同程度出现</w:t>
      </w:r>
      <w:r>
        <w:rPr>
          <w:rFonts w:ascii="Times New Roman" w:eastAsia="Times New Roman" w:hAnsi="Times New Roman" w:cs="Times New Roman"/>
          <w:color w:val="000000"/>
          <w:spacing w:val="0"/>
          <w:w w:val="100"/>
          <w:position w:val="0"/>
        </w:rPr>
        <w:t>“</w:t>
      </w:r>
      <w:r>
        <w:rPr>
          <w:color w:val="000000"/>
          <w:spacing w:val="0"/>
          <w:w w:val="100"/>
          <w:position w:val="0"/>
        </w:rPr>
        <w:t>钱荒</w:t>
      </w:r>
      <w:r>
        <w:rPr>
          <w:rFonts w:ascii="Times New Roman" w:eastAsia="Times New Roman" w:hAnsi="Times New Roman" w:cs="Times New Roman"/>
          <w:color w:val="000000"/>
          <w:spacing w:val="0"/>
          <w:w w:val="100"/>
          <w:position w:val="0"/>
        </w:rPr>
        <w:t>”</w:t>
      </w:r>
      <w:r>
        <w:rPr>
          <w:color w:val="000000"/>
          <w:spacing w:val="0"/>
          <w:w w:val="100"/>
          <w:position w:val="0"/>
        </w:rPr>
        <w:t>；且随着业务规模的扩大，销售、 管理成本均有所提高，财务费用亦将增加，将会对公司盈利能力造成一定影响。</w:t>
      </w:r>
    </w:p>
    <w:p>
      <w:pPr>
        <w:pStyle w:val="Style33"/>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应对措施：公司将围绕年度经营和投资计划开源节流，一方面全面拓宽融资渠道，继续加强与金融机 构的深度沟通及合作，稳步增加中长期贷款的比重，改善债务结构，保持合理的资金储备。另一方面，严 控各项成本费用支出。公司将进一步加强成本管理和费用预算控制，细化管理模式、深入挖潜成本控制点， 全面降低费用支出，实施过程精准把控，控制现金流出，在降本增效的同时，提高公司现金净流入。</w:t>
      </w:r>
    </w:p>
    <w:p>
      <w:pPr>
        <w:pStyle w:val="Style33"/>
        <w:keepNext w:val="0"/>
        <w:keepLines w:val="0"/>
        <w:widowControl w:val="0"/>
        <w:shd w:val="clear" w:color="auto" w:fill="auto"/>
        <w:bidi w:val="0"/>
        <w:spacing w:before="0" w:after="440" w:line="467" w:lineRule="exact"/>
        <w:ind w:left="0" w:right="0" w:firstLine="440"/>
        <w:jc w:val="left"/>
      </w:pPr>
      <w:r>
        <w:rPr>
          <w:color w:val="000000"/>
          <w:spacing w:val="0"/>
          <w:w w:val="100"/>
          <w:position w:val="0"/>
        </w:rPr>
        <w:t>上述提示未包括公司可能发生但未列示的其他风险，请投资者谨慎投资。</w:t>
      </w:r>
    </w:p>
    <w:p>
      <w:pPr>
        <w:pStyle w:val="Style22"/>
        <w:keepNext/>
        <w:keepLines/>
        <w:widowControl w:val="0"/>
        <w:shd w:val="clear" w:color="auto" w:fill="auto"/>
        <w:bidi w:val="0"/>
        <w:spacing w:before="0" w:line="240" w:lineRule="auto"/>
        <w:ind w:left="0" w:right="0" w:firstLine="0"/>
        <w:jc w:val="left"/>
      </w:pPr>
      <w:bookmarkStart w:id="273" w:name="bookmark273"/>
      <w:bookmarkStart w:id="274" w:name="bookmark274"/>
      <w:bookmarkStart w:id="275" w:name="bookmark275"/>
      <w:r>
        <w:rPr>
          <w:color w:val="000000"/>
          <w:spacing w:val="0"/>
          <w:w w:val="100"/>
          <w:position w:val="0"/>
        </w:rPr>
        <w:t>十、接待调研、沟通、采访等活动情况</w:t>
      </w:r>
      <w:bookmarkEnd w:id="273"/>
      <w:bookmarkEnd w:id="274"/>
      <w:bookmarkEnd w:id="275"/>
    </w:p>
    <w:p>
      <w:pPr>
        <w:pStyle w:val="Style30"/>
        <w:keepNext/>
        <w:keepLines/>
        <w:widowControl w:val="0"/>
        <w:shd w:val="clear" w:color="auto" w:fill="auto"/>
        <w:bidi w:val="0"/>
        <w:spacing w:before="0" w:after="120" w:line="480" w:lineRule="auto"/>
        <w:ind w:left="0" w:right="0" w:firstLine="0"/>
        <w:jc w:val="left"/>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1</w:t>
      </w:r>
      <w:bookmarkEnd w:id="278"/>
      <w:r>
        <w:rPr>
          <w:color w:val="000000"/>
          <w:spacing w:val="0"/>
          <w:w w:val="100"/>
          <w:position w:val="0"/>
        </w:rPr>
        <w:t>、报告期内接待调研、沟通、采访等活动登记表</w:t>
      </w:r>
      <w:bookmarkEnd w:id="276"/>
      <w:bookmarkEnd w:id="277"/>
      <w:bookmarkEnd w:id="279"/>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9"/>
        <w:gridCol w:w="1536"/>
        <w:gridCol w:w="638"/>
        <w:gridCol w:w="2179"/>
        <w:gridCol w:w="3043"/>
      </w:tblGrid>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gridSpan w:val="2"/>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调研的基本情况索引</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电话沟通记录</w:t>
            </w:r>
          </w:p>
        </w:tc>
      </w:tr>
      <w:tr>
        <w:trPr>
          <w:trHeight w:val="403" w:hRule="exact"/>
        </w:trPr>
        <w:tc>
          <w:tcPr>
            <w:gridSpan w:val="2"/>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接待次数</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w:t>
            </w:r>
          </w:p>
        </w:tc>
      </w:tr>
      <w:tr>
        <w:trPr>
          <w:trHeight w:val="403" w:hRule="exact"/>
        </w:trPr>
        <w:tc>
          <w:tcPr>
            <w:gridSpan w:val="2"/>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接待机构数量</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2"/>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接待个人数量</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w:t>
            </w:r>
          </w:p>
        </w:tc>
      </w:tr>
      <w:tr>
        <w:trPr>
          <w:trHeight w:val="403" w:hRule="exact"/>
        </w:trPr>
        <w:tc>
          <w:tcPr>
            <w:gridSpan w:val="2"/>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接待其他对象数量</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是否披露、透露或泄露未公开重大信息</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ectPr>
          <w:footnotePr>
            <w:pos w:val="pageBottom"/>
            <w:numFmt w:val="decimal"/>
            <w:numRestart w:val="continuous"/>
          </w:footnotePr>
          <w:pgSz w:w="11900" w:h="16840"/>
          <w:pgMar w:top="1316" w:right="1049" w:bottom="1455" w:left="1060" w:header="0" w:footer="3" w:gutter="0"/>
          <w:cols w:space="720"/>
          <w:noEndnote/>
          <w:rtlGutter w:val="0"/>
          <w:docGrid w:linePitch="360"/>
        </w:sectPr>
      </w:pPr>
    </w:p>
    <w:p>
      <w:pPr>
        <w:pStyle w:val="Style10"/>
        <w:keepNext/>
        <w:keepLines/>
        <w:widowControl w:val="0"/>
        <w:shd w:val="clear" w:color="auto" w:fill="auto"/>
        <w:bidi w:val="0"/>
        <w:spacing w:before="760" w:line="240" w:lineRule="auto"/>
        <w:ind w:left="0" w:right="0" w:firstLine="0"/>
        <w:jc w:val="center"/>
      </w:pPr>
      <w:bookmarkStart w:id="280" w:name="bookmark280"/>
      <w:bookmarkStart w:id="281" w:name="bookmark281"/>
      <w:bookmarkStart w:id="282" w:name="bookmark282"/>
      <w:r>
        <w:rPr>
          <w:color w:val="000000"/>
          <w:spacing w:val="0"/>
          <w:w w:val="100"/>
          <w:position w:val="0"/>
        </w:rPr>
        <w:t>第五节重要事项</w:t>
      </w:r>
      <w:bookmarkEnd w:id="280"/>
      <w:bookmarkEnd w:id="281"/>
      <w:bookmarkEnd w:id="282"/>
    </w:p>
    <w:p>
      <w:pPr>
        <w:pStyle w:val="Style22"/>
        <w:keepNext/>
        <w:keepLines/>
        <w:widowControl w:val="0"/>
        <w:shd w:val="clear" w:color="auto" w:fill="auto"/>
        <w:bidi w:val="0"/>
        <w:spacing w:before="0" w:after="380" w:line="240" w:lineRule="auto"/>
        <w:ind w:left="0" w:right="0" w:firstLine="0"/>
        <w:jc w:val="both"/>
      </w:pPr>
      <w:bookmarkStart w:id="283" w:name="bookmark283"/>
      <w:bookmarkStart w:id="284" w:name="bookmark284"/>
      <w:bookmarkStart w:id="285" w:name="bookmark285"/>
      <w:bookmarkStart w:id="286" w:name="bookmark286"/>
      <w:bookmarkStart w:id="287" w:name="bookmark287"/>
      <w:r>
        <w:rPr>
          <w:color w:val="000000"/>
          <w:spacing w:val="0"/>
          <w:w w:val="100"/>
          <w:position w:val="0"/>
        </w:rPr>
        <w:t>一</w:t>
      </w:r>
      <w:bookmarkEnd w:id="286"/>
      <w:r>
        <w:rPr>
          <w:color w:val="000000"/>
          <w:spacing w:val="0"/>
          <w:w w:val="100"/>
          <w:position w:val="0"/>
        </w:rPr>
        <w:t>、公司普通股利润分配及资本公积金转增股本情况</w:t>
      </w:r>
      <w:bookmarkEnd w:id="284"/>
      <w:bookmarkEnd w:id="285"/>
      <w:bookmarkEnd w:id="287"/>
      <w:bookmarkEnd w:id="283"/>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年度利润分配预案》，以</w:t>
      </w:r>
      <w:r>
        <w:rPr>
          <w:rFonts w:ascii="Times New Roman" w:eastAsia="Times New Roman" w:hAnsi="Times New Roman" w:cs="Times New Roman"/>
          <w:color w:val="000000"/>
          <w:spacing w:val="0"/>
          <w:w w:val="100"/>
          <w:position w:val="0"/>
        </w:rPr>
        <w:t>2018</w:t>
      </w:r>
      <w:r>
        <w:rPr>
          <w:color w:val="000000"/>
          <w:spacing w:val="0"/>
          <w:w w:val="100"/>
          <w:position w:val="0"/>
        </w:rPr>
        <w:t>年末公司总 股本</w:t>
      </w:r>
      <w:r>
        <w:rPr>
          <w:rFonts w:ascii="Times New Roman" w:eastAsia="Times New Roman" w:hAnsi="Times New Roman" w:cs="Times New Roman"/>
          <w:color w:val="000000"/>
          <w:spacing w:val="0"/>
          <w:w w:val="100"/>
          <w:position w:val="0"/>
        </w:rPr>
        <w:t>1,486,873,870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.75</w:t>
      </w:r>
      <w:r>
        <w:rPr>
          <w:color w:val="000000"/>
          <w:spacing w:val="0"/>
          <w:w w:val="100"/>
          <w:position w:val="0"/>
        </w:rPr>
        <w:t>元（含税）。无资本公积金转增股本方 案。报告期内，公司</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年度利润分配方案实施完毕，共计派发现金约</w:t>
      </w:r>
      <w:r>
        <w:rPr>
          <w:rFonts w:ascii="Times New Roman" w:eastAsia="Times New Roman" w:hAnsi="Times New Roman" w:cs="Times New Roman"/>
          <w:color w:val="000000"/>
          <w:spacing w:val="0"/>
          <w:w w:val="100"/>
          <w:position w:val="0"/>
        </w:rPr>
        <w:t>11152</w:t>
      </w:r>
      <w:r>
        <w:rPr>
          <w:color w:val="000000"/>
          <w:spacing w:val="0"/>
          <w:w w:val="100"/>
          <w:position w:val="0"/>
        </w:rPr>
        <w:t>万元。</w:t>
      </w:r>
    </w:p>
    <w:p>
      <w:pPr>
        <w:pStyle w:val="Style33"/>
        <w:keepNext w:val="0"/>
        <w:keepLines w:val="0"/>
        <w:widowControl w:val="0"/>
        <w:shd w:val="clear" w:color="auto" w:fill="auto"/>
        <w:bidi w:val="0"/>
        <w:spacing w:before="0" w:after="80" w:line="472"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2016-2018</w:t>
      </w:r>
      <w:r>
        <w:rPr>
          <w:color w:val="000000"/>
          <w:spacing w:val="0"/>
          <w:w w:val="100"/>
          <w:position w:val="0"/>
        </w:rPr>
        <w:t>年度以现金方式分配的利润均达到当年实现的可分配利润的</w:t>
      </w:r>
      <w:r>
        <w:rPr>
          <w:rFonts w:ascii="Times New Roman" w:eastAsia="Times New Roman" w:hAnsi="Times New Roman" w:cs="Times New Roman"/>
          <w:color w:val="000000"/>
          <w:spacing w:val="0"/>
          <w:w w:val="100"/>
          <w:position w:val="0"/>
        </w:rPr>
        <w:t>10%</w:t>
      </w:r>
      <w:r>
        <w:rPr>
          <w:color w:val="000000"/>
          <w:spacing w:val="0"/>
          <w:w w:val="100"/>
          <w:position w:val="0"/>
        </w:rPr>
        <w:t>。公司现金分红政策制 定及执行均符合《公司章程》的规定及股东大会决议的要求，分红标准和比例清晰明确，相关的决策程序 完备，中小股东的合法权益得到了维护。公司将继续严格执行《公司章程》规定的现金分红政策并跟进落 实，更好地履行上市公司的责任和义务。</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6"/>
        <w:keepNext w:val="0"/>
        <w:keepLines w:val="0"/>
        <w:widowControl w:val="0"/>
        <w:shd w:val="clear" w:color="auto" w:fill="auto"/>
        <w:bidi w:val="0"/>
        <w:spacing w:before="0" w:after="0" w:line="317" w:lineRule="exact"/>
        <w:ind w:left="0" w:right="0" w:firstLine="0"/>
        <w:jc w:val="both"/>
      </w:pPr>
      <w:bookmarkStart w:id="288" w:name="bookmark288"/>
      <w:r>
        <w:rPr>
          <w:rFonts w:ascii="Times New Roman" w:eastAsia="Times New Roman" w:hAnsi="Times New Roman" w:cs="Times New Roman"/>
          <w:color w:val="000000"/>
          <w:spacing w:val="0"/>
          <w:w w:val="100"/>
          <w:position w:val="0"/>
          <w:sz w:val="18"/>
          <w:szCs w:val="18"/>
        </w:rPr>
        <w:t>1</w:t>
      </w:r>
      <w:bookmarkEnd w:id="28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年度分配方案：公司对当年利润分配采取派发现金红利方式，以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日的公司总股本</w:t>
      </w:r>
      <w:r>
        <w:rPr>
          <w:rFonts w:ascii="Times New Roman" w:eastAsia="Times New Roman" w:hAnsi="Times New Roman" w:cs="Times New Roman"/>
          <w:color w:val="000000"/>
          <w:spacing w:val="0"/>
          <w:w w:val="100"/>
          <w:position w:val="0"/>
          <w:sz w:val="18"/>
          <w:szCs w:val="18"/>
        </w:rPr>
        <w:t>1,337,173,272</w:t>
      </w:r>
      <w:r>
        <w:rPr>
          <w:color w:val="000000"/>
          <w:spacing w:val="0"/>
          <w:w w:val="100"/>
          <w:position w:val="0"/>
        </w:rPr>
        <w:t>为基数， 拟向全体股东每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股，不以公积金转增股本。</w:t>
      </w:r>
    </w:p>
    <w:p>
      <w:pPr>
        <w:pStyle w:val="Style26"/>
        <w:keepNext w:val="0"/>
        <w:keepLines w:val="0"/>
        <w:widowControl w:val="0"/>
        <w:shd w:val="clear" w:color="auto" w:fill="auto"/>
        <w:bidi w:val="0"/>
        <w:spacing w:before="0" w:after="0" w:line="317" w:lineRule="exact"/>
        <w:ind w:left="0" w:right="0" w:firstLine="0"/>
        <w:jc w:val="both"/>
      </w:pPr>
      <w:bookmarkStart w:id="289" w:name="bookmark289"/>
      <w:r>
        <w:rPr>
          <w:rFonts w:ascii="Times New Roman" w:eastAsia="Times New Roman" w:hAnsi="Times New Roman" w:cs="Times New Roman"/>
          <w:color w:val="000000"/>
          <w:spacing w:val="0"/>
          <w:w w:val="100"/>
          <w:position w:val="0"/>
          <w:sz w:val="18"/>
          <w:szCs w:val="18"/>
        </w:rPr>
        <w:t>2</w:t>
      </w:r>
      <w:bookmarkEnd w:id="28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年度分配方案：公司对当年利润分配采取派发现金红利方式，以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日的公司总股本</w:t>
      </w:r>
      <w:r>
        <w:rPr>
          <w:rFonts w:ascii="Times New Roman" w:eastAsia="Times New Roman" w:hAnsi="Times New Roman" w:cs="Times New Roman"/>
          <w:color w:val="000000"/>
          <w:spacing w:val="0"/>
          <w:w w:val="100"/>
          <w:position w:val="0"/>
          <w:sz w:val="18"/>
          <w:szCs w:val="18"/>
        </w:rPr>
        <w:t>1,486,873,870</w:t>
      </w:r>
      <w:r>
        <w:rPr>
          <w:color w:val="000000"/>
          <w:spacing w:val="0"/>
          <w:w w:val="100"/>
          <w:position w:val="0"/>
        </w:rPr>
        <w:t>为基数， 拟向全体股东每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股，不以公积金转增股本。</w:t>
      </w:r>
    </w:p>
    <w:p>
      <w:pPr>
        <w:pStyle w:val="Style26"/>
        <w:keepNext w:val="0"/>
        <w:keepLines w:val="0"/>
        <w:widowControl w:val="0"/>
        <w:shd w:val="clear" w:color="auto" w:fill="auto"/>
        <w:bidi w:val="0"/>
        <w:spacing w:before="0" w:after="380" w:line="326" w:lineRule="exact"/>
        <w:ind w:left="0" w:right="0" w:firstLine="0"/>
        <w:jc w:val="both"/>
      </w:pPr>
      <w:bookmarkStart w:id="290" w:name="bookmark290"/>
      <w:r>
        <w:rPr>
          <w:rFonts w:ascii="Times New Roman" w:eastAsia="Times New Roman" w:hAnsi="Times New Roman" w:cs="Times New Roman"/>
          <w:color w:val="000000"/>
          <w:spacing w:val="0"/>
          <w:w w:val="100"/>
          <w:position w:val="0"/>
          <w:sz w:val="18"/>
          <w:szCs w:val="18"/>
        </w:rPr>
        <w:t>3</w:t>
      </w:r>
      <w:bookmarkEnd w:id="29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年度分配方案：公司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年合并报表及母公司报表未能实现盈利，公司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年度不进行现金分红，不送红股， 亦不进行资本公积金转增股本。</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公司近三年（包括本报告期）普通股现金分红情况表</w:t>
      </w:r>
    </w:p>
    <w:p>
      <w:pPr>
        <w:pStyle w:val="Style26"/>
        <w:keepNext w:val="0"/>
        <w:keepLines w:val="0"/>
        <w:widowControl w:val="0"/>
        <w:shd w:val="clear" w:color="auto" w:fill="auto"/>
        <w:bidi w:val="0"/>
        <w:spacing w:before="0" w:after="80" w:line="317" w:lineRule="exact"/>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1042"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现金分红金额</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（含税）</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分红年度合并 报表中归属于 上市公司普通</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现金分红金额 占合并报表中 归属于上市公</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以其他方式</w:t>
            </w:r>
          </w:p>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（如回购股 份）现金分红</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以其他方式现</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金分红金额占</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合并报表中归</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现金分红总额</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（含其他方</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式）</w:t>
            </w:r>
          </w:p>
        </w:tc>
        <w:tc>
          <w:tcPr>
            <w:tcBorders>
              <w:top w:val="single" w:sz="4"/>
              <w:left w:val="single" w:sz="4"/>
              <w:bottom w:val="single" w:sz="4"/>
              <w:righ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现金分红总额</w:t>
            </w:r>
          </w:p>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（含其他方 式）占合并报</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1301"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股股东的净利 润</w:t>
            </w:r>
          </w:p>
        </w:tc>
        <w:tc>
          <w:tcPr>
            <w:tcBorders>
              <w:top w:val="single" w:sz="4"/>
              <w:left w:val="single" w:sz="4"/>
            </w:tcBorders>
            <w:shd w:val="clear" w:color="auto" w:fill="D4D4D4"/>
            <w:vAlign w:val="top"/>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司普通股股东</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的净利润的比</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率</w:t>
            </w:r>
          </w:p>
        </w:tc>
        <w:tc>
          <w:tcPr>
            <w:tcBorders>
              <w:top w:val="single" w:sz="4"/>
              <w:left w:val="single" w:sz="4"/>
            </w:tcBorders>
            <w:shd w:val="clear" w:color="auto" w:fill="D4D4D4"/>
            <w:vAlign w:val="top"/>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的金额</w:t>
            </w:r>
          </w:p>
        </w:tc>
        <w:tc>
          <w:tcPr>
            <w:tcBorders>
              <w:top w:val="single" w:sz="4"/>
              <w:left w:val="single" w:sz="4"/>
            </w:tcBorders>
            <w:shd w:val="clear" w:color="auto" w:fill="D4D4D4"/>
            <w:vAlign w:val="top"/>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属于上市公司</w:t>
            </w:r>
          </w:p>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普通股股东的</w:t>
            </w:r>
          </w:p>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净利润的比例</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表中归属于上 市公司普通股 股东的净利润 的比率</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-957,109,228.2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111,515,540.25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1,117,732,285.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9.98%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111,515,540.25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w:t>
            </w:r>
          </w:p>
        </w:tc>
      </w:tr>
      <w:tr>
        <w:trPr>
          <w:trHeight w:val="408"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54,824,104.15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544,098,352.54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54,824,104.15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34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rPr>
        <w:t>二</w:t>
      </w:r>
      <w:bookmarkEnd w:id="293"/>
      <w:r>
        <w:rPr>
          <w:color w:val="000000"/>
          <w:spacing w:val="0"/>
          <w:w w:val="100"/>
          <w:position w:val="0"/>
        </w:rPr>
        <w:t>、</w:t>
        <w:tab/>
        <w:t>本报告期利润分配及资本公积金转增股本情况</w:t>
      </w:r>
      <w:bookmarkEnd w:id="291"/>
      <w:bookmarkEnd w:id="292"/>
      <w:bookmarkEnd w:id="294"/>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公司计划年度不派发现金红利，不送红股，不以公积金转增股本。</w:t>
      </w:r>
    </w:p>
    <w:p>
      <w:pPr>
        <w:pStyle w:val="Style22"/>
        <w:keepNext/>
        <w:keepLines/>
        <w:widowControl w:val="0"/>
        <w:shd w:val="clear" w:color="auto" w:fill="auto"/>
        <w:tabs>
          <w:tab w:pos="522" w:val="left"/>
        </w:tabs>
        <w:bidi w:val="0"/>
        <w:spacing w:before="0" w:after="34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rPr>
        <w:t>三</w:t>
      </w:r>
      <w:bookmarkEnd w:id="297"/>
      <w:r>
        <w:rPr>
          <w:color w:val="000000"/>
          <w:spacing w:val="0"/>
          <w:w w:val="100"/>
          <w:position w:val="0"/>
        </w:rPr>
        <w:t>、</w:t>
        <w:tab/>
        <w:t>承诺事项履行情况</w:t>
      </w:r>
      <w:bookmarkEnd w:id="295"/>
      <w:bookmarkEnd w:id="296"/>
      <w:bookmarkEnd w:id="298"/>
    </w:p>
    <w:p>
      <w:pPr>
        <w:pStyle w:val="Style30"/>
        <w:keepNext/>
        <w:keepLines/>
        <w:widowControl w:val="0"/>
        <w:shd w:val="clear" w:color="auto" w:fill="auto"/>
        <w:bidi w:val="0"/>
        <w:spacing w:before="0" w:after="340" w:line="317" w:lineRule="exact"/>
        <w:ind w:left="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1</w:t>
      </w:r>
      <w:bookmarkEnd w:id="301"/>
      <w:r>
        <w:rPr>
          <w:color w:val="000000"/>
          <w:spacing w:val="0"/>
          <w:w w:val="100"/>
          <w:position w:val="0"/>
        </w:rPr>
        <w:t>、公司实际控制人、股东、关联方、收购人以及公司等承诺相关方在报告期内履行完毕及截至报告期末 尚未履行完毕的承诺事项</w:t>
      </w:r>
      <w:bookmarkEnd w:id="299"/>
      <w:bookmarkEnd w:id="300"/>
      <w:bookmarkEnd w:id="302"/>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6"/>
        <w:gridCol w:w="850"/>
        <w:gridCol w:w="994"/>
        <w:gridCol w:w="3259"/>
        <w:gridCol w:w="1133"/>
        <w:gridCol w:w="994"/>
        <w:gridCol w:w="1070"/>
      </w:tblGrid>
      <w:tr>
        <w:trPr>
          <w:trHeight w:val="40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履行情况</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62"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收购报告书或</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权益变动报告</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书中所作承诺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规范和减少</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关联交易的</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）本集团将继续严格按照《公司法》 等法律法规以及宝安地产《公司章程》的 有关规定行使股东权利或者董事权利，在 宝安地产股东大会以及董事会对有关涉 及本集团事项的关联交易进行表决时，履 行回避表决的义务。（</w:t>
            </w:r>
            <w:r>
              <w:rPr>
                <w:color w:val="000000"/>
                <w:spacing w:val="0"/>
                <w:w w:val="100"/>
                <w:position w:val="0"/>
                <w:sz w:val="18"/>
                <w:szCs w:val="18"/>
              </w:rPr>
              <w:t>2</w:t>
            </w:r>
            <w:r>
              <w:rPr>
                <w:rFonts w:ascii="SimSun" w:eastAsia="SimSun" w:hAnsi="SimSun" w:cs="SimSun"/>
                <w:color w:val="000000"/>
                <w:spacing w:val="0"/>
                <w:w w:val="100"/>
                <w:position w:val="0"/>
                <w:sz w:val="17"/>
                <w:szCs w:val="17"/>
              </w:rPr>
              <w:t>）为了减少和规范 本次发行完成后的关联交易，维护上市公 司及中小股东的合法权益，将尽量减少与 宝安地产之间的关联交易。在进行确有必 要且无法规避的关联交易时，保证按市场 化原则和公允价格进行公平操作，并按宝 安地产《公司章程》、宝安地产有关关联 交易的决策制度、相关法律法规以及规范 性文件的规定履行交易程序及信息披露 义务；保证不通过关联交易损害宝安地产 及其他股东的合法权益。（</w:t>
            </w:r>
            <w:r>
              <w:rPr>
                <w:color w:val="000000"/>
                <w:spacing w:val="0"/>
                <w:w w:val="100"/>
                <w:position w:val="0"/>
                <w:sz w:val="18"/>
                <w:szCs w:val="18"/>
              </w:rPr>
              <w:t>3</w:t>
            </w:r>
            <w:r>
              <w:rPr>
                <w:rFonts w:ascii="SimSun" w:eastAsia="SimSun" w:hAnsi="SimSun" w:cs="SimSun"/>
                <w:color w:val="000000"/>
                <w:spacing w:val="0"/>
                <w:w w:val="100"/>
                <w:position w:val="0"/>
                <w:sz w:val="17"/>
                <w:szCs w:val="17"/>
              </w:rPr>
              <w:t>）本集团在本 承诺函中作出的各项声明与承诺，同样适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1286"/>
        <w:gridCol w:w="850"/>
        <w:gridCol w:w="994"/>
        <w:gridCol w:w="3259"/>
        <w:gridCol w:w="1133"/>
        <w:gridCol w:w="994"/>
        <w:gridCol w:w="1070"/>
      </w:tblGrid>
      <w:tr>
        <w:trPr>
          <w:trHeight w:val="3173"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用于本集团及本集团实际控制人及其一 致行动人下属除上市公司及其下属企业 以外的其他直接或间接控制的企业，本集 团将在合法权限范围内促成该等企业履 行规范与上市公司之间已经存在或可能 发生的关联交易的义务。（</w:t>
            </w:r>
            <w:r>
              <w:rPr>
                <w:color w:val="000000"/>
                <w:spacing w:val="0"/>
                <w:w w:val="100"/>
                <w:position w:val="0"/>
                <w:sz w:val="18"/>
                <w:szCs w:val="18"/>
              </w:rPr>
              <w:t>4</w:t>
            </w:r>
            <w:r>
              <w:rPr>
                <w:rFonts w:ascii="SimSun" w:eastAsia="SimSun" w:hAnsi="SimSun" w:cs="SimSun"/>
                <w:color w:val="000000"/>
                <w:spacing w:val="0"/>
                <w:w w:val="100"/>
                <w:position w:val="0"/>
                <w:sz w:val="17"/>
                <w:szCs w:val="17"/>
              </w:rPr>
              <w:t>）本集团承诺， 若违反本承诺函而导致上市公司产生任 何成本、承担任何责任或者遭受任何损 失，本集团同意就上市公司发生的任何成 本、责任或者损失进行赔偿。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保持上市公</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司独立性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、保证宝安地产资产独立完整。</w:t>
            </w:r>
            <w:r>
              <w:rPr>
                <w:color w:val="000000"/>
                <w:spacing w:val="0"/>
                <w:w w:val="100"/>
                <w:position w:val="0"/>
                <w:sz w:val="18"/>
                <w:szCs w:val="18"/>
              </w:rPr>
              <w:t>2</w:t>
            </w:r>
            <w:r>
              <w:rPr>
                <w:rFonts w:ascii="SimSun" w:eastAsia="SimSun" w:hAnsi="SimSun" w:cs="SimSun"/>
                <w:color w:val="000000"/>
                <w:spacing w:val="0"/>
                <w:w w:val="100"/>
                <w:position w:val="0"/>
                <w:sz w:val="17"/>
                <w:szCs w:val="17"/>
              </w:rPr>
              <w:t>、保证 宝安地产人员独立。</w:t>
            </w:r>
            <w:r>
              <w:rPr>
                <w:color w:val="000000"/>
                <w:spacing w:val="0"/>
                <w:w w:val="100"/>
                <w:position w:val="0"/>
                <w:sz w:val="18"/>
                <w:szCs w:val="18"/>
              </w:rPr>
              <w:t>3</w:t>
            </w:r>
            <w:r>
              <w:rPr>
                <w:rFonts w:ascii="SimSun" w:eastAsia="SimSun" w:hAnsi="SimSun" w:cs="SimSun"/>
                <w:color w:val="000000"/>
                <w:spacing w:val="0"/>
                <w:w w:val="100"/>
                <w:position w:val="0"/>
                <w:sz w:val="17"/>
                <w:szCs w:val="17"/>
              </w:rPr>
              <w:t>、保证宝安地产的 财务独立。</w:t>
            </w:r>
            <w:r>
              <w:rPr>
                <w:color w:val="000000"/>
                <w:spacing w:val="0"/>
                <w:w w:val="100"/>
                <w:position w:val="0"/>
                <w:sz w:val="18"/>
                <w:szCs w:val="18"/>
              </w:rPr>
              <w:t>4</w:t>
            </w:r>
            <w:r>
              <w:rPr>
                <w:rFonts w:ascii="SimSun" w:eastAsia="SimSun" w:hAnsi="SimSun" w:cs="SimSun"/>
                <w:color w:val="000000"/>
                <w:spacing w:val="0"/>
                <w:w w:val="100"/>
                <w:position w:val="0"/>
                <w:sz w:val="17"/>
                <w:szCs w:val="17"/>
              </w:rPr>
              <w:t>、保证宝安地产业务独立。</w:t>
            </w:r>
            <w:r>
              <w:rPr>
                <w:color w:val="000000"/>
                <w:spacing w:val="0"/>
                <w:w w:val="100"/>
                <w:position w:val="0"/>
                <w:sz w:val="18"/>
                <w:szCs w:val="18"/>
              </w:rPr>
              <w:t>5</w:t>
            </w:r>
            <w:r>
              <w:rPr>
                <w:rFonts w:ascii="SimSun" w:eastAsia="SimSun" w:hAnsi="SimSun" w:cs="SimSun"/>
                <w:color w:val="000000"/>
                <w:spacing w:val="0"/>
                <w:w w:val="100"/>
                <w:position w:val="0"/>
                <w:sz w:val="17"/>
                <w:szCs w:val="17"/>
              </w:rPr>
              <w:t>、 保证宝安地产机构独立。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2"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或再融资时所</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作承诺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东旭蓝天 全体董 事、高级 管理人 员、东旭 集团、实 际控制人 李兆廷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根据《国务院关于进一步促进资本市场健 康发展的若干意见》（国发</w:t>
            </w:r>
            <w:r>
              <w:rPr>
                <w:color w:val="000000"/>
                <w:spacing w:val="0"/>
                <w:w w:val="100"/>
                <w:position w:val="0"/>
                <w:sz w:val="18"/>
                <w:szCs w:val="18"/>
              </w:rPr>
              <w:t>[2014]17</w:t>
            </w:r>
            <w:r>
              <w:rPr>
                <w:rFonts w:ascii="SimSun" w:eastAsia="SimSun" w:hAnsi="SimSun" w:cs="SimSun"/>
                <w:color w:val="000000"/>
                <w:spacing w:val="0"/>
                <w:w w:val="100"/>
                <w:position w:val="0"/>
                <w:sz w:val="17"/>
                <w:szCs w:val="17"/>
              </w:rPr>
              <w:t>号）、 《国务院办公厅关于进一步加强资本市 场中小投资者合法权益保护工作的意见》</w:t>
            </w:r>
          </w:p>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（国办发</w:t>
            </w:r>
            <w:r>
              <w:rPr>
                <w:color w:val="000000"/>
                <w:spacing w:val="0"/>
                <w:w w:val="100"/>
                <w:position w:val="0"/>
                <w:sz w:val="18"/>
                <w:szCs w:val="18"/>
              </w:rPr>
              <w:t>[2013]110</w:t>
            </w:r>
            <w:r>
              <w:rPr>
                <w:rFonts w:ascii="SimSun" w:eastAsia="SimSun" w:hAnsi="SimSun" w:cs="SimSun"/>
                <w:color w:val="000000"/>
                <w:spacing w:val="0"/>
                <w:w w:val="100"/>
                <w:position w:val="0"/>
                <w:sz w:val="17"/>
                <w:szCs w:val="17"/>
              </w:rPr>
              <w:t>号）和《关于首发及 再融资、重大资产重组摊薄即期回报有关 事项的指导意见》（中国证券监督管理委 员会公告</w:t>
            </w:r>
            <w:r>
              <w:rPr>
                <w:color w:val="000000"/>
                <w:spacing w:val="0"/>
                <w:w w:val="100"/>
                <w:position w:val="0"/>
                <w:sz w:val="18"/>
                <w:szCs w:val="18"/>
              </w:rPr>
              <w:t>[2015]31</w:t>
            </w:r>
            <w:r>
              <w:rPr>
                <w:rFonts w:ascii="SimSun" w:eastAsia="SimSun" w:hAnsi="SimSun" w:cs="SimSun"/>
                <w:color w:val="000000"/>
                <w:spacing w:val="0"/>
                <w:w w:val="100"/>
                <w:position w:val="0"/>
                <w:sz w:val="17"/>
                <w:szCs w:val="17"/>
              </w:rPr>
              <w:t>号）的相关规定，东旭 蓝天新能源股份有限公司（以下简称</w:t>
            </w:r>
            <w:r>
              <w:rPr>
                <w:color w:val="000000"/>
                <w:spacing w:val="0"/>
                <w:w w:val="100"/>
                <w:position w:val="0"/>
                <w:sz w:val="18"/>
                <w:szCs w:val="18"/>
              </w:rPr>
              <w:t>“</w:t>
            </w:r>
            <w:r>
              <w:rPr>
                <w:rFonts w:ascii="SimSun" w:eastAsia="SimSun" w:hAnsi="SimSun" w:cs="SimSun"/>
                <w:color w:val="000000"/>
                <w:spacing w:val="0"/>
                <w:w w:val="100"/>
                <w:position w:val="0"/>
                <w:sz w:val="17"/>
                <w:szCs w:val="17"/>
              </w:rPr>
              <w:t>公 司</w:t>
            </w:r>
            <w:r>
              <w:rPr>
                <w:color w:val="000000"/>
                <w:spacing w:val="0"/>
                <w:w w:val="100"/>
                <w:position w:val="0"/>
                <w:sz w:val="18"/>
                <w:szCs w:val="18"/>
              </w:rPr>
              <w:t>”</w:t>
            </w:r>
            <w:r>
              <w:rPr>
                <w:rFonts w:ascii="SimSun" w:eastAsia="SimSun" w:hAnsi="SimSun" w:cs="SimSun"/>
                <w:color w:val="000000"/>
                <w:spacing w:val="0"/>
                <w:w w:val="100"/>
                <w:position w:val="0"/>
                <w:sz w:val="17"/>
                <w:szCs w:val="17"/>
              </w:rPr>
              <w:t>）的董事、高级管理人员作出以下承 诺：（一）承诺不无偿或以不公平条件向 其他单位或者个人输送利益，也不采用其 他方式损害公司利益。（二）承诺对职务 消费行为进行约束。（三）承诺不动用公 司资产从事与履行职责无关的投资、消费 活动。（四）承诺由董事会或薪酬与考核 委员会制定的薪酬制度与公司填补回报 措施的执行情况相挂钩。（五）承诺拟公 布的公司股权激励的行权条件与公司填 补回报措施的执行情况相挂钩。（六）承 诺切实履行公司制定的有关填补回报措 施以及对此作出的任何有关填补回报措 施的承诺，若违反该等承诺并给公司或者 投资者造成损失的，愿意依法承担对公司 或者投资者的补偿责任。公司全体董事、 高级管理人员同时承诺：作为填补回报措 施相关责任主体之一，若违反上述承诺或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1286"/>
        <w:gridCol w:w="850"/>
        <w:gridCol w:w="994"/>
        <w:gridCol w:w="3259"/>
        <w:gridCol w:w="1133"/>
        <w:gridCol w:w="994"/>
        <w:gridCol w:w="1070"/>
      </w:tblGrid>
      <w:tr>
        <w:trPr>
          <w:trHeight w:val="2861"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拒不履行上述承诺，本人同意按照中国证 监会和深圳证券交易所等证券监管机构 制定或发布的有关规定、规则，对本人作 出处罚或采取相关管理措施。</w:t>
            </w:r>
          </w:p>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公司控股股东东旭集团有限公司、实际控 制人李兆廷先生根据中国证监会相关规 定，分别对公司填补回报措施能够得到切 实履行作出如下承诺：不越权干预公司经 营管理活动，不侵占公司利益。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东旭蓝天 新能源股 份有限公 司、东旭</w:t>
            </w:r>
          </w:p>
          <w:p>
            <w:pPr>
              <w:pStyle w:val="Style19"/>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集团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东旭蓝天董事会将严格遵守《公司法》、 《证券法》、《上市公司证券发行管理办</w:t>
            </w:r>
          </w:p>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法》等法律、法规和中国证监会的有关规 定，承诺自本公司非公开发行股票新增股 份上市之日起：（一）承诺真实、准确、 完整、公平和及时地公布定期报告、披露 所有对投资者有重大影响的信息，并接受 中国证监会和深圳证券交易所的监督管 理；（二）承诺本公司在知悉可能对股票 价格产生误导性影响的任何公共传播媒 体出现的消息后，将及时予以公开澄清；</w:t>
            </w:r>
          </w:p>
          <w:p>
            <w:pPr>
              <w:pStyle w:val="Style19"/>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（三）本公司董事、监事、高级管理人员 将认真听取社会公众的意见和批评，不利 用已获得的内幕消息和其他不正当手段 直接或间接从事本公司股票的买卖活动。 东旭集团本次非公开股份上市首日起三 十六个月内不进行转让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r>
        <w:trPr>
          <w:trHeight w:val="5362"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东旭蓝天</w:t>
            </w:r>
          </w:p>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新能源股</w:t>
            </w:r>
          </w:p>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份有限公</w:t>
            </w:r>
          </w:p>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司、东旭 集团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东旭蓝天董事会将严格遵守《公司法》、 《证券法》、《上市公司证券发行管理办</w:t>
            </w:r>
          </w:p>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法》等法律、法规和中国证监会的有关规 定，承诺自本公司非公开发行股票新增股 份上市之日起：（一）承诺真实、准确、 完整、公平和及时地公布定期报告、披露 所有对投资者有重大影响的信息，并接受 中国证监会和深圳证券交易所的监督管 理；（二）承诺本公司在知悉可能对股票 价格产生误导性影响的任何公共传播媒 体出现的消息后，将及时予以公开澄清；</w:t>
            </w:r>
          </w:p>
          <w:p>
            <w:pPr>
              <w:pStyle w:val="Style19"/>
              <w:keepNext w:val="0"/>
              <w:keepLines w:val="0"/>
              <w:widowControl w:val="0"/>
              <w:shd w:val="clear" w:color="auto" w:fill="auto"/>
              <w:bidi w:val="0"/>
              <w:spacing w:before="0" w:after="0" w:line="318" w:lineRule="exact"/>
              <w:ind w:left="0" w:right="0" w:firstLine="0"/>
              <w:jc w:val="left"/>
              <w:rPr>
                <w:sz w:val="17"/>
                <w:szCs w:val="17"/>
              </w:rPr>
            </w:pPr>
            <w:r>
              <w:rPr>
                <w:rFonts w:ascii="SimSun" w:eastAsia="SimSun" w:hAnsi="SimSun" w:cs="SimSun"/>
                <w:color w:val="000000"/>
                <w:spacing w:val="0"/>
                <w:w w:val="100"/>
                <w:position w:val="0"/>
                <w:sz w:val="17"/>
                <w:szCs w:val="17"/>
              </w:rPr>
              <w:t>（三）本公司董事、监事、高级管理人员 将认真听取社会公众的意见和批评，不利 用已获得的内幕消息和其他不正当手段 直接或间接从事本公司股票的买卖活动。 本次非公开发行对象东旭集团有限公司 承诺认购的本次非公开发行的股票自发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1286"/>
        <w:gridCol w:w="850"/>
        <w:gridCol w:w="994"/>
        <w:gridCol w:w="3259"/>
        <w:gridCol w:w="1133"/>
        <w:gridCol w:w="994"/>
        <w:gridCol w:w="1070"/>
      </w:tblGrid>
      <w:tr>
        <w:trPr>
          <w:trHeight w:val="365"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行结束之日起</w:t>
            </w:r>
            <w:r>
              <w:rPr>
                <w:color w:val="000000"/>
                <w:spacing w:val="0"/>
                <w:w w:val="100"/>
                <w:position w:val="0"/>
                <w:sz w:val="18"/>
                <w:szCs w:val="18"/>
              </w:rPr>
              <w:t>36</w:t>
            </w:r>
            <w:r>
              <w:rPr>
                <w:rFonts w:ascii="SimSun" w:eastAsia="SimSun" w:hAnsi="SimSun" w:cs="SimSun"/>
                <w:color w:val="000000"/>
                <w:spacing w:val="0"/>
                <w:w w:val="100"/>
                <w:position w:val="0"/>
                <w:sz w:val="17"/>
                <w:szCs w:val="17"/>
              </w:rPr>
              <w:t>个月内不得转让。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15"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东旭蓝天 全体董 事、高级 管理人 员、东旭 集团、实 际控制人 李兆廷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根据《国务院关于进一步促进资本市场健 康发展的若干意见》（国发</w:t>
            </w:r>
            <w:r>
              <w:rPr>
                <w:color w:val="000000"/>
                <w:spacing w:val="0"/>
                <w:w w:val="100"/>
                <w:position w:val="0"/>
                <w:sz w:val="18"/>
                <w:szCs w:val="18"/>
              </w:rPr>
              <w:t>[2014]17</w:t>
            </w:r>
            <w:r>
              <w:rPr>
                <w:rFonts w:ascii="SimSun" w:eastAsia="SimSun" w:hAnsi="SimSun" w:cs="SimSun"/>
                <w:color w:val="000000"/>
                <w:spacing w:val="0"/>
                <w:w w:val="100"/>
                <w:position w:val="0"/>
                <w:sz w:val="17"/>
                <w:szCs w:val="17"/>
              </w:rPr>
              <w:t>号）、 《国务院办公厅关于进一步加强资本市 场中小投资者合法权益保护工作的意见》</w:t>
            </w:r>
          </w:p>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（国办发</w:t>
            </w:r>
            <w:r>
              <w:rPr>
                <w:color w:val="000000"/>
                <w:spacing w:val="0"/>
                <w:w w:val="100"/>
                <w:position w:val="0"/>
                <w:sz w:val="18"/>
                <w:szCs w:val="18"/>
              </w:rPr>
              <w:t>[2013]110</w:t>
            </w:r>
            <w:r>
              <w:rPr>
                <w:rFonts w:ascii="SimSun" w:eastAsia="SimSun" w:hAnsi="SimSun" w:cs="SimSun"/>
                <w:color w:val="000000"/>
                <w:spacing w:val="0"/>
                <w:w w:val="100"/>
                <w:position w:val="0"/>
                <w:sz w:val="17"/>
                <w:szCs w:val="17"/>
              </w:rPr>
              <w:t>号）和《关于首发及 再融资、重大资产重组摊薄即期回报有关 事项的指导意见》（中国证券监督管理委 员会公告</w:t>
            </w:r>
            <w:r>
              <w:rPr>
                <w:color w:val="000000"/>
                <w:spacing w:val="0"/>
                <w:w w:val="100"/>
                <w:position w:val="0"/>
                <w:sz w:val="18"/>
                <w:szCs w:val="18"/>
              </w:rPr>
              <w:t>[2015]31</w:t>
            </w:r>
            <w:r>
              <w:rPr>
                <w:rFonts w:ascii="SimSun" w:eastAsia="SimSun" w:hAnsi="SimSun" w:cs="SimSun"/>
                <w:color w:val="000000"/>
                <w:spacing w:val="0"/>
                <w:w w:val="100"/>
                <w:position w:val="0"/>
                <w:sz w:val="17"/>
                <w:szCs w:val="17"/>
              </w:rPr>
              <w:t xml:space="preserve">号）的相关规定，宝安 鸿基地产集团股份有限公司（以下简称 </w:t>
            </w:r>
            <w:r>
              <w:rPr>
                <w:color w:val="000000"/>
                <w:spacing w:val="0"/>
                <w:w w:val="100"/>
                <w:position w:val="0"/>
                <w:sz w:val="18"/>
                <w:szCs w:val="18"/>
              </w:rPr>
              <w:t>“</w:t>
            </w:r>
            <w:r>
              <w:rPr>
                <w:rFonts w:ascii="SimSun" w:eastAsia="SimSun" w:hAnsi="SimSun" w:cs="SimSun"/>
                <w:color w:val="000000"/>
                <w:spacing w:val="0"/>
                <w:w w:val="100"/>
                <w:position w:val="0"/>
                <w:sz w:val="17"/>
                <w:szCs w:val="17"/>
              </w:rPr>
              <w:t>公司</w:t>
            </w:r>
            <w:r>
              <w:rPr>
                <w:color w:val="000000"/>
                <w:spacing w:val="0"/>
                <w:w w:val="100"/>
                <w:position w:val="0"/>
                <w:sz w:val="18"/>
                <w:szCs w:val="18"/>
              </w:rPr>
              <w:t>”</w:t>
            </w:r>
            <w:r>
              <w:rPr>
                <w:rFonts w:ascii="SimSun" w:eastAsia="SimSun" w:hAnsi="SimSun" w:cs="SimSun"/>
                <w:color w:val="000000"/>
                <w:spacing w:val="0"/>
                <w:w w:val="100"/>
                <w:position w:val="0"/>
                <w:sz w:val="17"/>
                <w:szCs w:val="17"/>
              </w:rPr>
              <w:t>）的董事、高级管理人员将忠实、 勤勉地履行职责，维护公司和全体股东的 合法权益。为贯彻执行上述规定和文件精 神，公司全体董事、高级管理人员作出以 下承诺：（一）承诺不无偿或以不公平条 件向其他单位或者个人输送利益，也不采 用其他方式损害公司利益。（二）承诺对 职务消费行为进行约束。（三）承诺不动 用公司资产从事与履行职责无关的投资、 消费活动。（四）承诺由董事会或薪酬与 考核委员会制定的薪酬制度与公司填补 回报措施的执行情况相挂钩。（五）若公 司后续推出股权激励计划，承诺公司股权 激励的行权条件与公司填补回报措施的 执行情况相挂钩。</w:t>
            </w:r>
          </w:p>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公司控股股东东旭集团有限公司、实际控 制人李兆廷承诺：不越权干预公司经营 管理活动，不侵占公司利益。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r>
        <w:trPr>
          <w:trHeight w:val="5050"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规范和减少</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关联交易的</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）本集团将继续严格按照《公司法》 等法律法规以及宝安地产《公司章程》的 有关规定行使股东权利或者董事权利，在 宝安地产股东大会以及董事会对有关涉 及本集团事项的关联交易进行表决时，履 行回避表决的义务。（</w:t>
            </w:r>
            <w:r>
              <w:rPr>
                <w:color w:val="000000"/>
                <w:spacing w:val="0"/>
                <w:w w:val="100"/>
                <w:position w:val="0"/>
                <w:sz w:val="18"/>
                <w:szCs w:val="18"/>
              </w:rPr>
              <w:t>2</w:t>
            </w:r>
            <w:r>
              <w:rPr>
                <w:rFonts w:ascii="SimSun" w:eastAsia="SimSun" w:hAnsi="SimSun" w:cs="SimSun"/>
                <w:color w:val="000000"/>
                <w:spacing w:val="0"/>
                <w:w w:val="100"/>
                <w:position w:val="0"/>
                <w:sz w:val="17"/>
                <w:szCs w:val="17"/>
              </w:rPr>
              <w:t>）为了减少和规范 本次发行完成后的关联交易，维护上市公 司及中小股东的合法权益，将尽量减少与 宝安地产之间的关联交易。在进行确有必 要且无法规避的关联交易时，保证按市场 化原则和公允价格进行公平操作，并按宝 安地产《公司章程》、宝安地产有关关联 交易的决策制度、相关法律法规以及规范 性文件的规定履行交易程序及信息披露 义务；保证不通过关联交易损害宝安地产 及其他股东的合法权益。（</w:t>
            </w:r>
            <w:r>
              <w:rPr>
                <w:color w:val="000000"/>
                <w:spacing w:val="0"/>
                <w:w w:val="100"/>
                <w:position w:val="0"/>
                <w:sz w:val="18"/>
                <w:szCs w:val="18"/>
              </w:rPr>
              <w:t>3</w:t>
            </w:r>
            <w:r>
              <w:rPr>
                <w:rFonts w:ascii="SimSun" w:eastAsia="SimSun" w:hAnsi="SimSun" w:cs="SimSun"/>
                <w:color w:val="000000"/>
                <w:spacing w:val="0"/>
                <w:w w:val="100"/>
                <w:position w:val="0"/>
                <w:sz w:val="17"/>
                <w:szCs w:val="17"/>
              </w:rPr>
              <w:t>）本集团在本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1286"/>
        <w:gridCol w:w="850"/>
        <w:gridCol w:w="994"/>
        <w:gridCol w:w="3259"/>
        <w:gridCol w:w="1133"/>
        <w:gridCol w:w="994"/>
        <w:gridCol w:w="1070"/>
      </w:tblGrid>
      <w:tr>
        <w:trPr>
          <w:trHeight w:val="3485"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承诺函中作出的各项声明与承诺，同样适 用于本集团及本集团实际控制人及其一 致行动人下属除上市公司及其下属企业 以外的其他直接或间接控制的企业，本集 团将在合法权限范围内促成该等企业履 行规范与上市公司之间已经存在或可能 发生的关联交易的义务。（</w:t>
            </w:r>
            <w:r>
              <w:rPr>
                <w:color w:val="000000"/>
                <w:spacing w:val="0"/>
                <w:w w:val="100"/>
                <w:position w:val="0"/>
                <w:sz w:val="18"/>
                <w:szCs w:val="18"/>
              </w:rPr>
              <w:t>4</w:t>
            </w:r>
            <w:r>
              <w:rPr>
                <w:rFonts w:ascii="SimSun" w:eastAsia="SimSun" w:hAnsi="SimSun" w:cs="SimSun"/>
                <w:color w:val="000000"/>
                <w:spacing w:val="0"/>
                <w:w w:val="100"/>
                <w:position w:val="0"/>
                <w:sz w:val="17"/>
                <w:szCs w:val="17"/>
              </w:rPr>
              <w:t>）本集团承诺， 若违反本承诺函而导致上市公司产生任 何成本、承担任何责任或者遭受任何损 失，本集团同意就上市公司发生的任何成 本、责任或者损失进行赔偿。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39"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东旭集团 及实际控 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避免同业竞</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）东旭集团将与成都旭双太阳能科技 有限公司、通辽旭通太阳能科技有限公司 的其他投资方共同协商调整两家公司的 主营业务发展方向，未来不再从事与光伏 发电相同或类似的业务。东旭集团将督促 其他下属企业未来将不从事与光伏发电 相同或相似的业务，不进行任何可能与上 市公司从事该业务构成直接或间接竞争 的行为；（</w:t>
            </w:r>
            <w:r>
              <w:rPr>
                <w:color w:val="000000"/>
                <w:spacing w:val="0"/>
                <w:w w:val="100"/>
                <w:position w:val="0"/>
                <w:sz w:val="18"/>
                <w:szCs w:val="18"/>
              </w:rPr>
              <w:t>2</w:t>
            </w:r>
            <w:r>
              <w:rPr>
                <w:rFonts w:ascii="SimSun" w:eastAsia="SimSun" w:hAnsi="SimSun" w:cs="SimSun"/>
                <w:color w:val="000000"/>
                <w:spacing w:val="0"/>
                <w:w w:val="100"/>
                <w:position w:val="0"/>
                <w:sz w:val="17"/>
                <w:szCs w:val="17"/>
              </w:rPr>
              <w:t>）东旭集团或下属其他企业获 得与上市公司从事光伏发电业务相同或 类似的收购、开发和投资等机会，东旭集 团将立即通知上市公司或督促相应下属 企业立即书面通知上市公司，通知中列明 上市公司合理所需的资料，以供上市公司 考虑该等机会是否与上市公司从事的业 务构成同业竞争以及该等机会是否符合 上市公司及股东的整体利益，并尽最大努 力促使该等机会具备转移给上市公司的 条件；（</w:t>
            </w:r>
            <w:r>
              <w:rPr>
                <w:color w:val="000000"/>
                <w:spacing w:val="0"/>
                <w:w w:val="100"/>
                <w:position w:val="0"/>
                <w:sz w:val="18"/>
                <w:szCs w:val="18"/>
              </w:rPr>
              <w:t>3</w:t>
            </w:r>
            <w:r>
              <w:rPr>
                <w:rFonts w:ascii="SimSun" w:eastAsia="SimSun" w:hAnsi="SimSun" w:cs="SimSun"/>
                <w:color w:val="000000"/>
                <w:spacing w:val="0"/>
                <w:w w:val="100"/>
                <w:position w:val="0"/>
                <w:sz w:val="17"/>
                <w:szCs w:val="17"/>
              </w:rPr>
              <w:t>）东旭集团作出的上述声明与承 诺，同样适用于东旭集团及东旭集团实际 控制人及其一致行动人下属除上市公司 及其下属企业以外的其他直接或间接控 制的企业，东旭集团有义务督导并确保东 旭集团及其他下属企业执行上述各事项 安排并严格遵守全部承诺；（</w:t>
            </w:r>
            <w:r>
              <w:rPr>
                <w:color w:val="000000"/>
                <w:spacing w:val="0"/>
                <w:w w:val="100"/>
                <w:position w:val="0"/>
                <w:sz w:val="18"/>
                <w:szCs w:val="18"/>
              </w:rPr>
              <w:t>4</w:t>
            </w:r>
            <w:r>
              <w:rPr>
                <w:rFonts w:ascii="SimSun" w:eastAsia="SimSun" w:hAnsi="SimSun" w:cs="SimSun"/>
                <w:color w:val="000000"/>
                <w:spacing w:val="0"/>
                <w:w w:val="100"/>
                <w:position w:val="0"/>
                <w:sz w:val="17"/>
                <w:szCs w:val="17"/>
              </w:rPr>
              <w:t>）东旭集团 承诺，若违反上述承诺而导致宝安地产产 生任何成本、承担任何责任或者遭受任何 损失，东旭集团同意就宝安地产发生的任 何成本、责任或者损失进行赔偿。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r>
        <w:trPr>
          <w:trHeight w:val="1306"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东旭集团 及实际控 制人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避免同业竞 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东旭集团及实际控制人李兆廷先生承诺 保证通辽旭通未来不会建设与光伏相关 的产品生产线，不会从事与光伏发电相同 或类似的业务，不会与东旭蓝天构成同业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bl>
    <w:tbl>
      <w:tblPr>
        <w:tblOverlap w:val="never"/>
        <w:jc w:val="center"/>
        <w:tblLayout w:type="fixed"/>
      </w:tblPr>
      <w:tblGrid>
        <w:gridCol w:w="1286"/>
        <w:gridCol w:w="850"/>
        <w:gridCol w:w="994"/>
        <w:gridCol w:w="3259"/>
        <w:gridCol w:w="1133"/>
        <w:gridCol w:w="994"/>
        <w:gridCol w:w="1070"/>
      </w:tblGrid>
      <w:tr>
        <w:trPr>
          <w:trHeight w:val="365"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竞争。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其他对公司中 小股东所作承 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东旭蓝天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鉴于公司已将原有房地产开发业务转让 给西藏旭日资本管理有限公司，公司未来 将不再从事房地产开发业务，不再新增房 地产业务投入。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r>
        <w:trPr>
          <w:trHeight w:val="710"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w:t>
            </w:r>
          </w:p>
        </w:tc>
        <w:tc>
          <w:tcPr>
            <w:gridSpan w:val="6"/>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97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如承诺超期未 履行完毕的，应 当详细说明未 完成履行的具 体原因及下一 步的工作计划</w:t>
            </w:r>
          </w:p>
        </w:tc>
        <w:tc>
          <w:tcPr>
            <w:gridSpan w:val="6"/>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239" w:line="1" w:lineRule="exact"/>
      </w:pPr>
    </w:p>
    <w:p>
      <w:pPr>
        <w:pStyle w:val="Style30"/>
        <w:keepNext/>
        <w:keepLines/>
        <w:widowControl w:val="0"/>
        <w:shd w:val="clear" w:color="auto" w:fill="auto"/>
        <w:bidi w:val="0"/>
        <w:spacing w:before="0" w:after="380" w:line="322" w:lineRule="exact"/>
        <w:ind w:left="0" w:right="0" w:firstLine="0"/>
        <w:jc w:val="both"/>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2</w:t>
      </w:r>
      <w:bookmarkEnd w:id="305"/>
      <w:r>
        <w:rPr>
          <w:color w:val="000000"/>
          <w:spacing w:val="0"/>
          <w:w w:val="100"/>
          <w:position w:val="0"/>
        </w:rPr>
        <w:t>、公司资产或项目存在盈利预测，且报告期仍处在盈利预测期间，公司就资产或项目达到原盈利预测及 其原因做出说明</w:t>
      </w:r>
      <w:bookmarkEnd w:id="303"/>
      <w:bookmarkEnd w:id="304"/>
      <w:bookmarkEnd w:id="306"/>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498" w:val="left"/>
        </w:tabs>
        <w:bidi w:val="0"/>
        <w:spacing w:before="0" w:after="380" w:line="240" w:lineRule="auto"/>
        <w:ind w:left="0" w:right="0" w:firstLine="0"/>
        <w:jc w:val="both"/>
      </w:pPr>
      <w:bookmarkStart w:id="307" w:name="bookmark307"/>
      <w:bookmarkStart w:id="308" w:name="bookmark308"/>
      <w:bookmarkStart w:id="309" w:name="bookmark309"/>
      <w:bookmarkStart w:id="310" w:name="bookmark310"/>
      <w:r>
        <w:rPr>
          <w:color w:val="000000"/>
          <w:spacing w:val="0"/>
          <w:w w:val="100"/>
          <w:position w:val="0"/>
        </w:rPr>
        <w:t>四</w:t>
      </w:r>
      <w:bookmarkEnd w:id="309"/>
      <w:r>
        <w:rPr>
          <w:color w:val="000000"/>
          <w:spacing w:val="0"/>
          <w:w w:val="100"/>
          <w:position w:val="0"/>
        </w:rPr>
        <w:t>、</w:t>
        <w:tab/>
        <w:t>控股股东及其关联方对上市公司的非经营性占用资金情况</w:t>
      </w:r>
      <w:bookmarkEnd w:id="307"/>
      <w:bookmarkEnd w:id="308"/>
      <w:bookmarkEnd w:id="310"/>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公司报告期不存在控股股东及其关联方对上市公司的非经营性占用资金。</w:t>
      </w:r>
    </w:p>
    <w:p>
      <w:pPr>
        <w:pStyle w:val="Style22"/>
        <w:keepNext/>
        <w:keepLines/>
        <w:widowControl w:val="0"/>
        <w:shd w:val="clear" w:color="auto" w:fill="auto"/>
        <w:tabs>
          <w:tab w:pos="517" w:val="left"/>
        </w:tabs>
        <w:bidi w:val="0"/>
        <w:spacing w:before="0" w:after="380" w:line="240" w:lineRule="auto"/>
        <w:ind w:left="0" w:right="0" w:firstLine="0"/>
        <w:jc w:val="both"/>
      </w:pPr>
      <w:bookmarkStart w:id="311" w:name="bookmark311"/>
      <w:bookmarkStart w:id="312" w:name="bookmark312"/>
      <w:bookmarkStart w:id="313" w:name="bookmark313"/>
      <w:bookmarkStart w:id="314" w:name="bookmark314"/>
      <w:r>
        <w:rPr>
          <w:color w:val="000000"/>
          <w:spacing w:val="0"/>
          <w:w w:val="100"/>
          <w:position w:val="0"/>
        </w:rPr>
        <w:t>五</w:t>
      </w:r>
      <w:bookmarkEnd w:id="313"/>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11"/>
      <w:bookmarkEnd w:id="312"/>
      <w:bookmarkEnd w:id="314"/>
    </w:p>
    <w:p>
      <w:pPr>
        <w:pStyle w:val="Style26"/>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详见公司同日披露的董事会、监事会、独立董事关于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的有关说明。</w:t>
      </w:r>
    </w:p>
    <w:p>
      <w:pPr>
        <w:pStyle w:val="Style22"/>
        <w:keepNext/>
        <w:keepLines/>
        <w:widowControl w:val="0"/>
        <w:shd w:val="clear" w:color="auto" w:fill="auto"/>
        <w:tabs>
          <w:tab w:pos="517" w:val="left"/>
        </w:tabs>
        <w:bidi w:val="0"/>
        <w:spacing w:before="0" w:after="380" w:line="240" w:lineRule="auto"/>
        <w:ind w:left="0" w:right="0" w:firstLine="0"/>
        <w:jc w:val="both"/>
      </w:pPr>
      <w:bookmarkStart w:id="315" w:name="bookmark315"/>
      <w:bookmarkStart w:id="316" w:name="bookmark316"/>
      <w:bookmarkStart w:id="317" w:name="bookmark317"/>
      <w:bookmarkStart w:id="318" w:name="bookmark318"/>
      <w:r>
        <w:rPr>
          <w:color w:val="000000"/>
          <w:spacing w:val="0"/>
          <w:w w:val="100"/>
          <w:position w:val="0"/>
        </w:rPr>
        <w:t>六</w:t>
      </w:r>
      <w:bookmarkEnd w:id="317"/>
      <w:r>
        <w:rPr>
          <w:color w:val="000000"/>
          <w:spacing w:val="0"/>
          <w:w w:val="100"/>
          <w:position w:val="0"/>
        </w:rPr>
        <w:t>、</w:t>
        <w:tab/>
        <w:t>与上年度财务报告相比，会计政策、会计估计和核算方法发生变化的情况说明</w:t>
      </w:r>
      <w:bookmarkEnd w:id="315"/>
      <w:bookmarkEnd w:id="316"/>
      <w:bookmarkEnd w:id="318"/>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3"/>
        <w:keepNext w:val="0"/>
        <w:keepLines w:val="0"/>
        <w:widowControl w:val="0"/>
        <w:shd w:val="clear" w:color="auto" w:fill="auto"/>
        <w:bidi w:val="0"/>
        <w:spacing w:before="0" w:after="0" w:line="475" w:lineRule="exact"/>
        <w:ind w:left="0" w:right="0" w:firstLine="440"/>
        <w:jc w:val="both"/>
      </w:pPr>
      <w:bookmarkStart w:id="319" w:name="bookmark319"/>
      <w:r>
        <w:rPr>
          <w:color w:val="000000"/>
          <w:spacing w:val="0"/>
          <w:w w:val="100"/>
          <w:position w:val="0"/>
        </w:rPr>
        <w:t>（</w:t>
      </w:r>
      <w:bookmarkEnd w:id="319"/>
      <w:r>
        <w:rPr>
          <w:rFonts w:ascii="Times New Roman" w:eastAsia="Times New Roman" w:hAnsi="Times New Roman" w:cs="Times New Roman"/>
          <w:color w:val="000000"/>
          <w:spacing w:val="0"/>
          <w:w w:val="100"/>
          <w:position w:val="0"/>
        </w:rPr>
        <w:t>1</w:t>
      </w:r>
      <w:r>
        <w:rPr>
          <w:color w:val="000000"/>
          <w:spacing w:val="0"/>
          <w:w w:val="100"/>
          <w:position w:val="0"/>
        </w:rPr>
        <w:t>）会计政策变更</w:t>
      </w:r>
    </w:p>
    <w:p>
      <w:pPr>
        <w:pStyle w:val="Style33"/>
        <w:keepNext w:val="0"/>
        <w:keepLines w:val="0"/>
        <w:widowControl w:val="0"/>
        <w:numPr>
          <w:ilvl w:val="0"/>
          <w:numId w:val="11"/>
        </w:numPr>
        <w:shd w:val="clear" w:color="auto" w:fill="auto"/>
        <w:bidi w:val="0"/>
        <w:spacing w:before="0" w:after="0" w:line="475" w:lineRule="exact"/>
        <w:ind w:left="0" w:right="0" w:firstLine="440"/>
        <w:jc w:val="both"/>
      </w:pPr>
      <w:bookmarkStart w:id="320" w:name="bookmark320"/>
      <w:bookmarkEnd w:id="320"/>
      <w:r>
        <w:rPr>
          <w:color w:val="000000"/>
          <w:spacing w:val="0"/>
          <w:w w:val="100"/>
          <w:position w:val="0"/>
        </w:rPr>
        <w:t>执行修订后的非货币性资产交换会计准则</w:t>
      </w:r>
    </w:p>
    <w:p>
      <w:pPr>
        <w:pStyle w:val="Style33"/>
        <w:keepNext w:val="0"/>
        <w:keepLines w:val="0"/>
        <w:widowControl w:val="0"/>
        <w:shd w:val="clear" w:color="auto" w:fill="auto"/>
        <w:bidi w:val="0"/>
        <w:spacing w:before="0" w:after="0" w:line="475"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日，财政部发布了《关于印发修订</w:t>
      </w:r>
      <w:r>
        <w:rPr>
          <w:rFonts w:ascii="Times New Roman" w:eastAsia="Times New Roman" w:hAnsi="Times New Roman" w:cs="Times New Roman"/>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7</w:t>
      </w:r>
      <w:r>
        <w:rPr>
          <w:color w:val="000000"/>
          <w:spacing w:val="0"/>
          <w:w w:val="100"/>
          <w:position w:val="0"/>
        </w:rPr>
        <w:t>号——非货币性资产交换</w:t>
      </w:r>
      <w:r>
        <w:rPr>
          <w:color w:val="000000"/>
          <w:spacing w:val="0"/>
          <w:w w:val="100"/>
          <w:position w:val="0"/>
        </w:rPr>
        <w:t>〉</w:t>
      </w:r>
      <w:r>
        <w:rPr>
          <w:color w:val="000000"/>
          <w:spacing w:val="0"/>
          <w:w w:val="100"/>
          <w:position w:val="0"/>
        </w:rPr>
        <w:t>的通知》</w:t>
      </w:r>
    </w:p>
    <w:p>
      <w:pPr>
        <w:pStyle w:val="Style33"/>
        <w:keepNext w:val="0"/>
        <w:keepLines w:val="0"/>
        <w:widowControl w:val="0"/>
        <w:shd w:val="clear" w:color="auto" w:fill="auto"/>
        <w:bidi w:val="0"/>
        <w:spacing w:before="0" w:after="380" w:line="475" w:lineRule="exact"/>
        <w:ind w:left="0" w:right="0" w:firstLine="0"/>
        <w:jc w:val="both"/>
      </w:pPr>
      <w:r>
        <w:rPr>
          <w:color w:val="000000"/>
          <w:spacing w:val="0"/>
          <w:w w:val="100"/>
          <w:position w:val="0"/>
        </w:rPr>
        <w:t>（财会【</w:t>
      </w:r>
      <w:r>
        <w:rPr>
          <w:rFonts w:ascii="Times New Roman" w:eastAsia="Times New Roman" w:hAnsi="Times New Roman" w:cs="Times New Roman"/>
          <w:color w:val="000000"/>
          <w:spacing w:val="0"/>
          <w:w w:val="100"/>
          <w:position w:val="0"/>
        </w:rPr>
        <w:t>2019</w:t>
      </w:r>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号），对非货币性资产交换的确认、计量和披露作出修订。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日至该准则施 行日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日之间发生的非货币性资产交换，应根据该准则的规定进行调整；</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 前发生的非货币性资产交换，不需进行追溯调整。</w:t>
      </w:r>
    </w:p>
    <w:p>
      <w:pPr>
        <w:pStyle w:val="Style33"/>
        <w:keepNext w:val="0"/>
        <w:keepLines w:val="0"/>
        <w:widowControl w:val="0"/>
        <w:numPr>
          <w:ilvl w:val="0"/>
          <w:numId w:val="11"/>
        </w:numPr>
        <w:shd w:val="clear" w:color="auto" w:fill="auto"/>
        <w:tabs>
          <w:tab w:pos="777" w:val="left"/>
        </w:tabs>
        <w:bidi w:val="0"/>
        <w:spacing w:before="0" w:after="0" w:line="472" w:lineRule="exact"/>
        <w:ind w:left="0" w:right="0" w:firstLine="440"/>
        <w:jc w:val="left"/>
      </w:pPr>
      <w:bookmarkStart w:id="321" w:name="bookmark321"/>
      <w:bookmarkEnd w:id="321"/>
      <w:r>
        <w:rPr>
          <w:color w:val="000000"/>
          <w:spacing w:val="0"/>
          <w:w w:val="100"/>
          <w:position w:val="0"/>
        </w:rPr>
        <w:t>执行修订后的债务重组会计准则</w:t>
      </w:r>
    </w:p>
    <w:p>
      <w:pPr>
        <w:pStyle w:val="Style33"/>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日，财政部发布了《关于印发修订</w:t>
      </w:r>
      <w:r>
        <w:rPr>
          <w:rFonts w:ascii="Times New Roman" w:eastAsia="Times New Roman" w:hAnsi="Times New Roman" w:cs="Times New Roman"/>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号——债务重组</w:t>
      </w:r>
      <w:r>
        <w:rPr>
          <w:color w:val="000000"/>
          <w:spacing w:val="0"/>
          <w:w w:val="100"/>
          <w:position w:val="0"/>
        </w:rPr>
        <w:t>〉</w:t>
      </w:r>
      <w:r>
        <w:rPr>
          <w:color w:val="000000"/>
          <w:spacing w:val="0"/>
          <w:w w:val="100"/>
          <w:position w:val="0"/>
        </w:rPr>
        <w:t>的通知》（财 会【</w:t>
      </w:r>
      <w:r>
        <w:rPr>
          <w:rFonts w:ascii="Times New Roman" w:eastAsia="Times New Roman" w:hAnsi="Times New Roman" w:cs="Times New Roman"/>
          <w:color w:val="000000"/>
          <w:spacing w:val="0"/>
          <w:w w:val="100"/>
          <w:position w:val="0"/>
        </w:rPr>
        <w:t>2019</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号），对债务重组的确认、计量和披露作出修订。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日至该准则施行日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日之间发生的债务重组，应根据该准则的规定进行调整；</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日之前发生的债务重组，不 需进行追溯调整。</w:t>
      </w:r>
    </w:p>
    <w:p>
      <w:pPr>
        <w:pStyle w:val="Style33"/>
        <w:keepNext w:val="0"/>
        <w:keepLines w:val="0"/>
        <w:widowControl w:val="0"/>
        <w:numPr>
          <w:ilvl w:val="0"/>
          <w:numId w:val="11"/>
        </w:numPr>
        <w:shd w:val="clear" w:color="auto" w:fill="auto"/>
        <w:tabs>
          <w:tab w:pos="777" w:val="left"/>
        </w:tabs>
        <w:bidi w:val="0"/>
        <w:spacing w:before="0" w:after="0" w:line="470" w:lineRule="exact"/>
        <w:ind w:left="0" w:right="0" w:firstLine="440"/>
        <w:jc w:val="both"/>
      </w:pPr>
      <w:bookmarkStart w:id="322" w:name="bookmark322"/>
      <w:bookmarkEnd w:id="322"/>
      <w:r>
        <w:rPr>
          <w:color w:val="000000"/>
          <w:spacing w:val="0"/>
          <w:w w:val="100"/>
          <w:position w:val="0"/>
        </w:rPr>
        <w:t>采用新的财务报表格式</w:t>
      </w:r>
    </w:p>
    <w:p>
      <w:pPr>
        <w:pStyle w:val="Style33"/>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日，财政部发布了《关于修订印发</w:t>
      </w:r>
      <w:r>
        <w:rPr>
          <w:rFonts w:ascii="Times New Roman" w:eastAsia="Times New Roman" w:hAnsi="Times New Roman" w:cs="Times New Roman"/>
          <w:color w:val="000000"/>
          <w:spacing w:val="0"/>
          <w:w w:val="100"/>
          <w:position w:val="0"/>
        </w:rPr>
        <w:t>2018</w:t>
      </w:r>
      <w:r>
        <w:rPr>
          <w:color w:val="000000"/>
          <w:spacing w:val="0"/>
          <w:w w:val="100"/>
          <w:position w:val="0"/>
        </w:rPr>
        <w:t>年度合并财务报表格式的通知》（财会</w:t>
      </w:r>
      <w:r>
        <w:rPr>
          <w:rFonts w:ascii="Times New Roman" w:eastAsia="Times New Roman" w:hAnsi="Times New Roman" w:cs="Times New Roman"/>
          <w:color w:val="000000"/>
          <w:spacing w:val="0"/>
          <w:w w:val="100"/>
          <w:position w:val="0"/>
        </w:rPr>
        <w:t xml:space="preserve">[2019]1 </w:t>
      </w:r>
      <w:r>
        <w:rPr>
          <w:color w:val="000000"/>
          <w:spacing w:val="0"/>
          <w:w w:val="100"/>
          <w:position w:val="0"/>
        </w:rPr>
        <w:t>号）；</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日，财政部发布了《关于修订印发</w:t>
      </w:r>
      <w:r>
        <w:rPr>
          <w:rFonts w:ascii="Times New Roman" w:eastAsia="Times New Roman" w:hAnsi="Times New Roman" w:cs="Times New Roman"/>
          <w:color w:val="000000"/>
          <w:spacing w:val="0"/>
          <w:w w:val="100"/>
          <w:position w:val="0"/>
        </w:rPr>
        <w:t>2019</w:t>
      </w:r>
      <w:r>
        <w:rPr>
          <w:color w:val="000000"/>
          <w:spacing w:val="0"/>
          <w:w w:val="100"/>
          <w:position w:val="0"/>
        </w:rPr>
        <w:t>年度一般企业财务报表格式的通知》（财会 〔</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6</w:t>
      </w:r>
      <w:r>
        <w:rPr>
          <w:color w:val="000000"/>
          <w:spacing w:val="0"/>
          <w:w w:val="100"/>
          <w:position w:val="0"/>
        </w:rPr>
        <w:t>号）。本公司</w:t>
      </w:r>
      <w:r>
        <w:rPr>
          <w:rFonts w:ascii="Times New Roman" w:eastAsia="Times New Roman" w:hAnsi="Times New Roman" w:cs="Times New Roman"/>
          <w:color w:val="000000"/>
          <w:spacing w:val="0"/>
          <w:w w:val="100"/>
          <w:position w:val="0"/>
        </w:rPr>
        <w:t>2019</w:t>
      </w:r>
      <w:r>
        <w:rPr>
          <w:color w:val="000000"/>
          <w:spacing w:val="0"/>
          <w:w w:val="100"/>
          <w:position w:val="0"/>
        </w:rPr>
        <w:t>年属于执行新金融工具准则，但未执行新收入准则和新租赁准则情形，资产 负债表、利润表、现金流量表及股东权益变动表列报项目的变化，主要是执新金融工具准则导致的变化， 在以下执行新金融工具准则中反映。财会〔</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6</w:t>
      </w:r>
      <w:r>
        <w:rPr>
          <w:color w:val="000000"/>
          <w:spacing w:val="0"/>
          <w:w w:val="100"/>
          <w:position w:val="0"/>
        </w:rPr>
        <w:t>号中还将</w:t>
      </w:r>
      <w:r>
        <w:rPr>
          <w:rFonts w:ascii="Times New Roman" w:eastAsia="Times New Roman" w:hAnsi="Times New Roman" w:cs="Times New Roman"/>
          <w:color w:val="000000"/>
          <w:spacing w:val="0"/>
          <w:w w:val="100"/>
          <w:position w:val="0"/>
        </w:rPr>
        <w:t>“</w:t>
      </w:r>
      <w:r>
        <w:rPr>
          <w:color w:val="000000"/>
          <w:spacing w:val="0"/>
          <w:w w:val="100"/>
          <w:position w:val="0"/>
        </w:rPr>
        <w:t>应收票据及应收账款</w:t>
      </w:r>
      <w:r>
        <w:rPr>
          <w:rFonts w:ascii="Times New Roman" w:eastAsia="Times New Roman" w:hAnsi="Times New Roman" w:cs="Times New Roman"/>
          <w:color w:val="000000"/>
          <w:spacing w:val="0"/>
          <w:w w:val="100"/>
          <w:position w:val="0"/>
        </w:rPr>
        <w:t>”</w:t>
      </w:r>
      <w:r>
        <w:rPr>
          <w:color w:val="000000"/>
          <w:spacing w:val="0"/>
          <w:w w:val="100"/>
          <w:position w:val="0"/>
        </w:rPr>
        <w:t>拆分为</w:t>
      </w:r>
      <w:r>
        <w:rPr>
          <w:rFonts w:ascii="Times New Roman" w:eastAsia="Times New Roman" w:hAnsi="Times New Roman" w:cs="Times New Roman"/>
          <w:color w:val="000000"/>
          <w:spacing w:val="0"/>
          <w:w w:val="100"/>
          <w:position w:val="0"/>
        </w:rPr>
        <w:t>“</w:t>
      </w:r>
      <w:r>
        <w:rPr>
          <w:color w:val="000000"/>
          <w:spacing w:val="0"/>
          <w:w w:val="100"/>
          <w:position w:val="0"/>
        </w:rPr>
        <w:t>应收票据</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应 收账款</w:t>
      </w:r>
      <w:r>
        <w:rPr>
          <w:rFonts w:ascii="Times New Roman" w:eastAsia="Times New Roman" w:hAnsi="Times New Roman" w:cs="Times New Roman"/>
          <w:color w:val="000000"/>
          <w:spacing w:val="0"/>
          <w:w w:val="100"/>
          <w:position w:val="0"/>
        </w:rPr>
        <w:t>”</w:t>
      </w:r>
      <w:r>
        <w:rPr>
          <w:color w:val="000000"/>
          <w:spacing w:val="0"/>
          <w:w w:val="100"/>
          <w:position w:val="0"/>
        </w:rPr>
        <w:t>，将</w:t>
      </w:r>
      <w:r>
        <w:rPr>
          <w:rFonts w:ascii="Times New Roman" w:eastAsia="Times New Roman" w:hAnsi="Times New Roman" w:cs="Times New Roman"/>
          <w:color w:val="000000"/>
          <w:spacing w:val="0"/>
          <w:w w:val="100"/>
          <w:position w:val="0"/>
        </w:rPr>
        <w:t>“</w:t>
      </w:r>
      <w:r>
        <w:rPr>
          <w:color w:val="000000"/>
          <w:spacing w:val="0"/>
          <w:w w:val="100"/>
          <w:position w:val="0"/>
        </w:rPr>
        <w:t>应付票据及应付账款</w:t>
      </w:r>
      <w:r>
        <w:rPr>
          <w:rFonts w:ascii="Times New Roman" w:eastAsia="Times New Roman" w:hAnsi="Times New Roman" w:cs="Times New Roman"/>
          <w:color w:val="000000"/>
          <w:spacing w:val="0"/>
          <w:w w:val="100"/>
          <w:position w:val="0"/>
        </w:rPr>
        <w:t>”</w:t>
      </w:r>
      <w:r>
        <w:rPr>
          <w:color w:val="000000"/>
          <w:spacing w:val="0"/>
          <w:w w:val="100"/>
          <w:position w:val="0"/>
        </w:rPr>
        <w:t>拆分为</w:t>
      </w:r>
      <w:r>
        <w:rPr>
          <w:rFonts w:ascii="Times New Roman" w:eastAsia="Times New Roman" w:hAnsi="Times New Roman" w:cs="Times New Roman"/>
          <w:color w:val="000000"/>
          <w:spacing w:val="0"/>
          <w:w w:val="100"/>
          <w:position w:val="0"/>
        </w:rPr>
        <w:t>“</w:t>
      </w:r>
      <w:r>
        <w:rPr>
          <w:color w:val="000000"/>
          <w:spacing w:val="0"/>
          <w:w w:val="100"/>
          <w:position w:val="0"/>
        </w:rPr>
        <w:t>应付票据</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应付账款</w:t>
      </w:r>
      <w:r>
        <w:rPr>
          <w:rFonts w:ascii="Times New Roman" w:eastAsia="Times New Roman" w:hAnsi="Times New Roman" w:cs="Times New Roman"/>
          <w:color w:val="000000"/>
          <w:spacing w:val="0"/>
          <w:w w:val="100"/>
          <w:position w:val="0"/>
        </w:rPr>
        <w:t>”</w:t>
      </w:r>
      <w:r>
        <w:rPr>
          <w:color w:val="000000"/>
          <w:spacing w:val="0"/>
          <w:w w:val="100"/>
          <w:position w:val="0"/>
        </w:rPr>
        <w:t>，分别列示。</w:t>
      </w:r>
    </w:p>
    <w:p>
      <w:pPr>
        <w:pStyle w:val="Style33"/>
        <w:keepNext w:val="0"/>
        <w:keepLines w:val="0"/>
        <w:widowControl w:val="0"/>
        <w:numPr>
          <w:ilvl w:val="0"/>
          <w:numId w:val="11"/>
        </w:numPr>
        <w:shd w:val="clear" w:color="auto" w:fill="auto"/>
        <w:tabs>
          <w:tab w:pos="777" w:val="left"/>
        </w:tabs>
        <w:bidi w:val="0"/>
        <w:spacing w:before="0" w:after="0" w:line="470" w:lineRule="exact"/>
        <w:ind w:left="0" w:right="0" w:firstLine="440"/>
        <w:jc w:val="both"/>
      </w:pPr>
      <w:bookmarkStart w:id="323" w:name="bookmark323"/>
      <w:bookmarkEnd w:id="323"/>
      <w:r>
        <w:rPr>
          <w:color w:val="000000"/>
          <w:spacing w:val="0"/>
          <w:w w:val="100"/>
          <w:position w:val="0"/>
        </w:rPr>
        <w:t>执行新金融工具准则</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日起执行财政部于</w:t>
      </w:r>
      <w:r>
        <w:rPr>
          <w:rFonts w:ascii="Times New Roman" w:eastAsia="Times New Roman" w:hAnsi="Times New Roman" w:cs="Times New Roman"/>
          <w:color w:val="000000"/>
          <w:spacing w:val="0"/>
          <w:w w:val="100"/>
          <w:position w:val="0"/>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一</w:t>
      </w:r>
      <w:r>
        <w:rPr>
          <w:color w:val="000000"/>
          <w:spacing w:val="0"/>
          <w:w w:val="100"/>
          <w:position w:val="0"/>
        </w:rPr>
        <w:t>金融工具确认和 计量》、《企业会计准则第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金融资产转移》、《企业会计准则第</w:t>
      </w:r>
      <w:r>
        <w:rPr>
          <w:rFonts w:ascii="Times New Roman" w:eastAsia="Times New Roman" w:hAnsi="Times New Roman" w:cs="Times New Roman"/>
          <w:color w:val="000000"/>
          <w:spacing w:val="0"/>
          <w:w w:val="100"/>
          <w:position w:val="0"/>
        </w:rPr>
        <w:t>24</w:t>
      </w:r>
      <w:r>
        <w:rPr>
          <w:color w:val="000000"/>
          <w:spacing w:val="0"/>
          <w:w w:val="100"/>
          <w:position w:val="0"/>
        </w:rPr>
        <w:t>号</w:t>
      </w:r>
      <w:r>
        <w:rPr>
          <w:color w:val="000000"/>
          <w:spacing w:val="0"/>
          <w:w w:val="100"/>
          <w:position w:val="0"/>
        </w:rPr>
        <w:t>一</w:t>
      </w:r>
      <w:r>
        <w:rPr>
          <w:color w:val="000000"/>
          <w:spacing w:val="0"/>
          <w:w w:val="100"/>
          <w:position w:val="0"/>
        </w:rPr>
        <w:t>套期会计》和《企业会计 准则第</w:t>
      </w:r>
      <w:r>
        <w:rPr>
          <w:rFonts w:ascii="Times New Roman" w:eastAsia="Times New Roman" w:hAnsi="Times New Roman" w:cs="Times New Roman"/>
          <w:color w:val="000000"/>
          <w:spacing w:val="0"/>
          <w:w w:val="100"/>
          <w:position w:val="0"/>
        </w:rPr>
        <w:t>37</w:t>
      </w:r>
      <w:r>
        <w:rPr>
          <w:color w:val="000000"/>
          <w:spacing w:val="0"/>
          <w:w w:val="100"/>
          <w:position w:val="0"/>
        </w:rPr>
        <w:t>号</w:t>
      </w:r>
      <w:r>
        <w:rPr>
          <w:color w:val="000000"/>
          <w:spacing w:val="0"/>
          <w:w w:val="100"/>
          <w:position w:val="0"/>
        </w:rPr>
        <w:t>一</w:t>
      </w:r>
      <w:r>
        <w:rPr>
          <w:color w:val="000000"/>
          <w:spacing w:val="0"/>
          <w:w w:val="100"/>
          <w:position w:val="0"/>
        </w:rPr>
        <w:t>金融工具列报》</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新金融工具准则</w:t>
      </w:r>
      <w:r>
        <w:rPr>
          <w:rFonts w:ascii="Times New Roman" w:eastAsia="Times New Roman" w:hAnsi="Times New Roman" w:cs="Times New Roman"/>
          <w:color w:val="000000"/>
          <w:spacing w:val="0"/>
          <w:w w:val="100"/>
          <w:position w:val="0"/>
        </w:rPr>
        <w:t>”</w:t>
      </w:r>
      <w:r>
        <w:rPr>
          <w:color w:val="000000"/>
          <w:spacing w:val="0"/>
          <w:w w:val="100"/>
          <w:position w:val="0"/>
        </w:rPr>
        <w:t>，修订前的金融工具准则简称</w:t>
      </w:r>
      <w:r>
        <w:rPr>
          <w:rFonts w:ascii="Times New Roman" w:eastAsia="Times New Roman" w:hAnsi="Times New Roman" w:cs="Times New Roman"/>
          <w:color w:val="000000"/>
          <w:spacing w:val="0"/>
          <w:w w:val="100"/>
          <w:position w:val="0"/>
        </w:rPr>
        <w:t>“</w:t>
      </w:r>
      <w:r>
        <w:rPr>
          <w:color w:val="000000"/>
          <w:spacing w:val="0"/>
          <w:w w:val="100"/>
          <w:position w:val="0"/>
        </w:rPr>
        <w:t>原金融工具准则</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金融资产分类与计量方面，新金融工具准则要求金融资产基于合同现金流量特征及企业管理该等资产 的业务模式分类为以摊余成本计量的金融资产、以公允价值计量且其变动计入其他综合收益的金融资产和 以公允价值计量且其变动计入当期损益的金融资产三大类别。取消了贷款和应收款项、持有至到期投资和 可供出售金融资产等原分类。权益工具投资一般分类为以公允价值计量且其变动计入当期损益的金融资产， 也允许企业将非交易性权益工具投资指定为以公允价值计量且其变动计入其他综合收益的金融资产，但该 指定不可撤销，且在处置时不得将原计入其他综合收益的累计公允价值变动额结转计入当期损益。</w:t>
      </w:r>
    </w:p>
    <w:p>
      <w:pPr>
        <w:pStyle w:val="Style3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金融资产减值方面，新金融工具准则有关减值的要求适用于以摊余成本计量以及分类为以公允价值计 量且其变动计入其他综合收益的债务工具投资、租赁应收款以及未提用的贷款承诺和财务担保合同等。新 金融工具准则要求采用预期信用损失模型以替代原先的已发生信用损失模型。</w:t>
      </w:r>
    </w:p>
    <w:p>
      <w:pPr>
        <w:pStyle w:val="Style33"/>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日之前的金融工具确认和计量与新金融工具准则要求不一致的，本公司按照新金融工具 准则的要求进行衔接调整。涉及前期比较财务报表数据与新金融工具准则要求不一致的，本公司不进行调 整。金融工具原账面价值和在新金融工具准则施行日的新账面价值之间的差额，计入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 留存收益或其他综合收益。</w:t>
      </w:r>
    </w:p>
    <w:p>
      <w:pPr>
        <w:pStyle w:val="Style22"/>
        <w:keepNext/>
        <w:keepLines/>
        <w:widowControl w:val="0"/>
        <w:shd w:val="clear" w:color="auto" w:fill="auto"/>
        <w:tabs>
          <w:tab w:pos="522" w:val="left"/>
        </w:tabs>
        <w:bidi w:val="0"/>
        <w:spacing w:before="0" w:after="380" w:line="240" w:lineRule="auto"/>
        <w:ind w:left="0" w:right="0" w:firstLine="0"/>
        <w:jc w:val="left"/>
      </w:pPr>
      <w:bookmarkStart w:id="324" w:name="bookmark324"/>
      <w:bookmarkStart w:id="325" w:name="bookmark325"/>
      <w:bookmarkStart w:id="326" w:name="bookmark326"/>
      <w:bookmarkStart w:id="327" w:name="bookmark327"/>
      <w:r>
        <w:rPr>
          <w:color w:val="000000"/>
          <w:spacing w:val="0"/>
          <w:w w:val="100"/>
          <w:position w:val="0"/>
        </w:rPr>
        <w:t>七</w:t>
      </w:r>
      <w:bookmarkEnd w:id="326"/>
      <w:r>
        <w:rPr>
          <w:color w:val="000000"/>
          <w:spacing w:val="0"/>
          <w:w w:val="100"/>
          <w:position w:val="0"/>
        </w:rPr>
        <w:t>、</w:t>
        <w:tab/>
        <w:t>报告期内发生重大会计差错更正需追溯重述的情况说明</w:t>
      </w:r>
      <w:bookmarkEnd w:id="324"/>
      <w:bookmarkEnd w:id="325"/>
      <w:bookmarkEnd w:id="327"/>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公司报告期无重大会计差错更正需追溯重述的情况。</w:t>
      </w:r>
    </w:p>
    <w:p>
      <w:pPr>
        <w:pStyle w:val="Style22"/>
        <w:keepNext/>
        <w:keepLines/>
        <w:widowControl w:val="0"/>
        <w:shd w:val="clear" w:color="auto" w:fill="auto"/>
        <w:tabs>
          <w:tab w:pos="522" w:val="left"/>
        </w:tabs>
        <w:bidi w:val="0"/>
        <w:spacing w:before="0" w:after="380" w:line="240" w:lineRule="auto"/>
        <w:ind w:left="0" w:right="0" w:firstLine="0"/>
        <w:jc w:val="left"/>
      </w:pPr>
      <w:bookmarkStart w:id="328" w:name="bookmark328"/>
      <w:bookmarkStart w:id="329" w:name="bookmark329"/>
      <w:bookmarkStart w:id="330" w:name="bookmark330"/>
      <w:bookmarkStart w:id="331" w:name="bookmark331"/>
      <w:r>
        <w:rPr>
          <w:color w:val="000000"/>
          <w:spacing w:val="0"/>
          <w:w w:val="100"/>
          <w:position w:val="0"/>
        </w:rPr>
        <w:t>八</w:t>
      </w:r>
      <w:bookmarkEnd w:id="330"/>
      <w:r>
        <w:rPr>
          <w:color w:val="000000"/>
          <w:spacing w:val="0"/>
          <w:w w:val="100"/>
          <w:position w:val="0"/>
        </w:rPr>
        <w:t>、</w:t>
        <w:tab/>
        <w:t>与上年度财务报告相比，合并报表范围发生变化的情况说明</w:t>
      </w:r>
      <w:bookmarkEnd w:id="328"/>
      <w:bookmarkEnd w:id="329"/>
      <w:bookmarkEnd w:id="331"/>
    </w:p>
    <w:p>
      <w:pPr>
        <w:pStyle w:val="Style26"/>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260" w:line="240" w:lineRule="auto"/>
        <w:ind w:left="0" w:right="0" w:firstLine="440"/>
        <w:jc w:val="left"/>
      </w:pPr>
      <w:bookmarkStart w:id="332" w:name="bookmark332"/>
      <w:r>
        <w:rPr>
          <w:rFonts w:ascii="Times New Roman" w:eastAsia="Times New Roman" w:hAnsi="Times New Roman" w:cs="Times New Roman"/>
          <w:b/>
          <w:bCs/>
          <w:color w:val="000000"/>
          <w:spacing w:val="0"/>
          <w:w w:val="100"/>
          <w:position w:val="0"/>
        </w:rPr>
        <w:t>1</w:t>
      </w:r>
      <w:bookmarkEnd w:id="332"/>
      <w:r>
        <w:rPr>
          <w:b/>
          <w:bCs/>
          <w:color w:val="000000"/>
          <w:spacing w:val="0"/>
          <w:w w:val="100"/>
          <w:position w:val="0"/>
        </w:rPr>
        <w:t>、非同一控制下企业合并</w:t>
      </w:r>
    </w:p>
    <w:p>
      <w:pPr>
        <w:pStyle w:val="Style33"/>
        <w:keepNext w:val="0"/>
        <w:keepLines w:val="0"/>
        <w:widowControl w:val="0"/>
        <w:shd w:val="clear" w:color="auto" w:fill="auto"/>
        <w:bidi w:val="0"/>
        <w:spacing w:before="0" w:after="260" w:line="240" w:lineRule="auto"/>
        <w:ind w:left="0" w:right="0" w:firstLine="640"/>
        <w:jc w:val="left"/>
      </w:pPr>
      <w:r>
        <w:rPr>
          <w:color w:val="000000"/>
          <w:spacing w:val="0"/>
          <w:w w:val="100"/>
          <w:position w:val="0"/>
        </w:rPr>
        <w:t>本期无非同一控制下企业合并情况。</w:t>
      </w:r>
    </w:p>
    <w:p>
      <w:pPr>
        <w:pStyle w:val="Style33"/>
        <w:keepNext w:val="0"/>
        <w:keepLines w:val="0"/>
        <w:widowControl w:val="0"/>
        <w:shd w:val="clear" w:color="auto" w:fill="auto"/>
        <w:bidi w:val="0"/>
        <w:spacing w:before="0" w:after="100" w:line="240" w:lineRule="auto"/>
        <w:ind w:left="0" w:right="0" w:firstLine="440"/>
        <w:jc w:val="left"/>
      </w:pPr>
      <w:bookmarkStart w:id="333" w:name="bookmark333"/>
      <w:r>
        <w:rPr>
          <w:rFonts w:ascii="Times New Roman" w:eastAsia="Times New Roman" w:hAnsi="Times New Roman" w:cs="Times New Roman"/>
          <w:b/>
          <w:bCs/>
          <w:color w:val="000000"/>
          <w:spacing w:val="0"/>
          <w:w w:val="100"/>
          <w:position w:val="0"/>
        </w:rPr>
        <w:t>2</w:t>
      </w:r>
      <w:bookmarkEnd w:id="333"/>
      <w:r>
        <w:rPr>
          <w:b/>
          <w:bCs/>
          <w:color w:val="000000"/>
          <w:spacing w:val="0"/>
          <w:w w:val="100"/>
          <w:position w:val="0"/>
        </w:rPr>
        <w:t>、本期新设增加的子公司</w:t>
      </w:r>
    </w:p>
    <w:tbl>
      <w:tblPr>
        <w:tblOverlap w:val="never"/>
        <w:jc w:val="center"/>
        <w:tblLayout w:type="fixed"/>
      </w:tblPr>
      <w:tblGrid>
        <w:gridCol w:w="4512"/>
        <w:gridCol w:w="1272"/>
        <w:gridCol w:w="850"/>
        <w:gridCol w:w="931"/>
        <w:gridCol w:w="1738"/>
      </w:tblGrid>
      <w:tr>
        <w:trPr>
          <w:trHeight w:val="360"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公司名称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公司关系</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持股比例（</w:t>
            </w:r>
            <w:r>
              <w:rPr>
                <w:rFonts w:ascii="SimSun" w:eastAsia="SimSun" w:hAnsi="SimSun" w:cs="SimSun"/>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注册资本（万元）</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直接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间接</w:t>
            </w:r>
          </w:p>
        </w:tc>
        <w:tc>
          <w:tcPr>
            <w:vMerge/>
            <w:tcBorders>
              <w:left w:val="single" w:sz="4"/>
              <w:right w:val="single" w:sz="4"/>
            </w:tcBorders>
            <w:shd w:val="clear" w:color="auto" w:fill="FFFFFF"/>
            <w:vAlign w:val="center"/>
          </w:tcPr>
          <w:p>
            <w:pP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锦州旭蓝电力新能源有限公司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80,000.00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安徽旭禾农业科技有限公司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2,000.00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团风县正旭新能源有限公司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长春市旭蓝新能源有限公司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安阳旭冠日冕新能源科技有限公司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安阳东沪龙跃新能源科技有限公司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青岛旭辰节能科技有限公司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20,000.00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青岛旭蓝产业基金合伙企业</w:t>
            </w:r>
            <w:r>
              <w:rPr>
                <w:color w:val="000000"/>
                <w:spacing w:val="0"/>
                <w:w w:val="100"/>
                <w:position w:val="0"/>
                <w:sz w:val="20"/>
                <w:szCs w:val="20"/>
              </w:rPr>
              <w:t>（</w:t>
            </w:r>
            <w:r>
              <w:rPr>
                <w:rFonts w:ascii="SimSun" w:eastAsia="SimSun" w:hAnsi="SimSun" w:cs="SimSun"/>
                <w:color w:val="000000"/>
                <w:spacing w:val="0"/>
                <w:w w:val="100"/>
                <w:position w:val="0"/>
                <w:sz w:val="20"/>
                <w:szCs w:val="20"/>
              </w:rPr>
              <w:t>有限合伙</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一级子公司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东旭鸿鼎（天津）文化旅游有限公司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一级子公司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2,000.00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东旭制胜（厦门）节能科技有限公司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一级子公司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5,000.00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海南旭通新能源科技有限公司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青岛旭阳新能源有限公司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平度市旭弘新能源有限公司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3,000.00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宁夏旭通新能源科技有限公司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宁夏旭卫新能源科技有限公司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承德新旭新能源科技有限公司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滦平县旭欣新能源科技有限公司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宁夏旭盛新能源科技有限公司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45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宁夏旭蓝新能源科技有限公司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三级子公司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bl>
    <w:p>
      <w:pPr>
        <w:widowControl w:val="0"/>
        <w:spacing w:after="579" w:line="1" w:lineRule="exact"/>
      </w:pPr>
    </w:p>
    <w:p>
      <w:pPr>
        <w:pStyle w:val="Style33"/>
        <w:keepNext w:val="0"/>
        <w:keepLines w:val="0"/>
        <w:widowControl w:val="0"/>
        <w:shd w:val="clear" w:color="auto" w:fill="auto"/>
        <w:bidi w:val="0"/>
        <w:spacing w:before="0" w:after="320" w:line="240" w:lineRule="auto"/>
        <w:ind w:left="0" w:right="0" w:firstLine="440"/>
        <w:jc w:val="left"/>
      </w:pPr>
      <w:bookmarkStart w:id="334" w:name="bookmark334"/>
      <w:r>
        <w:rPr>
          <w:rFonts w:ascii="Times New Roman" w:eastAsia="Times New Roman" w:hAnsi="Times New Roman" w:cs="Times New Roman"/>
          <w:b/>
          <w:bCs/>
          <w:color w:val="000000"/>
          <w:spacing w:val="0"/>
          <w:w w:val="100"/>
          <w:position w:val="0"/>
        </w:rPr>
        <w:t>3</w:t>
      </w:r>
      <w:bookmarkEnd w:id="334"/>
      <w:r>
        <w:rPr>
          <w:b/>
          <w:bCs/>
          <w:color w:val="000000"/>
          <w:spacing w:val="0"/>
          <w:w w:val="100"/>
          <w:position w:val="0"/>
        </w:rPr>
        <w:t>、本期减少合并范围</w:t>
      </w:r>
      <w:r>
        <w:br w:type="page"/>
      </w:r>
    </w:p>
    <w:tbl>
      <w:tblPr>
        <w:tblOverlap w:val="never"/>
        <w:jc w:val="center"/>
        <w:tblLayout w:type="fixed"/>
      </w:tblPr>
      <w:tblGrid>
        <w:gridCol w:w="1387"/>
        <w:gridCol w:w="1186"/>
        <w:gridCol w:w="989"/>
        <w:gridCol w:w="960"/>
        <w:gridCol w:w="1066"/>
        <w:gridCol w:w="2131"/>
        <w:gridCol w:w="1502"/>
      </w:tblGrid>
      <w:tr>
        <w:trPr>
          <w:trHeight w:val="19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b/>
                <w:bCs/>
                <w:color w:val="000000"/>
                <w:spacing w:val="0"/>
                <w:w w:val="100"/>
                <w:position w:val="0"/>
                <w:sz w:val="20"/>
                <w:szCs w:val="20"/>
              </w:rPr>
              <w:t>股权处置价 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center"/>
              <w:rPr>
                <w:sz w:val="20"/>
                <w:szCs w:val="20"/>
              </w:rPr>
            </w:pPr>
            <w:r>
              <w:rPr>
                <w:rFonts w:ascii="SimSun" w:eastAsia="SimSun" w:hAnsi="SimSun" w:cs="SimSun"/>
                <w:b/>
                <w:bCs/>
                <w:color w:val="000000"/>
                <w:spacing w:val="0"/>
                <w:w w:val="100"/>
                <w:position w:val="0"/>
                <w:sz w:val="20"/>
                <w:szCs w:val="20"/>
              </w:rPr>
              <w:t>股权处置 比例（</w:t>
            </w:r>
            <w:r>
              <w:rPr>
                <w:rFonts w:ascii="SimSun" w:eastAsia="SimSun" w:hAnsi="SimSun" w:cs="SimSun"/>
                <w:b/>
                <w:bCs/>
                <w:color w:val="000000"/>
                <w:spacing w:val="0"/>
                <w:w w:val="100"/>
                <w:position w:val="0"/>
                <w:sz w:val="20"/>
                <w:szCs w:val="20"/>
              </w:rPr>
              <w:t>％</w:t>
            </w:r>
            <w:r>
              <w:rPr>
                <w:rFonts w:ascii="SimSun" w:eastAsia="SimSun" w:hAnsi="SimSun" w:cs="SimSun"/>
                <w:b/>
                <w:bCs/>
                <w:color w:val="000000"/>
                <w:spacing w:val="0"/>
                <w:w w:val="100"/>
                <w:position w:val="0"/>
                <w:sz w:val="20"/>
                <w:szCs w:val="2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260" w:right="0" w:hanging="260"/>
              <w:jc w:val="left"/>
              <w:rPr>
                <w:sz w:val="20"/>
                <w:szCs w:val="20"/>
              </w:rPr>
            </w:pPr>
            <w:r>
              <w:rPr>
                <w:rFonts w:ascii="SimSun" w:eastAsia="SimSun" w:hAnsi="SimSun" w:cs="SimSun"/>
                <w:b/>
                <w:bCs/>
                <w:color w:val="000000"/>
                <w:spacing w:val="0"/>
                <w:w w:val="100"/>
                <w:position w:val="0"/>
                <w:sz w:val="20"/>
                <w:szCs w:val="20"/>
              </w:rPr>
              <w:t>股权处置 方式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center"/>
              <w:rPr>
                <w:sz w:val="20"/>
                <w:szCs w:val="20"/>
              </w:rPr>
            </w:pPr>
            <w:r>
              <w:rPr>
                <w:rFonts w:ascii="SimSun" w:eastAsia="SimSun" w:hAnsi="SimSun" w:cs="SimSun"/>
                <w:b/>
                <w:bCs/>
                <w:color w:val="000000"/>
                <w:spacing w:val="0"/>
                <w:w w:val="100"/>
                <w:position w:val="0"/>
                <w:sz w:val="20"/>
                <w:szCs w:val="20"/>
              </w:rPr>
              <w:t>丧失控制</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权的时点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840" w:right="0" w:hanging="840"/>
              <w:jc w:val="both"/>
              <w:rPr>
                <w:sz w:val="20"/>
                <w:szCs w:val="20"/>
              </w:rPr>
            </w:pPr>
            <w:r>
              <w:rPr>
                <w:rFonts w:ascii="SimSun" w:eastAsia="SimSun" w:hAnsi="SimSun" w:cs="SimSun"/>
                <w:b/>
                <w:bCs/>
                <w:color w:val="000000"/>
                <w:spacing w:val="0"/>
                <w:w w:val="100"/>
                <w:position w:val="0"/>
                <w:sz w:val="20"/>
                <w:szCs w:val="20"/>
              </w:rPr>
              <w:t>丧失控制权时点的确定 依据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b/>
                <w:bCs/>
                <w:color w:val="000000"/>
                <w:spacing w:val="0"/>
                <w:w w:val="100"/>
                <w:position w:val="0"/>
                <w:sz w:val="20"/>
                <w:szCs w:val="20"/>
              </w:rPr>
              <w:t>处置价款与处 置投资对应的 合并报表层面 享有该子公司 净资产份额的 差额</w:t>
            </w:r>
          </w:p>
        </w:tc>
      </w:tr>
      <w:tr>
        <w:trPr>
          <w:trHeight w:val="106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80" w:line="240" w:lineRule="auto"/>
              <w:ind w:left="0" w:right="0" w:firstLine="0"/>
              <w:jc w:val="both"/>
              <w:rPr>
                <w:sz w:val="20"/>
                <w:szCs w:val="20"/>
              </w:rPr>
            </w:pPr>
            <w:r>
              <w:rPr>
                <w:rFonts w:ascii="SimSun" w:eastAsia="SimSun" w:hAnsi="SimSun" w:cs="SimSun"/>
                <w:color w:val="000000"/>
                <w:spacing w:val="0"/>
                <w:w w:val="100"/>
                <w:position w:val="0"/>
                <w:sz w:val="20"/>
                <w:szCs w:val="20"/>
              </w:rPr>
              <w:t>深圳市宝鹏物</w:t>
            </w:r>
          </w:p>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流有限公司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420"/>
              <w:jc w:val="left"/>
            </w:pPr>
            <w:r>
              <w:rPr>
                <w:color w:val="000000"/>
                <w:spacing w:val="0"/>
                <w:w w:val="100"/>
                <w:position w:val="0"/>
              </w:rPr>
              <w:t>1.00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240"/>
              <w:jc w:val="left"/>
            </w:pPr>
            <w:r>
              <w:rPr>
                <w:color w:val="000000"/>
                <w:spacing w:val="0"/>
                <w:w w:val="100"/>
                <w:position w:val="0"/>
              </w:rPr>
              <w:t>100.00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协议转让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2019.3.29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权力机构批准，收到</w:t>
            </w:r>
            <w:r>
              <w:rPr>
                <w:color w:val="000000"/>
                <w:spacing w:val="0"/>
                <w:w w:val="100"/>
                <w:position w:val="0"/>
                <w:sz w:val="18"/>
                <w:szCs w:val="18"/>
              </w:rPr>
              <w:t>50%</w:t>
            </w:r>
            <w:r>
              <w:rPr>
                <w:rFonts w:ascii="SimSun" w:eastAsia="SimSun" w:hAnsi="SimSun" w:cs="SimSun"/>
                <w:color w:val="000000"/>
                <w:spacing w:val="0"/>
                <w:w w:val="100"/>
                <w:position w:val="0"/>
                <w:sz w:val="17"/>
                <w:szCs w:val="17"/>
              </w:rPr>
              <w:t>以 上股权转让款且完成财产 交接，收益和风险转移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20,480,848.82</w:t>
            </w:r>
          </w:p>
        </w:tc>
      </w:tr>
      <w:tr>
        <w:trPr>
          <w:trHeight w:val="106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80" w:line="240" w:lineRule="auto"/>
              <w:ind w:left="0" w:right="0" w:firstLine="0"/>
              <w:jc w:val="both"/>
              <w:rPr>
                <w:sz w:val="20"/>
                <w:szCs w:val="20"/>
              </w:rPr>
            </w:pPr>
            <w:r>
              <w:rPr>
                <w:rFonts w:ascii="SimSun" w:eastAsia="SimSun" w:hAnsi="SimSun" w:cs="SimSun"/>
                <w:color w:val="000000"/>
                <w:spacing w:val="0"/>
                <w:w w:val="100"/>
                <w:position w:val="0"/>
                <w:sz w:val="20"/>
                <w:szCs w:val="20"/>
              </w:rPr>
              <w:t>深圳市鸿基物</w:t>
            </w:r>
          </w:p>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流有限公司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420"/>
              <w:jc w:val="left"/>
            </w:pPr>
            <w:r>
              <w:rPr>
                <w:color w:val="000000"/>
                <w:spacing w:val="0"/>
                <w:w w:val="100"/>
                <w:position w:val="0"/>
              </w:rPr>
              <w:t>2.00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240"/>
              <w:jc w:val="left"/>
            </w:pPr>
            <w:r>
              <w:rPr>
                <w:color w:val="000000"/>
                <w:spacing w:val="0"/>
                <w:w w:val="100"/>
                <w:position w:val="0"/>
              </w:rPr>
              <w:t>100.00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协议转让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2019.3.29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权力机构批准，收到</w:t>
            </w:r>
            <w:r>
              <w:rPr>
                <w:color w:val="000000"/>
                <w:spacing w:val="0"/>
                <w:w w:val="100"/>
                <w:position w:val="0"/>
                <w:sz w:val="18"/>
                <w:szCs w:val="18"/>
              </w:rPr>
              <w:t>50%</w:t>
            </w:r>
            <w:r>
              <w:rPr>
                <w:rFonts w:ascii="SimSun" w:eastAsia="SimSun" w:hAnsi="SimSun" w:cs="SimSun"/>
                <w:color w:val="000000"/>
                <w:spacing w:val="0"/>
                <w:w w:val="100"/>
                <w:position w:val="0"/>
                <w:sz w:val="17"/>
                <w:szCs w:val="17"/>
              </w:rPr>
              <w:t>以 上股权转让款且完成财产 交接，收益和风险转移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58,449,176.90</w:t>
            </w:r>
          </w:p>
        </w:tc>
      </w:tr>
      <w:tr>
        <w:trPr>
          <w:trHeight w:val="10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深圳市虹海假</w:t>
            </w:r>
          </w:p>
          <w:p>
            <w:pPr>
              <w:pStyle w:val="Style1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日酒店管理有</w:t>
            </w:r>
          </w:p>
          <w:p>
            <w:pPr>
              <w:pStyle w:val="Style1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420"/>
              <w:jc w:val="left"/>
            </w:pPr>
            <w:r>
              <w:rPr>
                <w:color w:val="000000"/>
                <w:spacing w:val="0"/>
                <w:w w:val="100"/>
                <w:position w:val="0"/>
              </w:rPr>
              <w:t>1.00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240"/>
              <w:jc w:val="left"/>
            </w:pPr>
            <w:r>
              <w:rPr>
                <w:color w:val="000000"/>
                <w:spacing w:val="0"/>
                <w:w w:val="100"/>
                <w:position w:val="0"/>
              </w:rPr>
              <w:t>100.00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协议转让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2019.3.29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权力机构批准，收到</w:t>
            </w:r>
            <w:r>
              <w:rPr>
                <w:color w:val="000000"/>
                <w:spacing w:val="0"/>
                <w:w w:val="100"/>
                <w:position w:val="0"/>
                <w:sz w:val="18"/>
                <w:szCs w:val="18"/>
              </w:rPr>
              <w:t>50%</w:t>
            </w:r>
            <w:r>
              <w:rPr>
                <w:rFonts w:ascii="SimSun" w:eastAsia="SimSun" w:hAnsi="SimSun" w:cs="SimSun"/>
                <w:color w:val="000000"/>
                <w:spacing w:val="0"/>
                <w:w w:val="100"/>
                <w:position w:val="0"/>
                <w:sz w:val="17"/>
                <w:szCs w:val="17"/>
              </w:rPr>
              <w:t>以 上股权转让款且完成财产 交接，收益和风险转移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1.00</w:t>
            </w:r>
          </w:p>
        </w:tc>
      </w:tr>
      <w:tr>
        <w:trPr>
          <w:trHeight w:val="10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深圳市鸿基兆</w:t>
            </w:r>
          </w:p>
          <w:p>
            <w:pPr>
              <w:pStyle w:val="Style1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丰商业服务管</w:t>
            </w:r>
          </w:p>
          <w:p>
            <w:pPr>
              <w:pStyle w:val="Style1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rPr>
              <w:t>理有限公司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420"/>
              <w:jc w:val="left"/>
            </w:pPr>
            <w:r>
              <w:rPr>
                <w:color w:val="000000"/>
                <w:spacing w:val="0"/>
                <w:w w:val="100"/>
                <w:position w:val="0"/>
              </w:rPr>
              <w:t>1.00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240"/>
              <w:jc w:val="left"/>
            </w:pPr>
            <w:r>
              <w:rPr>
                <w:color w:val="000000"/>
                <w:spacing w:val="0"/>
                <w:w w:val="100"/>
                <w:position w:val="0"/>
              </w:rPr>
              <w:t>100.00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协议转让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2019.3.29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权力机构批准，收到</w:t>
            </w:r>
            <w:r>
              <w:rPr>
                <w:color w:val="000000"/>
                <w:spacing w:val="0"/>
                <w:w w:val="100"/>
                <w:position w:val="0"/>
                <w:sz w:val="18"/>
                <w:szCs w:val="18"/>
              </w:rPr>
              <w:t>50%</w:t>
            </w:r>
            <w:r>
              <w:rPr>
                <w:rFonts w:ascii="SimSun" w:eastAsia="SimSun" w:hAnsi="SimSun" w:cs="SimSun"/>
                <w:color w:val="000000"/>
                <w:spacing w:val="0"/>
                <w:w w:val="100"/>
                <w:position w:val="0"/>
                <w:sz w:val="17"/>
                <w:szCs w:val="17"/>
              </w:rPr>
              <w:t>以 上股权转让款且完成财产 交接，收益和风险转移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1.00</w:t>
            </w:r>
          </w:p>
        </w:tc>
      </w:tr>
      <w:tr>
        <w:trPr>
          <w:trHeight w:val="10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20"/>
                <w:szCs w:val="20"/>
              </w:rPr>
            </w:pPr>
            <w:r>
              <w:rPr>
                <w:rFonts w:ascii="SimSun" w:eastAsia="SimSun" w:hAnsi="SimSun" w:cs="SimSun"/>
                <w:color w:val="000000"/>
                <w:spacing w:val="0"/>
                <w:w w:val="100"/>
                <w:position w:val="0"/>
                <w:sz w:val="20"/>
                <w:szCs w:val="20"/>
              </w:rPr>
              <w:t>内蒙古旭峰光</w:t>
            </w:r>
          </w:p>
          <w:p>
            <w:pPr>
              <w:pStyle w:val="Style19"/>
              <w:keepNext w:val="0"/>
              <w:keepLines w:val="0"/>
              <w:widowControl w:val="0"/>
              <w:shd w:val="clear" w:color="auto" w:fill="auto"/>
              <w:bidi w:val="0"/>
              <w:spacing w:before="0" w:after="0" w:line="322" w:lineRule="exact"/>
              <w:ind w:left="0" w:right="0" w:firstLine="0"/>
              <w:jc w:val="both"/>
              <w:rPr>
                <w:sz w:val="20"/>
                <w:szCs w:val="20"/>
              </w:rPr>
            </w:pPr>
            <w:r>
              <w:rPr>
                <w:rFonts w:ascii="SimSun" w:eastAsia="SimSun" w:hAnsi="SimSun" w:cs="SimSun"/>
                <w:color w:val="000000"/>
                <w:spacing w:val="0"/>
                <w:w w:val="100"/>
                <w:position w:val="0"/>
                <w:sz w:val="20"/>
                <w:szCs w:val="20"/>
              </w:rPr>
              <w:t>伏科技有限公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420"/>
              <w:jc w:val="left"/>
            </w:pPr>
            <w:r>
              <w:rPr>
                <w:color w:val="000000"/>
                <w:spacing w:val="0"/>
                <w:w w:val="100"/>
                <w:position w:val="0"/>
              </w:rPr>
              <w:t>1.00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240"/>
              <w:jc w:val="left"/>
            </w:pPr>
            <w:r>
              <w:rPr>
                <w:color w:val="000000"/>
                <w:spacing w:val="0"/>
                <w:w w:val="100"/>
                <w:position w:val="0"/>
              </w:rPr>
              <w:t>100.00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协议转让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pPr>
            <w:r>
              <w:rPr>
                <w:color w:val="000000"/>
                <w:spacing w:val="0"/>
                <w:w w:val="100"/>
                <w:position w:val="0"/>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权力机构批准，收到</w:t>
            </w:r>
            <w:r>
              <w:rPr>
                <w:color w:val="000000"/>
                <w:spacing w:val="0"/>
                <w:w w:val="100"/>
                <w:position w:val="0"/>
                <w:sz w:val="18"/>
                <w:szCs w:val="18"/>
              </w:rPr>
              <w:t>50%</w:t>
            </w:r>
            <w:r>
              <w:rPr>
                <w:rFonts w:ascii="SimSun" w:eastAsia="SimSun" w:hAnsi="SimSun" w:cs="SimSun"/>
                <w:color w:val="000000"/>
                <w:spacing w:val="0"/>
                <w:w w:val="100"/>
                <w:position w:val="0"/>
                <w:sz w:val="17"/>
                <w:szCs w:val="17"/>
              </w:rPr>
              <w:t>以 上股权转让款且完成财产 交接，收益和风险转移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1,326,444.68</w:t>
            </w:r>
          </w:p>
        </w:tc>
      </w:tr>
      <w:tr>
        <w:trPr>
          <w:trHeight w:val="10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禹州市东旭新</w:t>
            </w:r>
          </w:p>
          <w:p>
            <w:pPr>
              <w:pStyle w:val="Style1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能源科技有限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420"/>
              <w:jc w:val="left"/>
            </w:pPr>
            <w:r>
              <w:rPr>
                <w:color w:val="000000"/>
                <w:spacing w:val="0"/>
                <w:w w:val="100"/>
                <w:position w:val="0"/>
              </w:rPr>
              <w:t>1.00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240"/>
              <w:jc w:val="left"/>
            </w:pPr>
            <w:r>
              <w:rPr>
                <w:color w:val="000000"/>
                <w:spacing w:val="0"/>
                <w:w w:val="100"/>
                <w:position w:val="0"/>
              </w:rPr>
              <w:t>100.00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协议转让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pPr>
            <w:r>
              <w:rPr>
                <w:color w:val="000000"/>
                <w:spacing w:val="0"/>
                <w:w w:val="100"/>
                <w:position w:val="0"/>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权力机构批准，收到</w:t>
            </w:r>
            <w:r>
              <w:rPr>
                <w:color w:val="000000"/>
                <w:spacing w:val="0"/>
                <w:w w:val="100"/>
                <w:position w:val="0"/>
                <w:sz w:val="18"/>
                <w:szCs w:val="18"/>
              </w:rPr>
              <w:t>50%</w:t>
            </w:r>
            <w:r>
              <w:rPr>
                <w:rFonts w:ascii="SimSun" w:eastAsia="SimSun" w:hAnsi="SimSun" w:cs="SimSun"/>
                <w:color w:val="000000"/>
                <w:spacing w:val="0"/>
                <w:w w:val="100"/>
                <w:position w:val="0"/>
                <w:sz w:val="17"/>
                <w:szCs w:val="17"/>
              </w:rPr>
              <w:t>以 上股权转让款且完成财产 交接，收益和风险转移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12,712,133.94</w:t>
            </w:r>
          </w:p>
        </w:tc>
      </w:tr>
      <w:tr>
        <w:trPr>
          <w:trHeight w:val="10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辽宁旭红供应</w:t>
            </w:r>
          </w:p>
          <w:p>
            <w:pPr>
              <w:pStyle w:val="Style1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链管理有限公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124.81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240"/>
              <w:jc w:val="left"/>
            </w:pPr>
            <w:r>
              <w:rPr>
                <w:color w:val="000000"/>
                <w:spacing w:val="0"/>
                <w:w w:val="100"/>
                <w:position w:val="0"/>
              </w:rPr>
              <w:t>100.00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协议转让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2019.11.30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权力机构批准，收到</w:t>
            </w:r>
            <w:r>
              <w:rPr>
                <w:color w:val="000000"/>
                <w:spacing w:val="0"/>
                <w:w w:val="100"/>
                <w:position w:val="0"/>
                <w:sz w:val="18"/>
                <w:szCs w:val="18"/>
              </w:rPr>
              <w:t>50%</w:t>
            </w:r>
            <w:r>
              <w:rPr>
                <w:rFonts w:ascii="SimSun" w:eastAsia="SimSun" w:hAnsi="SimSun" w:cs="SimSun"/>
                <w:color w:val="000000"/>
                <w:spacing w:val="0"/>
                <w:w w:val="100"/>
                <w:position w:val="0"/>
                <w:sz w:val="17"/>
                <w:szCs w:val="17"/>
              </w:rPr>
              <w:t>以 上股权转让款且完成财产 交接，收益和风险转移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-7.36</w:t>
            </w:r>
          </w:p>
        </w:tc>
      </w:tr>
      <w:tr>
        <w:trPr>
          <w:trHeight w:val="10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上海陇商供应 链管理有限公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99,244.71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67.00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协议转让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pPr>
            <w:r>
              <w:rPr>
                <w:color w:val="000000"/>
                <w:spacing w:val="0"/>
                <w:w w:val="100"/>
                <w:position w:val="0"/>
              </w:rPr>
              <w:t>2019.11.30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权力机构批准，收到</w:t>
            </w:r>
            <w:r>
              <w:rPr>
                <w:color w:val="000000"/>
                <w:spacing w:val="0"/>
                <w:w w:val="100"/>
                <w:position w:val="0"/>
                <w:sz w:val="18"/>
                <w:szCs w:val="18"/>
              </w:rPr>
              <w:t>50%</w:t>
            </w:r>
            <w:r>
              <w:rPr>
                <w:rFonts w:ascii="SimSun" w:eastAsia="SimSun" w:hAnsi="SimSun" w:cs="SimSun"/>
                <w:color w:val="000000"/>
                <w:spacing w:val="0"/>
                <w:w w:val="100"/>
                <w:position w:val="0"/>
                <w:sz w:val="17"/>
                <w:szCs w:val="17"/>
              </w:rPr>
              <w:t>以 上股权转让款且完成财产 交接，收益和风险转移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39,245.76</w:t>
            </w:r>
          </w:p>
        </w:tc>
      </w:tr>
      <w:tr>
        <w:trPr>
          <w:trHeight w:val="106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宁夏旭通新能 源科技有限公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pPr>
            <w:r>
              <w:rPr>
                <w:color w:val="000000"/>
                <w:spacing w:val="0"/>
                <w:w w:val="100"/>
                <w:position w:val="0"/>
              </w:rPr>
              <w:t>5,000,000.00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240"/>
              <w:jc w:val="left"/>
            </w:pPr>
            <w:r>
              <w:rPr>
                <w:color w:val="000000"/>
                <w:spacing w:val="0"/>
                <w:w w:val="100"/>
                <w:position w:val="0"/>
              </w:rPr>
              <w:t>100.00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协议转让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pPr>
            <w:r>
              <w:rPr>
                <w:color w:val="000000"/>
                <w:spacing w:val="0"/>
                <w:w w:val="100"/>
                <w:position w:val="0"/>
              </w:rPr>
              <w:t>2019.11.30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权力机构批准，收到</w:t>
            </w:r>
            <w:r>
              <w:rPr>
                <w:color w:val="000000"/>
                <w:spacing w:val="0"/>
                <w:w w:val="100"/>
                <w:position w:val="0"/>
                <w:sz w:val="18"/>
                <w:szCs w:val="18"/>
              </w:rPr>
              <w:t>50%</w:t>
            </w:r>
            <w:r>
              <w:rPr>
                <w:rFonts w:ascii="SimSun" w:eastAsia="SimSun" w:hAnsi="SimSun" w:cs="SimSun"/>
                <w:color w:val="000000"/>
                <w:spacing w:val="0"/>
                <w:w w:val="100"/>
                <w:position w:val="0"/>
                <w:sz w:val="17"/>
                <w:szCs w:val="17"/>
              </w:rPr>
              <w:t>以 上股权转让款且完成财产 交接，收益和风险转移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4,750,689.90</w:t>
            </w:r>
          </w:p>
        </w:tc>
      </w:tr>
      <w:tr>
        <w:trPr>
          <w:trHeight w:val="1066"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98" w:lineRule="exact"/>
              <w:ind w:left="0" w:right="0" w:firstLine="0"/>
              <w:jc w:val="both"/>
              <w:rPr>
                <w:sz w:val="20"/>
                <w:szCs w:val="20"/>
              </w:rPr>
            </w:pPr>
            <w:r>
              <w:rPr>
                <w:rFonts w:ascii="SimSun" w:eastAsia="SimSun" w:hAnsi="SimSun" w:cs="SimSun"/>
                <w:color w:val="000000"/>
                <w:spacing w:val="0"/>
                <w:w w:val="100"/>
                <w:position w:val="0"/>
                <w:sz w:val="20"/>
                <w:szCs w:val="20"/>
              </w:rPr>
              <w:t>青岛旭辰节能 科技有限公司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pPr>
            <w:r>
              <w:rPr>
                <w:color w:val="000000"/>
                <w:spacing w:val="0"/>
                <w:w w:val="100"/>
                <w:position w:val="0"/>
              </w:rPr>
              <w:t>3,000,000.00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240"/>
              <w:jc w:val="left"/>
            </w:pPr>
            <w:r>
              <w:rPr>
                <w:color w:val="000000"/>
                <w:spacing w:val="0"/>
                <w:w w:val="100"/>
                <w:position w:val="0"/>
              </w:rPr>
              <w:t>100.00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rPr>
                <w:sz w:val="20"/>
                <w:szCs w:val="20"/>
              </w:rPr>
            </w:pPr>
            <w:r>
              <w:rPr>
                <w:rFonts w:ascii="SimSun" w:eastAsia="SimSun" w:hAnsi="SimSun" w:cs="SimSun"/>
                <w:color w:val="000000"/>
                <w:spacing w:val="0"/>
                <w:w w:val="100"/>
                <w:position w:val="0"/>
                <w:sz w:val="20"/>
                <w:szCs w:val="20"/>
              </w:rPr>
              <w:t>协议转让</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2019.9.30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权力机构批准，收到</w:t>
            </w:r>
            <w:r>
              <w:rPr>
                <w:color w:val="000000"/>
                <w:spacing w:val="0"/>
                <w:w w:val="100"/>
                <w:position w:val="0"/>
                <w:sz w:val="18"/>
                <w:szCs w:val="18"/>
              </w:rPr>
              <w:t>50%</w:t>
            </w:r>
            <w:r>
              <w:rPr>
                <w:rFonts w:ascii="SimSun" w:eastAsia="SimSun" w:hAnsi="SimSun" w:cs="SimSun"/>
                <w:color w:val="000000"/>
                <w:spacing w:val="0"/>
                <w:w w:val="100"/>
                <w:position w:val="0"/>
                <w:sz w:val="17"/>
                <w:szCs w:val="17"/>
              </w:rPr>
              <w:t>以 上股权转让款且完成财产 交接，收益和风险转移</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3,000,000.00</w:t>
            </w:r>
          </w:p>
        </w:tc>
      </w:tr>
      <w:tr>
        <w:trPr>
          <w:trHeight w:val="38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8,099,376.52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100,758,534.64</w:t>
            </w:r>
          </w:p>
        </w:tc>
      </w:tr>
    </w:tbl>
    <w:p>
      <w:pPr>
        <w:widowControl w:val="0"/>
        <w:spacing w:after="579" w:line="1" w:lineRule="exact"/>
      </w:pPr>
    </w:p>
    <w:p>
      <w:pPr>
        <w:pStyle w:val="Style33"/>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续前表:</w:t>
      </w:r>
      <w:r>
        <w:br w:type="page"/>
      </w:r>
    </w:p>
    <w:tbl>
      <w:tblPr>
        <w:tblOverlap w:val="never"/>
        <w:jc w:val="center"/>
        <w:tblLayout w:type="fixed"/>
      </w:tblPr>
      <w:tblGrid>
        <w:gridCol w:w="2054"/>
        <w:gridCol w:w="1186"/>
        <w:gridCol w:w="1109"/>
        <w:gridCol w:w="902"/>
        <w:gridCol w:w="1109"/>
        <w:gridCol w:w="1445"/>
        <w:gridCol w:w="1416"/>
      </w:tblGrid>
      <w:tr>
        <w:trPr>
          <w:trHeight w:val="169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b/>
                <w:bCs/>
                <w:color w:val="000000"/>
                <w:spacing w:val="0"/>
                <w:w w:val="100"/>
                <w:position w:val="0"/>
                <w:sz w:val="20"/>
                <w:szCs w:val="20"/>
              </w:rPr>
              <w:t>丧失控制权 之日剩余股 权的比例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0" w:lineRule="exact"/>
              <w:ind w:left="0" w:right="0" w:firstLine="0"/>
              <w:jc w:val="center"/>
              <w:rPr>
                <w:sz w:val="20"/>
                <w:szCs w:val="20"/>
              </w:rPr>
            </w:pPr>
            <w:r>
              <w:rPr>
                <w:rFonts w:ascii="SimSun" w:eastAsia="SimSun" w:hAnsi="SimSun" w:cs="SimSun"/>
                <w:b/>
                <w:bCs/>
                <w:color w:val="000000"/>
                <w:spacing w:val="0"/>
                <w:w w:val="100"/>
                <w:position w:val="0"/>
                <w:sz w:val="20"/>
                <w:szCs w:val="20"/>
              </w:rPr>
              <w:t>丧失控制权 之日剩余股 权的账面价 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both"/>
              <w:rPr>
                <w:sz w:val="20"/>
                <w:szCs w:val="20"/>
              </w:rPr>
            </w:pPr>
            <w:r>
              <w:rPr>
                <w:rFonts w:ascii="SimSun" w:eastAsia="SimSun" w:hAnsi="SimSun" w:cs="SimSun"/>
                <w:b/>
                <w:bCs/>
                <w:color w:val="000000"/>
                <w:spacing w:val="0"/>
                <w:w w:val="100"/>
                <w:position w:val="0"/>
                <w:sz w:val="20"/>
                <w:szCs w:val="20"/>
              </w:rPr>
              <w:t>丧失控制 权之日剩 余股权的 公允价值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b/>
                <w:bCs/>
                <w:color w:val="000000"/>
                <w:spacing w:val="0"/>
                <w:w w:val="100"/>
                <w:position w:val="0"/>
                <w:sz w:val="20"/>
                <w:szCs w:val="20"/>
              </w:rPr>
              <w:t>按照公允价 值重新计量 剩余股权产 生的利得或 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center"/>
              <w:rPr>
                <w:sz w:val="20"/>
                <w:szCs w:val="20"/>
              </w:rPr>
            </w:pPr>
            <w:r>
              <w:rPr>
                <w:rFonts w:ascii="SimSun" w:eastAsia="SimSun" w:hAnsi="SimSun" w:cs="SimSun"/>
                <w:b/>
                <w:bCs/>
                <w:color w:val="000000"/>
                <w:spacing w:val="0"/>
                <w:w w:val="100"/>
                <w:position w:val="0"/>
                <w:sz w:val="20"/>
                <w:szCs w:val="20"/>
              </w:rPr>
              <w:t>丧失控制权之 日剩余股权公 允价值的确定 方法及主要假 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b/>
                <w:bCs/>
                <w:color w:val="000000"/>
                <w:spacing w:val="0"/>
                <w:w w:val="100"/>
                <w:position w:val="0"/>
                <w:sz w:val="20"/>
                <w:szCs w:val="20"/>
              </w:rPr>
              <w:t>与原子公司股 权投资相关的 其他综合收益 转入投资损益 的金额</w:t>
            </w:r>
          </w:p>
        </w:tc>
      </w:tr>
      <w:tr>
        <w:trPr>
          <w:trHeight w:val="75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深圳市宝鹏物流有限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r>
      <w:tr>
        <w:trPr>
          <w:trHeight w:val="75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深圳市鸿基物流有限 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r>
      <w:tr>
        <w:trPr>
          <w:trHeight w:val="75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深圳市虹海假日酒店 管理有限公司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r>
      <w:tr>
        <w:trPr>
          <w:trHeight w:val="75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深圳市鸿基兆丰商业 服务管理有限公司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r>
      <w:tr>
        <w:trPr>
          <w:trHeight w:val="75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内蒙古旭峰光伏科技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r>
      <w:tr>
        <w:trPr>
          <w:trHeight w:val="75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禹州市东旭新能源科 技有限公司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r>
      <w:tr>
        <w:trPr>
          <w:trHeight w:val="75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20"/>
                <w:szCs w:val="20"/>
              </w:rPr>
            </w:pPr>
            <w:r>
              <w:rPr>
                <w:rFonts w:ascii="SimSun" w:eastAsia="SimSun" w:hAnsi="SimSun" w:cs="SimSun"/>
                <w:color w:val="000000"/>
                <w:spacing w:val="0"/>
                <w:w w:val="100"/>
                <w:position w:val="0"/>
                <w:sz w:val="20"/>
                <w:szCs w:val="20"/>
              </w:rPr>
              <w:t>辽宁旭红供应链管理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r>
      <w:tr>
        <w:trPr>
          <w:trHeight w:val="75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上海陇商供应链管理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r>
      <w:tr>
        <w:trPr>
          <w:trHeight w:val="75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宁夏旭通新能源科技 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r>
      <w:tr>
        <w:trPr>
          <w:trHeight w:val="7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青岛旭辰节能科技有 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0.00</w:t>
            </w:r>
          </w:p>
        </w:tc>
      </w:tr>
      <w:tr>
        <w:trPr>
          <w:trHeight w:val="46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0.00</w:t>
            </w:r>
          </w:p>
        </w:tc>
      </w:tr>
    </w:tbl>
    <w:p>
      <w:pPr>
        <w:pStyle w:val="Style33"/>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备注：子公司深圳市鸿基集装箱运输有限公司、深圳市鸿永通国际货运代理有限公司、宁夏旭卫新能 源科技有限公司已于本报告期出售。</w:t>
      </w:r>
    </w:p>
    <w:p>
      <w:pPr>
        <w:pStyle w:val="Style33"/>
        <w:keepNext w:val="0"/>
        <w:keepLines w:val="0"/>
        <w:widowControl w:val="0"/>
        <w:shd w:val="clear" w:color="auto" w:fill="auto"/>
        <w:bidi w:val="0"/>
        <w:spacing w:before="0" w:after="0"/>
        <w:ind w:left="0" w:right="0" w:firstLine="440"/>
        <w:jc w:val="both"/>
      </w:pPr>
      <w:bookmarkStart w:id="335" w:name="bookmark335"/>
      <w:r>
        <w:rPr>
          <w:rFonts w:ascii="Times New Roman" w:eastAsia="Times New Roman" w:hAnsi="Times New Roman" w:cs="Times New Roman"/>
          <w:b/>
          <w:bCs/>
          <w:color w:val="000000"/>
          <w:spacing w:val="0"/>
          <w:w w:val="100"/>
          <w:position w:val="0"/>
        </w:rPr>
        <w:t>4</w:t>
      </w:r>
      <w:bookmarkEnd w:id="335"/>
      <w:r>
        <w:rPr>
          <w:b/>
          <w:bCs/>
          <w:color w:val="000000"/>
          <w:spacing w:val="0"/>
          <w:w w:val="100"/>
          <w:position w:val="0"/>
        </w:rPr>
        <w:t>、其他原因的合并范围变动</w:t>
      </w:r>
    </w:p>
    <w:p>
      <w:pPr>
        <w:pStyle w:val="Style33"/>
        <w:keepNext w:val="0"/>
        <w:keepLines w:val="0"/>
        <w:widowControl w:val="0"/>
        <w:shd w:val="clear" w:color="auto" w:fill="auto"/>
        <w:bidi w:val="0"/>
        <w:spacing w:before="0" w:after="380" w:line="470" w:lineRule="exact"/>
        <w:ind w:left="0" w:right="0" w:firstLine="440"/>
        <w:jc w:val="both"/>
      </w:pPr>
      <w:r>
        <w:rPr>
          <w:color w:val="000000"/>
          <w:spacing w:val="0"/>
          <w:w w:val="100"/>
          <w:position w:val="0"/>
        </w:rPr>
        <w:t xml:space="preserve">本公司子公司东旭鸿海环保科技有限公司、旭农农业发展有限公司、宝丰旭阳新能源有限公司、黑山 旭恒新能源科技有限公司、衡阳市旭晖新能源科技有限公司、吉林众凯新能源有限公司、靖边东旭新能源 科技有限公司、山西国山新能源有限责任公司、陕西东泉新能源科技有限公司、扎鲁特旗通宝蓝天新能源 有限公司、张家川回族自治县天旭新能源科技有限公司、宝鸡东旭新能源科技有限公司、成都旭蓉新能源 科技有限公司、大名县旭农农业科技有限公司、东港熠彩新能源科技有限公司、馆陶县旭蓝新能源有限公 司、海南晟源新能源有限公司、邯郸市峰峰矿区旭晨新能源有限公司、金寨蓝天大别山光伏科技有限公司、 </w:t>
      </w:r>
      <w:r>
        <w:rPr>
          <w:color w:val="000000"/>
          <w:spacing w:val="0"/>
          <w:w w:val="100"/>
          <w:position w:val="0"/>
        </w:rPr>
        <w:t>岢岚县东旭新能源有限公司、聊城市东昌府区旭蓝新能源科技有限公司、林甸县旭蓝新能源科技有限公司、 临漳县旭蓝新能源科技有限公司、鲁山东旭新能源科技有限公司、鲁山旭蓝新能源有限公司、牡丹江市旭 蓝新能源有限责任公司、内蒙古旭景新能源科技有限公司、嫩江县量子新能源有限公司、宁波市旭鸿新能 源科技有限公司、农安旭阳新能源科技有限公司、平山旭蓝新能源科技有限公司、山西尚电新能源开发有 限公司、台州旭宏新能源有限公司、围场满族蒙古族自治县旭通光伏发电有限公司、新乡市旭蓝新能源技 术有限公司、宿州市旭蓝新能源有限公司、徐州市旭蓝新能源科技有限公司、烟台旭阳新能源科技有限公 司、张家口旭弘能源科技有限公司、郑州市旭蓝新能源科技有限公司、巩义市旭达新能源有限公司、建平 县旭蓝新能源科技有限公司、丹东市旭弘新能源科技有限公司、洪洞旭蓝新能源科技有限公司、安达市招 蓝新能源有限公司、安达市旭宁新能源有限公司、肇东市锦旭新能源有限公司、营口旭东新能源科技有限 公司、大庆市萨尔图区宝蓝新能源有限公司、大庆市萨尔图区宝东新能源有限公司、景县旭蓝新能源科技 有限公司、巴州正旭新能源有限公司、当阳旭天新能源科技有限公司、塔河旭阳新能源有限公司、远安东 旭阳光新能源科技有限公司、濮阳县东旭新能源科技有限公司、大庆高新区旭扬新能源有限公司、营口旭 蓝新能源科技有限公司、临沂旭辉新能源有限公司、大连旺禾粮油有限公司、团风县正旭新能源有限公司 已于本报告期注销。</w:t>
      </w:r>
    </w:p>
    <w:p>
      <w:pPr>
        <w:pStyle w:val="Style22"/>
        <w:keepNext/>
        <w:keepLines/>
        <w:widowControl w:val="0"/>
        <w:shd w:val="clear" w:color="auto" w:fill="auto"/>
        <w:bidi w:val="0"/>
        <w:spacing w:before="0" w:after="380" w:line="240" w:lineRule="auto"/>
        <w:ind w:left="0" w:right="0" w:firstLine="0"/>
        <w:jc w:val="both"/>
      </w:pPr>
      <w:bookmarkStart w:id="336" w:name="bookmark336"/>
      <w:bookmarkStart w:id="337" w:name="bookmark337"/>
      <w:bookmarkStart w:id="338" w:name="bookmark338"/>
      <w:bookmarkStart w:id="339" w:name="bookmark339"/>
      <w:r>
        <w:rPr>
          <w:color w:val="000000"/>
          <w:spacing w:val="0"/>
          <w:w w:val="100"/>
          <w:position w:val="0"/>
        </w:rPr>
        <w:t>九</w:t>
      </w:r>
      <w:bookmarkEnd w:id="338"/>
      <w:r>
        <w:rPr>
          <w:color w:val="000000"/>
          <w:spacing w:val="0"/>
          <w:w w:val="100"/>
          <w:position w:val="0"/>
        </w:rPr>
        <w:t>、聘任、解聘会计师事务所情况</w:t>
      </w:r>
      <w:bookmarkEnd w:id="336"/>
      <w:bookmarkEnd w:id="337"/>
      <w:bookmarkEnd w:id="339"/>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中兴财光华会计师事务所（特殊普通合伙）</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康利岩、王雅栋</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境外会计师事务所名称（如有）</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24"/>
        <w:keepNext w:val="0"/>
        <w:keepLines w:val="0"/>
        <w:widowControl w:val="0"/>
        <w:shd w:val="clear" w:color="auto" w:fill="auto"/>
        <w:bidi w:val="0"/>
        <w:spacing w:before="0" w:after="140" w:line="307" w:lineRule="exact"/>
        <w:ind w:left="0" w:right="0" w:firstLine="0"/>
        <w:jc w:val="left"/>
      </w:pPr>
      <w:r>
        <w:rPr>
          <w:color w:val="000000"/>
          <w:spacing w:val="0"/>
          <w:w w:val="100"/>
          <w:position w:val="0"/>
        </w:rPr>
        <w:t>当期是否改聘会计师事务所</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40" w:line="307" w:lineRule="exact"/>
        <w:ind w:left="0" w:right="0" w:firstLine="0"/>
        <w:jc w:val="left"/>
      </w:pPr>
      <w:r>
        <w:rPr>
          <w:color w:val="000000"/>
          <w:spacing w:val="0"/>
          <w:w w:val="100"/>
          <w:position w:val="0"/>
        </w:rPr>
        <w:t>聘请内部控制审计会计师事务所、财务顾问或保荐人情况</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40" w:line="307" w:lineRule="exact"/>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年年度股东大会审议通过，公司聘任中兴财光华会计师事务所（特殊普通合伙）为公司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年度内部控制审计单 位，内控审计费用人民币</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万元整。</w:t>
      </w:r>
    </w:p>
    <w:p>
      <w:pPr>
        <w:widowControl w:val="0"/>
        <w:spacing w:after="379" w:line="1" w:lineRule="exact"/>
      </w:pPr>
    </w:p>
    <w:p>
      <w:pPr>
        <w:pStyle w:val="Style22"/>
        <w:keepNext/>
        <w:keepLines/>
        <w:widowControl w:val="0"/>
        <w:shd w:val="clear" w:color="auto" w:fill="auto"/>
        <w:bidi w:val="0"/>
        <w:spacing w:before="0" w:after="380" w:line="240" w:lineRule="auto"/>
        <w:ind w:left="0" w:right="0" w:firstLine="0"/>
        <w:jc w:val="both"/>
      </w:pPr>
      <w:bookmarkStart w:id="340" w:name="bookmark340"/>
      <w:bookmarkStart w:id="341" w:name="bookmark341"/>
      <w:bookmarkStart w:id="342" w:name="bookmark342"/>
      <w:r>
        <w:rPr>
          <w:color w:val="000000"/>
          <w:spacing w:val="0"/>
          <w:w w:val="100"/>
          <w:position w:val="0"/>
        </w:rPr>
        <w:t>十、年度报告披露后面临暂停上市和终止上市情况</w:t>
      </w:r>
      <w:bookmarkEnd w:id="340"/>
      <w:bookmarkEnd w:id="341"/>
      <w:bookmarkEnd w:id="342"/>
    </w:p>
    <w:p>
      <w:pPr>
        <w:pStyle w:val="Style26"/>
        <w:keepNext w:val="0"/>
        <w:keepLines w:val="0"/>
        <w:widowControl w:val="0"/>
        <w:shd w:val="clear" w:color="auto" w:fill="auto"/>
        <w:bidi w:val="0"/>
        <w:spacing w:before="0" w:after="3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343" w:name="bookmark343"/>
      <w:bookmarkStart w:id="344" w:name="bookmark344"/>
      <w:bookmarkStart w:id="345" w:name="bookmark345"/>
      <w:r>
        <w:rPr>
          <w:color w:val="000000"/>
          <w:spacing w:val="0"/>
          <w:w w:val="100"/>
          <w:position w:val="0"/>
        </w:rPr>
        <w:t>十^一、破产重整相关事项</w:t>
      </w:r>
      <w:bookmarkEnd w:id="343"/>
      <w:bookmarkEnd w:id="344"/>
      <w:bookmarkEnd w:id="345"/>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2"/>
        <w:keepNext/>
        <w:keepLines/>
        <w:widowControl w:val="0"/>
        <w:shd w:val="clear" w:color="auto" w:fill="auto"/>
        <w:bidi w:val="0"/>
        <w:spacing w:before="0" w:after="380" w:line="240" w:lineRule="auto"/>
        <w:ind w:left="0" w:right="0" w:firstLine="0"/>
        <w:jc w:val="left"/>
      </w:pPr>
      <w:bookmarkStart w:id="346" w:name="bookmark346"/>
      <w:bookmarkStart w:id="347" w:name="bookmark347"/>
      <w:bookmarkStart w:id="348" w:name="bookmark348"/>
      <w:r>
        <w:rPr>
          <w:color w:val="000000"/>
          <w:spacing w:val="0"/>
          <w:w w:val="100"/>
          <w:position w:val="0"/>
        </w:rPr>
        <w:t>十二、重大诉讼、仲裁事项</w:t>
      </w:r>
      <w:bookmarkEnd w:id="346"/>
      <w:bookmarkEnd w:id="347"/>
      <w:bookmarkEnd w:id="348"/>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2"/>
        <w:keepNext/>
        <w:keepLines/>
        <w:widowControl w:val="0"/>
        <w:shd w:val="clear" w:color="auto" w:fill="auto"/>
        <w:bidi w:val="0"/>
        <w:spacing w:before="0" w:after="380" w:line="240" w:lineRule="auto"/>
        <w:ind w:left="0" w:right="0" w:firstLine="0"/>
        <w:jc w:val="left"/>
      </w:pPr>
      <w:bookmarkStart w:id="349" w:name="bookmark349"/>
      <w:bookmarkStart w:id="350" w:name="bookmark350"/>
      <w:bookmarkStart w:id="351" w:name="bookmark351"/>
      <w:r>
        <w:rPr>
          <w:color w:val="000000"/>
          <w:spacing w:val="0"/>
          <w:w w:val="100"/>
          <w:position w:val="0"/>
        </w:rPr>
        <w:t>十三、处罚及整改情况</w:t>
      </w:r>
      <w:bookmarkEnd w:id="349"/>
      <w:bookmarkEnd w:id="350"/>
      <w:bookmarkEnd w:id="351"/>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2"/>
        <w:keepNext/>
        <w:keepLines/>
        <w:widowControl w:val="0"/>
        <w:shd w:val="clear" w:color="auto" w:fill="auto"/>
        <w:bidi w:val="0"/>
        <w:spacing w:before="0" w:after="380" w:line="240" w:lineRule="auto"/>
        <w:ind w:left="0" w:right="0" w:firstLine="0"/>
        <w:jc w:val="left"/>
      </w:pPr>
      <w:bookmarkStart w:id="352" w:name="bookmark352"/>
      <w:bookmarkStart w:id="353" w:name="bookmark353"/>
      <w:bookmarkStart w:id="354" w:name="bookmark354"/>
      <w:r>
        <w:rPr>
          <w:color w:val="000000"/>
          <w:spacing w:val="0"/>
          <w:w w:val="100"/>
          <w:position w:val="0"/>
        </w:rPr>
        <w:t>十四、公司及其控股股东、实际控制人的诚信状况</w:t>
      </w:r>
      <w:bookmarkEnd w:id="352"/>
      <w:bookmarkEnd w:id="353"/>
      <w:bookmarkEnd w:id="354"/>
    </w:p>
    <w:p>
      <w:pPr>
        <w:pStyle w:val="Style26"/>
        <w:keepNext w:val="0"/>
        <w:keepLines w:val="0"/>
        <w:widowControl w:val="0"/>
        <w:shd w:val="clear" w:color="auto" w:fill="auto"/>
        <w:bidi w:val="0"/>
        <w:spacing w:before="0" w:line="542"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keepLines/>
        <w:widowControl w:val="0"/>
        <w:shd w:val="clear" w:color="auto" w:fill="auto"/>
        <w:bidi w:val="0"/>
        <w:spacing w:before="0" w:after="140" w:line="240" w:lineRule="auto"/>
        <w:ind w:left="0" w:right="0" w:firstLine="0"/>
        <w:jc w:val="left"/>
      </w:pPr>
      <w:bookmarkStart w:id="355" w:name="bookmark355"/>
      <w:bookmarkStart w:id="356" w:name="bookmark356"/>
      <w:bookmarkStart w:id="357" w:name="bookmark357"/>
      <w:r>
        <w:rPr>
          <w:color w:val="000000"/>
          <w:spacing w:val="0"/>
          <w:w w:val="100"/>
          <w:position w:val="0"/>
        </w:rPr>
        <w:t>十五、公司股权激励计划、员工持股计划或其他员工激励措施的实施情况</w:t>
      </w:r>
      <w:bookmarkEnd w:id="355"/>
      <w:bookmarkEnd w:id="356"/>
      <w:bookmarkEnd w:id="357"/>
    </w:p>
    <w:p>
      <w:pPr>
        <w:pStyle w:val="Style33"/>
        <w:keepNext w:val="0"/>
        <w:keepLines w:val="0"/>
        <w:widowControl w:val="0"/>
        <w:shd w:val="clear" w:color="auto" w:fill="auto"/>
        <w:bidi w:val="0"/>
        <w:spacing w:before="0" w:after="0" w:line="467" w:lineRule="exact"/>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sz w:val="17"/>
          <w:szCs w:val="17"/>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不适用 </w:t>
      </w:r>
      <w:r>
        <w:rPr>
          <w:color w:val="000000"/>
          <w:spacing w:val="0"/>
          <w:w w:val="100"/>
          <w:position w:val="0"/>
        </w:rPr>
        <w:t>员工持股计划：</w:t>
      </w:r>
    </w:p>
    <w:p>
      <w:pPr>
        <w:pStyle w:val="Style33"/>
        <w:keepNext w:val="0"/>
        <w:keepLines w:val="0"/>
        <w:widowControl w:val="0"/>
        <w:shd w:val="clear" w:color="auto" w:fill="auto"/>
        <w:tabs>
          <w:tab w:pos="3085" w:val="left"/>
        </w:tabs>
        <w:bidi w:val="0"/>
        <w:spacing w:before="0" w:after="0" w:line="467" w:lineRule="exact"/>
        <w:ind w:left="0" w:right="0" w:firstLine="4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日及</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日，公司第八届董事会第四十次会议及</w:t>
      </w:r>
      <w:r>
        <w:rPr>
          <w:rFonts w:ascii="Times New Roman" w:eastAsia="Times New Roman" w:hAnsi="Times New Roman" w:cs="Times New Roman"/>
          <w:color w:val="000000"/>
          <w:spacing w:val="0"/>
          <w:w w:val="100"/>
          <w:position w:val="0"/>
        </w:rPr>
        <w:t>2017</w:t>
      </w:r>
      <w:r>
        <w:rPr>
          <w:color w:val="000000"/>
          <w:spacing w:val="0"/>
          <w:w w:val="100"/>
          <w:position w:val="0"/>
        </w:rPr>
        <w:t>年第四次临时股东大会审议 通过了《关于</w:t>
      </w:r>
      <w:r>
        <w:rPr>
          <w:rFonts w:ascii="Times New Roman" w:eastAsia="Times New Roman" w:hAnsi="Times New Roman" w:cs="Times New Roman"/>
          <w:color w:val="000000"/>
          <w:spacing w:val="0"/>
          <w:w w:val="100"/>
          <w:position w:val="0"/>
        </w:rPr>
        <w:t>＜</w:t>
      </w:r>
      <w:r>
        <w:rPr>
          <w:color w:val="000000"/>
          <w:spacing w:val="0"/>
          <w:w w:val="100"/>
          <w:position w:val="0"/>
        </w:rPr>
        <w:t>东旭蓝天新能源股份有限公司第一期员工持股计划（草案）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及其摘要的议案》，设立第 一期员工持股计划。公司首期员工持股计划设立后全额认购中海信托股份有限公司设立的集合资金信托计 划的一般级份额，按照不超过</w:t>
      </w:r>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1</w:t>
      </w:r>
      <w:r>
        <w:rPr>
          <w:color w:val="000000"/>
          <w:spacing w:val="0"/>
          <w:w w:val="100"/>
          <w:position w:val="0"/>
        </w:rPr>
        <w:t>的杠杆比例设置优先级份额和一般级份额。本次员工持股计划共募集信</w:t>
      </w:r>
    </w:p>
    <w:p>
      <w:pPr>
        <w:pStyle w:val="Style33"/>
        <w:keepNext w:val="0"/>
        <w:keepLines w:val="0"/>
        <w:widowControl w:val="0"/>
        <w:shd w:val="clear" w:color="auto" w:fill="auto"/>
        <w:bidi w:val="0"/>
        <w:spacing w:before="0" w:after="0" w:line="467" w:lineRule="exact"/>
        <w:ind w:left="0" w:right="0" w:firstLine="0"/>
        <w:jc w:val="left"/>
      </w:pPr>
      <w:r>
        <w:rPr>
          <w:color w:val="000000"/>
          <w:spacing w:val="0"/>
          <w:w w:val="100"/>
          <w:position w:val="0"/>
        </w:rPr>
        <w:t>托资金人民币</w:t>
      </w:r>
      <w:r>
        <w:rPr>
          <w:rFonts w:ascii="Times New Roman" w:eastAsia="Times New Roman" w:hAnsi="Times New Roman" w:cs="Times New Roman"/>
          <w:color w:val="000000"/>
          <w:spacing w:val="0"/>
          <w:w w:val="100"/>
          <w:position w:val="0"/>
        </w:rPr>
        <w:t>580,800,000.00</w:t>
      </w:r>
      <w:r>
        <w:rPr>
          <w:color w:val="000000"/>
          <w:spacing w:val="0"/>
          <w:w w:val="100"/>
          <w:position w:val="0"/>
        </w:rPr>
        <w:t>元，上述集合资金信托计划已完成开户，证券账户名称为</w:t>
      </w:r>
      <w:r>
        <w:rPr>
          <w:rFonts w:ascii="Times New Roman" w:eastAsia="Times New Roman" w:hAnsi="Times New Roman" w:cs="Times New Roman"/>
          <w:color w:val="000000"/>
          <w:spacing w:val="0"/>
          <w:w w:val="100"/>
          <w:position w:val="0"/>
        </w:rPr>
        <w:t>“</w:t>
      </w:r>
      <w:r>
        <w:rPr>
          <w:color w:val="000000"/>
          <w:spacing w:val="0"/>
          <w:w w:val="100"/>
          <w:position w:val="0"/>
        </w:rPr>
        <w:t>中海信托股份有限 公司</w:t>
      </w:r>
      <w:r>
        <w:rPr>
          <w:color w:val="000000"/>
          <w:spacing w:val="0"/>
          <w:w w:val="100"/>
          <w:position w:val="0"/>
        </w:rPr>
        <w:t>一</w:t>
      </w:r>
      <w:r>
        <w:rPr>
          <w:color w:val="000000"/>
          <w:spacing w:val="0"/>
          <w:w w:val="100"/>
          <w:position w:val="0"/>
        </w:rPr>
        <w:t>中海信托</w:t>
      </w:r>
      <w:r>
        <w:rPr>
          <w:rFonts w:ascii="Times New Roman" w:eastAsia="Times New Roman" w:hAnsi="Times New Roman" w:cs="Times New Roman"/>
          <w:color w:val="000000"/>
          <w:spacing w:val="0"/>
          <w:w w:val="100"/>
          <w:position w:val="0"/>
        </w:rPr>
        <w:t>—</w:t>
      </w:r>
      <w:r>
        <w:rPr>
          <w:color w:val="000000"/>
          <w:spacing w:val="0"/>
          <w:w w:val="100"/>
          <w:position w:val="0"/>
        </w:rPr>
        <w:t>东旭蓝天员工持股计划集合资金信托，，。截止</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日收盘，公司第一期员工持 股计划已完成股票购买，通过深圳证券交易所交易系统累计买入公司股票</w:t>
      </w:r>
      <w:r>
        <w:rPr>
          <w:rFonts w:ascii="Times New Roman" w:eastAsia="Times New Roman" w:hAnsi="Times New Roman" w:cs="Times New Roman"/>
          <w:color w:val="000000"/>
          <w:spacing w:val="0"/>
          <w:w w:val="100"/>
          <w:position w:val="0"/>
        </w:rPr>
        <w:t>37,990,701</w:t>
      </w:r>
      <w:r>
        <w:rPr>
          <w:color w:val="000000"/>
          <w:spacing w:val="0"/>
          <w:w w:val="100"/>
          <w:position w:val="0"/>
        </w:rPr>
        <w:t>股，约占公司已发行 总股本的</w:t>
      </w:r>
      <w:r>
        <w:rPr>
          <w:rFonts w:ascii="Times New Roman" w:eastAsia="Times New Roman" w:hAnsi="Times New Roman" w:cs="Times New Roman"/>
          <w:color w:val="000000"/>
          <w:spacing w:val="0"/>
          <w:w w:val="100"/>
          <w:position w:val="0"/>
        </w:rPr>
        <w:t>2.841%</w:t>
      </w:r>
      <w:r>
        <w:rPr>
          <w:color w:val="000000"/>
          <w:spacing w:val="0"/>
          <w:w w:val="100"/>
          <w:position w:val="0"/>
        </w:rPr>
        <w:t>，成交金额合计为</w:t>
      </w:r>
      <w:r>
        <w:rPr>
          <w:rFonts w:ascii="Times New Roman" w:eastAsia="Times New Roman" w:hAnsi="Times New Roman" w:cs="Times New Roman"/>
          <w:color w:val="000000"/>
          <w:spacing w:val="0"/>
          <w:w w:val="100"/>
          <w:position w:val="0"/>
        </w:rPr>
        <w:t>575,480,400.17</w:t>
      </w:r>
      <w:r>
        <w:rPr>
          <w:color w:val="000000"/>
          <w:spacing w:val="0"/>
          <w:w w:val="100"/>
          <w:position w:val="0"/>
        </w:rPr>
        <w:t>元，成交均价约为</w:t>
      </w:r>
      <w:r>
        <w:rPr>
          <w:rFonts w:ascii="Times New Roman" w:eastAsia="Times New Roman" w:hAnsi="Times New Roman" w:cs="Times New Roman"/>
          <w:color w:val="000000"/>
          <w:spacing w:val="0"/>
          <w:w w:val="100"/>
          <w:position w:val="0"/>
        </w:rPr>
        <w:t>15.15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由于第一期员工持股计划即将届满，且不再展期，需于到期日（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日）前结束本期员工 持股计划。本次员工持股计划在</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日期间，以集中竞价交易方式 将信托计划所持有的公司股票全部售出。根据公司《第一期员工持股计划（草案）》等相关规定，公司第 一期员工持股计划实施完毕并终止，已完成财产清算和分配等工作。</w:t>
      </w:r>
    </w:p>
    <w:p>
      <w:pPr>
        <w:pStyle w:val="Style33"/>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日和</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r>
        <w:rPr>
          <w:rFonts w:ascii="Times New Roman" w:eastAsia="Times New Roman" w:hAnsi="Times New Roman" w:cs="Times New Roman"/>
          <w:color w:val="000000"/>
          <w:spacing w:val="0"/>
          <w:w w:val="100"/>
          <w:position w:val="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w:t>
      </w:r>
      <w:r>
        <w:rPr>
          <w:color w:val="000000"/>
          <w:spacing w:val="0"/>
          <w:w w:val="100"/>
          <w:position w:val="0"/>
        </w:rPr>
        <w:t>日在指定信息披露媒体《中国证券报》、《证券时报》及巨潮资讯网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上披露的</w:t>
      </w:r>
      <w:r>
        <w:rPr>
          <w:color w:val="000000"/>
          <w:spacing w:val="0"/>
          <w:w w:val="100"/>
          <w:position w:val="0"/>
        </w:rPr>
        <w:t xml:space="preserve"> </w:t>
      </w:r>
      <w:r>
        <w:rPr>
          <w:color w:val="000000"/>
          <w:spacing w:val="0"/>
          <w:w w:val="100"/>
          <w:position w:val="0"/>
        </w:rPr>
        <w:t>相关公告。）</w:t>
      </w:r>
    </w:p>
    <w:p>
      <w:pPr>
        <w:pStyle w:val="Style22"/>
        <w:keepNext/>
        <w:keepLines/>
        <w:widowControl w:val="0"/>
        <w:shd w:val="clear" w:color="auto" w:fill="auto"/>
        <w:bidi w:val="0"/>
        <w:spacing w:before="0" w:after="140" w:line="240" w:lineRule="auto"/>
        <w:ind w:left="0" w:right="0" w:firstLine="0"/>
        <w:jc w:val="left"/>
      </w:pPr>
      <w:bookmarkStart w:id="358" w:name="bookmark358"/>
      <w:bookmarkStart w:id="359" w:name="bookmark359"/>
      <w:bookmarkStart w:id="360" w:name="bookmark360"/>
      <w:r>
        <w:rPr>
          <w:color w:val="000000"/>
          <w:spacing w:val="0"/>
          <w:w w:val="100"/>
          <w:position w:val="0"/>
        </w:rPr>
        <w:t>十六、重大关联交易</w:t>
      </w:r>
      <w:bookmarkEnd w:id="358"/>
      <w:bookmarkEnd w:id="359"/>
      <w:bookmarkEnd w:id="360"/>
    </w:p>
    <w:p>
      <w:pPr>
        <w:pStyle w:val="Style30"/>
        <w:keepNext/>
        <w:keepLines/>
        <w:widowControl w:val="0"/>
        <w:shd w:val="clear" w:color="auto" w:fill="auto"/>
        <w:tabs>
          <w:tab w:pos="368" w:val="left"/>
        </w:tabs>
        <w:bidi w:val="0"/>
        <w:spacing w:before="0" w:after="380" w:line="471" w:lineRule="exact"/>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1</w:t>
      </w:r>
      <w:bookmarkEnd w:id="363"/>
      <w:r>
        <w:rPr>
          <w:color w:val="000000"/>
          <w:spacing w:val="0"/>
          <w:w w:val="100"/>
          <w:position w:val="0"/>
        </w:rPr>
        <w:t>、</w:t>
        <w:tab/>
        <w:t>与日常经营相关的关联交易</w:t>
      </w:r>
      <w:bookmarkEnd w:id="361"/>
      <w:bookmarkEnd w:id="362"/>
      <w:bookmarkEnd w:id="364"/>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公司报告期未发生与日常经营相关的关联交易。</w:t>
      </w:r>
    </w:p>
    <w:p>
      <w:pPr>
        <w:pStyle w:val="Style30"/>
        <w:keepNext/>
        <w:keepLines/>
        <w:widowControl w:val="0"/>
        <w:shd w:val="clear" w:color="auto" w:fill="auto"/>
        <w:tabs>
          <w:tab w:pos="378" w:val="left"/>
        </w:tabs>
        <w:bidi w:val="0"/>
        <w:spacing w:before="0" w:after="380" w:line="471" w:lineRule="exact"/>
        <w:ind w:left="0" w:right="0" w:firstLine="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2</w:t>
      </w:r>
      <w:bookmarkEnd w:id="367"/>
      <w:r>
        <w:rPr>
          <w:color w:val="000000"/>
          <w:spacing w:val="0"/>
          <w:w w:val="100"/>
          <w:position w:val="0"/>
        </w:rPr>
        <w:t>、</w:t>
        <w:tab/>
        <w:t>资产或股权收购、出售发生的关联交易</w:t>
      </w:r>
      <w:bookmarkEnd w:id="365"/>
      <w:bookmarkEnd w:id="366"/>
      <w:bookmarkEnd w:id="368"/>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公司报告期未发生资产或股权收购、出售的关联交易。</w:t>
      </w:r>
    </w:p>
    <w:p>
      <w:pPr>
        <w:pStyle w:val="Style30"/>
        <w:keepNext/>
        <w:keepLines/>
        <w:widowControl w:val="0"/>
        <w:shd w:val="clear" w:color="auto" w:fill="auto"/>
        <w:tabs>
          <w:tab w:pos="378" w:val="left"/>
        </w:tabs>
        <w:bidi w:val="0"/>
        <w:spacing w:before="0" w:after="380" w:line="471" w:lineRule="exact"/>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3</w:t>
      </w:r>
      <w:bookmarkEnd w:id="371"/>
      <w:r>
        <w:rPr>
          <w:color w:val="000000"/>
          <w:spacing w:val="0"/>
          <w:w w:val="100"/>
          <w:position w:val="0"/>
        </w:rPr>
        <w:t>、</w:t>
        <w:tab/>
        <w:t>共同对外投资的关联交易</w:t>
      </w:r>
      <w:bookmarkEnd w:id="369"/>
      <w:bookmarkEnd w:id="370"/>
      <w:bookmarkEnd w:id="372"/>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公司报告期未发生共同对外投资的关联交易。</w:t>
      </w:r>
    </w:p>
    <w:p>
      <w:pPr>
        <w:pStyle w:val="Style30"/>
        <w:keepNext/>
        <w:keepLines/>
        <w:widowControl w:val="0"/>
        <w:shd w:val="clear" w:color="auto" w:fill="auto"/>
        <w:tabs>
          <w:tab w:pos="378" w:val="left"/>
        </w:tabs>
        <w:bidi w:val="0"/>
        <w:spacing w:before="0" w:after="380" w:line="471" w:lineRule="exact"/>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4</w:t>
      </w:r>
      <w:bookmarkEnd w:id="375"/>
      <w:r>
        <w:rPr>
          <w:color w:val="000000"/>
          <w:spacing w:val="0"/>
          <w:w w:val="100"/>
          <w:position w:val="0"/>
        </w:rPr>
        <w:t>、</w:t>
        <w:tab/>
        <w:t>关联债权债务往来</w:t>
      </w:r>
      <w:bookmarkEnd w:id="373"/>
      <w:bookmarkEnd w:id="374"/>
      <w:bookmarkEnd w:id="376"/>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公司报告期不存在关联债权债务往来。</w:t>
      </w:r>
    </w:p>
    <w:p>
      <w:pPr>
        <w:pStyle w:val="Style30"/>
        <w:keepNext/>
        <w:keepLines/>
        <w:widowControl w:val="0"/>
        <w:shd w:val="clear" w:color="auto" w:fill="auto"/>
        <w:tabs>
          <w:tab w:pos="378" w:val="left"/>
        </w:tabs>
        <w:bidi w:val="0"/>
        <w:spacing w:before="0" w:after="380" w:line="471" w:lineRule="exact"/>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5</w:t>
      </w:r>
      <w:bookmarkEnd w:id="379"/>
      <w:r>
        <w:rPr>
          <w:color w:val="000000"/>
          <w:spacing w:val="0"/>
          <w:w w:val="100"/>
          <w:position w:val="0"/>
        </w:rPr>
        <w:t>、</w:t>
        <w:tab/>
        <w:t>其他重大关联交易</w:t>
      </w:r>
      <w:bookmarkEnd w:id="377"/>
      <w:bookmarkEnd w:id="378"/>
      <w:bookmarkEnd w:id="380"/>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3"/>
        <w:keepNext w:val="0"/>
        <w:keepLines w:val="0"/>
        <w:widowControl w:val="0"/>
        <w:shd w:val="clear" w:color="auto" w:fill="auto"/>
        <w:tabs>
          <w:tab w:pos="790" w:val="left"/>
        </w:tabs>
        <w:bidi w:val="0"/>
        <w:spacing w:before="0" w:after="0" w:line="471" w:lineRule="exact"/>
        <w:ind w:left="0" w:right="0" w:firstLine="440"/>
        <w:jc w:val="both"/>
      </w:pPr>
      <w:bookmarkStart w:id="381" w:name="bookmark381"/>
      <w:r>
        <w:rPr>
          <w:rFonts w:ascii="Times New Roman" w:eastAsia="Times New Roman" w:hAnsi="Times New Roman" w:cs="Times New Roman"/>
          <w:color w:val="000000"/>
          <w:spacing w:val="0"/>
          <w:w w:val="100"/>
          <w:position w:val="0"/>
        </w:rPr>
        <w:t>1</w:t>
      </w:r>
      <w:bookmarkEnd w:id="381"/>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月公司拟与青岛胶州城市发展投资有限公司（下称</w:t>
      </w:r>
      <w:r>
        <w:rPr>
          <w:rFonts w:ascii="Times New Roman" w:eastAsia="Times New Roman" w:hAnsi="Times New Roman" w:cs="Times New Roman"/>
          <w:color w:val="000000"/>
          <w:spacing w:val="0"/>
          <w:w w:val="100"/>
          <w:position w:val="0"/>
        </w:rPr>
        <w:t>“</w:t>
      </w:r>
      <w:r>
        <w:rPr>
          <w:color w:val="000000"/>
          <w:spacing w:val="0"/>
          <w:w w:val="100"/>
          <w:position w:val="0"/>
        </w:rPr>
        <w:t>胶州城投</w:t>
      </w:r>
      <w:r>
        <w:rPr>
          <w:rFonts w:ascii="Times New Roman" w:eastAsia="Times New Roman" w:hAnsi="Times New Roman" w:cs="Times New Roman"/>
          <w:color w:val="000000"/>
          <w:spacing w:val="0"/>
          <w:w w:val="100"/>
          <w:position w:val="0"/>
        </w:rPr>
        <w:t>”</w:t>
      </w:r>
      <w:r>
        <w:rPr>
          <w:color w:val="000000"/>
          <w:spacing w:val="0"/>
          <w:w w:val="100"/>
          <w:position w:val="0"/>
        </w:rPr>
        <w:t>）、北京东方旭杰基金管理 有限公司（下称</w:t>
      </w:r>
      <w:r>
        <w:rPr>
          <w:rFonts w:ascii="Times New Roman" w:eastAsia="Times New Roman" w:hAnsi="Times New Roman" w:cs="Times New Roman"/>
          <w:color w:val="000000"/>
          <w:spacing w:val="0"/>
          <w:w w:val="100"/>
          <w:position w:val="0"/>
        </w:rPr>
        <w:t>“</w:t>
      </w:r>
      <w:r>
        <w:rPr>
          <w:color w:val="000000"/>
          <w:spacing w:val="0"/>
          <w:w w:val="100"/>
          <w:position w:val="0"/>
        </w:rPr>
        <w:t>东方旭杰</w:t>
      </w:r>
      <w:r>
        <w:rPr>
          <w:rFonts w:ascii="Times New Roman" w:eastAsia="Times New Roman" w:hAnsi="Times New Roman" w:cs="Times New Roman"/>
          <w:color w:val="000000"/>
          <w:spacing w:val="0"/>
          <w:w w:val="100"/>
          <w:position w:val="0"/>
        </w:rPr>
        <w:t>”</w:t>
      </w:r>
      <w:r>
        <w:rPr>
          <w:color w:val="000000"/>
          <w:spacing w:val="0"/>
          <w:w w:val="100"/>
          <w:position w:val="0"/>
        </w:rPr>
        <w:t>）合作设立青岛旭蓝产业基金合伙企业（有限合伙）。该产业基金的认缴出资 总额为人民币</w:t>
      </w:r>
      <w:r>
        <w:rPr>
          <w:rFonts w:ascii="Times New Roman" w:eastAsia="Times New Roman" w:hAnsi="Times New Roman" w:cs="Times New Roman"/>
          <w:color w:val="000000"/>
          <w:spacing w:val="0"/>
          <w:w w:val="100"/>
          <w:position w:val="0"/>
        </w:rPr>
        <w:t>100,000</w:t>
      </w:r>
      <w:r>
        <w:rPr>
          <w:color w:val="000000"/>
          <w:spacing w:val="0"/>
          <w:w w:val="100"/>
          <w:position w:val="0"/>
        </w:rPr>
        <w:t>万元，其中，东方旭杰作为普通合伙人并担任执行事务合伙人暨基金管理人，认缴出 资额为</w:t>
      </w:r>
      <w:r>
        <w:rPr>
          <w:rFonts w:ascii="Times New Roman" w:eastAsia="Times New Roman" w:hAnsi="Times New Roman" w:cs="Times New Roman"/>
          <w:color w:val="000000"/>
          <w:spacing w:val="0"/>
          <w:w w:val="100"/>
          <w:position w:val="0"/>
        </w:rPr>
        <w:t>1,000</w:t>
      </w:r>
      <w:r>
        <w:rPr>
          <w:color w:val="000000"/>
          <w:spacing w:val="0"/>
          <w:w w:val="100"/>
          <w:position w:val="0"/>
        </w:rPr>
        <w:t>万元；胶州城投作为有限合伙人认缴出资额为</w:t>
      </w:r>
      <w:r>
        <w:rPr>
          <w:rFonts w:ascii="Times New Roman" w:eastAsia="Times New Roman" w:hAnsi="Times New Roman" w:cs="Times New Roman"/>
          <w:color w:val="000000"/>
          <w:spacing w:val="0"/>
          <w:w w:val="100"/>
          <w:position w:val="0"/>
        </w:rPr>
        <w:t>20,000</w:t>
      </w:r>
      <w:r>
        <w:rPr>
          <w:color w:val="000000"/>
          <w:spacing w:val="0"/>
          <w:w w:val="100"/>
          <w:position w:val="0"/>
        </w:rPr>
        <w:t xml:space="preserve">万元；公司作为有限合伙人认缴出资额为 </w:t>
      </w:r>
      <w:r>
        <w:rPr>
          <w:rFonts w:ascii="Times New Roman" w:eastAsia="Times New Roman" w:hAnsi="Times New Roman" w:cs="Times New Roman"/>
          <w:color w:val="000000"/>
          <w:spacing w:val="0"/>
          <w:w w:val="100"/>
          <w:position w:val="0"/>
        </w:rPr>
        <w:t>79,000</w:t>
      </w:r>
      <w:r>
        <w:rPr>
          <w:color w:val="000000"/>
          <w:spacing w:val="0"/>
          <w:w w:val="100"/>
          <w:position w:val="0"/>
        </w:rPr>
        <w:t>万元。合伙企业成立后，主要用于山东省青岛清洁能源、生态环保等国家重点培育和发展的战略性 新兴产业，以及具有区域性优势与主营业务存在关联与协同效应的项目。鉴于东方旭杰为公司控股股东东 旭集团有限公司全资子公司，本次交易构成关联交易。</w:t>
      </w:r>
    </w:p>
    <w:p>
      <w:pPr>
        <w:pStyle w:val="Style3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本次交易经</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日召开的公司第九届董事会第十二次会议审议，独立董事就此事项予以事前 认可并发表了独立意见。并经公司</w:t>
      </w:r>
      <w:r>
        <w:rPr>
          <w:rFonts w:ascii="Times New Roman" w:eastAsia="Times New Roman" w:hAnsi="Times New Roman" w:cs="Times New Roman"/>
          <w:color w:val="000000"/>
          <w:spacing w:val="0"/>
          <w:w w:val="100"/>
          <w:position w:val="0"/>
        </w:rPr>
        <w:t>2019</w:t>
      </w:r>
      <w:r>
        <w:rPr>
          <w:color w:val="000000"/>
          <w:spacing w:val="0"/>
          <w:w w:val="100"/>
          <w:position w:val="0"/>
        </w:rPr>
        <w:t>年第二次临时股东大会审议。</w:t>
      </w:r>
    </w:p>
    <w:p>
      <w:pPr>
        <w:pStyle w:val="Style33"/>
        <w:keepNext w:val="0"/>
        <w:keepLines w:val="0"/>
        <w:widowControl w:val="0"/>
        <w:shd w:val="clear" w:color="auto" w:fill="auto"/>
        <w:tabs>
          <w:tab w:pos="786" w:val="left"/>
        </w:tabs>
        <w:bidi w:val="0"/>
        <w:spacing w:before="0" w:after="0" w:line="471" w:lineRule="exact"/>
        <w:ind w:left="0" w:right="0" w:firstLine="440"/>
        <w:jc w:val="both"/>
      </w:pPr>
      <w:bookmarkStart w:id="382" w:name="bookmark382"/>
      <w:r>
        <w:rPr>
          <w:rFonts w:ascii="Times New Roman" w:eastAsia="Times New Roman" w:hAnsi="Times New Roman" w:cs="Times New Roman"/>
          <w:color w:val="000000"/>
          <w:spacing w:val="0"/>
          <w:w w:val="100"/>
          <w:position w:val="0"/>
        </w:rPr>
        <w:t>2</w:t>
      </w:r>
      <w:bookmarkEnd w:id="382"/>
      <w:r>
        <w:rPr>
          <w:color w:val="000000"/>
          <w:spacing w:val="0"/>
          <w:w w:val="100"/>
          <w:position w:val="0"/>
        </w:rPr>
        <w:t>、</w:t>
        <w:tab/>
        <w:t>公司于</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年与财务公司签署了《金融服务协议》，由财务公司为公司及公司子公司提供资金结 算、授信融资、资金管理、银行承兑汇票贴现等金融服务，协议有效期一年，鉴于公司与财务公司签署的 </w:t>
      </w:r>
      <w:r>
        <w:rPr>
          <w:color w:val="000000"/>
          <w:spacing w:val="0"/>
          <w:w w:val="100"/>
          <w:position w:val="0"/>
        </w:rPr>
        <w:t>上述协议届满，公司于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月与财务公司续签了《金融服务协议》。鉴于公司与财务公司的控股股东 均为东旭集团，本次交易构成关联交易。</w:t>
      </w:r>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本次交易经</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日召开的公司第九届董事会第十五次会议审议，独立董事就此事项予以事前认 可并发表了独立意见。并经公司</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年年度股东大会审议。</w:t>
      </w:r>
    </w:p>
    <w:p>
      <w:pPr>
        <w:pStyle w:val="Style33"/>
        <w:keepNext w:val="0"/>
        <w:keepLines w:val="0"/>
        <w:widowControl w:val="0"/>
        <w:shd w:val="clear" w:color="auto" w:fill="auto"/>
        <w:bidi w:val="0"/>
        <w:spacing w:before="0" w:after="0" w:line="473" w:lineRule="exact"/>
        <w:ind w:left="0" w:right="0" w:firstLine="440"/>
        <w:jc w:val="both"/>
      </w:pPr>
      <w:bookmarkStart w:id="383" w:name="bookmark383"/>
      <w:r>
        <w:rPr>
          <w:rFonts w:ascii="Times New Roman" w:eastAsia="Times New Roman" w:hAnsi="Times New Roman" w:cs="Times New Roman"/>
          <w:color w:val="000000"/>
          <w:spacing w:val="0"/>
          <w:w w:val="100"/>
          <w:position w:val="0"/>
        </w:rPr>
        <w:t>3</w:t>
      </w:r>
      <w:bookmarkEnd w:id="383"/>
      <w:r>
        <w:rPr>
          <w:color w:val="000000"/>
          <w:spacing w:val="0"/>
          <w:w w:val="100"/>
          <w:position w:val="0"/>
        </w:rPr>
        <w:t>、公司全资子公司北京中环鑫融科技有限公司与公司控股股东东旭集团有限公司曾于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月签 订《房屋租赁合同》，向东旭集团出租中环假日酒店（以下简称</w:t>
      </w:r>
      <w:r>
        <w:rPr>
          <w:rFonts w:ascii="Times New Roman" w:eastAsia="Times New Roman" w:hAnsi="Times New Roman" w:cs="Times New Roman"/>
          <w:color w:val="000000"/>
          <w:spacing w:val="0"/>
          <w:w w:val="100"/>
          <w:position w:val="0"/>
        </w:rPr>
        <w:t>“</w:t>
      </w:r>
      <w:r>
        <w:rPr>
          <w:color w:val="000000"/>
          <w:spacing w:val="0"/>
          <w:w w:val="100"/>
          <w:position w:val="0"/>
        </w:rPr>
        <w:t>中环大厦</w:t>
      </w:r>
      <w:r>
        <w:rPr>
          <w:rFonts w:ascii="Times New Roman" w:eastAsia="Times New Roman" w:hAnsi="Times New Roman" w:cs="Times New Roman"/>
          <w:color w:val="000000"/>
          <w:spacing w:val="0"/>
          <w:w w:val="100"/>
          <w:position w:val="0"/>
        </w:rPr>
        <w:t>”</w:t>
      </w:r>
      <w:r>
        <w:rPr>
          <w:color w:val="000000"/>
          <w:spacing w:val="0"/>
          <w:w w:val="100"/>
          <w:position w:val="0"/>
        </w:rPr>
        <w:t>）部分楼层，租赁期为</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月租约到期后，中环鑫融继续向东旭集团出租上述房产，续租期限</w:t>
      </w:r>
      <w:r>
        <w:rPr>
          <w:rFonts w:ascii="Times New Roman" w:eastAsia="Times New Roman" w:hAnsi="Times New Roman" w:cs="Times New Roman"/>
          <w:color w:val="000000"/>
          <w:spacing w:val="0"/>
          <w:w w:val="100"/>
          <w:position w:val="0"/>
        </w:rPr>
        <w:t>12</w:t>
      </w:r>
      <w:r>
        <w:rPr>
          <w:color w:val="000000"/>
          <w:spacing w:val="0"/>
          <w:w w:val="100"/>
          <w:position w:val="0"/>
        </w:rPr>
        <w:t>个月。鉴于续租期限于</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月到期，经双方协商，同意东旭集团续租。东旭集团于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月与中环鑫融、北京中环鑫融科技有 限公司密云分公司分别签署了租赁合同，续租期限均为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3"/>
        <w:keepNext w:val="0"/>
        <w:keepLines w:val="0"/>
        <w:widowControl w:val="0"/>
        <w:shd w:val="clear" w:color="auto" w:fill="auto"/>
        <w:bidi w:val="0"/>
        <w:spacing w:before="0" w:after="160" w:line="473" w:lineRule="exact"/>
        <w:ind w:left="0" w:right="0" w:firstLine="440"/>
        <w:jc w:val="both"/>
      </w:pPr>
      <w:r>
        <w:rPr>
          <w:color w:val="000000"/>
          <w:spacing w:val="0"/>
          <w:w w:val="100"/>
          <w:position w:val="0"/>
        </w:rPr>
        <w:t>本次交易经</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日召开的公司第九届董事会第二十四次会议审议，独立董事就此事项予以事 前认可并发表了独立意见。该事项无需提交股东大会审议。</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临时公告名称</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临时公告披露日期</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临时公告披露网站名称</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关于公司参与设立青岛旭蓝产业基金合伙 企业暨关联交易的公告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关于与东旭集团财务有限公司续签《金融服 务协议》暨关联交易的公告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关于全资子公司继续向关联方出租房产暨 关联交易的公告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bl>
    <w:p>
      <w:pPr>
        <w:widowControl w:val="0"/>
        <w:spacing w:after="359" w:line="1" w:lineRule="exact"/>
      </w:pPr>
    </w:p>
    <w:p>
      <w:pPr>
        <w:pStyle w:val="Style22"/>
        <w:keepNext/>
        <w:keepLines/>
        <w:widowControl w:val="0"/>
        <w:shd w:val="clear" w:color="auto" w:fill="auto"/>
        <w:bidi w:val="0"/>
        <w:spacing w:before="0" w:line="240" w:lineRule="auto"/>
        <w:ind w:left="0" w:right="0" w:firstLine="0"/>
        <w:jc w:val="both"/>
      </w:pPr>
      <w:bookmarkStart w:id="384" w:name="bookmark384"/>
      <w:bookmarkStart w:id="385" w:name="bookmark385"/>
      <w:bookmarkStart w:id="386" w:name="bookmark386"/>
      <w:r>
        <w:rPr>
          <w:color w:val="000000"/>
          <w:spacing w:val="0"/>
          <w:w w:val="100"/>
          <w:position w:val="0"/>
        </w:rPr>
        <w:t>十七、重大合同及其履行情况</w:t>
      </w:r>
      <w:bookmarkEnd w:id="384"/>
      <w:bookmarkEnd w:id="385"/>
      <w:bookmarkEnd w:id="386"/>
    </w:p>
    <w:p>
      <w:pPr>
        <w:pStyle w:val="Style30"/>
        <w:keepNext/>
        <w:keepLines/>
        <w:widowControl w:val="0"/>
        <w:shd w:val="clear" w:color="auto" w:fill="auto"/>
        <w:bidi w:val="0"/>
        <w:spacing w:before="0" w:line="240" w:lineRule="auto"/>
        <w:ind w:left="0" w:right="0" w:firstLine="0"/>
        <w:jc w:val="both"/>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1</w:t>
      </w:r>
      <w:bookmarkEnd w:id="389"/>
      <w:r>
        <w:rPr>
          <w:color w:val="000000"/>
          <w:spacing w:val="0"/>
          <w:w w:val="100"/>
          <w:position w:val="0"/>
        </w:rPr>
        <w:t>、托管、承包、租赁事项情况</w:t>
      </w:r>
      <w:bookmarkEnd w:id="387"/>
      <w:bookmarkEnd w:id="388"/>
      <w:bookmarkEnd w:id="390"/>
    </w:p>
    <w:p>
      <w:pPr>
        <w:pStyle w:val="Style37"/>
        <w:keepNext/>
        <w:keepLines/>
        <w:widowControl w:val="0"/>
        <w:shd w:val="clear" w:color="auto" w:fill="auto"/>
        <w:tabs>
          <w:tab w:pos="493" w:val="left"/>
        </w:tabs>
        <w:bidi w:val="0"/>
        <w:spacing w:before="0" w:after="360" w:line="240" w:lineRule="auto"/>
        <w:ind w:left="0" w:right="0" w:firstLine="0"/>
        <w:jc w:val="both"/>
      </w:pPr>
      <w:bookmarkStart w:id="391" w:name="bookmark391"/>
      <w:bookmarkStart w:id="392" w:name="bookmark392"/>
      <w:bookmarkStart w:id="393" w:name="bookmark393"/>
      <w:bookmarkStart w:id="394" w:name="bookmark394"/>
      <w:r>
        <w:rPr>
          <w:color w:val="000000"/>
          <w:spacing w:val="0"/>
          <w:w w:val="100"/>
          <w:position w:val="0"/>
        </w:rPr>
        <w:t>（</w:t>
      </w:r>
      <w:bookmarkEnd w:id="39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91"/>
      <w:bookmarkEnd w:id="392"/>
      <w:bookmarkEnd w:id="394"/>
    </w:p>
    <w:p>
      <w:pPr>
        <w:pStyle w:val="Style26"/>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公司报告期不存在托管情况。</w:t>
      </w:r>
    </w:p>
    <w:p>
      <w:pPr>
        <w:pStyle w:val="Style37"/>
        <w:keepNext/>
        <w:keepLines/>
        <w:widowControl w:val="0"/>
        <w:shd w:val="clear" w:color="auto" w:fill="auto"/>
        <w:tabs>
          <w:tab w:pos="493" w:val="left"/>
        </w:tabs>
        <w:bidi w:val="0"/>
        <w:spacing w:before="0" w:after="360" w:line="240" w:lineRule="auto"/>
        <w:ind w:left="0" w:right="0" w:firstLine="0"/>
        <w:jc w:val="both"/>
      </w:pPr>
      <w:bookmarkStart w:id="395" w:name="bookmark395"/>
      <w:bookmarkStart w:id="396" w:name="bookmark396"/>
      <w:bookmarkStart w:id="397" w:name="bookmark397"/>
      <w:bookmarkStart w:id="398" w:name="bookmark398"/>
      <w:r>
        <w:rPr>
          <w:color w:val="000000"/>
          <w:spacing w:val="0"/>
          <w:w w:val="100"/>
          <w:position w:val="0"/>
        </w:rPr>
        <w:t>（</w:t>
      </w:r>
      <w:bookmarkEnd w:id="39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95"/>
      <w:bookmarkEnd w:id="396"/>
      <w:bookmarkEnd w:id="398"/>
    </w:p>
    <w:p>
      <w:pPr>
        <w:pStyle w:val="Style26"/>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p>
    <w:p>
      <w:pPr>
        <w:pStyle w:val="Style37"/>
        <w:keepNext/>
        <w:keepLines/>
        <w:widowControl w:val="0"/>
        <w:shd w:val="clear" w:color="auto" w:fill="auto"/>
        <w:tabs>
          <w:tab w:pos="493" w:val="left"/>
        </w:tabs>
        <w:bidi w:val="0"/>
        <w:spacing w:before="0" w:after="360" w:line="240" w:lineRule="auto"/>
        <w:ind w:left="0" w:right="0" w:firstLine="0"/>
        <w:jc w:val="both"/>
      </w:pPr>
      <w:bookmarkStart w:id="399" w:name="bookmark399"/>
      <w:bookmarkStart w:id="400" w:name="bookmark400"/>
      <w:bookmarkStart w:id="401" w:name="bookmark401"/>
      <w:bookmarkStart w:id="402" w:name="bookmark402"/>
      <w:r>
        <w:rPr>
          <w:color w:val="000000"/>
          <w:spacing w:val="0"/>
          <w:w w:val="100"/>
          <w:position w:val="0"/>
        </w:rPr>
        <w:t>（</w:t>
      </w:r>
      <w:bookmarkEnd w:id="40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99"/>
      <w:bookmarkEnd w:id="400"/>
      <w:bookmarkEnd w:id="402"/>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466" w:lineRule="exact"/>
        <w:ind w:left="0" w:right="0" w:firstLine="0"/>
        <w:jc w:val="left"/>
      </w:pPr>
      <w:r>
        <w:rPr>
          <w:color w:val="000000"/>
          <w:spacing w:val="0"/>
          <w:w w:val="100"/>
          <w:position w:val="0"/>
        </w:rPr>
        <w:t>租赁情况说明</w:t>
      </w:r>
    </w:p>
    <w:p>
      <w:pPr>
        <w:pStyle w:val="Style33"/>
        <w:keepNext w:val="0"/>
        <w:keepLines w:val="0"/>
        <w:widowControl w:val="0"/>
        <w:shd w:val="clear" w:color="auto" w:fill="auto"/>
        <w:bidi w:val="0"/>
        <w:spacing w:before="0" w:after="380" w:line="466" w:lineRule="exact"/>
        <w:ind w:left="0" w:right="0" w:firstLine="440"/>
        <w:jc w:val="left"/>
      </w:pPr>
      <w:r>
        <w:rPr>
          <w:color w:val="000000"/>
          <w:spacing w:val="0"/>
          <w:w w:val="100"/>
          <w:position w:val="0"/>
        </w:rPr>
        <w:t>我司全资子公司北京中环鑫融酒店管理有限公司与东旭集团有限公司及下属公司签订《房屋租赁合 同》，中环鑫融向东旭集团下属公司出租中环假日酒店部分楼层，租赁期为</w:t>
      </w:r>
      <w:r>
        <w:rPr>
          <w:rFonts w:ascii="Times New Roman" w:eastAsia="Times New Roman" w:hAnsi="Times New Roman" w:cs="Times New Roman"/>
          <w:color w:val="000000"/>
          <w:spacing w:val="0"/>
          <w:w w:val="100"/>
          <w:position w:val="0"/>
        </w:rPr>
        <w:t>12</w:t>
      </w:r>
      <w:r>
        <w:rPr>
          <w:color w:val="000000"/>
          <w:spacing w:val="0"/>
          <w:w w:val="100"/>
          <w:position w:val="0"/>
        </w:rPr>
        <w:t>个月，出租区域建筑面积总 计为</w:t>
      </w:r>
      <w:r>
        <w:rPr>
          <w:rFonts w:ascii="Times New Roman" w:eastAsia="Times New Roman" w:hAnsi="Times New Roman" w:cs="Times New Roman"/>
          <w:color w:val="000000"/>
          <w:spacing w:val="0"/>
          <w:w w:val="100"/>
          <w:position w:val="0"/>
        </w:rPr>
        <w:t>50,212.03</w:t>
      </w:r>
      <w:r>
        <w:rPr>
          <w:color w:val="000000"/>
          <w:spacing w:val="0"/>
          <w:w w:val="100"/>
          <w:position w:val="0"/>
        </w:rPr>
        <w:t>平方米，租赁期自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日起至年</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日止，租赁合同总金额 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w:t>
      </w:r>
      <w:r>
        <w:rPr>
          <w:color w:val="000000"/>
          <w:spacing w:val="0"/>
          <w:w w:val="100"/>
          <w:position w:val="0"/>
        </w:rPr>
        <w:t>亿元。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月我司全资子公司北京中环鑫融酒店管理有限公司与东旭集团有限公司及下属公司租 赁合同续签一年，租赁期延长至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日。本年度合同期满，经双方协商，公司同意东旭集团 续租。</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月东旭集团与中环鑫融、北京中环鑫融科技有限公司密云分公司分别签署了租赁合同，其 中中环鑫融合同金额为</w:t>
      </w:r>
      <w:r>
        <w:rPr>
          <w:rFonts w:ascii="Times New Roman" w:eastAsia="Times New Roman" w:hAnsi="Times New Roman" w:cs="Times New Roman"/>
          <w:color w:val="000000"/>
          <w:spacing w:val="0"/>
          <w:w w:val="100"/>
          <w:position w:val="0"/>
        </w:rPr>
        <w:t>1.24</w:t>
      </w:r>
      <w:r>
        <w:rPr>
          <w:color w:val="000000"/>
          <w:spacing w:val="0"/>
          <w:w w:val="100"/>
          <w:position w:val="0"/>
        </w:rPr>
        <w:t>亿元，中环鑫融密云分公司合同金额为</w:t>
      </w:r>
      <w:r>
        <w:rPr>
          <w:rFonts w:ascii="Times New Roman" w:eastAsia="Times New Roman" w:hAnsi="Times New Roman" w:cs="Times New Roman"/>
          <w:color w:val="000000"/>
          <w:spacing w:val="0"/>
          <w:w w:val="100"/>
          <w:position w:val="0"/>
        </w:rPr>
        <w:t>0.66</w:t>
      </w:r>
      <w:r>
        <w:rPr>
          <w:color w:val="000000"/>
          <w:spacing w:val="0"/>
          <w:w w:val="100"/>
          <w:position w:val="0"/>
        </w:rPr>
        <w:t>亿元，合计约</w:t>
      </w:r>
      <w:r>
        <w:rPr>
          <w:rFonts w:ascii="Times New Roman" w:eastAsia="Times New Roman" w:hAnsi="Times New Roman" w:cs="Times New Roman"/>
          <w:color w:val="000000"/>
          <w:spacing w:val="0"/>
          <w:w w:val="100"/>
          <w:position w:val="0"/>
        </w:rPr>
        <w:t>1.9</w:t>
      </w:r>
      <w:r>
        <w:rPr>
          <w:color w:val="000000"/>
          <w:spacing w:val="0"/>
          <w:w w:val="100"/>
          <w:position w:val="0"/>
        </w:rPr>
        <w:t>亿元，续租期限均 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0"/>
        <w:keepNext/>
        <w:keepLines/>
        <w:widowControl w:val="0"/>
        <w:shd w:val="clear" w:color="auto" w:fill="auto"/>
        <w:bidi w:val="0"/>
        <w:spacing w:before="0" w:after="140" w:line="48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2</w:t>
      </w:r>
      <w:bookmarkEnd w:id="405"/>
      <w:r>
        <w:rPr>
          <w:color w:val="000000"/>
          <w:spacing w:val="0"/>
          <w:w w:val="100"/>
          <w:position w:val="0"/>
        </w:rPr>
        <w:t>、重大担保</w:t>
      </w:r>
      <w:bookmarkEnd w:id="403"/>
      <w:bookmarkEnd w:id="404"/>
      <w:bookmarkEnd w:id="406"/>
    </w:p>
    <w:p>
      <w:pPr>
        <w:pStyle w:val="Style26"/>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keepLines/>
        <w:widowControl w:val="0"/>
        <w:shd w:val="clear" w:color="auto" w:fill="auto"/>
        <w:bidi w:val="0"/>
        <w:spacing w:before="0" w:line="466" w:lineRule="exact"/>
        <w:ind w:left="0" w:right="0" w:firstLine="0"/>
        <w:jc w:val="left"/>
      </w:pPr>
      <w:bookmarkStart w:id="407" w:name="bookmark407"/>
      <w:bookmarkStart w:id="408" w:name="bookmark408"/>
      <w:bookmarkStart w:id="409" w:name="bookmark409"/>
      <w:bookmarkStart w:id="410" w:name="bookmark410"/>
      <w:r>
        <w:rPr>
          <w:color w:val="000000"/>
          <w:spacing w:val="0"/>
          <w:w w:val="100"/>
          <w:position w:val="0"/>
        </w:rPr>
        <w:t>（</w:t>
      </w:r>
      <w:bookmarkEnd w:id="409"/>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07"/>
      <w:bookmarkEnd w:id="408"/>
      <w:bookmarkEnd w:id="41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2"/>
        <w:gridCol w:w="926"/>
        <w:gridCol w:w="1296"/>
        <w:gridCol w:w="1066"/>
        <w:gridCol w:w="1032"/>
        <w:gridCol w:w="1046"/>
        <w:gridCol w:w="797"/>
        <w:gridCol w:w="787"/>
      </w:tblGrid>
      <w:tr>
        <w:trPr>
          <w:trHeight w:val="408" w:hRule="exact"/>
        </w:trPr>
        <w:tc>
          <w:tcPr>
            <w:gridSpan w:val="9"/>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403" w:hRule="exact"/>
        </w:trPr>
        <w:tc>
          <w:tcPr>
            <w:gridSpan w:val="9"/>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公司对子公司的担保情况</w:t>
            </w:r>
          </w:p>
        </w:tc>
      </w:tr>
      <w:tr>
        <w:trPr>
          <w:trHeight w:val="1022"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东旭新能源投资有限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2017.12.13-2</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021.3.5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四川东旭电力工程有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54,000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2017.12.14-2</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019.4.13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内蒙古昊庆新能源科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2017.6.30-20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25.6.30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广水市孚阳电力有限 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10,500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2017.9.7-202</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18"/>
        <w:gridCol w:w="922"/>
        <w:gridCol w:w="926"/>
        <w:gridCol w:w="1296"/>
        <w:gridCol w:w="1066"/>
        <w:gridCol w:w="1032"/>
        <w:gridCol w:w="1046"/>
        <w:gridCol w:w="797"/>
        <w:gridCol w:w="787"/>
      </w:tblGrid>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汪清县振发投资有限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 </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2017.12.27-2</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027.12.27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安徽东旭康图太阳能 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2018.9.14-20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20.6.11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星景生态环保科技</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2018.2.7-201</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新泰旭蓝新能源科技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26,000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25,726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2018.1.19-20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26.1.18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邢台天宏祥燃气有限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2018.6.8-202</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星景生态环保科技</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23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2018.7.19-20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20.7.19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东旭新能源投资有限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2018.9.30-20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21.10.19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东旭新能源投资有限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10,612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2018.9.27-20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19.9.24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长沙旭欣新能源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2019.4.3-202</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5.12.20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华融金属表面处理</w:t>
            </w:r>
          </w:p>
          <w:p>
            <w:pPr>
              <w:pStyle w:val="Style19"/>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（安平）科技有限公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63,000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2019.6.20-20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31.6.17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宁夏斯克旭元新能源</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19,004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2019.6.27-20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27.6.27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星景生态环保科技</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2019.10.25-2</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020.10.24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沧州渤海新区旭启新 能源有限公司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7,300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2019.10.16-2</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032.10.15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东旭新能源投资有限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报告期内审批对子公司担保额度</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rFonts w:ascii="SimSun" w:eastAsia="SimSun" w:hAnsi="SimSun" w:cs="SimSun"/>
                <w:color w:val="000000"/>
                <w:spacing w:val="0"/>
                <w:w w:val="100"/>
                <w:position w:val="0"/>
                <w:sz w:val="17"/>
                <w:szCs w:val="17"/>
              </w:rPr>
              <w:t>（</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130,300</w:t>
            </w:r>
          </w:p>
        </w:tc>
        <w:tc>
          <w:tcPr>
            <w:gridSpan w:val="2"/>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报告期内对子公司担保实 际发生额合计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59,216</w:t>
            </w:r>
          </w:p>
        </w:tc>
      </w:tr>
      <w:tr>
        <w:trPr>
          <w:trHeight w:val="715" w:hRule="exact"/>
        </w:trPr>
        <w:tc>
          <w:tcPr>
            <w:gridSpan w:val="2"/>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报告期末已审批的对子公司担保 额度合计</w:t>
            </w: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437,150</w:t>
            </w:r>
          </w:p>
        </w:tc>
        <w:tc>
          <w:tcPr>
            <w:gridSpan w:val="2"/>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保余额合计（</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277,486</w:t>
            </w:r>
          </w:p>
        </w:tc>
      </w:tr>
      <w:tr>
        <w:trPr>
          <w:trHeight w:val="398" w:hRule="exact"/>
        </w:trPr>
        <w:tc>
          <w:tcPr>
            <w:gridSpan w:val="9"/>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实际发生日期</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实际担保金 额</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200" w:right="0" w:hanging="200"/>
              <w:jc w:val="left"/>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413" w:hRule="exact"/>
        </w:trPr>
        <w:tc>
          <w:tcPr>
            <w:gridSpan w:val="9"/>
            <w:tcBorders>
              <w:top w:val="single" w:sz="4"/>
              <w:left w:val="single" w:sz="4"/>
              <w:bottom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公司担保总额（即前三大项的合计）</w:t>
            </w:r>
          </w:p>
        </w:tc>
      </w:tr>
    </w:tbl>
    <w:tbl>
      <w:tblPr>
        <w:tblOverlap w:val="never"/>
        <w:jc w:val="center"/>
        <w:tblLayout w:type="fixed"/>
      </w:tblPr>
      <w:tblGrid>
        <w:gridCol w:w="2640"/>
        <w:gridCol w:w="2222"/>
        <w:gridCol w:w="2098"/>
        <w:gridCol w:w="2630"/>
      </w:tblGrid>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130,300</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报告期内担保实际发生额</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59,216</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报告期末已审批的担保额度合计</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437,150</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报告期末实际担保余额合</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277,486</w:t>
            </w:r>
          </w:p>
        </w:tc>
      </w:tr>
      <w:tr>
        <w:trPr>
          <w:trHeight w:val="403" w:hRule="exact"/>
        </w:trPr>
        <w:tc>
          <w:tcPr>
            <w:gridSpan w:val="2"/>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）占公司净资产的比例</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w:t>
            </w:r>
          </w:p>
        </w:tc>
      </w:tr>
      <w:tr>
        <w:trPr>
          <w:trHeight w:val="403" w:hRule="exact"/>
        </w:trPr>
        <w:tc>
          <w:tcPr>
            <w:gridSpan w:val="4"/>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398" w:hRule="exact"/>
        </w:trPr>
        <w:tc>
          <w:tcPr>
            <w:gridSpan w:val="2"/>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为股东、实际控制人及其关联方提供担保的余额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2"/>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的被担保对象提供的债务 担保余额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80,274</w:t>
            </w:r>
          </w:p>
        </w:tc>
      </w:tr>
      <w:tr>
        <w:trPr>
          <w:trHeight w:val="403" w:hRule="exact"/>
        </w:trPr>
        <w:tc>
          <w:tcPr>
            <w:gridSpan w:val="2"/>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上述三项担保金额合计（</w:t>
            </w:r>
            <w:r>
              <w:rPr>
                <w:color w:val="000000"/>
                <w:spacing w:val="0"/>
                <w:w w:val="100"/>
                <w:position w:val="0"/>
                <w:sz w:val="18"/>
                <w:szCs w:val="18"/>
              </w:rPr>
              <w:t>D+E+F</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80,274</w:t>
            </w:r>
          </w:p>
        </w:tc>
      </w:tr>
      <w:tr>
        <w:trPr>
          <w:trHeight w:val="710" w:hRule="exact"/>
        </w:trPr>
        <w:tc>
          <w:tcPr>
            <w:gridSpan w:val="2"/>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对未到期担保，报告期内已发生担保责任或可能承担连带清偿 责任的情况说明（如有）</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13" w:hRule="exact"/>
        </w:trPr>
        <w:tc>
          <w:tcPr>
            <w:gridSpan w:val="2"/>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采用复合方式担保的具体情况说明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公司对部分全资子公司的担保方式，除提供连带责任保证外，还以部分项目收益权提供抵押。</w:t>
      </w:r>
    </w:p>
    <w:p>
      <w:pPr>
        <w:pStyle w:val="Style37"/>
        <w:keepNext/>
        <w:keepLines/>
        <w:widowControl w:val="0"/>
        <w:shd w:val="clear" w:color="auto" w:fill="auto"/>
        <w:bidi w:val="0"/>
        <w:spacing w:before="0" w:line="240" w:lineRule="auto"/>
        <w:ind w:left="0" w:right="0" w:firstLine="0"/>
        <w:jc w:val="left"/>
      </w:pPr>
      <w:bookmarkStart w:id="411" w:name="bookmark411"/>
      <w:bookmarkStart w:id="412" w:name="bookmark412"/>
      <w:bookmarkStart w:id="413" w:name="bookmark413"/>
      <w:bookmarkStart w:id="414" w:name="bookmark414"/>
      <w:r>
        <w:rPr>
          <w:color w:val="000000"/>
          <w:spacing w:val="0"/>
          <w:w w:val="100"/>
          <w:position w:val="0"/>
        </w:rPr>
        <w:t>（</w:t>
      </w:r>
      <w:bookmarkEnd w:id="413"/>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11"/>
      <w:bookmarkEnd w:id="412"/>
      <w:bookmarkEnd w:id="414"/>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0"/>
        <w:keepNext/>
        <w:keepLines/>
        <w:widowControl w:val="0"/>
        <w:shd w:val="clear" w:color="auto" w:fill="auto"/>
        <w:tabs>
          <w:tab w:pos="378" w:val="left"/>
        </w:tabs>
        <w:bidi w:val="0"/>
        <w:spacing w:before="0" w:after="380" w:line="240" w:lineRule="auto"/>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3</w:t>
      </w:r>
      <w:bookmarkEnd w:id="417"/>
      <w:r>
        <w:rPr>
          <w:color w:val="000000"/>
          <w:spacing w:val="0"/>
          <w:w w:val="100"/>
          <w:position w:val="0"/>
        </w:rPr>
        <w:t>、</w:t>
        <w:tab/>
        <w:t>委托他人进行现金资产管理情况</w:t>
      </w:r>
      <w:bookmarkEnd w:id="415"/>
      <w:bookmarkEnd w:id="416"/>
      <w:bookmarkEnd w:id="418"/>
    </w:p>
    <w:p>
      <w:pPr>
        <w:pStyle w:val="Style37"/>
        <w:keepNext/>
        <w:keepLines/>
        <w:widowControl w:val="0"/>
        <w:shd w:val="clear" w:color="auto" w:fill="auto"/>
        <w:tabs>
          <w:tab w:pos="493" w:val="left"/>
        </w:tabs>
        <w:bidi w:val="0"/>
        <w:spacing w:before="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w:t>
      </w:r>
      <w:bookmarkEnd w:id="421"/>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19"/>
      <w:bookmarkEnd w:id="420"/>
      <w:bookmarkEnd w:id="422"/>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37"/>
        <w:keepNext/>
        <w:keepLines/>
        <w:widowControl w:val="0"/>
        <w:shd w:val="clear" w:color="auto" w:fill="auto"/>
        <w:tabs>
          <w:tab w:pos="493" w:val="left"/>
        </w:tabs>
        <w:bidi w:val="0"/>
        <w:spacing w:before="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rPr>
        <w:t>（</w:t>
      </w:r>
      <w:bookmarkEnd w:id="425"/>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23"/>
      <w:bookmarkEnd w:id="424"/>
      <w:bookmarkEnd w:id="426"/>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0"/>
        <w:keepNext/>
        <w:keepLines/>
        <w:widowControl w:val="0"/>
        <w:shd w:val="clear" w:color="auto" w:fill="auto"/>
        <w:tabs>
          <w:tab w:pos="378" w:val="left"/>
        </w:tabs>
        <w:bidi w:val="0"/>
        <w:spacing w:before="0" w:after="38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4</w:t>
      </w:r>
      <w:bookmarkEnd w:id="429"/>
      <w:r>
        <w:rPr>
          <w:color w:val="000000"/>
          <w:spacing w:val="0"/>
          <w:w w:val="100"/>
          <w:position w:val="0"/>
        </w:rPr>
        <w:t>、</w:t>
        <w:tab/>
        <w:t>其他重大合同</w:t>
      </w:r>
      <w:bookmarkEnd w:id="427"/>
      <w:bookmarkEnd w:id="428"/>
      <w:bookmarkEnd w:id="430"/>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2"/>
        <w:keepNext/>
        <w:keepLines/>
        <w:widowControl w:val="0"/>
        <w:shd w:val="clear" w:color="auto" w:fill="auto"/>
        <w:bidi w:val="0"/>
        <w:spacing w:before="0" w:after="140" w:line="240" w:lineRule="auto"/>
        <w:ind w:left="0" w:right="0" w:firstLine="0"/>
        <w:jc w:val="left"/>
      </w:pPr>
      <w:bookmarkStart w:id="431" w:name="bookmark431"/>
      <w:bookmarkStart w:id="432" w:name="bookmark432"/>
      <w:bookmarkStart w:id="433" w:name="bookmark433"/>
      <w:r>
        <w:rPr>
          <w:color w:val="000000"/>
          <w:spacing w:val="0"/>
          <w:w w:val="100"/>
          <w:position w:val="0"/>
        </w:rPr>
        <w:t>十八、社会责任情况</w:t>
      </w:r>
      <w:bookmarkEnd w:id="431"/>
      <w:bookmarkEnd w:id="432"/>
      <w:bookmarkEnd w:id="433"/>
    </w:p>
    <w:p>
      <w:pPr>
        <w:pStyle w:val="Style30"/>
        <w:keepNext/>
        <w:keepLines/>
        <w:widowControl w:val="0"/>
        <w:shd w:val="clear" w:color="auto" w:fill="auto"/>
        <w:tabs>
          <w:tab w:pos="365" w:val="left"/>
        </w:tabs>
        <w:bidi w:val="0"/>
        <w:spacing w:before="0" w:after="220" w:line="467" w:lineRule="exact"/>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1</w:t>
      </w:r>
      <w:bookmarkEnd w:id="436"/>
      <w:r>
        <w:rPr>
          <w:color w:val="000000"/>
          <w:spacing w:val="0"/>
          <w:w w:val="100"/>
          <w:position w:val="0"/>
        </w:rPr>
        <w:t>、</w:t>
        <w:tab/>
        <w:t>履行社会责任情况</w:t>
      </w:r>
      <w:bookmarkEnd w:id="434"/>
      <w:bookmarkEnd w:id="435"/>
      <w:bookmarkEnd w:id="437"/>
    </w:p>
    <w:p>
      <w:pPr>
        <w:pStyle w:val="Style33"/>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党的十九大明确把精准脱贫作为决胜全面建成小康社会必须打好的三大攻坚战之一，其中光伏扶贫已 经成为我国精准脱贫攻坚战的中坚力量。东旭蓝天在快速发展的过程中，始终不忘自身的社会责任，积极 践行国家方针政策，响应国家号召，结合自身新能源业务，大力发展产业扶贫。通过</w:t>
      </w:r>
      <w:r>
        <w:rPr>
          <w:rFonts w:ascii="Times New Roman" w:eastAsia="Times New Roman" w:hAnsi="Times New Roman" w:cs="Times New Roman"/>
          <w:color w:val="000000"/>
          <w:spacing w:val="0"/>
          <w:w w:val="100"/>
          <w:position w:val="0"/>
        </w:rPr>
        <w:t>“</w:t>
      </w:r>
      <w:r>
        <w:rPr>
          <w:color w:val="000000"/>
          <w:spacing w:val="0"/>
          <w:w w:val="100"/>
          <w:position w:val="0"/>
        </w:rPr>
        <w:t>光伏扶贫</w:t>
      </w:r>
      <w:r>
        <w:rPr>
          <w:rFonts w:ascii="Times New Roman" w:eastAsia="Times New Roman" w:hAnsi="Times New Roman" w:cs="Times New Roman"/>
          <w:color w:val="000000"/>
          <w:spacing w:val="0"/>
          <w:w w:val="100"/>
          <w:position w:val="0"/>
        </w:rPr>
        <w:t>''</w:t>
      </w:r>
      <w:r>
        <w:rPr>
          <w:color w:val="000000"/>
          <w:spacing w:val="0"/>
          <w:w w:val="100"/>
          <w:position w:val="0"/>
        </w:rPr>
        <w:t>的精准扶 贫模式帮助全国众多区县及百姓实现脱贫。</w:t>
      </w:r>
    </w:p>
    <w:p>
      <w:pPr>
        <w:pStyle w:val="Style30"/>
        <w:keepNext/>
        <w:keepLines/>
        <w:widowControl w:val="0"/>
        <w:shd w:val="clear" w:color="auto" w:fill="auto"/>
        <w:tabs>
          <w:tab w:pos="366" w:val="left"/>
        </w:tabs>
        <w:bidi w:val="0"/>
        <w:spacing w:before="0" w:after="140" w:line="467" w:lineRule="exact"/>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2</w:t>
      </w:r>
      <w:bookmarkEnd w:id="440"/>
      <w:r>
        <w:rPr>
          <w:color w:val="000000"/>
          <w:spacing w:val="0"/>
          <w:w w:val="100"/>
          <w:position w:val="0"/>
        </w:rPr>
        <w:t>、</w:t>
        <w:tab/>
        <w:t>履行精准扶贫社会责任情况</w:t>
      </w:r>
      <w:bookmarkEnd w:id="438"/>
      <w:bookmarkEnd w:id="439"/>
      <w:bookmarkEnd w:id="441"/>
    </w:p>
    <w:p>
      <w:pPr>
        <w:pStyle w:val="Style37"/>
        <w:keepNext/>
        <w:keepLines/>
        <w:widowControl w:val="0"/>
        <w:shd w:val="clear" w:color="auto" w:fill="auto"/>
        <w:tabs>
          <w:tab w:pos="481" w:val="left"/>
        </w:tabs>
        <w:bidi w:val="0"/>
        <w:spacing w:before="0" w:after="140" w:line="467" w:lineRule="exact"/>
        <w:ind w:left="0" w:right="0" w:firstLine="0"/>
        <w:jc w:val="left"/>
      </w:pPr>
      <w:bookmarkStart w:id="442" w:name="bookmark442"/>
      <w:bookmarkStart w:id="443" w:name="bookmark443"/>
      <w:bookmarkStart w:id="444" w:name="bookmark444"/>
      <w:bookmarkStart w:id="445" w:name="bookmark445"/>
      <w:r>
        <w:rPr>
          <w:color w:val="000000"/>
          <w:spacing w:val="0"/>
          <w:w w:val="100"/>
          <w:position w:val="0"/>
        </w:rPr>
        <w:t>（</w:t>
      </w:r>
      <w:bookmarkEnd w:id="444"/>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42"/>
      <w:bookmarkEnd w:id="443"/>
      <w:bookmarkEnd w:id="445"/>
    </w:p>
    <w:p>
      <w:pPr>
        <w:pStyle w:val="Style37"/>
        <w:keepNext/>
        <w:keepLines/>
        <w:widowControl w:val="0"/>
        <w:shd w:val="clear" w:color="auto" w:fill="auto"/>
        <w:tabs>
          <w:tab w:pos="481" w:val="left"/>
        </w:tabs>
        <w:bidi w:val="0"/>
        <w:spacing w:before="0" w:after="460" w:line="467" w:lineRule="exact"/>
        <w:ind w:left="0" w:right="0" w:firstLine="0"/>
        <w:jc w:val="left"/>
      </w:pPr>
      <w:bookmarkStart w:id="446" w:name="bookmark446"/>
      <w:bookmarkStart w:id="447" w:name="bookmark447"/>
      <w:bookmarkStart w:id="448" w:name="bookmark448"/>
      <w:bookmarkStart w:id="449" w:name="bookmark449"/>
      <w:r>
        <w:rPr>
          <w:color w:val="000000"/>
          <w:spacing w:val="0"/>
          <w:w w:val="100"/>
          <w:position w:val="0"/>
        </w:rPr>
        <w:t>（</w:t>
      </w:r>
      <w:bookmarkEnd w:id="448"/>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46"/>
      <w:bookmarkEnd w:id="447"/>
      <w:bookmarkEnd w:id="449"/>
    </w:p>
    <w:p>
      <w:pPr>
        <w:pStyle w:val="Style33"/>
        <w:keepNext w:val="0"/>
        <w:keepLines w:val="0"/>
        <w:widowControl w:val="0"/>
        <w:shd w:val="clear" w:color="auto" w:fill="auto"/>
        <w:tabs>
          <w:tab w:pos="782" w:val="left"/>
        </w:tabs>
        <w:bidi w:val="0"/>
        <w:spacing w:before="0" w:after="0"/>
        <w:ind w:left="0" w:right="0" w:firstLine="440"/>
        <w:jc w:val="both"/>
      </w:pPr>
      <w:bookmarkStart w:id="450" w:name="bookmark450"/>
      <w:r>
        <w:rPr>
          <w:rFonts w:ascii="Times New Roman" w:eastAsia="Times New Roman" w:hAnsi="Times New Roman" w:cs="Times New Roman"/>
          <w:color w:val="000000"/>
          <w:spacing w:val="0"/>
          <w:w w:val="100"/>
          <w:position w:val="0"/>
        </w:rPr>
        <w:t>1</w:t>
      </w:r>
      <w:bookmarkEnd w:id="450"/>
      <w:r>
        <w:rPr>
          <w:color w:val="000000"/>
          <w:spacing w:val="0"/>
          <w:w w:val="100"/>
          <w:position w:val="0"/>
        </w:rPr>
        <w:t>、</w:t>
        <w:tab/>
        <w:t>光伏扶贫</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公司在吉林汪清县光伏扶贫项目是东北地区最大单体扶贫项目，也是汪清县投资规模最大、扶贫收益 成效最突出、扶贫收益时间最长的扶贫项目；同时也是国家能源局和国家扶贫开发领导小组下达的第一批 光伏扶贫项目之一，规划装机总容量</w:t>
      </w:r>
      <w:r>
        <w:rPr>
          <w:rFonts w:ascii="Times New Roman" w:eastAsia="Times New Roman" w:hAnsi="Times New Roman" w:cs="Times New Roman"/>
          <w:color w:val="000000"/>
          <w:spacing w:val="0"/>
          <w:w w:val="100"/>
          <w:position w:val="0"/>
        </w:rPr>
        <w:t>200MW</w:t>
      </w:r>
      <w:r>
        <w:rPr>
          <w:color w:val="000000"/>
          <w:spacing w:val="0"/>
          <w:w w:val="100"/>
          <w:position w:val="0"/>
        </w:rPr>
        <w:t>。</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其中，一期</w:t>
      </w:r>
      <w:r>
        <w:rPr>
          <w:rFonts w:ascii="Times New Roman" w:eastAsia="Times New Roman" w:hAnsi="Times New Roman" w:cs="Times New Roman"/>
          <w:color w:val="000000"/>
          <w:spacing w:val="0"/>
          <w:w w:val="100"/>
          <w:position w:val="0"/>
        </w:rPr>
        <w:t>100MW</w:t>
      </w:r>
      <w:r>
        <w:rPr>
          <w:color w:val="000000"/>
          <w:spacing w:val="0"/>
          <w:w w:val="100"/>
          <w:position w:val="0"/>
        </w:rPr>
        <w:t>光伏扶贫项目，位于汪清县百草沟镇牡丹池村，占地面积</w:t>
      </w:r>
      <w:r>
        <w:rPr>
          <w:rFonts w:ascii="Times New Roman" w:eastAsia="Times New Roman" w:hAnsi="Times New Roman" w:cs="Times New Roman"/>
          <w:color w:val="000000"/>
          <w:spacing w:val="0"/>
          <w:w w:val="100"/>
          <w:position w:val="0"/>
        </w:rPr>
        <w:t>335</w:t>
      </w:r>
      <w:r>
        <w:rPr>
          <w:color w:val="000000"/>
          <w:spacing w:val="0"/>
          <w:w w:val="100"/>
          <w:position w:val="0"/>
        </w:rPr>
        <w:t>公顷，总投资</w:t>
      </w:r>
      <w:r>
        <w:rPr>
          <w:rFonts w:ascii="Times New Roman" w:eastAsia="Times New Roman" w:hAnsi="Times New Roman" w:cs="Times New Roman"/>
          <w:color w:val="000000"/>
          <w:spacing w:val="0"/>
          <w:w w:val="100"/>
          <w:position w:val="0"/>
        </w:rPr>
        <w:t>7.9</w:t>
      </w:r>
      <w:r>
        <w:rPr>
          <w:color w:val="000000"/>
          <w:spacing w:val="0"/>
          <w:w w:val="100"/>
          <w:position w:val="0"/>
        </w:rPr>
        <w:t>亿元； 二期</w:t>
      </w:r>
      <w:r>
        <w:rPr>
          <w:rFonts w:ascii="Times New Roman" w:eastAsia="Times New Roman" w:hAnsi="Times New Roman" w:cs="Times New Roman"/>
          <w:color w:val="000000"/>
          <w:spacing w:val="0"/>
          <w:w w:val="100"/>
          <w:position w:val="0"/>
        </w:rPr>
        <w:t>30MW</w:t>
      </w:r>
      <w:r>
        <w:rPr>
          <w:color w:val="000000"/>
          <w:spacing w:val="0"/>
          <w:w w:val="100"/>
          <w:position w:val="0"/>
        </w:rPr>
        <w:t>，</w:t>
      </w:r>
      <w:r>
        <w:rPr>
          <w:color w:val="000000"/>
          <w:spacing w:val="0"/>
          <w:w w:val="100"/>
          <w:position w:val="0"/>
        </w:rPr>
        <w:t>位于汪清县百草沟镇东崴子村，占地面积</w:t>
      </w:r>
      <w:r>
        <w:rPr>
          <w:rFonts w:ascii="Times New Roman" w:eastAsia="Times New Roman" w:hAnsi="Times New Roman" w:cs="Times New Roman"/>
          <w:color w:val="000000"/>
          <w:spacing w:val="0"/>
          <w:w w:val="100"/>
          <w:position w:val="0"/>
        </w:rPr>
        <w:t>125</w:t>
      </w:r>
      <w:r>
        <w:rPr>
          <w:color w:val="000000"/>
          <w:spacing w:val="0"/>
          <w:w w:val="100"/>
          <w:position w:val="0"/>
        </w:rPr>
        <w:t>公顷，总投资</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.25</w:t>
      </w:r>
      <w:r>
        <w:rPr>
          <w:color w:val="000000"/>
          <w:spacing w:val="0"/>
          <w:w w:val="100"/>
          <w:position w:val="0"/>
        </w:rPr>
        <w:t>亿元。其中仅二期项目建成后， 年均上网发电量即可达</w:t>
      </w:r>
      <w:r>
        <w:rPr>
          <w:rFonts w:ascii="Times New Roman" w:eastAsia="Times New Roman" w:hAnsi="Times New Roman" w:cs="Times New Roman"/>
          <w:color w:val="000000"/>
          <w:spacing w:val="0"/>
          <w:w w:val="100"/>
          <w:position w:val="0"/>
        </w:rPr>
        <w:t>3600</w:t>
      </w:r>
      <w:r>
        <w:rPr>
          <w:color w:val="000000"/>
          <w:spacing w:val="0"/>
          <w:w w:val="100"/>
          <w:position w:val="0"/>
        </w:rPr>
        <w:t>万</w:t>
      </w:r>
      <w:r>
        <w:rPr>
          <w:rFonts w:ascii="Times New Roman" w:eastAsia="Times New Roman" w:hAnsi="Times New Roman" w:cs="Times New Roman"/>
          <w:color w:val="000000"/>
          <w:spacing w:val="0"/>
          <w:w w:val="100"/>
          <w:position w:val="0"/>
        </w:rPr>
        <w:t>kWh</w:t>
      </w:r>
      <w:r>
        <w:rPr>
          <w:color w:val="000000"/>
          <w:spacing w:val="0"/>
          <w:w w:val="100"/>
          <w:position w:val="0"/>
        </w:rPr>
        <w:t>，</w:t>
      </w:r>
      <w:r>
        <w:rPr>
          <w:color w:val="000000"/>
          <w:spacing w:val="0"/>
          <w:w w:val="100"/>
          <w:position w:val="0"/>
        </w:rPr>
        <w:t>年可节约标准煤</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.22</w:t>
      </w:r>
      <w:r>
        <w:rPr>
          <w:color w:val="000000"/>
          <w:spacing w:val="0"/>
          <w:w w:val="100"/>
          <w:position w:val="0"/>
        </w:rPr>
        <w:t>万吨，减排二氧化碳约</w:t>
      </w:r>
      <w:r>
        <w:rPr>
          <w:rFonts w:ascii="Times New Roman" w:eastAsia="Times New Roman" w:hAnsi="Times New Roman" w:cs="Times New Roman"/>
          <w:color w:val="000000"/>
          <w:spacing w:val="0"/>
          <w:w w:val="100"/>
          <w:position w:val="0"/>
        </w:rPr>
        <w:t>3.2</w:t>
      </w:r>
      <w:r>
        <w:rPr>
          <w:color w:val="000000"/>
          <w:spacing w:val="0"/>
          <w:w w:val="100"/>
          <w:position w:val="0"/>
        </w:rPr>
        <w:t xml:space="preserve">万吨，减排二氧化硫约 </w:t>
      </w:r>
      <w:r>
        <w:rPr>
          <w:rFonts w:ascii="Times New Roman" w:eastAsia="Times New Roman" w:hAnsi="Times New Roman" w:cs="Times New Roman"/>
          <w:color w:val="000000"/>
          <w:spacing w:val="0"/>
          <w:w w:val="100"/>
          <w:position w:val="0"/>
        </w:rPr>
        <w:t>243</w:t>
      </w:r>
      <w:r>
        <w:rPr>
          <w:color w:val="000000"/>
          <w:spacing w:val="0"/>
          <w:w w:val="100"/>
          <w:position w:val="0"/>
        </w:rPr>
        <w:t>吨，减排氮氧化物约</w:t>
      </w:r>
      <w:r>
        <w:rPr>
          <w:rFonts w:ascii="Times New Roman" w:eastAsia="Times New Roman" w:hAnsi="Times New Roman" w:cs="Times New Roman"/>
          <w:color w:val="000000"/>
          <w:spacing w:val="0"/>
          <w:w w:val="100"/>
          <w:position w:val="0"/>
        </w:rPr>
        <w:t>82</w:t>
      </w:r>
      <w:r>
        <w:rPr>
          <w:color w:val="000000"/>
          <w:spacing w:val="0"/>
          <w:w w:val="100"/>
          <w:position w:val="0"/>
        </w:rPr>
        <w:t>吨。年可提供扶贫资金</w:t>
      </w:r>
      <w:r>
        <w:rPr>
          <w:rFonts w:ascii="Times New Roman" w:eastAsia="Times New Roman" w:hAnsi="Times New Roman" w:cs="Times New Roman"/>
          <w:color w:val="000000"/>
          <w:spacing w:val="0"/>
          <w:w w:val="100"/>
          <w:position w:val="0"/>
        </w:rPr>
        <w:t>300</w:t>
      </w:r>
      <w:r>
        <w:rPr>
          <w:color w:val="000000"/>
          <w:spacing w:val="0"/>
          <w:w w:val="100"/>
          <w:position w:val="0"/>
        </w:rPr>
        <w:t>万元，带动贫困户</w:t>
      </w:r>
      <w:r>
        <w:rPr>
          <w:rFonts w:ascii="Times New Roman" w:eastAsia="Times New Roman" w:hAnsi="Times New Roman" w:cs="Times New Roman"/>
          <w:color w:val="000000"/>
          <w:spacing w:val="0"/>
          <w:w w:val="100"/>
          <w:position w:val="0"/>
        </w:rPr>
        <w:t>1000</w:t>
      </w:r>
      <w:r>
        <w:rPr>
          <w:color w:val="000000"/>
          <w:spacing w:val="0"/>
          <w:w w:val="100"/>
          <w:position w:val="0"/>
        </w:rPr>
        <w:t>户。</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目前汪清项目累计完成容量</w:t>
      </w:r>
      <w:r>
        <w:rPr>
          <w:rFonts w:ascii="Times New Roman" w:eastAsia="Times New Roman" w:hAnsi="Times New Roman" w:cs="Times New Roman"/>
          <w:color w:val="000000"/>
          <w:spacing w:val="0"/>
          <w:w w:val="100"/>
          <w:position w:val="0"/>
        </w:rPr>
        <w:t>130MW</w:t>
      </w:r>
      <w:r>
        <w:rPr>
          <w:color w:val="000000"/>
          <w:spacing w:val="0"/>
          <w:w w:val="100"/>
          <w:position w:val="0"/>
        </w:rPr>
        <w:t>集中式光伏扶贫电站，年发电量为</w:t>
      </w:r>
      <w:r>
        <w:rPr>
          <w:rFonts w:ascii="Times New Roman" w:eastAsia="Times New Roman" w:hAnsi="Times New Roman" w:cs="Times New Roman"/>
          <w:color w:val="000000"/>
          <w:spacing w:val="0"/>
          <w:w w:val="100"/>
          <w:position w:val="0"/>
        </w:rPr>
        <w:t>1.6</w:t>
      </w:r>
      <w:r>
        <w:rPr>
          <w:color w:val="000000"/>
          <w:spacing w:val="0"/>
          <w:w w:val="100"/>
          <w:position w:val="0"/>
        </w:rPr>
        <w:t>亿千瓦时，实现税金</w:t>
      </w:r>
      <w:r>
        <w:rPr>
          <w:rFonts w:ascii="Times New Roman" w:eastAsia="Times New Roman" w:hAnsi="Times New Roman" w:cs="Times New Roman"/>
          <w:color w:val="000000"/>
          <w:spacing w:val="0"/>
          <w:w w:val="100"/>
          <w:position w:val="0"/>
        </w:rPr>
        <w:t>1900</w:t>
      </w:r>
      <w:r>
        <w:rPr>
          <w:color w:val="000000"/>
          <w:spacing w:val="0"/>
          <w:w w:val="100"/>
          <w:position w:val="0"/>
        </w:rPr>
        <w:t>万 元，年提供扶贫资金</w:t>
      </w:r>
      <w:r>
        <w:rPr>
          <w:rFonts w:ascii="Times New Roman" w:eastAsia="Times New Roman" w:hAnsi="Times New Roman" w:cs="Times New Roman"/>
          <w:color w:val="000000"/>
          <w:spacing w:val="0"/>
          <w:w w:val="100"/>
          <w:position w:val="0"/>
        </w:rPr>
        <w:t>1500</w:t>
      </w:r>
      <w:r>
        <w:rPr>
          <w:color w:val="000000"/>
          <w:spacing w:val="0"/>
          <w:w w:val="100"/>
          <w:position w:val="0"/>
        </w:rPr>
        <w:t>万，实现</w:t>
      </w:r>
      <w:r>
        <w:rPr>
          <w:rFonts w:ascii="Times New Roman" w:eastAsia="Times New Roman" w:hAnsi="Times New Roman" w:cs="Times New Roman"/>
          <w:color w:val="000000"/>
          <w:spacing w:val="0"/>
          <w:w w:val="100"/>
          <w:position w:val="0"/>
        </w:rPr>
        <w:t>5000</w:t>
      </w:r>
      <w:r>
        <w:rPr>
          <w:color w:val="000000"/>
          <w:spacing w:val="0"/>
          <w:w w:val="100"/>
          <w:position w:val="0"/>
        </w:rPr>
        <w:t>户建档立卡贫困户顺利脱贫，户年均增收</w:t>
      </w:r>
      <w:r>
        <w:rPr>
          <w:rFonts w:ascii="Times New Roman" w:eastAsia="Times New Roman" w:hAnsi="Times New Roman" w:cs="Times New Roman"/>
          <w:color w:val="000000"/>
          <w:spacing w:val="0"/>
          <w:w w:val="100"/>
          <w:position w:val="0"/>
        </w:rPr>
        <w:t>3000</w:t>
      </w:r>
      <w:r>
        <w:rPr>
          <w:color w:val="000000"/>
          <w:spacing w:val="0"/>
          <w:w w:val="100"/>
          <w:position w:val="0"/>
        </w:rPr>
        <w:t>元，按全县贫困人口 计算，人均扶贫收益分红近</w:t>
      </w:r>
      <w:r>
        <w:rPr>
          <w:rFonts w:ascii="Times New Roman" w:eastAsia="Times New Roman" w:hAnsi="Times New Roman" w:cs="Times New Roman"/>
          <w:color w:val="000000"/>
          <w:spacing w:val="0"/>
          <w:w w:val="100"/>
          <w:position w:val="0"/>
        </w:rPr>
        <w:t>900</w:t>
      </w:r>
      <w:r>
        <w:rPr>
          <w:color w:val="000000"/>
          <w:spacing w:val="0"/>
          <w:w w:val="100"/>
          <w:position w:val="0"/>
        </w:rPr>
        <w:t>元，为汪清县尽早脱贫摘帽提供了强有力的经济支撑。</w:t>
      </w:r>
    </w:p>
    <w:p>
      <w:pPr>
        <w:pStyle w:val="Style33"/>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汪清项目创新发展模式，将农光互补、牧光互补等多种方式紧密结合，建设光伏扶贫产业园；开发建 设青少年农业科普教育基地、农业科技示范园；开发长白山地道中药材的种植、品种培育及深加工；开发 建设光伏旅游产业园；打造一、二、三产业融合发展的产业园区。</w:t>
      </w:r>
      <w:r>
        <w:rPr>
          <w:rFonts w:ascii="Times New Roman" w:eastAsia="Times New Roman" w:hAnsi="Times New Roman" w:cs="Times New Roman"/>
          <w:color w:val="000000"/>
          <w:spacing w:val="0"/>
          <w:w w:val="100"/>
          <w:position w:val="0"/>
        </w:rPr>
        <w:t>“</w:t>
      </w:r>
      <w:r>
        <w:rPr>
          <w:color w:val="000000"/>
          <w:spacing w:val="0"/>
          <w:w w:val="100"/>
          <w:position w:val="0"/>
        </w:rPr>
        <w:t>汪清模式</w:t>
      </w:r>
      <w:r>
        <w:rPr>
          <w:rFonts w:ascii="Times New Roman" w:eastAsia="Times New Roman" w:hAnsi="Times New Roman" w:cs="Times New Roman"/>
          <w:color w:val="000000"/>
          <w:spacing w:val="0"/>
          <w:w w:val="100"/>
          <w:position w:val="0"/>
        </w:rPr>
        <w:t>”</w:t>
      </w:r>
      <w:r>
        <w:rPr>
          <w:color w:val="000000"/>
          <w:spacing w:val="0"/>
          <w:w w:val="100"/>
          <w:position w:val="0"/>
        </w:rPr>
        <w:t>不仅切实解决了县内就业问 题，更对区域经济起到巨大推动作用。</w:t>
      </w:r>
    </w:p>
    <w:p>
      <w:pPr>
        <w:pStyle w:val="Style33"/>
        <w:keepNext w:val="0"/>
        <w:keepLines w:val="0"/>
        <w:widowControl w:val="0"/>
        <w:shd w:val="clear" w:color="auto" w:fill="auto"/>
        <w:tabs>
          <w:tab w:pos="801" w:val="left"/>
        </w:tabs>
        <w:bidi w:val="0"/>
        <w:spacing w:before="0" w:after="0"/>
        <w:ind w:left="0" w:right="0" w:firstLine="440"/>
        <w:jc w:val="both"/>
      </w:pPr>
      <w:bookmarkStart w:id="451" w:name="bookmark451"/>
      <w:r>
        <w:rPr>
          <w:rFonts w:ascii="Times New Roman" w:eastAsia="Times New Roman" w:hAnsi="Times New Roman" w:cs="Times New Roman"/>
          <w:color w:val="000000"/>
          <w:spacing w:val="0"/>
          <w:w w:val="100"/>
          <w:position w:val="0"/>
        </w:rPr>
        <w:t>2</w:t>
      </w:r>
      <w:bookmarkEnd w:id="451"/>
      <w:r>
        <w:rPr>
          <w:color w:val="000000"/>
          <w:spacing w:val="0"/>
          <w:w w:val="100"/>
          <w:position w:val="0"/>
        </w:rPr>
        <w:t>、</w:t>
        <w:tab/>
        <w:t>农业扶贫</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东旭大别山茶油产业园是东旭蓝天</w:t>
      </w:r>
      <w:r>
        <w:rPr>
          <w:rFonts w:ascii="Times New Roman" w:eastAsia="Times New Roman" w:hAnsi="Times New Roman" w:cs="Times New Roman"/>
          <w:color w:val="000000"/>
          <w:spacing w:val="0"/>
          <w:w w:val="100"/>
          <w:position w:val="0"/>
        </w:rPr>
        <w:t>“</w:t>
      </w:r>
      <w:r>
        <w:rPr>
          <w:color w:val="000000"/>
          <w:spacing w:val="0"/>
          <w:w w:val="100"/>
          <w:position w:val="0"/>
        </w:rPr>
        <w:t>茶园综合体</w:t>
      </w:r>
      <w:r>
        <w:rPr>
          <w:rFonts w:ascii="Times New Roman" w:eastAsia="Times New Roman" w:hAnsi="Times New Roman" w:cs="Times New Roman"/>
          <w:color w:val="000000"/>
          <w:spacing w:val="0"/>
          <w:w w:val="100"/>
          <w:position w:val="0"/>
        </w:rPr>
        <w:t>”</w:t>
      </w:r>
      <w:r>
        <w:rPr>
          <w:color w:val="000000"/>
          <w:spacing w:val="0"/>
          <w:w w:val="100"/>
          <w:position w:val="0"/>
        </w:rPr>
        <w:t>创新模式试点项目之一，是</w:t>
      </w:r>
      <w:r>
        <w:rPr>
          <w:rFonts w:ascii="Times New Roman" w:eastAsia="Times New Roman" w:hAnsi="Times New Roman" w:cs="Times New Roman"/>
          <w:color w:val="000000"/>
          <w:spacing w:val="0"/>
          <w:w w:val="100"/>
          <w:position w:val="0"/>
        </w:rPr>
        <w:t>“</w:t>
      </w:r>
      <w:r>
        <w:rPr>
          <w:color w:val="000000"/>
          <w:spacing w:val="0"/>
          <w:w w:val="100"/>
          <w:position w:val="0"/>
        </w:rPr>
        <w:t>农光互补</w:t>
      </w:r>
      <w:r>
        <w:rPr>
          <w:rFonts w:ascii="Times New Roman" w:eastAsia="Times New Roman" w:hAnsi="Times New Roman" w:cs="Times New Roman"/>
          <w:color w:val="000000"/>
          <w:spacing w:val="0"/>
          <w:w w:val="100"/>
          <w:position w:val="0"/>
        </w:rPr>
        <w:t>''</w:t>
      </w:r>
      <w:r>
        <w:rPr>
          <w:color w:val="000000"/>
          <w:spacing w:val="0"/>
          <w:w w:val="100"/>
          <w:position w:val="0"/>
        </w:rPr>
        <w:t>模式典范，也 是金寨县政府和金寨现代产业园区重点支持的项目，开创了</w:t>
      </w:r>
      <w:r>
        <w:rPr>
          <w:rFonts w:ascii="Times New Roman" w:eastAsia="Times New Roman" w:hAnsi="Times New Roman" w:cs="Times New Roman"/>
          <w:color w:val="000000"/>
          <w:spacing w:val="0"/>
          <w:w w:val="100"/>
          <w:position w:val="0"/>
        </w:rPr>
        <w:t>“</w:t>
      </w:r>
      <w:r>
        <w:rPr>
          <w:color w:val="000000"/>
          <w:spacing w:val="0"/>
          <w:w w:val="100"/>
          <w:position w:val="0"/>
        </w:rPr>
        <w:t xml:space="preserve">油茶扶贫''新模式推动金寨县脱贫攻坚、完善 </w:t>
      </w:r>
      <w:r>
        <w:rPr>
          <w:color w:val="000000"/>
          <w:spacing w:val="0"/>
          <w:w w:val="100"/>
          <w:position w:val="0"/>
        </w:rPr>
        <w:t>了油茶产业循环经济链，更实现了资源利用的最大化，对金寨生态环境保护具有十分重要的意义。</w:t>
      </w:r>
    </w:p>
    <w:p>
      <w:pPr>
        <w:pStyle w:val="Style3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园区占地</w:t>
      </w:r>
      <w:r>
        <w:rPr>
          <w:rFonts w:ascii="Times New Roman" w:eastAsia="Times New Roman" w:hAnsi="Times New Roman" w:cs="Times New Roman"/>
          <w:color w:val="000000"/>
          <w:spacing w:val="0"/>
          <w:w w:val="100"/>
          <w:position w:val="0"/>
        </w:rPr>
        <w:t>300</w:t>
      </w:r>
      <w:r>
        <w:rPr>
          <w:color w:val="000000"/>
          <w:spacing w:val="0"/>
          <w:w w:val="100"/>
          <w:position w:val="0"/>
        </w:rPr>
        <w:t>亩，年产</w:t>
      </w:r>
      <w:r>
        <w:rPr>
          <w:rFonts w:ascii="Times New Roman" w:eastAsia="Times New Roman" w:hAnsi="Times New Roman" w:cs="Times New Roman"/>
          <w:color w:val="000000"/>
          <w:spacing w:val="0"/>
          <w:w w:val="100"/>
          <w:position w:val="0"/>
        </w:rPr>
        <w:t>5000</w:t>
      </w:r>
      <w:r>
        <w:rPr>
          <w:color w:val="000000"/>
          <w:spacing w:val="0"/>
          <w:w w:val="100"/>
          <w:position w:val="0"/>
        </w:rPr>
        <w:t>吨，拥有近</w:t>
      </w:r>
      <w:r>
        <w:rPr>
          <w:rFonts w:ascii="Times New Roman" w:eastAsia="Times New Roman" w:hAnsi="Times New Roman" w:cs="Times New Roman"/>
          <w:color w:val="000000"/>
          <w:spacing w:val="0"/>
          <w:w w:val="100"/>
          <w:position w:val="0"/>
        </w:rPr>
        <w:t>500</w:t>
      </w:r>
      <w:r>
        <w:rPr>
          <w:color w:val="000000"/>
          <w:spacing w:val="0"/>
          <w:w w:val="100"/>
          <w:position w:val="0"/>
        </w:rPr>
        <w:t>平米茶油技术中心，将着力打造具有核心竞争优势的</w:t>
      </w:r>
      <w:r>
        <w:rPr>
          <w:rFonts w:ascii="Times New Roman" w:eastAsia="Times New Roman" w:hAnsi="Times New Roman" w:cs="Times New Roman"/>
          <w:color w:val="000000"/>
          <w:spacing w:val="0"/>
          <w:w w:val="100"/>
          <w:position w:val="0"/>
        </w:rPr>
        <w:t>“</w:t>
      </w:r>
      <w:r>
        <w:rPr>
          <w:color w:val="000000"/>
          <w:spacing w:val="0"/>
          <w:w w:val="100"/>
          <w:position w:val="0"/>
        </w:rPr>
        <w:t>东旭 大别山</w:t>
      </w:r>
      <w:r>
        <w:rPr>
          <w:rFonts w:ascii="Times New Roman" w:eastAsia="Times New Roman" w:hAnsi="Times New Roman" w:cs="Times New Roman"/>
          <w:color w:val="000000"/>
          <w:spacing w:val="0"/>
          <w:w w:val="100"/>
          <w:position w:val="0"/>
        </w:rPr>
        <w:t>”</w:t>
      </w:r>
      <w:r>
        <w:rPr>
          <w:color w:val="000000"/>
          <w:spacing w:val="0"/>
          <w:w w:val="100"/>
          <w:position w:val="0"/>
        </w:rPr>
        <w:t xml:space="preserve">高端茶油品牌和特色资源产品，实现选种、育苗、种植、加工、研发和销售一体化的产业链模式。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日，开工奠基；</w:t>
      </w:r>
      <w:r>
        <w:rPr>
          <w:rFonts w:ascii="Times New Roman" w:eastAsia="Times New Roman" w:hAnsi="Times New Roman" w:cs="Times New Roman"/>
          <w:color w:val="000000"/>
          <w:spacing w:val="0"/>
          <w:w w:val="100"/>
          <w:position w:val="0"/>
        </w:rPr>
        <w:t>7</w:t>
      </w:r>
      <w:r>
        <w:rPr>
          <w:color w:val="000000"/>
          <w:spacing w:val="0"/>
          <w:w w:val="100"/>
          <w:position w:val="0"/>
        </w:rPr>
        <w:t>月，取得金寨县国家现代农业产业园建设工作领导组批复；</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日，茶油 产业园研发区实验楼主体结构封顶；</w:t>
      </w:r>
      <w:r>
        <w:rPr>
          <w:rFonts w:ascii="Times New Roman" w:eastAsia="Times New Roman" w:hAnsi="Times New Roman" w:cs="Times New Roman"/>
          <w:color w:val="000000"/>
          <w:spacing w:val="0"/>
          <w:w w:val="100"/>
          <w:position w:val="0"/>
        </w:rPr>
        <w:t>9</w:t>
      </w:r>
      <w:r>
        <w:rPr>
          <w:color w:val="000000"/>
          <w:spacing w:val="0"/>
          <w:w w:val="100"/>
          <w:position w:val="0"/>
        </w:rPr>
        <w:t>月，入选第七批</w:t>
      </w:r>
      <w:r>
        <w:rPr>
          <w:rFonts w:ascii="Times New Roman" w:eastAsia="Times New Roman" w:hAnsi="Times New Roman" w:cs="Times New Roman"/>
          <w:color w:val="000000"/>
          <w:spacing w:val="0"/>
          <w:w w:val="100"/>
          <w:position w:val="0"/>
        </w:rPr>
        <w:t>“</w:t>
      </w:r>
      <w:r>
        <w:rPr>
          <w:color w:val="000000"/>
          <w:spacing w:val="0"/>
          <w:w w:val="100"/>
          <w:position w:val="0"/>
        </w:rPr>
        <w:t>安徽省林业产业化龙头企业</w:t>
      </w:r>
      <w:r>
        <w:rPr>
          <w:rFonts w:ascii="Times New Roman" w:eastAsia="Times New Roman" w:hAnsi="Times New Roman" w:cs="Times New Roman"/>
          <w:color w:val="000000"/>
          <w:spacing w:val="0"/>
          <w:w w:val="100"/>
          <w:position w:val="0"/>
        </w:rPr>
        <w:t>”</w:t>
      </w:r>
      <w:r>
        <w:rPr>
          <w:color w:val="000000"/>
          <w:spacing w:val="0"/>
          <w:w w:val="100"/>
          <w:position w:val="0"/>
        </w:rPr>
        <w:t>。截至目前已累计提供 就业岗位</w:t>
      </w:r>
      <w:r>
        <w:rPr>
          <w:rFonts w:ascii="Times New Roman" w:eastAsia="Times New Roman" w:hAnsi="Times New Roman" w:cs="Times New Roman"/>
          <w:color w:val="000000"/>
          <w:spacing w:val="0"/>
          <w:w w:val="100"/>
          <w:position w:val="0"/>
        </w:rPr>
        <w:t>60</w:t>
      </w:r>
      <w:r>
        <w:rPr>
          <w:color w:val="000000"/>
          <w:spacing w:val="0"/>
          <w:w w:val="100"/>
          <w:position w:val="0"/>
        </w:rPr>
        <w:t>个，解决下岗再就业岗位</w:t>
      </w:r>
      <w:r>
        <w:rPr>
          <w:rFonts w:ascii="Times New Roman" w:eastAsia="Times New Roman" w:hAnsi="Times New Roman" w:cs="Times New Roman"/>
          <w:color w:val="000000"/>
          <w:spacing w:val="0"/>
          <w:w w:val="100"/>
          <w:position w:val="0"/>
        </w:rPr>
        <w:t>25</w:t>
      </w:r>
      <w:r>
        <w:rPr>
          <w:color w:val="000000"/>
          <w:spacing w:val="0"/>
          <w:w w:val="100"/>
          <w:position w:val="0"/>
        </w:rPr>
        <w:t>个，农民增收</w:t>
      </w:r>
      <w:r>
        <w:rPr>
          <w:rFonts w:ascii="Times New Roman" w:eastAsia="Times New Roman" w:hAnsi="Times New Roman" w:cs="Times New Roman"/>
          <w:color w:val="000000"/>
          <w:spacing w:val="0"/>
          <w:w w:val="100"/>
          <w:position w:val="0"/>
        </w:rPr>
        <w:t>400</w:t>
      </w:r>
      <w:r>
        <w:rPr>
          <w:color w:val="000000"/>
          <w:spacing w:val="0"/>
          <w:w w:val="100"/>
          <w:position w:val="0"/>
        </w:rPr>
        <w:t>万元，累计捐赠</w:t>
      </w:r>
      <w:r>
        <w:rPr>
          <w:rFonts w:ascii="Times New Roman" w:eastAsia="Times New Roman" w:hAnsi="Times New Roman" w:cs="Times New Roman"/>
          <w:color w:val="000000"/>
          <w:spacing w:val="0"/>
          <w:w w:val="100"/>
          <w:position w:val="0"/>
        </w:rPr>
        <w:t>6</w:t>
      </w:r>
      <w:r>
        <w:rPr>
          <w:color w:val="000000"/>
          <w:spacing w:val="0"/>
          <w:w w:val="100"/>
          <w:position w:val="0"/>
        </w:rPr>
        <w:t>万元。</w:t>
      </w:r>
    </w:p>
    <w:p>
      <w:pPr>
        <w:pStyle w:val="Style33"/>
        <w:keepNext w:val="0"/>
        <w:keepLines w:val="0"/>
        <w:widowControl w:val="0"/>
        <w:shd w:val="clear" w:color="auto" w:fill="auto"/>
        <w:bidi w:val="0"/>
        <w:spacing w:before="0" w:after="220" w:line="471" w:lineRule="exact"/>
        <w:ind w:left="0" w:right="0" w:firstLine="440"/>
        <w:jc w:val="both"/>
      </w:pPr>
      <w:r>
        <w:rPr>
          <w:color w:val="000000"/>
          <w:spacing w:val="0"/>
          <w:w w:val="100"/>
          <w:position w:val="0"/>
        </w:rPr>
        <w:t>大别山油茶产业园的建设，是东旭蓝天响应国家扶贫政策和安徽省油茶产业扶贫方案。按照</w:t>
      </w:r>
      <w:r>
        <w:rPr>
          <w:rFonts w:ascii="Times New Roman" w:eastAsia="Times New Roman" w:hAnsi="Times New Roman" w:cs="Times New Roman"/>
          <w:color w:val="000000"/>
          <w:spacing w:val="0"/>
          <w:w w:val="100"/>
          <w:position w:val="0"/>
        </w:rPr>
        <w:t>“</w:t>
      </w:r>
      <w:r>
        <w:rPr>
          <w:color w:val="000000"/>
          <w:spacing w:val="0"/>
          <w:w w:val="100"/>
          <w:position w:val="0"/>
        </w:rPr>
        <w:t>龙头企 业</w:t>
      </w:r>
      <w:r>
        <w:rPr>
          <w:rFonts w:ascii="Times New Roman" w:eastAsia="Times New Roman" w:hAnsi="Times New Roman" w:cs="Times New Roman"/>
          <w:color w:val="000000"/>
          <w:spacing w:val="0"/>
          <w:w w:val="100"/>
          <w:position w:val="0"/>
        </w:rPr>
        <w:t>+</w:t>
      </w:r>
      <w:r>
        <w:rPr>
          <w:color w:val="000000"/>
          <w:spacing w:val="0"/>
          <w:w w:val="100"/>
          <w:position w:val="0"/>
        </w:rPr>
        <w:t>基地</w:t>
      </w:r>
      <w:r>
        <w:rPr>
          <w:rFonts w:ascii="Times New Roman" w:eastAsia="Times New Roman" w:hAnsi="Times New Roman" w:cs="Times New Roman"/>
          <w:color w:val="000000"/>
          <w:spacing w:val="0"/>
          <w:w w:val="100"/>
          <w:position w:val="0"/>
        </w:rPr>
        <w:t>+</w:t>
      </w:r>
      <w:r>
        <w:rPr>
          <w:color w:val="000000"/>
          <w:spacing w:val="0"/>
          <w:w w:val="100"/>
          <w:position w:val="0"/>
        </w:rPr>
        <w:t>合作社</w:t>
      </w:r>
      <w:r>
        <w:rPr>
          <w:rFonts w:ascii="Times New Roman" w:eastAsia="Times New Roman" w:hAnsi="Times New Roman" w:cs="Times New Roman"/>
          <w:color w:val="000000"/>
          <w:spacing w:val="0"/>
          <w:w w:val="100"/>
          <w:position w:val="0"/>
        </w:rPr>
        <w:t>+</w:t>
      </w:r>
      <w:r>
        <w:rPr>
          <w:color w:val="000000"/>
          <w:spacing w:val="0"/>
          <w:w w:val="100"/>
          <w:position w:val="0"/>
        </w:rPr>
        <w:t>农户</w:t>
      </w:r>
      <w:r>
        <w:rPr>
          <w:rFonts w:ascii="Times New Roman" w:eastAsia="Times New Roman" w:hAnsi="Times New Roman" w:cs="Times New Roman"/>
          <w:color w:val="000000"/>
          <w:spacing w:val="0"/>
          <w:w w:val="100"/>
          <w:position w:val="0"/>
        </w:rPr>
        <w:t>''</w:t>
      </w:r>
      <w:r>
        <w:rPr>
          <w:color w:val="000000"/>
          <w:spacing w:val="0"/>
          <w:w w:val="100"/>
          <w:position w:val="0"/>
        </w:rPr>
        <w:t>的互联互动发展模式，构建利益共享机制，助力当地政府把</w:t>
      </w:r>
      <w:r>
        <w:rPr>
          <w:rFonts w:ascii="Times New Roman" w:eastAsia="Times New Roman" w:hAnsi="Times New Roman" w:cs="Times New Roman"/>
          <w:color w:val="000000"/>
          <w:spacing w:val="0"/>
          <w:w w:val="100"/>
          <w:position w:val="0"/>
        </w:rPr>
        <w:t>“</w:t>
      </w:r>
      <w:r>
        <w:rPr>
          <w:color w:val="000000"/>
          <w:spacing w:val="0"/>
          <w:w w:val="100"/>
          <w:position w:val="0"/>
        </w:rPr>
        <w:t>油茶扶贫</w:t>
      </w:r>
      <w:r>
        <w:rPr>
          <w:rFonts w:ascii="Times New Roman" w:eastAsia="Times New Roman" w:hAnsi="Times New Roman" w:cs="Times New Roman"/>
          <w:color w:val="000000"/>
          <w:spacing w:val="0"/>
          <w:w w:val="100"/>
          <w:position w:val="0"/>
        </w:rPr>
        <w:t>''</w:t>
      </w:r>
      <w:r>
        <w:rPr>
          <w:color w:val="000000"/>
          <w:spacing w:val="0"/>
          <w:w w:val="100"/>
          <w:position w:val="0"/>
        </w:rPr>
        <w:t>新模式打造 成为金寨县扶贫的重要力量，促进金寨县贫困人口稳定脱贫、持续增收。</w:t>
      </w:r>
    </w:p>
    <w:p>
      <w:pPr>
        <w:pStyle w:val="Style33"/>
        <w:keepNext w:val="0"/>
        <w:keepLines w:val="0"/>
        <w:widowControl w:val="0"/>
        <w:shd w:val="clear" w:color="auto" w:fill="auto"/>
        <w:bidi w:val="0"/>
        <w:spacing w:before="0" w:after="0" w:line="492" w:lineRule="auto"/>
        <w:ind w:left="0" w:right="0" w:firstLine="440"/>
        <w:jc w:val="both"/>
      </w:pPr>
      <w:bookmarkStart w:id="452" w:name="bookmark452"/>
      <w:r>
        <w:rPr>
          <w:rFonts w:ascii="Times New Roman" w:eastAsia="Times New Roman" w:hAnsi="Times New Roman" w:cs="Times New Roman"/>
          <w:color w:val="000000"/>
          <w:spacing w:val="0"/>
          <w:w w:val="100"/>
          <w:position w:val="0"/>
        </w:rPr>
        <w:t>3</w:t>
      </w:r>
      <w:bookmarkEnd w:id="452"/>
      <w:r>
        <w:rPr>
          <w:color w:val="000000"/>
          <w:spacing w:val="0"/>
          <w:w w:val="100"/>
          <w:position w:val="0"/>
        </w:rPr>
        <w:t>、抗疫防疫</w:t>
      </w:r>
    </w:p>
    <w:p>
      <w:pPr>
        <w:pStyle w:val="Style33"/>
        <w:keepNext w:val="0"/>
        <w:keepLines w:val="0"/>
        <w:widowControl w:val="0"/>
        <w:shd w:val="clear" w:color="auto" w:fill="auto"/>
        <w:bidi w:val="0"/>
        <w:spacing w:before="0" w:after="0" w:line="471"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日，东旭蓝天通过旗下全资子公司安徽东旭大别山农业科技有限公司和东旭康图太阳能 科技有限公司先后向金寨县红十字会爱心捐赠民生保障物资和医疗防疫物资，累计捐赠食用油</w:t>
      </w:r>
      <w:r>
        <w:rPr>
          <w:rFonts w:ascii="Times New Roman" w:eastAsia="Times New Roman" w:hAnsi="Times New Roman" w:cs="Times New Roman"/>
          <w:color w:val="000000"/>
          <w:spacing w:val="0"/>
          <w:w w:val="100"/>
          <w:position w:val="0"/>
        </w:rPr>
        <w:t>2.5</w:t>
      </w:r>
      <w:r>
        <w:rPr>
          <w:color w:val="000000"/>
          <w:spacing w:val="0"/>
          <w:w w:val="100"/>
          <w:position w:val="0"/>
        </w:rPr>
        <w:t>吨，医用 酒精</w:t>
      </w:r>
      <w:r>
        <w:rPr>
          <w:rFonts w:ascii="Times New Roman" w:eastAsia="Times New Roman" w:hAnsi="Times New Roman" w:cs="Times New Roman"/>
          <w:color w:val="000000"/>
          <w:spacing w:val="0"/>
          <w:w w:val="100"/>
          <w:position w:val="0"/>
        </w:rPr>
        <w:t>3000</w:t>
      </w:r>
      <w:r>
        <w:rPr>
          <w:color w:val="000000"/>
          <w:spacing w:val="0"/>
          <w:w w:val="100"/>
          <w:position w:val="0"/>
        </w:rPr>
        <w:t>瓶，助力金寨县抗疫攻坚战。其中，东旭大别山更被列入安徽省级「疫情防控重点保障企业」名 单，同时启动食用油供应保障机制。</w:t>
      </w:r>
    </w:p>
    <w:p>
      <w:pPr>
        <w:pStyle w:val="Style33"/>
        <w:keepNext w:val="0"/>
        <w:keepLines w:val="0"/>
        <w:widowControl w:val="0"/>
        <w:shd w:val="clear" w:color="auto" w:fill="auto"/>
        <w:bidi w:val="0"/>
        <w:spacing w:before="0" w:after="220" w:line="471"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月底，通过华融环保产业园向安平县疾病预防控制中心捐赠价值</w:t>
      </w:r>
      <w:r>
        <w:rPr>
          <w:rFonts w:ascii="Times New Roman" w:eastAsia="Times New Roman" w:hAnsi="Times New Roman" w:cs="Times New Roman"/>
          <w:color w:val="000000"/>
          <w:spacing w:val="0"/>
          <w:w w:val="100"/>
          <w:position w:val="0"/>
        </w:rPr>
        <w:t>10</w:t>
      </w:r>
      <w:r>
        <w:rPr>
          <w:color w:val="000000"/>
          <w:spacing w:val="0"/>
          <w:w w:val="100"/>
          <w:position w:val="0"/>
        </w:rPr>
        <w:t>万元的防疫物资（医用口罩）， 助力安平县抗疫攻坚，为全县疫情防控工作尽绵薄力量。</w:t>
      </w:r>
    </w:p>
    <w:p>
      <w:pPr>
        <w:pStyle w:val="Style37"/>
        <w:keepNext/>
        <w:keepLines/>
        <w:widowControl w:val="0"/>
        <w:shd w:val="clear" w:color="auto" w:fill="auto"/>
        <w:bidi w:val="0"/>
        <w:spacing w:before="0" w:after="340" w:line="471" w:lineRule="exact"/>
        <w:ind w:left="0" w:right="0" w:firstLine="0"/>
        <w:jc w:val="both"/>
      </w:pPr>
      <w:bookmarkStart w:id="453" w:name="bookmark453"/>
      <w:bookmarkStart w:id="454" w:name="bookmark454"/>
      <w:bookmarkStart w:id="455" w:name="bookmark455"/>
      <w:bookmarkStart w:id="456" w:name="bookmark456"/>
      <w:r>
        <w:rPr>
          <w:color w:val="000000"/>
          <w:spacing w:val="0"/>
          <w:w w:val="100"/>
          <w:position w:val="0"/>
        </w:rPr>
        <w:t>（</w:t>
      </w:r>
      <w:bookmarkEnd w:id="455"/>
      <w:r>
        <w:rPr>
          <w:rFonts w:ascii="Times New Roman" w:eastAsia="Times New Roman" w:hAnsi="Times New Roman" w:cs="Times New Roman"/>
          <w:color w:val="000000"/>
          <w:spacing w:val="0"/>
          <w:w w:val="100"/>
          <w:position w:val="0"/>
        </w:rPr>
        <w:t>3</w:t>
      </w:r>
      <w:r>
        <w:rPr>
          <w:color w:val="000000"/>
          <w:spacing w:val="0"/>
          <w:w w:val="100"/>
          <w:position w:val="0"/>
        </w:rPr>
        <w:t>）精准扶贫成效</w:t>
      </w:r>
      <w:bookmarkEnd w:id="453"/>
      <w:bookmarkEnd w:id="454"/>
      <w:bookmarkEnd w:id="456"/>
    </w:p>
    <w:tbl>
      <w:tblPr>
        <w:tblOverlap w:val="never"/>
        <w:jc w:val="center"/>
        <w:tblLayout w:type="fixed"/>
      </w:tblPr>
      <w:tblGrid>
        <w:gridCol w:w="3605"/>
        <w:gridCol w:w="1459"/>
        <w:gridCol w:w="4522"/>
      </w:tblGrid>
      <w:tr>
        <w:trPr>
          <w:trHeight w:val="40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指标</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计量单位</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r>
              <w:rPr>
                <w:color w:val="000000"/>
                <w:spacing w:val="0"/>
                <w:w w:val="100"/>
                <w:position w:val="0"/>
                <w:sz w:val="18"/>
                <w:szCs w:val="18"/>
              </w:rPr>
              <w:t>/</w:t>
            </w:r>
            <w:r>
              <w:rPr>
                <w:rFonts w:ascii="SimSun" w:eastAsia="SimSun" w:hAnsi="SimSun" w:cs="SimSun"/>
                <w:color w:val="000000"/>
                <w:spacing w:val="0"/>
                <w:w w:val="100"/>
                <w:position w:val="0"/>
                <w:sz w:val="17"/>
                <w:szCs w:val="17"/>
              </w:rPr>
              <w:t>开展情况</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一、总体情况</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1.</w:t>
            </w:r>
            <w:r>
              <w:rPr>
                <w:rFonts w:ascii="SimSun" w:eastAsia="SimSun" w:hAnsi="SimSun" w:cs="SimSun"/>
                <w:color w:val="000000"/>
                <w:spacing w:val="0"/>
                <w:w w:val="100"/>
                <w:position w:val="0"/>
                <w:sz w:val="17"/>
                <w:szCs w:val="17"/>
              </w:rPr>
              <w:t>资金</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物资折款</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二、分项投入</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产业发展脱贫</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tabs>
                <w:tab w:pos="907" w:val="lef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tab/>
            </w:r>
            <w:r>
              <w:rPr>
                <w:color w:val="000000"/>
                <w:spacing w:val="0"/>
                <w:w w:val="100"/>
                <w:position w:val="0"/>
                <w:sz w:val="18"/>
                <w:szCs w:val="18"/>
              </w:rPr>
              <w:t>1.1</w:t>
            </w:r>
            <w:r>
              <w:rPr>
                <w:rFonts w:ascii="SimSun" w:eastAsia="SimSun" w:hAnsi="SimSun" w:cs="SimSun"/>
                <w:color w:val="000000"/>
                <w:spacing w:val="0"/>
                <w:w w:val="100"/>
                <w:position w:val="0"/>
                <w:sz w:val="17"/>
                <w:szCs w:val="17"/>
              </w:rPr>
              <w:t>产业发展脱贫项目类型</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转移就业脱贫</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易地搬迁脱贫</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教育扶贫</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健康扶贫</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生态保护扶贫</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兜底保障</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tbl>
      <w:tblPr>
        <w:tblOverlap w:val="never"/>
        <w:jc w:val="center"/>
        <w:tblLayout w:type="fixed"/>
      </w:tblPr>
      <w:tblGrid>
        <w:gridCol w:w="3605"/>
        <w:gridCol w:w="1459"/>
        <w:gridCol w:w="4522"/>
      </w:tblGrid>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社会扶贫</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其他项目</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三、所获奖项（内容、级别）</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rPr>
        <w:t>（</w:t>
      </w:r>
      <w:bookmarkEnd w:id="459"/>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57"/>
      <w:bookmarkEnd w:id="458"/>
      <w:bookmarkEnd w:id="460"/>
    </w:p>
    <w:p>
      <w:pPr>
        <w:pStyle w:val="Style30"/>
        <w:keepNext/>
        <w:keepLines/>
        <w:widowControl w:val="0"/>
        <w:shd w:val="clear" w:color="auto" w:fill="auto"/>
        <w:bidi w:val="0"/>
        <w:spacing w:before="0" w:after="220" w:line="240" w:lineRule="auto"/>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3</w:t>
      </w:r>
      <w:bookmarkEnd w:id="463"/>
      <w:r>
        <w:rPr>
          <w:color w:val="000000"/>
          <w:spacing w:val="0"/>
          <w:w w:val="100"/>
          <w:position w:val="0"/>
        </w:rPr>
        <w:t>、环境保护相关的情况</w:t>
      </w:r>
      <w:bookmarkEnd w:id="461"/>
      <w:bookmarkEnd w:id="462"/>
      <w:bookmarkEnd w:id="464"/>
    </w:p>
    <w:p>
      <w:pPr>
        <w:pStyle w:val="Style26"/>
        <w:keepNext w:val="0"/>
        <w:keepLines w:val="0"/>
        <w:widowControl w:val="0"/>
        <w:shd w:val="clear" w:color="auto" w:fill="auto"/>
        <w:bidi w:val="0"/>
        <w:spacing w:before="0" w:after="0" w:line="355" w:lineRule="exact"/>
        <w:ind w:left="0" w:right="0" w:firstLine="0"/>
        <w:jc w:val="left"/>
      </w:pPr>
      <w:r>
        <w:rPr>
          <w:color w:val="000000"/>
          <w:spacing w:val="0"/>
          <w:w w:val="100"/>
          <w:position w:val="0"/>
        </w:rPr>
        <w:t>上市公司及其子公司是否属于环境保护部门公布的重点排污单位 否</w:t>
      </w:r>
    </w:p>
    <w:p>
      <w:pPr>
        <w:pStyle w:val="Style26"/>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公司及子公司不属于环境保护部门公布的重点排污单位。</w:t>
      </w:r>
    </w:p>
    <w:p>
      <w:pPr>
        <w:pStyle w:val="Style22"/>
        <w:keepNext/>
        <w:keepLines/>
        <w:widowControl w:val="0"/>
        <w:shd w:val="clear" w:color="auto" w:fill="auto"/>
        <w:bidi w:val="0"/>
        <w:spacing w:before="0" w:after="220" w:line="240" w:lineRule="auto"/>
        <w:ind w:left="0" w:right="0" w:firstLine="0"/>
        <w:jc w:val="left"/>
      </w:pPr>
      <w:bookmarkStart w:id="465" w:name="bookmark465"/>
      <w:bookmarkStart w:id="466" w:name="bookmark466"/>
      <w:bookmarkStart w:id="467" w:name="bookmark467"/>
      <w:r>
        <w:rPr>
          <w:color w:val="000000"/>
          <w:spacing w:val="0"/>
          <w:w w:val="100"/>
          <w:position w:val="0"/>
        </w:rPr>
        <w:t>十九、其他重大事项的说明</w:t>
      </w:r>
      <w:bookmarkEnd w:id="465"/>
      <w:bookmarkEnd w:id="466"/>
      <w:bookmarkEnd w:id="467"/>
    </w:p>
    <w:p>
      <w:pPr>
        <w:pStyle w:val="Style26"/>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公司报告期不存在需要说明的其他重大事项。</w:t>
      </w:r>
    </w:p>
    <w:p>
      <w:pPr>
        <w:pStyle w:val="Style22"/>
        <w:keepNext/>
        <w:keepLines/>
        <w:widowControl w:val="0"/>
        <w:shd w:val="clear" w:color="auto" w:fill="auto"/>
        <w:bidi w:val="0"/>
        <w:spacing w:before="0" w:after="220" w:line="240" w:lineRule="auto"/>
        <w:ind w:left="0" w:right="0" w:firstLine="0"/>
        <w:jc w:val="left"/>
      </w:pPr>
      <w:bookmarkStart w:id="468" w:name="bookmark468"/>
      <w:bookmarkStart w:id="469" w:name="bookmark469"/>
      <w:bookmarkStart w:id="470" w:name="bookmark470"/>
      <w:r>
        <w:rPr>
          <w:color w:val="000000"/>
          <w:spacing w:val="0"/>
          <w:w w:val="100"/>
          <w:position w:val="0"/>
        </w:rPr>
        <w:t>二十、公司子公司重大事项</w:t>
      </w:r>
      <w:bookmarkEnd w:id="468"/>
      <w:bookmarkEnd w:id="469"/>
      <w:bookmarkEnd w:id="470"/>
    </w:p>
    <w:p>
      <w:pPr>
        <w:pStyle w:val="Style26"/>
        <w:keepNext w:val="0"/>
        <w:keepLines w:val="0"/>
        <w:widowControl w:val="0"/>
        <w:shd w:val="clear" w:color="auto" w:fill="auto"/>
        <w:bidi w:val="0"/>
        <w:spacing w:before="0" w:after="34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0"/>
        <w:keepNext/>
        <w:keepLines/>
        <w:widowControl w:val="0"/>
        <w:shd w:val="clear" w:color="auto" w:fill="auto"/>
        <w:bidi w:val="0"/>
        <w:spacing w:before="0" w:after="540" w:line="240" w:lineRule="auto"/>
        <w:ind w:left="0" w:right="0" w:firstLine="0"/>
        <w:jc w:val="center"/>
      </w:pPr>
      <w:bookmarkStart w:id="471" w:name="bookmark471"/>
      <w:bookmarkStart w:id="472" w:name="bookmark472"/>
      <w:bookmarkStart w:id="473" w:name="bookmark473"/>
      <w:r>
        <w:rPr>
          <w:color w:val="000000"/>
          <w:spacing w:val="0"/>
          <w:w w:val="100"/>
          <w:position w:val="0"/>
        </w:rPr>
        <w:t>第六节股份变动及股东情况</w:t>
      </w:r>
      <w:bookmarkEnd w:id="471"/>
      <w:bookmarkEnd w:id="472"/>
      <w:bookmarkEnd w:id="473"/>
    </w:p>
    <w:p>
      <w:pPr>
        <w:pStyle w:val="Style22"/>
        <w:keepNext/>
        <w:keepLines/>
        <w:widowControl w:val="0"/>
        <w:shd w:val="clear" w:color="auto" w:fill="auto"/>
        <w:bidi w:val="0"/>
        <w:spacing w:before="0" w:line="240" w:lineRule="auto"/>
        <w:ind w:left="0" w:right="0" w:firstLine="0"/>
        <w:jc w:val="left"/>
      </w:pPr>
      <w:bookmarkStart w:id="474" w:name="bookmark474"/>
      <w:bookmarkStart w:id="475" w:name="bookmark475"/>
      <w:bookmarkStart w:id="476" w:name="bookmark476"/>
      <w:bookmarkStart w:id="477" w:name="bookmark477"/>
      <w:bookmarkStart w:id="478" w:name="bookmark478"/>
      <w:r>
        <w:rPr>
          <w:color w:val="000000"/>
          <w:spacing w:val="0"/>
          <w:w w:val="100"/>
          <w:position w:val="0"/>
        </w:rPr>
        <w:t>一</w:t>
      </w:r>
      <w:bookmarkEnd w:id="477"/>
      <w:r>
        <w:rPr>
          <w:color w:val="000000"/>
          <w:spacing w:val="0"/>
          <w:w w:val="100"/>
          <w:position w:val="0"/>
        </w:rPr>
        <w:t>、股份变动情况</w:t>
      </w:r>
      <w:bookmarkEnd w:id="475"/>
      <w:bookmarkEnd w:id="476"/>
      <w:bookmarkEnd w:id="478"/>
      <w:bookmarkEnd w:id="474"/>
    </w:p>
    <w:p>
      <w:pPr>
        <w:pStyle w:val="Style30"/>
        <w:keepNext/>
        <w:keepLines/>
        <w:widowControl w:val="0"/>
        <w:shd w:val="clear" w:color="auto" w:fill="auto"/>
        <w:bidi w:val="0"/>
        <w:spacing w:before="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1</w:t>
      </w:r>
      <w:bookmarkEnd w:id="481"/>
      <w:r>
        <w:rPr>
          <w:color w:val="000000"/>
          <w:spacing w:val="0"/>
          <w:w w:val="100"/>
          <w:position w:val="0"/>
        </w:rPr>
        <w:t>、股份变动情况</w:t>
      </w:r>
      <w:bookmarkEnd w:id="479"/>
      <w:bookmarkEnd w:id="480"/>
      <w:bookmarkEnd w:id="48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公积金转 股</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426,533,2</w:t>
            </w:r>
          </w:p>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426,533,2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28.69%</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743,545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743,545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425,789,6</w:t>
            </w:r>
          </w:p>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425,789,6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28.64%</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425,789,6</w:t>
            </w:r>
          </w:p>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425,789,6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28.64%</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1,060,340, 670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71.31%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1,060,340</w:t>
            </w:r>
          </w:p>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,670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71.31%</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1,060,340, 670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71.31%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1,060,340</w:t>
            </w:r>
          </w:p>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,670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71.31%</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1,486,873,</w:t>
            </w:r>
          </w:p>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870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1,486,873</w:t>
            </w:r>
          </w:p>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,870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13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股份变动的原因</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采用集中竞价方式减持回购股份的实施进展情况</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6"/>
        <w:keepNext w:val="0"/>
        <w:keepLines w:val="0"/>
        <w:widowControl w:val="0"/>
        <w:shd w:val="clear" w:color="auto" w:fill="auto"/>
        <w:tabs>
          <w:tab w:pos="728" w:val="left"/>
        </w:tabs>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2</w:t>
      </w:r>
      <w:bookmarkEnd w:id="485"/>
      <w:r>
        <w:rPr>
          <w:color w:val="000000"/>
          <w:spacing w:val="0"/>
          <w:w w:val="100"/>
          <w:position w:val="0"/>
        </w:rPr>
        <w:t>、限售股份变动情况</w:t>
      </w:r>
      <w:bookmarkEnd w:id="483"/>
      <w:bookmarkEnd w:id="484"/>
      <w:bookmarkEnd w:id="486"/>
    </w:p>
    <w:p>
      <w:pPr>
        <w:pStyle w:val="Style26"/>
        <w:keepNext w:val="0"/>
        <w:keepLines w:val="0"/>
        <w:widowControl w:val="0"/>
        <w:shd w:val="clear" w:color="auto" w:fill="auto"/>
        <w:tabs>
          <w:tab w:pos="723" w:val="left"/>
        </w:tabs>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1488"/>
        <w:gridCol w:w="1349"/>
        <w:gridCol w:w="1349"/>
        <w:gridCol w:w="1349"/>
        <w:gridCol w:w="1349"/>
        <w:gridCol w:w="1349"/>
        <w:gridCol w:w="1354"/>
      </w:tblGrid>
      <w:tr>
        <w:trPr>
          <w:trHeight w:val="720"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本期解除限售股 数</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解除限售日期</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2019.1.1</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r>
    </w:tbl>
    <w:p>
      <w:pPr>
        <w:widowControl w:val="0"/>
        <w:spacing w:after="359" w:line="1" w:lineRule="exact"/>
      </w:pPr>
    </w:p>
    <w:p>
      <w:pPr>
        <w:pStyle w:val="Style22"/>
        <w:keepNext/>
        <w:keepLines/>
        <w:widowControl w:val="0"/>
        <w:shd w:val="clear" w:color="auto" w:fill="auto"/>
        <w:bidi w:val="0"/>
        <w:spacing w:before="0" w:line="240" w:lineRule="auto"/>
        <w:ind w:left="0" w:right="0" w:firstLine="0"/>
        <w:jc w:val="left"/>
      </w:pPr>
      <w:bookmarkStart w:id="487" w:name="bookmark487"/>
      <w:bookmarkStart w:id="488" w:name="bookmark488"/>
      <w:bookmarkStart w:id="489" w:name="bookmark489"/>
      <w:bookmarkStart w:id="490" w:name="bookmark490"/>
      <w:r>
        <w:rPr>
          <w:color w:val="000000"/>
          <w:spacing w:val="0"/>
          <w:w w:val="100"/>
          <w:position w:val="0"/>
        </w:rPr>
        <w:t>二</w:t>
      </w:r>
      <w:bookmarkEnd w:id="489"/>
      <w:r>
        <w:rPr>
          <w:color w:val="000000"/>
          <w:spacing w:val="0"/>
          <w:w w:val="100"/>
          <w:position w:val="0"/>
        </w:rPr>
        <w:t>、证券发行与上市情况</w:t>
      </w:r>
      <w:bookmarkEnd w:id="487"/>
      <w:bookmarkEnd w:id="488"/>
      <w:bookmarkEnd w:id="490"/>
    </w:p>
    <w:p>
      <w:pPr>
        <w:pStyle w:val="Style30"/>
        <w:keepNext/>
        <w:keepLines/>
        <w:widowControl w:val="0"/>
        <w:shd w:val="clear" w:color="auto" w:fill="auto"/>
        <w:bidi w:val="0"/>
        <w:spacing w:before="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1</w:t>
      </w:r>
      <w:bookmarkEnd w:id="493"/>
      <w:r>
        <w:rPr>
          <w:color w:val="000000"/>
          <w:spacing w:val="0"/>
          <w:w w:val="100"/>
          <w:position w:val="0"/>
        </w:rPr>
        <w:t>、报告期内证券发行（不含优先股）情况</w:t>
      </w:r>
      <w:bookmarkEnd w:id="491"/>
      <w:bookmarkEnd w:id="492"/>
      <w:bookmarkEnd w:id="494"/>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2</w:t>
      </w:r>
      <w:bookmarkEnd w:id="497"/>
      <w:r>
        <w:rPr>
          <w:color w:val="000000"/>
          <w:spacing w:val="0"/>
          <w:w w:val="100"/>
          <w:position w:val="0"/>
        </w:rPr>
        <w:t>、</w:t>
        <w:tab/>
        <w:t>公司股份总数及股东结构的变动、公司资产和负债结构的变动情况说明</w:t>
      </w:r>
      <w:bookmarkEnd w:id="495"/>
      <w:bookmarkEnd w:id="496"/>
      <w:bookmarkEnd w:id="498"/>
    </w:p>
    <w:p>
      <w:pPr>
        <w:pStyle w:val="Style26"/>
        <w:keepNext w:val="0"/>
        <w:keepLines w:val="0"/>
        <w:widowControl w:val="0"/>
        <w:numPr>
          <w:ilvl w:val="0"/>
          <w:numId w:val="13"/>
        </w:numPr>
        <w:shd w:val="clear" w:color="auto" w:fill="auto"/>
        <w:tabs>
          <w:tab w:pos="282" w:val="left"/>
        </w:tabs>
        <w:bidi w:val="0"/>
        <w:spacing w:before="0" w:after="360" w:line="240" w:lineRule="auto"/>
        <w:ind w:left="0" w:right="0" w:firstLine="0"/>
        <w:jc w:val="left"/>
      </w:pPr>
      <w:bookmarkStart w:id="499" w:name="bookmark499"/>
      <w:bookmarkEnd w:id="49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3</w:t>
      </w:r>
      <w:bookmarkEnd w:id="502"/>
      <w:r>
        <w:rPr>
          <w:color w:val="000000"/>
          <w:spacing w:val="0"/>
          <w:w w:val="100"/>
          <w:position w:val="0"/>
        </w:rPr>
        <w:t>、</w:t>
        <w:tab/>
        <w:t>现存的内部职工股情况</w:t>
      </w:r>
      <w:bookmarkEnd w:id="500"/>
      <w:bookmarkEnd w:id="501"/>
      <w:bookmarkEnd w:id="503"/>
    </w:p>
    <w:p>
      <w:pPr>
        <w:pStyle w:val="Style26"/>
        <w:keepNext w:val="0"/>
        <w:keepLines w:val="0"/>
        <w:widowControl w:val="0"/>
        <w:numPr>
          <w:ilvl w:val="0"/>
          <w:numId w:val="13"/>
        </w:numPr>
        <w:shd w:val="clear" w:color="auto" w:fill="auto"/>
        <w:tabs>
          <w:tab w:pos="282" w:val="left"/>
        </w:tabs>
        <w:bidi w:val="0"/>
        <w:spacing w:before="0" w:after="360" w:line="240" w:lineRule="auto"/>
        <w:ind w:left="0" w:right="0" w:firstLine="0"/>
        <w:jc w:val="left"/>
      </w:pPr>
      <w:bookmarkStart w:id="504" w:name="bookmark504"/>
      <w:bookmarkEnd w:id="50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505" w:name="bookmark505"/>
      <w:bookmarkStart w:id="506" w:name="bookmark506"/>
      <w:bookmarkStart w:id="507" w:name="bookmark507"/>
      <w:bookmarkStart w:id="508" w:name="bookmark508"/>
      <w:r>
        <w:rPr>
          <w:color w:val="000000"/>
          <w:spacing w:val="0"/>
          <w:w w:val="100"/>
          <w:position w:val="0"/>
        </w:rPr>
        <w:t>三</w:t>
      </w:r>
      <w:bookmarkEnd w:id="507"/>
      <w:r>
        <w:rPr>
          <w:color w:val="000000"/>
          <w:spacing w:val="0"/>
          <w:w w:val="100"/>
          <w:position w:val="0"/>
        </w:rPr>
        <w:t>、股东和实际控制人情况</w:t>
      </w:r>
      <w:bookmarkEnd w:id="505"/>
      <w:bookmarkEnd w:id="506"/>
      <w:bookmarkEnd w:id="508"/>
    </w:p>
    <w:p>
      <w:pPr>
        <w:pStyle w:val="Style30"/>
        <w:keepNext/>
        <w:keepLines/>
        <w:widowControl w:val="0"/>
        <w:shd w:val="clear" w:color="auto" w:fill="auto"/>
        <w:bidi w:val="0"/>
        <w:spacing w:before="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1</w:t>
      </w:r>
      <w:bookmarkEnd w:id="511"/>
      <w:r>
        <w:rPr>
          <w:color w:val="000000"/>
          <w:spacing w:val="0"/>
          <w:w w:val="100"/>
          <w:position w:val="0"/>
        </w:rPr>
        <w:t>、公司股东数量及持股情况</w:t>
      </w:r>
      <w:bookmarkEnd w:id="509"/>
      <w:bookmarkEnd w:id="510"/>
      <w:bookmarkEnd w:id="512"/>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195"/>
        <w:gridCol w:w="1330"/>
        <w:gridCol w:w="1061"/>
        <w:gridCol w:w="1464"/>
        <w:gridCol w:w="1061"/>
        <w:gridCol w:w="1330"/>
        <w:gridCol w:w="936"/>
      </w:tblGrid>
      <w:tr>
        <w:trPr>
          <w:trHeight w:val="1349"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报告期末普通</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股股东总数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81,640</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前上一月末普通 股股东总数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71,905</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报告期末表决权</w:t>
            </w:r>
          </w:p>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恢复的优先股股 东总数（如有）（参 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年度报告披露日 前上一月末表决 权恢复的优先股 股东总数（如有）</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478"/>
        <w:gridCol w:w="1411"/>
        <w:gridCol w:w="787"/>
        <w:gridCol w:w="787"/>
        <w:gridCol w:w="787"/>
        <w:gridCol w:w="787"/>
        <w:gridCol w:w="840"/>
        <w:gridCol w:w="1349"/>
        <w:gridCol w:w="1358"/>
      </w:tblGrid>
      <w:tr>
        <w:trPr>
          <w:trHeight w:val="365" w:hRule="exact"/>
        </w:trPr>
        <w:tc>
          <w:tcPr>
            <w:gridSpan w:val="3"/>
            <w:tcBorders>
              <w:top w:val="single" w:sz="4"/>
              <w:left w:val="single" w:sz="4"/>
            </w:tcBorders>
            <w:shd w:val="clear" w:color="auto" w:fill="D4D4D4"/>
            <w:vAlign w:val="top"/>
          </w:tcPr>
          <w:p>
            <w:pPr>
              <w:widowControl w:val="0"/>
              <w:rPr>
                <w:sz w:val="10"/>
                <w:szCs w:val="10"/>
              </w:rPr>
            </w:pPr>
          </w:p>
        </w:tc>
        <w:tc>
          <w:tcPr>
            <w:gridSpan w:val="6"/>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660" w:right="0" w:firstLine="0"/>
              <w:jc w:val="left"/>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r>
      <w:tr>
        <w:trPr>
          <w:trHeight w:val="403" w:hRule="exact"/>
        </w:trPr>
        <w:tc>
          <w:tcPr>
            <w:gridSpan w:val="9"/>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报告期末</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持股数量</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增减变动</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情况</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持有有限 售条件的 股份数量</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持有无限 售条件的 股份数量</w:t>
            </w:r>
          </w:p>
        </w:tc>
        <w:tc>
          <w:tcPr>
            <w:gridSpan w:val="2"/>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39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东旭集团有限公 司</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39.04%</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580,419,9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737,300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423,673,2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156,746,7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580,419,914</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580,419,914</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前海开源基金一 浦发银行一国民 信托一国民信 托</w:t>
            </w:r>
            <w:r>
              <w:rPr>
                <w:color w:val="000000"/>
                <w:spacing w:val="0"/>
                <w:w w:val="100"/>
                <w:position w:val="0"/>
                <w:sz w:val="18"/>
                <w:szCs w:val="18"/>
              </w:rPr>
              <w:t>•</w:t>
            </w:r>
            <w:r>
              <w:rPr>
                <w:rFonts w:ascii="SimSun" w:eastAsia="SimSun" w:hAnsi="SimSun" w:cs="SimSun"/>
                <w:color w:val="000000"/>
                <w:spacing w:val="0"/>
                <w:w w:val="100"/>
                <w:position w:val="0"/>
                <w:sz w:val="17"/>
                <w:szCs w:val="17"/>
              </w:rPr>
              <w:t>证通</w:t>
            </w:r>
            <w:r>
              <w:rPr>
                <w:color w:val="000000"/>
                <w:spacing w:val="0"/>
                <w:w w:val="100"/>
                <w:position w:val="0"/>
                <w:sz w:val="18"/>
                <w:szCs w:val="18"/>
              </w:rPr>
              <w:t>7</w:t>
            </w:r>
            <w:r>
              <w:rPr>
                <w:rFonts w:ascii="SimSun" w:eastAsia="SimSun" w:hAnsi="SimSun" w:cs="SimSun"/>
                <w:color w:val="000000"/>
                <w:spacing w:val="0"/>
                <w:w w:val="100"/>
                <w:position w:val="0"/>
                <w:sz w:val="17"/>
                <w:szCs w:val="17"/>
              </w:rPr>
              <w:t>号单一 资金信托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基金、理财产品等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44,303,60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-4,926,10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44,303,60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天安人寿保险股 份有限公司一传 统产品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基金、理财产品等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26,740,00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26,740,00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8" w:lineRule="exact"/>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深圳市前海聚优 基金管理有限公 司一聚优诚投</w:t>
            </w:r>
            <w:r>
              <w:rPr>
                <w:color w:val="000000"/>
                <w:spacing w:val="0"/>
                <w:w w:val="100"/>
                <w:position w:val="0"/>
                <w:sz w:val="18"/>
                <w:szCs w:val="18"/>
              </w:rPr>
              <w:t>1</w:t>
            </w:r>
            <w:r>
              <w:rPr>
                <w:rFonts w:ascii="SimSun" w:eastAsia="SimSun" w:hAnsi="SimSun" w:cs="SimSun"/>
                <w:color w:val="000000"/>
                <w:spacing w:val="0"/>
                <w:w w:val="100"/>
                <w:position w:val="0"/>
                <w:sz w:val="17"/>
                <w:szCs w:val="17"/>
              </w:rPr>
              <w:t>号 私募证券投资基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基金、理财产品等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21,600,09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21,600,09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国泓资产一宁波 银行一西藏信托 一鼎证</w:t>
            </w:r>
            <w:r>
              <w:rPr>
                <w:color w:val="000000"/>
                <w:spacing w:val="0"/>
                <w:w w:val="100"/>
                <w:position w:val="0"/>
                <w:sz w:val="18"/>
                <w:szCs w:val="18"/>
              </w:rPr>
              <w:t>47</w:t>
            </w:r>
            <w:r>
              <w:rPr>
                <w:rFonts w:ascii="SimSun" w:eastAsia="SimSun" w:hAnsi="SimSun" w:cs="SimSun"/>
                <w:color w:val="000000"/>
                <w:spacing w:val="0"/>
                <w:w w:val="100"/>
                <w:position w:val="0"/>
                <w:sz w:val="17"/>
                <w:szCs w:val="17"/>
              </w:rPr>
              <w:t>号单一 资金信托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基金、理财产品等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20,276,00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-39,751,4</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20,276,00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鹏华资产一平安 银行一鹏华资产 锦富</w:t>
            </w:r>
            <w:r>
              <w:rPr>
                <w:color w:val="000000"/>
                <w:spacing w:val="0"/>
                <w:w w:val="100"/>
                <w:position w:val="0"/>
                <w:sz w:val="18"/>
                <w:szCs w:val="18"/>
              </w:rPr>
              <w:t>1</w:t>
            </w:r>
            <w:r>
              <w:rPr>
                <w:rFonts w:ascii="SimSun" w:eastAsia="SimSun" w:hAnsi="SimSun" w:cs="SimSun"/>
                <w:color w:val="000000"/>
                <w:spacing w:val="0"/>
                <w:w w:val="100"/>
                <w:position w:val="0"/>
                <w:sz w:val="17"/>
                <w:szCs w:val="17"/>
              </w:rPr>
              <w:t>号专项资产 管理计划</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基金、理财产品等</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1.05%</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15,600,00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-4,734,45</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15,600,00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15,600,000</w:t>
            </w:r>
          </w:p>
        </w:tc>
      </w:tr>
      <w:tr>
        <w:trPr>
          <w:trHeight w:val="93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15,600,000</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海富通基金一宁 波银行一民生信 托一中国民生信 托</w:t>
            </w:r>
            <w:r>
              <w:rPr>
                <w:color w:val="000000"/>
                <w:spacing w:val="0"/>
                <w:w w:val="100"/>
                <w:position w:val="0"/>
                <w:sz w:val="18"/>
                <w:szCs w:val="18"/>
              </w:rPr>
              <w:t>•</w:t>
            </w:r>
            <w:r>
              <w:rPr>
                <w:rFonts w:ascii="SimSun" w:eastAsia="SimSun" w:hAnsi="SimSun" w:cs="SimSun"/>
                <w:color w:val="000000"/>
                <w:spacing w:val="0"/>
                <w:w w:val="100"/>
                <w:position w:val="0"/>
                <w:sz w:val="17"/>
                <w:szCs w:val="17"/>
              </w:rPr>
              <w:t>至信</w:t>
            </w:r>
            <w:r>
              <w:rPr>
                <w:color w:val="000000"/>
                <w:spacing w:val="0"/>
                <w:w w:val="100"/>
                <w:position w:val="0"/>
                <w:sz w:val="18"/>
                <w:szCs w:val="18"/>
              </w:rPr>
              <w:t>167</w:t>
            </w:r>
            <w:r>
              <w:rPr>
                <w:rFonts w:ascii="SimSun" w:eastAsia="SimSun" w:hAnsi="SimSun" w:cs="SimSun"/>
                <w:color w:val="000000"/>
                <w:spacing w:val="0"/>
                <w:w w:val="100"/>
                <w:position w:val="0"/>
                <w:sz w:val="17"/>
                <w:szCs w:val="17"/>
              </w:rPr>
              <w:t>号宝 安定增集合资金 信托计划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基金、理财产品等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0.96%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14,207,27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-43,661,5</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14,207,27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香港中央结算有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0.69%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10,204,76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8,700,480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10,204,76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赵春来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0.32%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4,727,600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中国银行股份有 限公司一广发中 证环保产业交易</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基金、理财产品等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0.31%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4,654,363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4,654,363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8"/>
        <w:gridCol w:w="1411"/>
        <w:gridCol w:w="787"/>
        <w:gridCol w:w="787"/>
        <w:gridCol w:w="787"/>
        <w:gridCol w:w="787"/>
        <w:gridCol w:w="840"/>
        <w:gridCol w:w="1349"/>
        <w:gridCol w:w="1358"/>
      </w:tblGrid>
      <w:tr>
        <w:trPr>
          <w:trHeight w:val="67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型开放式指数证 券投资基金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gridSpan w:val="2"/>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战略投资者或一般法人因配售新股 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名股东的情况（如有）（参 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前海开源基金一浦发银行一国民信托一国民信托</w:t>
            </w:r>
            <w:r>
              <w:rPr>
                <w:color w:val="000000"/>
                <w:spacing w:val="0"/>
                <w:w w:val="100"/>
                <w:position w:val="0"/>
                <w:sz w:val="18"/>
                <w:szCs w:val="18"/>
              </w:rPr>
              <w:t>•</w:t>
            </w:r>
            <w:r>
              <w:rPr>
                <w:rFonts w:ascii="SimSun" w:eastAsia="SimSun" w:hAnsi="SimSun" w:cs="SimSun"/>
                <w:color w:val="000000"/>
                <w:spacing w:val="0"/>
                <w:w w:val="100"/>
                <w:position w:val="0"/>
                <w:sz w:val="17"/>
                <w:szCs w:val="17"/>
              </w:rPr>
              <w:t>证通</w:t>
            </w:r>
            <w:r>
              <w:rPr>
                <w:color w:val="000000"/>
                <w:spacing w:val="0"/>
                <w:w w:val="100"/>
                <w:position w:val="0"/>
                <w:sz w:val="18"/>
                <w:szCs w:val="18"/>
              </w:rPr>
              <w:t>7</w:t>
            </w:r>
            <w:r>
              <w:rPr>
                <w:rFonts w:ascii="SimSun" w:eastAsia="SimSun" w:hAnsi="SimSun" w:cs="SimSun"/>
                <w:color w:val="000000"/>
                <w:spacing w:val="0"/>
                <w:w w:val="100"/>
                <w:position w:val="0"/>
                <w:sz w:val="17"/>
                <w:szCs w:val="17"/>
              </w:rPr>
              <w:t>号单一资金信托、国泓资产一 宁波银行一西藏信托一鼎证</w:t>
            </w:r>
            <w:r>
              <w:rPr>
                <w:color w:val="000000"/>
                <w:spacing w:val="0"/>
                <w:w w:val="100"/>
                <w:position w:val="0"/>
                <w:sz w:val="18"/>
                <w:szCs w:val="18"/>
              </w:rPr>
              <w:t>47</w:t>
            </w:r>
            <w:r>
              <w:rPr>
                <w:rFonts w:ascii="SimSun" w:eastAsia="SimSun" w:hAnsi="SimSun" w:cs="SimSun"/>
                <w:color w:val="000000"/>
                <w:spacing w:val="0"/>
                <w:w w:val="100"/>
                <w:position w:val="0"/>
                <w:sz w:val="17"/>
                <w:szCs w:val="17"/>
              </w:rPr>
              <w:t>号单一资金信托、鹏华资产一平安银行一鹏华资产锦 富</w:t>
            </w:r>
            <w:r>
              <w:rPr>
                <w:color w:val="000000"/>
                <w:spacing w:val="0"/>
                <w:w w:val="100"/>
                <w:position w:val="0"/>
                <w:sz w:val="18"/>
                <w:szCs w:val="18"/>
              </w:rPr>
              <w:t>1</w:t>
            </w:r>
            <w:r>
              <w:rPr>
                <w:rFonts w:ascii="SimSun" w:eastAsia="SimSun" w:hAnsi="SimSun" w:cs="SimSun"/>
                <w:color w:val="000000"/>
                <w:spacing w:val="0"/>
                <w:w w:val="100"/>
                <w:position w:val="0"/>
                <w:sz w:val="17"/>
                <w:szCs w:val="17"/>
              </w:rPr>
              <w:t>号专项资产管理计划、海富通基金一宁波银行一民生信托一中国民生信托</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至信 </w:t>
            </w:r>
            <w:r>
              <w:rPr>
                <w:color w:val="000000"/>
                <w:spacing w:val="0"/>
                <w:w w:val="100"/>
                <w:position w:val="0"/>
                <w:sz w:val="18"/>
                <w:szCs w:val="18"/>
              </w:rPr>
              <w:t>167</w:t>
            </w:r>
            <w:r>
              <w:rPr>
                <w:rFonts w:ascii="SimSun" w:eastAsia="SimSun" w:hAnsi="SimSun" w:cs="SimSun"/>
                <w:color w:val="000000"/>
                <w:spacing w:val="0"/>
                <w:w w:val="100"/>
                <w:position w:val="0"/>
                <w:sz w:val="17"/>
                <w:szCs w:val="17"/>
              </w:rPr>
              <w:t>号宝安定增集合资金信托计划，均因参与公司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年度</w:t>
            </w:r>
            <w:r>
              <w:rPr>
                <w:color w:val="000000"/>
                <w:spacing w:val="0"/>
                <w:w w:val="100"/>
                <w:position w:val="0"/>
                <w:sz w:val="18"/>
                <w:szCs w:val="18"/>
              </w:rPr>
              <w:t>95</w:t>
            </w:r>
            <w:r>
              <w:rPr>
                <w:rFonts w:ascii="SimSun" w:eastAsia="SimSun" w:hAnsi="SimSun" w:cs="SimSun"/>
                <w:color w:val="000000"/>
                <w:spacing w:val="0"/>
                <w:w w:val="100"/>
                <w:position w:val="0"/>
                <w:sz w:val="17"/>
                <w:szCs w:val="17"/>
              </w:rPr>
              <w:t>亿元非公开发行认购， 成为公司前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名股东，所认购的股份自上市之日</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个月内不得 转让，并于</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日上市流通。</w:t>
            </w:r>
          </w:p>
        </w:tc>
      </w:tr>
      <w:tr>
        <w:trPr>
          <w:trHeight w:val="715" w:hRule="exact"/>
        </w:trPr>
        <w:tc>
          <w:tcPr>
            <w:gridSpan w:val="2"/>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上述股东关联关系或一致行动的说 明</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截止报告期末，尚未获悉上述股东之间是否存在关联关系，亦尚未获悉是否属于《上 市收购管理办法》规定的一致行动人。</w:t>
            </w:r>
          </w:p>
        </w:tc>
      </w:tr>
      <w:tr>
        <w:trPr>
          <w:trHeight w:val="398" w:hRule="exact"/>
        </w:trPr>
        <w:tc>
          <w:tcPr>
            <w:gridSpan w:val="9"/>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2"/>
            <w:vMerge/>
            <w:tcBorders>
              <w:left w:val="single" w:sz="4"/>
            </w:tcBorders>
            <w:shd w:val="clear" w:color="auto" w:fill="D4D4D4"/>
            <w:vAlign w:val="center"/>
          </w:tcPr>
          <w:p>
            <w:pPr/>
          </w:p>
        </w:tc>
        <w:tc>
          <w:tcPr>
            <w:gridSpan w:val="5"/>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156,746,714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156,746,714</w:t>
            </w:r>
          </w:p>
        </w:tc>
      </w:tr>
      <w:tr>
        <w:trPr>
          <w:trHeight w:val="1022"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前海开源基金一浦发银行一国民信 托一国民信托</w:t>
            </w:r>
            <w:r>
              <w:rPr>
                <w:color w:val="000000"/>
                <w:spacing w:val="0"/>
                <w:w w:val="100"/>
                <w:position w:val="0"/>
                <w:sz w:val="18"/>
                <w:szCs w:val="18"/>
              </w:rPr>
              <w:t>•</w:t>
            </w:r>
            <w:r>
              <w:rPr>
                <w:rFonts w:ascii="SimSun" w:eastAsia="SimSun" w:hAnsi="SimSun" w:cs="SimSun"/>
                <w:color w:val="000000"/>
                <w:spacing w:val="0"/>
                <w:w w:val="100"/>
                <w:position w:val="0"/>
                <w:sz w:val="17"/>
                <w:szCs w:val="17"/>
              </w:rPr>
              <w:t>证通</w:t>
            </w:r>
            <w:r>
              <w:rPr>
                <w:color w:val="000000"/>
                <w:spacing w:val="0"/>
                <w:w w:val="100"/>
                <w:position w:val="0"/>
                <w:sz w:val="18"/>
                <w:szCs w:val="18"/>
              </w:rPr>
              <w:t>7</w:t>
            </w:r>
            <w:r>
              <w:rPr>
                <w:rFonts w:ascii="SimSun" w:eastAsia="SimSun" w:hAnsi="SimSun" w:cs="SimSun"/>
                <w:color w:val="000000"/>
                <w:spacing w:val="0"/>
                <w:w w:val="100"/>
                <w:position w:val="0"/>
                <w:sz w:val="17"/>
                <w:szCs w:val="17"/>
              </w:rPr>
              <w:t>号单一资金信 托</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40" w:right="0" w:firstLine="0"/>
              <w:jc w:val="left"/>
            </w:pPr>
            <w:r>
              <w:rPr>
                <w:color w:val="000000"/>
                <w:spacing w:val="0"/>
                <w:w w:val="100"/>
                <w:position w:val="0"/>
              </w:rPr>
              <w:t>44,303,601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44,303,601</w:t>
            </w:r>
          </w:p>
        </w:tc>
      </w:tr>
      <w:tr>
        <w:trPr>
          <w:trHeight w:val="715"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天安人寿保险股份有限公司一传统 产品</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40" w:right="0" w:firstLine="0"/>
              <w:jc w:val="left"/>
            </w:pPr>
            <w:r>
              <w:rPr>
                <w:color w:val="000000"/>
                <w:spacing w:val="0"/>
                <w:w w:val="100"/>
                <w:position w:val="0"/>
              </w:rPr>
              <w:t>26,740,000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26,740,000</w:t>
            </w:r>
          </w:p>
        </w:tc>
      </w:tr>
      <w:tr>
        <w:trPr>
          <w:trHeight w:val="715"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深圳市前海聚优基金管理有限公司 一聚优诚投</w:t>
            </w:r>
            <w:r>
              <w:rPr>
                <w:color w:val="000000"/>
                <w:spacing w:val="0"/>
                <w:w w:val="100"/>
                <w:position w:val="0"/>
                <w:sz w:val="18"/>
                <w:szCs w:val="18"/>
              </w:rPr>
              <w:t>1</w:t>
            </w:r>
            <w:r>
              <w:rPr>
                <w:rFonts w:ascii="SimSun" w:eastAsia="SimSun" w:hAnsi="SimSun" w:cs="SimSun"/>
                <w:color w:val="000000"/>
                <w:spacing w:val="0"/>
                <w:w w:val="100"/>
                <w:position w:val="0"/>
                <w:sz w:val="17"/>
                <w:szCs w:val="17"/>
              </w:rPr>
              <w:t>号私募证券投资基金</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40" w:right="0" w:firstLine="0"/>
              <w:jc w:val="left"/>
            </w:pPr>
            <w:r>
              <w:rPr>
                <w:color w:val="000000"/>
                <w:spacing w:val="0"/>
                <w:w w:val="100"/>
                <w:position w:val="0"/>
              </w:rPr>
              <w:t>21,600,092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21,600,092</w:t>
            </w:r>
          </w:p>
        </w:tc>
      </w:tr>
      <w:tr>
        <w:trPr>
          <w:trHeight w:val="715"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国泓资产一宁波银行一西藏信托一</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鼎证</w:t>
            </w:r>
            <w:r>
              <w:rPr>
                <w:color w:val="000000"/>
                <w:spacing w:val="0"/>
                <w:w w:val="100"/>
                <w:position w:val="0"/>
                <w:sz w:val="18"/>
                <w:szCs w:val="18"/>
              </w:rPr>
              <w:t>47</w:t>
            </w:r>
            <w:r>
              <w:rPr>
                <w:rFonts w:ascii="SimSun" w:eastAsia="SimSun" w:hAnsi="SimSun" w:cs="SimSun"/>
                <w:color w:val="000000"/>
                <w:spacing w:val="0"/>
                <w:w w:val="100"/>
                <w:position w:val="0"/>
                <w:sz w:val="17"/>
                <w:szCs w:val="17"/>
              </w:rPr>
              <w:t>号单一资金信托</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40" w:right="0" w:firstLine="0"/>
              <w:jc w:val="left"/>
            </w:pPr>
            <w:r>
              <w:rPr>
                <w:color w:val="000000"/>
                <w:spacing w:val="0"/>
                <w:w w:val="100"/>
                <w:position w:val="0"/>
              </w:rPr>
              <w:t>20,276,002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20,276,002</w:t>
            </w:r>
          </w:p>
        </w:tc>
      </w:tr>
      <w:tr>
        <w:trPr>
          <w:trHeight w:val="710"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鹏华资产一平安银行一鹏华资产锦 富</w:t>
            </w:r>
            <w:r>
              <w:rPr>
                <w:color w:val="000000"/>
                <w:spacing w:val="0"/>
                <w:w w:val="100"/>
                <w:position w:val="0"/>
                <w:sz w:val="18"/>
                <w:szCs w:val="18"/>
              </w:rPr>
              <w:t>1</w:t>
            </w:r>
            <w:r>
              <w:rPr>
                <w:rFonts w:ascii="SimSun" w:eastAsia="SimSun" w:hAnsi="SimSun" w:cs="SimSun"/>
                <w:color w:val="000000"/>
                <w:spacing w:val="0"/>
                <w:w w:val="100"/>
                <w:position w:val="0"/>
                <w:sz w:val="17"/>
                <w:szCs w:val="17"/>
              </w:rPr>
              <w:t>号专项资产管理计划</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40" w:right="0" w:firstLine="0"/>
              <w:jc w:val="left"/>
            </w:pPr>
            <w:r>
              <w:rPr>
                <w:color w:val="000000"/>
                <w:spacing w:val="0"/>
                <w:w w:val="100"/>
                <w:position w:val="0"/>
              </w:rPr>
              <w:t>15,600,000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15,600,000</w:t>
            </w:r>
          </w:p>
        </w:tc>
      </w:tr>
      <w:tr>
        <w:trPr>
          <w:trHeight w:val="1027"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海富通基金一宁波银行一民生信托 —中国民生信托</w:t>
            </w:r>
            <w:r>
              <w:rPr>
                <w:color w:val="000000"/>
                <w:spacing w:val="0"/>
                <w:w w:val="100"/>
                <w:position w:val="0"/>
                <w:sz w:val="18"/>
                <w:szCs w:val="18"/>
              </w:rPr>
              <w:t>•</w:t>
            </w:r>
            <w:r>
              <w:rPr>
                <w:rFonts w:ascii="SimSun" w:eastAsia="SimSun" w:hAnsi="SimSun" w:cs="SimSun"/>
                <w:color w:val="000000"/>
                <w:spacing w:val="0"/>
                <w:w w:val="100"/>
                <w:position w:val="0"/>
                <w:sz w:val="17"/>
                <w:szCs w:val="17"/>
              </w:rPr>
              <w:t>至信</w:t>
            </w:r>
            <w:r>
              <w:rPr>
                <w:color w:val="000000"/>
                <w:spacing w:val="0"/>
                <w:w w:val="100"/>
                <w:position w:val="0"/>
                <w:sz w:val="18"/>
                <w:szCs w:val="18"/>
              </w:rPr>
              <w:t>167</w:t>
            </w:r>
            <w:r>
              <w:rPr>
                <w:rFonts w:ascii="SimSun" w:eastAsia="SimSun" w:hAnsi="SimSun" w:cs="SimSun"/>
                <w:color w:val="000000"/>
                <w:spacing w:val="0"/>
                <w:w w:val="100"/>
                <w:position w:val="0"/>
                <w:sz w:val="17"/>
                <w:szCs w:val="17"/>
              </w:rPr>
              <w:t>号宝安定 增集合资金信托计划</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40" w:right="0" w:firstLine="0"/>
              <w:jc w:val="left"/>
            </w:pPr>
            <w:r>
              <w:rPr>
                <w:color w:val="000000"/>
                <w:spacing w:val="0"/>
                <w:w w:val="100"/>
                <w:position w:val="0"/>
              </w:rPr>
              <w:t>14,207,276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14,207,276</w:t>
            </w:r>
          </w:p>
        </w:tc>
      </w:tr>
      <w:tr>
        <w:trPr>
          <w:trHeight w:val="403"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香港中央结算有限公司</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140" w:right="0" w:firstLine="0"/>
              <w:jc w:val="left"/>
            </w:pPr>
            <w:r>
              <w:rPr>
                <w:color w:val="000000"/>
                <w:spacing w:val="0"/>
                <w:w w:val="100"/>
                <w:position w:val="0"/>
              </w:rPr>
              <w:t>10,204,768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10,204,768</w:t>
            </w:r>
          </w:p>
        </w:tc>
      </w:tr>
      <w:tr>
        <w:trPr>
          <w:trHeight w:val="403"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赵春来</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4,727,600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4,727,600</w:t>
            </w:r>
          </w:p>
        </w:tc>
      </w:tr>
      <w:tr>
        <w:trPr>
          <w:trHeight w:val="1022"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中国银行股份有限公司一广发中证 环保产业交易型开放式指数证券投 资基金</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4,654,363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4,654,363</w:t>
            </w:r>
          </w:p>
        </w:tc>
      </w:tr>
      <w:tr>
        <w:trPr>
          <w:trHeight w:val="1339" w:hRule="exact"/>
        </w:trPr>
        <w:tc>
          <w:tcPr>
            <w:gridSpan w:val="2"/>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 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名股东之间关联关系或一致行动的 说明</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截止报告期末，尚未获悉前十名无限售条件流通股股东之间，以及前十名无限售条件 流通股股东和前十名股东之间是否存在关联关系，亦尚未获悉是否属于《上市公司收 购管理办法》规定的一致行动人。</w:t>
            </w:r>
          </w:p>
        </w:tc>
      </w:tr>
      <w:tr>
        <w:trPr>
          <w:trHeight w:val="725" w:hRule="exact"/>
        </w:trPr>
        <w:tc>
          <w:tcPr>
            <w:gridSpan w:val="2"/>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名普通股股东参与融资融券业 务情况说明（如有）（参见注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7"/>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both"/>
              <w:rPr>
                <w:sz w:val="17"/>
                <w:szCs w:val="17"/>
              </w:rPr>
            </w:pPr>
            <w:r>
              <w:rPr>
                <w:rFonts w:ascii="SimSun" w:eastAsia="SimSun" w:hAnsi="SimSun" w:cs="SimSun"/>
                <w:color w:val="000000"/>
                <w:spacing w:val="0"/>
                <w:w w:val="100"/>
                <w:position w:val="0"/>
                <w:sz w:val="17"/>
                <w:szCs w:val="17"/>
              </w:rPr>
              <w:t>上述股东中参与融资融券业务情况如下：</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、深圳市前海聚优基金管理有限公司一聚优诚投</w:t>
            </w:r>
            <w:r>
              <w:rPr>
                <w:color w:val="000000"/>
                <w:spacing w:val="0"/>
                <w:w w:val="100"/>
                <w:position w:val="0"/>
                <w:sz w:val="18"/>
                <w:szCs w:val="18"/>
              </w:rPr>
              <w:t>1</w:t>
            </w:r>
            <w:r>
              <w:rPr>
                <w:rFonts w:ascii="SimSun" w:eastAsia="SimSun" w:hAnsi="SimSun" w:cs="SimSun"/>
                <w:color w:val="000000"/>
                <w:spacing w:val="0"/>
                <w:w w:val="100"/>
                <w:position w:val="0"/>
                <w:sz w:val="17"/>
                <w:szCs w:val="17"/>
              </w:rPr>
              <w:t>号私募证券投资基金通过平安证</w:t>
            </w:r>
          </w:p>
        </w:tc>
      </w:tr>
    </w:tbl>
    <w:p>
      <w:pPr>
        <w:spacing w:lineRule="exact" w:line="1"/>
        <w:rPr>
          <w:sz w:val="2"/>
          <w:szCs w:val="2"/>
        </w:rPr>
      </w:pPr>
      <w:r>
        <w:br w:type="page"/>
      </w:r>
    </w:p>
    <w:tbl>
      <w:tblPr>
        <w:tblOverlap w:val="never"/>
        <w:jc w:val="center"/>
        <w:tblLayout w:type="fixed"/>
      </w:tblPr>
      <w:tblGrid>
        <w:gridCol w:w="2914"/>
        <w:gridCol w:w="6792"/>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40" w:line="307" w:lineRule="exact"/>
              <w:ind w:left="0" w:right="0" w:firstLine="0"/>
              <w:jc w:val="left"/>
              <w:rPr>
                <w:sz w:val="17"/>
                <w:szCs w:val="17"/>
              </w:rPr>
            </w:pPr>
            <w:r>
              <w:rPr>
                <w:rFonts w:ascii="SimSun" w:eastAsia="SimSun" w:hAnsi="SimSun" w:cs="SimSun"/>
                <w:color w:val="000000"/>
                <w:spacing w:val="0"/>
                <w:w w:val="100"/>
                <w:position w:val="0"/>
                <w:sz w:val="17"/>
                <w:szCs w:val="17"/>
              </w:rPr>
              <w:t>券股份有限公司客户信用交易担保证券账户持有公司股票</w:t>
            </w:r>
            <w:r>
              <w:rPr>
                <w:color w:val="000000"/>
                <w:spacing w:val="0"/>
                <w:w w:val="100"/>
                <w:position w:val="0"/>
                <w:sz w:val="18"/>
                <w:szCs w:val="18"/>
              </w:rPr>
              <w:t>21,600,092</w:t>
            </w:r>
            <w:r>
              <w:rPr>
                <w:rFonts w:ascii="SimSun" w:eastAsia="SimSun" w:hAnsi="SimSun" w:cs="SimSun"/>
                <w:color w:val="000000"/>
                <w:spacing w:val="0"/>
                <w:w w:val="100"/>
                <w:position w:val="0"/>
                <w:sz w:val="17"/>
                <w:szCs w:val="17"/>
              </w:rPr>
              <w:t>股。</w:t>
            </w:r>
          </w:p>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 xml:space="preserve">、赵春来通过华泰证券股份有限公司客户信用交易担保证券账户持有公司股票 </w:t>
            </w:r>
            <w:r>
              <w:rPr>
                <w:color w:val="000000"/>
                <w:spacing w:val="0"/>
                <w:w w:val="100"/>
                <w:position w:val="0"/>
                <w:sz w:val="18"/>
                <w:szCs w:val="18"/>
              </w:rPr>
              <w:t xml:space="preserve">4,727,600 </w:t>
            </w:r>
            <w:r>
              <w:rPr>
                <w:rFonts w:ascii="SimSun" w:eastAsia="SimSun" w:hAnsi="SimSun" w:cs="SimSun"/>
                <w:color w:val="000000"/>
                <w:spacing w:val="0"/>
                <w:w w:val="100"/>
                <w:position w:val="0"/>
                <w:sz w:val="17"/>
                <w:szCs w:val="17"/>
              </w:rPr>
              <w:t>股。</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0"/>
        <w:keepNext/>
        <w:keepLines/>
        <w:widowControl w:val="0"/>
        <w:shd w:val="clear" w:color="auto" w:fill="auto"/>
        <w:bidi w:val="0"/>
        <w:spacing w:before="0" w:after="380" w:line="240" w:lineRule="auto"/>
        <w:ind w:left="0" w:right="0" w:firstLine="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2</w:t>
      </w:r>
      <w:bookmarkEnd w:id="515"/>
      <w:r>
        <w:rPr>
          <w:color w:val="000000"/>
          <w:spacing w:val="0"/>
          <w:w w:val="100"/>
          <w:position w:val="0"/>
        </w:rPr>
        <w:t>、公司控股股东情况</w:t>
      </w:r>
      <w:bookmarkEnd w:id="513"/>
      <w:bookmarkEnd w:id="514"/>
      <w:bookmarkEnd w:id="516"/>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控股股东性质：自然人控股</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1709"/>
        <w:gridCol w:w="1560"/>
        <w:gridCol w:w="1560"/>
        <w:gridCol w:w="1699"/>
        <w:gridCol w:w="3058"/>
      </w:tblGrid>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单位负 责人</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r>
        <w:trPr>
          <w:trHeight w:val="383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李兆廷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2004</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76813036-3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以自有资金对项目投资；机械设备及电 子产品的研发；各类非标设备及零部件 产品的生产及工艺制定；研磨材料机电 产品（不含公共安全设备及器材）零部 件加工销售；自营和代理各类商品及技 术的进出口业务；计算机系统集成，软 件开发，技术咨询；机电设备（以上不 含需前置许可项目）的安装，工程咨询。</w:t>
            </w:r>
          </w:p>
          <w:p>
            <w:pPr>
              <w:pStyle w:val="Style19"/>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（以上全部范围法律、法规及国务院决 定禁止或者限制的事项，不得经营；需 其它部门审批的事项，待批准后，方可 经营）</w:t>
            </w:r>
          </w:p>
        </w:tc>
      </w:tr>
      <w:tr>
        <w:trPr>
          <w:trHeight w:val="2635"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控股股东报告期内控 股和参股的其他境内 外上市公司的股权情 况</w:t>
            </w:r>
          </w:p>
        </w:tc>
        <w:tc>
          <w:tcPr>
            <w:gridSpan w:val="4"/>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tabs>
                <w:tab w:pos="269" w:val="left"/>
              </w:tabs>
              <w:bidi w:val="0"/>
              <w:spacing w:before="0" w:after="40" w:line="310"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截至</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日，公司实际控制人分别通过东旭集团有限公司、石家庄宝石电子集团有 限责任公司间接持有东旭光电科技股份有限公司（股票简称：东旭光电，股票代码：</w:t>
            </w:r>
            <w:r>
              <w:rPr>
                <w:color w:val="000000"/>
                <w:spacing w:val="0"/>
                <w:w w:val="100"/>
                <w:position w:val="0"/>
                <w:sz w:val="18"/>
                <w:szCs w:val="18"/>
              </w:rPr>
              <w:t>000413</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915,064,091</w:t>
            </w:r>
            <w:r>
              <w:rPr>
                <w:rFonts w:ascii="SimSun" w:eastAsia="SimSun" w:hAnsi="SimSun" w:cs="SimSun"/>
                <w:color w:val="000000"/>
                <w:spacing w:val="0"/>
                <w:w w:val="100"/>
                <w:position w:val="0"/>
                <w:sz w:val="17"/>
                <w:szCs w:val="17"/>
              </w:rPr>
              <w:t>股、</w:t>
            </w:r>
            <w:r>
              <w:rPr>
                <w:color w:val="000000"/>
                <w:spacing w:val="0"/>
                <w:w w:val="100"/>
                <w:position w:val="0"/>
                <w:sz w:val="18"/>
                <w:szCs w:val="18"/>
              </w:rPr>
              <w:t>332,382,171</w:t>
            </w:r>
            <w:r>
              <w:rPr>
                <w:rFonts w:ascii="SimSun" w:eastAsia="SimSun" w:hAnsi="SimSun" w:cs="SimSun"/>
                <w:color w:val="000000"/>
                <w:spacing w:val="0"/>
                <w:w w:val="100"/>
                <w:position w:val="0"/>
                <w:sz w:val="17"/>
                <w:szCs w:val="17"/>
              </w:rPr>
              <w:t>股，分别占该公司总股本的</w:t>
            </w:r>
            <w:r>
              <w:rPr>
                <w:color w:val="000000"/>
                <w:spacing w:val="0"/>
                <w:w w:val="100"/>
                <w:position w:val="0"/>
                <w:sz w:val="18"/>
                <w:szCs w:val="18"/>
              </w:rPr>
              <w:t>15.97%</w:t>
            </w:r>
            <w:r>
              <w:rPr>
                <w:rFonts w:ascii="SimSun" w:eastAsia="SimSun" w:hAnsi="SimSun" w:cs="SimSun"/>
                <w:color w:val="000000"/>
                <w:spacing w:val="0"/>
                <w:w w:val="100"/>
                <w:position w:val="0"/>
                <w:sz w:val="17"/>
                <w:szCs w:val="17"/>
              </w:rPr>
              <w:t>、</w:t>
            </w:r>
            <w:r>
              <w:rPr>
                <w:color w:val="000000"/>
                <w:spacing w:val="0"/>
                <w:w w:val="100"/>
                <w:position w:val="0"/>
                <w:sz w:val="18"/>
                <w:szCs w:val="18"/>
              </w:rPr>
              <w:t>5.80%</w:t>
            </w:r>
            <w:r>
              <w:rPr>
                <w:rFonts w:ascii="SimSun" w:eastAsia="SimSun" w:hAnsi="SimSun" w:cs="SimSun"/>
                <w:color w:val="000000"/>
                <w:spacing w:val="0"/>
                <w:w w:val="100"/>
                <w:position w:val="0"/>
                <w:sz w:val="17"/>
                <w:szCs w:val="17"/>
              </w:rPr>
              <w:t>，合计持有东旭光电科技 股份有限公司</w:t>
            </w:r>
            <w:r>
              <w:rPr>
                <w:color w:val="000000"/>
                <w:spacing w:val="0"/>
                <w:w w:val="100"/>
                <w:position w:val="0"/>
                <w:sz w:val="18"/>
                <w:szCs w:val="18"/>
              </w:rPr>
              <w:t>1,247,446,262</w:t>
            </w:r>
            <w:r>
              <w:rPr>
                <w:rFonts w:ascii="SimSun" w:eastAsia="SimSun" w:hAnsi="SimSun" w:cs="SimSun"/>
                <w:color w:val="000000"/>
                <w:spacing w:val="0"/>
                <w:w w:val="100"/>
                <w:position w:val="0"/>
                <w:sz w:val="17"/>
                <w:szCs w:val="17"/>
              </w:rPr>
              <w:t>万股，占该公司总股本的</w:t>
            </w:r>
            <w:r>
              <w:rPr>
                <w:color w:val="000000"/>
                <w:spacing w:val="0"/>
                <w:w w:val="100"/>
                <w:position w:val="0"/>
                <w:sz w:val="18"/>
                <w:szCs w:val="18"/>
              </w:rPr>
              <w:t>21.77%</w:t>
            </w:r>
            <w:r>
              <w:rPr>
                <w:rFonts w:ascii="SimSun" w:eastAsia="SimSun" w:hAnsi="SimSun" w:cs="SimSun"/>
                <w:color w:val="000000"/>
                <w:spacing w:val="0"/>
                <w:w w:val="100"/>
                <w:position w:val="0"/>
                <w:sz w:val="17"/>
                <w:szCs w:val="17"/>
              </w:rPr>
              <w:t>。</w:t>
            </w:r>
          </w:p>
          <w:p>
            <w:pPr>
              <w:pStyle w:val="Style19"/>
              <w:keepNext w:val="0"/>
              <w:keepLines w:val="0"/>
              <w:widowControl w:val="0"/>
              <w:shd w:val="clear" w:color="auto" w:fill="auto"/>
              <w:tabs>
                <w:tab w:pos="278" w:val="left"/>
              </w:tabs>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截至</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日，东旭集团直接持有上海嘉麟杰纺织品股份有限公司（股票简称：嘉麟 杰，股票代码：</w:t>
            </w:r>
            <w:r>
              <w:rPr>
                <w:color w:val="000000"/>
                <w:spacing w:val="0"/>
                <w:w w:val="100"/>
                <w:position w:val="0"/>
                <w:sz w:val="18"/>
                <w:szCs w:val="18"/>
              </w:rPr>
              <w:t>002468</w:t>
            </w:r>
            <w:r>
              <w:rPr>
                <w:rFonts w:ascii="SimSun" w:eastAsia="SimSun" w:hAnsi="SimSun" w:cs="SimSun"/>
                <w:color w:val="000000"/>
                <w:spacing w:val="0"/>
                <w:w w:val="100"/>
                <w:position w:val="0"/>
                <w:sz w:val="17"/>
                <w:szCs w:val="17"/>
              </w:rPr>
              <w:t>）</w:t>
            </w:r>
            <w:r>
              <w:rPr>
                <w:color w:val="000000"/>
                <w:spacing w:val="0"/>
                <w:w w:val="100"/>
                <w:position w:val="0"/>
                <w:sz w:val="18"/>
                <w:szCs w:val="18"/>
              </w:rPr>
              <w:t>33,774,281</w:t>
            </w:r>
            <w:r>
              <w:rPr>
                <w:rFonts w:ascii="SimSun" w:eastAsia="SimSun" w:hAnsi="SimSun" w:cs="SimSun"/>
                <w:color w:val="000000"/>
                <w:spacing w:val="0"/>
                <w:w w:val="100"/>
                <w:position w:val="0"/>
                <w:sz w:val="17"/>
                <w:szCs w:val="17"/>
              </w:rPr>
              <w:t>股股票，占比</w:t>
            </w:r>
            <w:r>
              <w:rPr>
                <w:color w:val="000000"/>
                <w:spacing w:val="0"/>
                <w:w w:val="100"/>
                <w:position w:val="0"/>
                <w:sz w:val="18"/>
                <w:szCs w:val="18"/>
              </w:rPr>
              <w:t>4.06%</w:t>
            </w:r>
            <w:r>
              <w:rPr>
                <w:rFonts w:ascii="SimSun" w:eastAsia="SimSun" w:hAnsi="SimSun" w:cs="SimSun"/>
                <w:color w:val="000000"/>
                <w:spacing w:val="0"/>
                <w:w w:val="100"/>
                <w:position w:val="0"/>
                <w:sz w:val="17"/>
                <w:szCs w:val="17"/>
              </w:rPr>
              <w:t>；通过上海国骏投资有限公司间接持有嘉麟 杰</w:t>
            </w:r>
            <w:r>
              <w:rPr>
                <w:color w:val="000000"/>
                <w:spacing w:val="0"/>
                <w:w w:val="100"/>
                <w:position w:val="0"/>
                <w:sz w:val="18"/>
                <w:szCs w:val="18"/>
              </w:rPr>
              <w:t>163,190,000</w:t>
            </w:r>
            <w:r>
              <w:rPr>
                <w:rFonts w:ascii="SimSun" w:eastAsia="SimSun" w:hAnsi="SimSun" w:cs="SimSun"/>
                <w:color w:val="000000"/>
                <w:spacing w:val="0"/>
                <w:w w:val="100"/>
                <w:position w:val="0"/>
                <w:sz w:val="17"/>
                <w:szCs w:val="17"/>
              </w:rPr>
              <w:t>股股票，占比</w:t>
            </w:r>
            <w:r>
              <w:rPr>
                <w:color w:val="000000"/>
                <w:spacing w:val="0"/>
                <w:w w:val="100"/>
                <w:position w:val="0"/>
                <w:sz w:val="18"/>
                <w:szCs w:val="18"/>
              </w:rPr>
              <w:t>19.61%</w:t>
            </w:r>
            <w:r>
              <w:rPr>
                <w:rFonts w:ascii="SimSun" w:eastAsia="SimSun" w:hAnsi="SimSun" w:cs="SimSun"/>
                <w:color w:val="000000"/>
                <w:spacing w:val="0"/>
                <w:w w:val="100"/>
                <w:position w:val="0"/>
                <w:sz w:val="17"/>
                <w:szCs w:val="17"/>
              </w:rPr>
              <w:t>；同时通过受托行使投票权的方式拥有嘉麟杰</w:t>
            </w:r>
            <w:r>
              <w:rPr>
                <w:color w:val="000000"/>
                <w:spacing w:val="0"/>
                <w:w w:val="100"/>
                <w:position w:val="0"/>
                <w:sz w:val="18"/>
                <w:szCs w:val="18"/>
              </w:rPr>
              <w:t>25,350,000</w:t>
            </w:r>
            <w:r>
              <w:rPr>
                <w:rFonts w:ascii="SimSun" w:eastAsia="SimSun" w:hAnsi="SimSun" w:cs="SimSun"/>
                <w:color w:val="000000"/>
                <w:spacing w:val="0"/>
                <w:w w:val="100"/>
                <w:position w:val="0"/>
                <w:sz w:val="17"/>
                <w:szCs w:val="17"/>
              </w:rPr>
              <w:t>股股票 对应的投票权，占比</w:t>
            </w:r>
            <w:r>
              <w:rPr>
                <w:color w:val="000000"/>
                <w:spacing w:val="0"/>
                <w:w w:val="100"/>
                <w:position w:val="0"/>
                <w:sz w:val="18"/>
                <w:szCs w:val="18"/>
              </w:rPr>
              <w:t>3.05%</w:t>
            </w:r>
            <w:r>
              <w:rPr>
                <w:rFonts w:ascii="SimSun" w:eastAsia="SimSun" w:hAnsi="SimSun" w:cs="SimSun"/>
                <w:color w:val="000000"/>
                <w:spacing w:val="0"/>
                <w:w w:val="100"/>
                <w:position w:val="0"/>
                <w:sz w:val="17"/>
                <w:szCs w:val="17"/>
              </w:rPr>
              <w:t>；合计拥有嘉麟杰</w:t>
            </w:r>
            <w:r>
              <w:rPr>
                <w:color w:val="000000"/>
                <w:spacing w:val="0"/>
                <w:w w:val="100"/>
                <w:position w:val="0"/>
                <w:sz w:val="18"/>
                <w:szCs w:val="18"/>
              </w:rPr>
              <w:t>222,314,281</w:t>
            </w:r>
            <w:r>
              <w:rPr>
                <w:rFonts w:ascii="SimSun" w:eastAsia="SimSun" w:hAnsi="SimSun" w:cs="SimSun"/>
                <w:color w:val="000000"/>
                <w:spacing w:val="0"/>
                <w:w w:val="100"/>
                <w:position w:val="0"/>
                <w:sz w:val="17"/>
                <w:szCs w:val="17"/>
              </w:rPr>
              <w:t>股股票对应的投票权，占比</w:t>
            </w:r>
            <w:r>
              <w:rPr>
                <w:color w:val="000000"/>
                <w:spacing w:val="0"/>
                <w:w w:val="100"/>
                <w:position w:val="0"/>
                <w:sz w:val="18"/>
                <w:szCs w:val="18"/>
              </w:rPr>
              <w:t>26.72%</w:t>
            </w:r>
            <w:r>
              <w:rPr>
                <w:rFonts w:ascii="SimSun" w:eastAsia="SimSun" w:hAnsi="SimSun" w:cs="SimSun"/>
                <w:color w:val="000000"/>
                <w:spacing w:val="0"/>
                <w:w w:val="100"/>
                <w:position w:val="0"/>
                <w:sz w:val="17"/>
                <w:szCs w:val="17"/>
              </w:rPr>
              <w:t>。</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0"/>
        <w:keepNext/>
        <w:keepLines/>
        <w:widowControl w:val="0"/>
        <w:shd w:val="clear" w:color="auto" w:fill="auto"/>
        <w:bidi w:val="0"/>
        <w:spacing w:before="0" w:after="380" w:line="240" w:lineRule="auto"/>
        <w:ind w:left="0" w:right="0" w:firstLine="0"/>
        <w:jc w:val="left"/>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3</w:t>
      </w:r>
      <w:bookmarkEnd w:id="519"/>
      <w:r>
        <w:rPr>
          <w:color w:val="000000"/>
          <w:spacing w:val="0"/>
          <w:w w:val="100"/>
          <w:position w:val="0"/>
        </w:rPr>
        <w:t>、公司实际控制人及其一致行动人</w:t>
      </w:r>
      <w:bookmarkEnd w:id="517"/>
      <w:bookmarkEnd w:id="518"/>
      <w:bookmarkEnd w:id="520"/>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实际控制人类型：自然人</w:t>
      </w:r>
      <w:r>
        <w:br w:type="page"/>
      </w:r>
    </w:p>
    <w:tbl>
      <w:tblPr>
        <w:tblOverlap w:val="never"/>
        <w:jc w:val="center"/>
        <w:tblLayout w:type="fixed"/>
      </w:tblPr>
      <w:tblGrid>
        <w:gridCol w:w="2765"/>
        <w:gridCol w:w="1646"/>
        <w:gridCol w:w="1651"/>
        <w:gridCol w:w="3523"/>
      </w:tblGrid>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与实际控制人关系</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李兆廷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东旭集团有限公司董事长</w:t>
            </w:r>
          </w:p>
        </w:tc>
      </w:tr>
      <w:tr>
        <w:trPr>
          <w:trHeight w:val="3259"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tabs>
                <w:tab w:pos="254" w:val="left"/>
              </w:tabs>
              <w:bidi w:val="0"/>
              <w:spacing w:before="0" w:after="40" w:line="311"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截至</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日，公司实际控制人分别通过东旭集团有限公司、石家庄宝石 电子集团有限责任公司间接持有东旭光电科技股份有限公司（股票简称：东旭光电，股 票代码：</w:t>
            </w:r>
            <w:r>
              <w:rPr>
                <w:color w:val="000000"/>
                <w:spacing w:val="0"/>
                <w:w w:val="100"/>
                <w:position w:val="0"/>
                <w:sz w:val="18"/>
                <w:szCs w:val="18"/>
              </w:rPr>
              <w:t>000413</w:t>
            </w:r>
            <w:r>
              <w:rPr>
                <w:rFonts w:ascii="SimSun" w:eastAsia="SimSun" w:hAnsi="SimSun" w:cs="SimSun"/>
                <w:color w:val="000000"/>
                <w:spacing w:val="0"/>
                <w:w w:val="100"/>
                <w:position w:val="0"/>
                <w:sz w:val="17"/>
                <w:szCs w:val="17"/>
              </w:rPr>
              <w:t>）</w:t>
            </w:r>
            <w:r>
              <w:rPr>
                <w:color w:val="000000"/>
                <w:spacing w:val="0"/>
                <w:w w:val="100"/>
                <w:position w:val="0"/>
                <w:sz w:val="18"/>
                <w:szCs w:val="18"/>
              </w:rPr>
              <w:t>915,064,091</w:t>
            </w:r>
            <w:r>
              <w:rPr>
                <w:rFonts w:ascii="SimSun" w:eastAsia="SimSun" w:hAnsi="SimSun" w:cs="SimSun"/>
                <w:color w:val="000000"/>
                <w:spacing w:val="0"/>
                <w:w w:val="100"/>
                <w:position w:val="0"/>
                <w:sz w:val="17"/>
                <w:szCs w:val="17"/>
              </w:rPr>
              <w:t>股、</w:t>
            </w:r>
            <w:r>
              <w:rPr>
                <w:color w:val="000000"/>
                <w:spacing w:val="0"/>
                <w:w w:val="100"/>
                <w:position w:val="0"/>
                <w:sz w:val="18"/>
                <w:szCs w:val="18"/>
              </w:rPr>
              <w:t>332,382,171</w:t>
            </w:r>
            <w:r>
              <w:rPr>
                <w:rFonts w:ascii="SimSun" w:eastAsia="SimSun" w:hAnsi="SimSun" w:cs="SimSun"/>
                <w:color w:val="000000"/>
                <w:spacing w:val="0"/>
                <w:w w:val="100"/>
                <w:position w:val="0"/>
                <w:sz w:val="17"/>
                <w:szCs w:val="17"/>
              </w:rPr>
              <w:t>股，分别占该公司总股本的</w:t>
            </w:r>
            <w:r>
              <w:rPr>
                <w:color w:val="000000"/>
                <w:spacing w:val="0"/>
                <w:w w:val="100"/>
                <w:position w:val="0"/>
                <w:sz w:val="18"/>
                <w:szCs w:val="18"/>
              </w:rPr>
              <w:t>15.97%</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5.80%</w:t>
            </w:r>
            <w:r>
              <w:rPr>
                <w:rFonts w:ascii="SimSun" w:eastAsia="SimSun" w:hAnsi="SimSun" w:cs="SimSun"/>
                <w:color w:val="000000"/>
                <w:spacing w:val="0"/>
                <w:w w:val="100"/>
                <w:position w:val="0"/>
                <w:sz w:val="17"/>
                <w:szCs w:val="17"/>
              </w:rPr>
              <w:t>，合计持有东旭光电科技股份有限公司</w:t>
            </w:r>
            <w:r>
              <w:rPr>
                <w:color w:val="000000"/>
                <w:spacing w:val="0"/>
                <w:w w:val="100"/>
                <w:position w:val="0"/>
                <w:sz w:val="18"/>
                <w:szCs w:val="18"/>
              </w:rPr>
              <w:t>1,247,446,262</w:t>
            </w:r>
            <w:r>
              <w:rPr>
                <w:rFonts w:ascii="SimSun" w:eastAsia="SimSun" w:hAnsi="SimSun" w:cs="SimSun"/>
                <w:color w:val="000000"/>
                <w:spacing w:val="0"/>
                <w:w w:val="100"/>
                <w:position w:val="0"/>
                <w:sz w:val="17"/>
                <w:szCs w:val="17"/>
              </w:rPr>
              <w:t xml:space="preserve">万股，占该公司总股本的 </w:t>
            </w:r>
            <w:r>
              <w:rPr>
                <w:color w:val="000000"/>
                <w:spacing w:val="0"/>
                <w:w w:val="100"/>
                <w:position w:val="0"/>
                <w:sz w:val="18"/>
                <w:szCs w:val="18"/>
              </w:rPr>
              <w:t>21.77%</w:t>
            </w:r>
            <w:r>
              <w:rPr>
                <w:rFonts w:ascii="SimSun" w:eastAsia="SimSun" w:hAnsi="SimSun" w:cs="SimSun"/>
                <w:color w:val="000000"/>
                <w:spacing w:val="0"/>
                <w:w w:val="100"/>
                <w:position w:val="0"/>
                <w:sz w:val="17"/>
                <w:szCs w:val="17"/>
              </w:rPr>
              <w:t>。</w:t>
            </w:r>
          </w:p>
          <w:p>
            <w:pPr>
              <w:pStyle w:val="Style19"/>
              <w:keepNext w:val="0"/>
              <w:keepLines w:val="0"/>
              <w:widowControl w:val="0"/>
              <w:shd w:val="clear" w:color="auto" w:fill="auto"/>
              <w:tabs>
                <w:tab w:pos="254" w:val="left"/>
              </w:tabs>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截至</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日，东旭集团直接持有上海嘉麟杰纺织品股份有限公司（股票 简称：嘉麟杰，股票代码：</w:t>
            </w:r>
            <w:r>
              <w:rPr>
                <w:color w:val="000000"/>
                <w:spacing w:val="0"/>
                <w:w w:val="100"/>
                <w:position w:val="0"/>
                <w:sz w:val="18"/>
                <w:szCs w:val="18"/>
              </w:rPr>
              <w:t>002468</w:t>
            </w:r>
            <w:r>
              <w:rPr>
                <w:rFonts w:ascii="SimSun" w:eastAsia="SimSun" w:hAnsi="SimSun" w:cs="SimSun"/>
                <w:color w:val="000000"/>
                <w:spacing w:val="0"/>
                <w:w w:val="100"/>
                <w:position w:val="0"/>
                <w:sz w:val="17"/>
                <w:szCs w:val="17"/>
              </w:rPr>
              <w:t>）</w:t>
            </w:r>
            <w:r>
              <w:rPr>
                <w:color w:val="000000"/>
                <w:spacing w:val="0"/>
                <w:w w:val="100"/>
                <w:position w:val="0"/>
                <w:sz w:val="18"/>
                <w:szCs w:val="18"/>
              </w:rPr>
              <w:t>33,774,281</w:t>
            </w:r>
            <w:r>
              <w:rPr>
                <w:rFonts w:ascii="SimSun" w:eastAsia="SimSun" w:hAnsi="SimSun" w:cs="SimSun"/>
                <w:color w:val="000000"/>
                <w:spacing w:val="0"/>
                <w:w w:val="100"/>
                <w:position w:val="0"/>
                <w:sz w:val="17"/>
                <w:szCs w:val="17"/>
              </w:rPr>
              <w:t>股股票，占比</w:t>
            </w:r>
            <w:r>
              <w:rPr>
                <w:color w:val="000000"/>
                <w:spacing w:val="0"/>
                <w:w w:val="100"/>
                <w:position w:val="0"/>
                <w:sz w:val="18"/>
                <w:szCs w:val="18"/>
              </w:rPr>
              <w:t>4.06%</w:t>
            </w:r>
            <w:r>
              <w:rPr>
                <w:rFonts w:ascii="SimSun" w:eastAsia="SimSun" w:hAnsi="SimSun" w:cs="SimSun"/>
                <w:color w:val="000000"/>
                <w:spacing w:val="0"/>
                <w:w w:val="100"/>
                <w:position w:val="0"/>
                <w:sz w:val="17"/>
                <w:szCs w:val="17"/>
              </w:rPr>
              <w:t>；通过上海国骏投 资有限公司间接持有嘉麟杰</w:t>
            </w:r>
            <w:r>
              <w:rPr>
                <w:color w:val="000000"/>
                <w:spacing w:val="0"/>
                <w:w w:val="100"/>
                <w:position w:val="0"/>
                <w:sz w:val="18"/>
                <w:szCs w:val="18"/>
              </w:rPr>
              <w:t>163,190,000</w:t>
            </w:r>
            <w:r>
              <w:rPr>
                <w:rFonts w:ascii="SimSun" w:eastAsia="SimSun" w:hAnsi="SimSun" w:cs="SimSun"/>
                <w:color w:val="000000"/>
                <w:spacing w:val="0"/>
                <w:w w:val="100"/>
                <w:position w:val="0"/>
                <w:sz w:val="17"/>
                <w:szCs w:val="17"/>
              </w:rPr>
              <w:t>股股票，占比</w:t>
            </w:r>
            <w:r>
              <w:rPr>
                <w:color w:val="000000"/>
                <w:spacing w:val="0"/>
                <w:w w:val="100"/>
                <w:position w:val="0"/>
                <w:sz w:val="18"/>
                <w:szCs w:val="18"/>
              </w:rPr>
              <w:t>19.61%</w:t>
            </w:r>
            <w:r>
              <w:rPr>
                <w:rFonts w:ascii="SimSun" w:eastAsia="SimSun" w:hAnsi="SimSun" w:cs="SimSun"/>
                <w:color w:val="000000"/>
                <w:spacing w:val="0"/>
                <w:w w:val="100"/>
                <w:position w:val="0"/>
                <w:sz w:val="17"/>
                <w:szCs w:val="17"/>
              </w:rPr>
              <w:t>；同时通过受托行使投票 权的方式拥有嘉麟杰</w:t>
            </w:r>
            <w:r>
              <w:rPr>
                <w:color w:val="000000"/>
                <w:spacing w:val="0"/>
                <w:w w:val="100"/>
                <w:position w:val="0"/>
                <w:sz w:val="18"/>
                <w:szCs w:val="18"/>
              </w:rPr>
              <w:t>25,350,000</w:t>
            </w:r>
            <w:r>
              <w:rPr>
                <w:rFonts w:ascii="SimSun" w:eastAsia="SimSun" w:hAnsi="SimSun" w:cs="SimSun"/>
                <w:color w:val="000000"/>
                <w:spacing w:val="0"/>
                <w:w w:val="100"/>
                <w:position w:val="0"/>
                <w:sz w:val="17"/>
                <w:szCs w:val="17"/>
              </w:rPr>
              <w:t>股股票对应的投票权，占比</w:t>
            </w:r>
            <w:r>
              <w:rPr>
                <w:color w:val="000000"/>
                <w:spacing w:val="0"/>
                <w:w w:val="100"/>
                <w:position w:val="0"/>
                <w:sz w:val="18"/>
                <w:szCs w:val="18"/>
              </w:rPr>
              <w:t>3.05%</w:t>
            </w:r>
            <w:r>
              <w:rPr>
                <w:rFonts w:ascii="SimSun" w:eastAsia="SimSun" w:hAnsi="SimSun" w:cs="SimSun"/>
                <w:color w:val="000000"/>
                <w:spacing w:val="0"/>
                <w:w w:val="100"/>
                <w:position w:val="0"/>
                <w:sz w:val="17"/>
                <w:szCs w:val="17"/>
              </w:rPr>
              <w:t xml:space="preserve">；合计拥有嘉麟杰 </w:t>
            </w:r>
            <w:r>
              <w:rPr>
                <w:color w:val="000000"/>
                <w:spacing w:val="0"/>
                <w:w w:val="100"/>
                <w:position w:val="0"/>
                <w:sz w:val="18"/>
                <w:szCs w:val="18"/>
              </w:rPr>
              <w:t>222,314,281</w:t>
            </w:r>
            <w:r>
              <w:rPr>
                <w:rFonts w:ascii="SimSun" w:eastAsia="SimSun" w:hAnsi="SimSun" w:cs="SimSun"/>
                <w:color w:val="000000"/>
                <w:spacing w:val="0"/>
                <w:w w:val="100"/>
                <w:position w:val="0"/>
                <w:sz w:val="17"/>
                <w:szCs w:val="17"/>
              </w:rPr>
              <w:t>股股票对应的投票权，占比</w:t>
            </w:r>
            <w:r>
              <w:rPr>
                <w:color w:val="000000"/>
                <w:spacing w:val="0"/>
                <w:w w:val="100"/>
                <w:position w:val="0"/>
                <w:sz w:val="18"/>
                <w:szCs w:val="18"/>
              </w:rPr>
              <w:t>26.72%</w:t>
            </w:r>
            <w:r>
              <w:rPr>
                <w:rFonts w:ascii="SimSun" w:eastAsia="SimSun" w:hAnsi="SimSun" w:cs="SimSun"/>
                <w:color w:val="000000"/>
                <w:spacing w:val="0"/>
                <w:w w:val="100"/>
                <w:position w:val="0"/>
                <w:sz w:val="17"/>
                <w:szCs w:val="17"/>
              </w:rPr>
              <w:t>。</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289560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590415" cy="2895600"/>
                    </a:xfrm>
                    <a:prstGeom prst="rect"/>
                  </pic:spPr>
                </pic:pic>
              </a:graphicData>
            </a:graphic>
          </wp:inline>
        </w:drawing>
      </w:r>
    </w:p>
    <w:p>
      <w:pPr>
        <w:widowControl w:val="0"/>
        <w:spacing w:after="299" w:line="1" w:lineRule="exact"/>
      </w:pP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实际控制人通过信托或其他资产管理方式控制公司</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4</w:t>
      </w:r>
      <w:bookmarkEnd w:id="523"/>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21"/>
      <w:bookmarkEnd w:id="522"/>
      <w:bookmarkEnd w:id="524"/>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5</w:t>
      </w:r>
      <w:bookmarkEnd w:id="527"/>
      <w:r>
        <w:rPr>
          <w:color w:val="000000"/>
          <w:spacing w:val="0"/>
          <w:w w:val="100"/>
          <w:position w:val="0"/>
        </w:rPr>
        <w:t>、控股股东、实际控制人、重组方及其他承诺主体股份限制减持情况</w:t>
      </w:r>
      <w:bookmarkEnd w:id="525"/>
      <w:bookmarkEnd w:id="526"/>
      <w:bookmarkEnd w:id="528"/>
    </w:p>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150" w:right="1008" w:bottom="1419" w:left="100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
        <w:keepNext/>
        <w:keepLines/>
        <w:widowControl w:val="0"/>
        <w:shd w:val="clear" w:color="auto" w:fill="auto"/>
        <w:bidi w:val="0"/>
        <w:spacing w:before="0" w:after="580" w:line="240" w:lineRule="auto"/>
        <w:ind w:left="0" w:right="0" w:firstLine="0"/>
        <w:jc w:val="center"/>
      </w:pPr>
      <w:bookmarkStart w:id="529" w:name="bookmark529"/>
      <w:bookmarkStart w:id="530" w:name="bookmark530"/>
      <w:bookmarkStart w:id="531" w:name="bookmark531"/>
      <w:r>
        <w:rPr>
          <w:color w:val="000000"/>
          <w:spacing w:val="0"/>
          <w:w w:val="100"/>
          <w:position w:val="0"/>
        </w:rPr>
        <w:t>第七节优先股相关情况</w:t>
      </w:r>
      <w:bookmarkEnd w:id="529"/>
      <w:bookmarkEnd w:id="530"/>
      <w:bookmarkEnd w:id="531"/>
    </w:p>
    <w:p>
      <w:pPr>
        <w:pStyle w:val="Style26"/>
        <w:keepNext w:val="0"/>
        <w:keepLines w:val="0"/>
        <w:widowControl w:val="0"/>
        <w:shd w:val="clear" w:color="auto" w:fill="auto"/>
        <w:bidi w:val="0"/>
        <w:spacing w:before="0" w:line="240" w:lineRule="auto"/>
        <w:ind w:left="0" w:right="0" w:firstLine="0"/>
        <w:jc w:val="left"/>
      </w:pPr>
      <w:bookmarkStart w:id="532" w:name="bookmark53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32"/>
    </w:p>
    <w:p>
      <w:pPr>
        <w:pStyle w:val="Style26"/>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620" w:line="240" w:lineRule="auto"/>
        <w:ind w:left="0" w:right="0" w:firstLine="0"/>
        <w:jc w:val="center"/>
      </w:pPr>
      <w:bookmarkStart w:id="533" w:name="bookmark533"/>
      <w:bookmarkStart w:id="534" w:name="bookmark534"/>
      <w:bookmarkStart w:id="535" w:name="bookmark535"/>
      <w:r>
        <w:rPr>
          <w:color w:val="000000"/>
          <w:spacing w:val="0"/>
          <w:w w:val="100"/>
          <w:position w:val="0"/>
        </w:rPr>
        <w:t>第八节可转换公司债券相关情况</w:t>
      </w:r>
      <w:bookmarkEnd w:id="533"/>
      <w:bookmarkEnd w:id="534"/>
      <w:bookmarkEnd w:id="535"/>
    </w:p>
    <w:p>
      <w:pPr>
        <w:pStyle w:val="Style26"/>
        <w:keepNext w:val="0"/>
        <w:keepLines w:val="0"/>
        <w:widowControl w:val="0"/>
        <w:shd w:val="clear" w:color="auto" w:fill="auto"/>
        <w:bidi w:val="0"/>
        <w:spacing w:before="0" w:line="240" w:lineRule="auto"/>
        <w:ind w:left="0" w:right="0" w:firstLine="0"/>
        <w:jc w:val="left"/>
      </w:pPr>
      <w:bookmarkStart w:id="536" w:name="bookmark53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36"/>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报告期公司不存在可转换公司债券。</w:t>
      </w:r>
      <w:r>
        <w:br w:type="page"/>
      </w:r>
    </w:p>
    <w:p>
      <w:pPr>
        <w:pStyle w:val="Style10"/>
        <w:keepNext/>
        <w:keepLines/>
        <w:widowControl w:val="0"/>
        <w:shd w:val="clear" w:color="auto" w:fill="auto"/>
        <w:bidi w:val="0"/>
        <w:spacing w:before="0" w:after="540" w:line="240" w:lineRule="auto"/>
        <w:ind w:left="0" w:right="0" w:firstLine="0"/>
        <w:jc w:val="center"/>
      </w:pPr>
      <w:bookmarkStart w:id="537" w:name="bookmark537"/>
      <w:bookmarkStart w:id="538" w:name="bookmark538"/>
      <w:bookmarkStart w:id="539" w:name="bookmark539"/>
      <w:r>
        <w:rPr>
          <w:color w:val="000000"/>
          <w:spacing w:val="0"/>
          <w:w w:val="100"/>
          <w:position w:val="0"/>
        </w:rPr>
        <w:t>第九节董事、监事、高级管理人员和员工情况</w:t>
      </w:r>
      <w:bookmarkEnd w:id="537"/>
      <w:bookmarkEnd w:id="538"/>
      <w:bookmarkEnd w:id="539"/>
    </w:p>
    <w:p>
      <w:pPr>
        <w:pStyle w:val="Style22"/>
        <w:keepNext/>
        <w:keepLines/>
        <w:widowControl w:val="0"/>
        <w:shd w:val="clear" w:color="auto" w:fill="auto"/>
        <w:bidi w:val="0"/>
        <w:spacing w:before="0" w:after="320" w:line="240" w:lineRule="auto"/>
        <w:ind w:left="0" w:right="0" w:firstLine="0"/>
        <w:jc w:val="left"/>
      </w:pPr>
      <w:bookmarkStart w:id="540" w:name="bookmark540"/>
      <w:bookmarkStart w:id="541" w:name="bookmark541"/>
      <w:bookmarkStart w:id="542" w:name="bookmark542"/>
      <w:bookmarkStart w:id="543" w:name="bookmark543"/>
      <w:bookmarkStart w:id="544" w:name="bookmark544"/>
      <w:r>
        <w:rPr>
          <w:color w:val="000000"/>
          <w:spacing w:val="0"/>
          <w:w w:val="100"/>
          <w:position w:val="0"/>
        </w:rPr>
        <w:t>一</w:t>
      </w:r>
      <w:bookmarkEnd w:id="543"/>
      <w:r>
        <w:rPr>
          <w:color w:val="000000"/>
          <w:spacing w:val="0"/>
          <w:w w:val="100"/>
          <w:position w:val="0"/>
        </w:rPr>
        <w:t>、董事、监事和高级管理人员持股变动</w:t>
      </w:r>
      <w:bookmarkEnd w:id="541"/>
      <w:bookmarkEnd w:id="542"/>
      <w:bookmarkEnd w:id="544"/>
      <w:bookmarkEnd w:id="540"/>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期初持股</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数（股）</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本期增持</w:t>
            </w:r>
          </w:p>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股份数量</w:t>
            </w:r>
          </w:p>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本期减持</w:t>
            </w:r>
          </w:p>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股份数量</w:t>
            </w:r>
          </w:p>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其他增减 变动（股）</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期末持股</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数（股）</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黄志良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李泉年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王甫民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董事、副</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夏志勇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董事、财</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务总监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陈爱珍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王立勇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苏国珍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曾维海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邢丽芬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邓新贵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王正军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侯继伟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卢召义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left"/>
      </w:pPr>
      <w:bookmarkStart w:id="545" w:name="bookmark545"/>
      <w:bookmarkStart w:id="546" w:name="bookmark546"/>
      <w:bookmarkStart w:id="547" w:name="bookmark547"/>
      <w:bookmarkStart w:id="548" w:name="bookmark548"/>
      <w:r>
        <w:rPr>
          <w:color w:val="000000"/>
          <w:spacing w:val="0"/>
          <w:w w:val="100"/>
          <w:position w:val="0"/>
        </w:rPr>
        <w:t>二</w:t>
      </w:r>
      <w:bookmarkEnd w:id="547"/>
      <w:r>
        <w:rPr>
          <w:color w:val="000000"/>
          <w:spacing w:val="0"/>
          <w:w w:val="100"/>
          <w:position w:val="0"/>
        </w:rPr>
        <w:t>、公司董事、监事、高级管理人员变动情况</w:t>
      </w:r>
      <w:bookmarkEnd w:id="545"/>
      <w:bookmarkEnd w:id="546"/>
      <w:bookmarkEnd w:id="548"/>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辞去董事职务</w:t>
            </w:r>
          </w:p>
        </w:tc>
      </w:tr>
    </w:tbl>
    <w:tbl>
      <w:tblPr>
        <w:tblOverlap w:val="never"/>
        <w:jc w:val="center"/>
        <w:tblLayout w:type="fixed"/>
      </w:tblPr>
      <w:tblGrid>
        <w:gridCol w:w="1339"/>
        <w:gridCol w:w="1330"/>
        <w:gridCol w:w="1330"/>
        <w:gridCol w:w="1330"/>
        <w:gridCol w:w="4258"/>
      </w:tblGrid>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侯继伟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辞去公司职务</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13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辞去董事职务</w:t>
            </w: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rPr>
        <w:t>三</w:t>
      </w:r>
      <w:bookmarkEnd w:id="551"/>
      <w:r>
        <w:rPr>
          <w:color w:val="000000"/>
          <w:spacing w:val="0"/>
          <w:w w:val="100"/>
          <w:position w:val="0"/>
        </w:rPr>
        <w:t>、任职情况</w:t>
      </w:r>
      <w:bookmarkEnd w:id="549"/>
      <w:bookmarkEnd w:id="550"/>
      <w:bookmarkEnd w:id="552"/>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3"/>
        <w:keepNext w:val="0"/>
        <w:keepLines w:val="0"/>
        <w:widowControl w:val="0"/>
        <w:shd w:val="clear" w:color="auto" w:fill="auto"/>
        <w:bidi w:val="0"/>
        <w:spacing w:before="0" w:after="40" w:line="470" w:lineRule="exact"/>
        <w:ind w:left="0" w:right="0" w:firstLine="440"/>
        <w:jc w:val="both"/>
      </w:pPr>
      <w:bookmarkStart w:id="553" w:name="bookmark553"/>
      <w:r>
        <w:rPr>
          <w:color w:val="000000"/>
          <w:spacing w:val="0"/>
          <w:w w:val="100"/>
          <w:position w:val="0"/>
        </w:rPr>
        <w:t>（</w:t>
      </w:r>
      <w:bookmarkEnd w:id="553"/>
      <w:r>
        <w:rPr>
          <w:color w:val="000000"/>
          <w:spacing w:val="0"/>
          <w:w w:val="100"/>
          <w:position w:val="0"/>
        </w:rPr>
        <w:t>一）董事</w:t>
      </w:r>
    </w:p>
    <w:p>
      <w:pPr>
        <w:pStyle w:val="Style33"/>
        <w:keepNext w:val="0"/>
        <w:keepLines w:val="0"/>
        <w:widowControl w:val="0"/>
        <w:shd w:val="clear" w:color="auto" w:fill="auto"/>
        <w:tabs>
          <w:tab w:pos="732" w:val="left"/>
        </w:tabs>
        <w:bidi w:val="0"/>
        <w:spacing w:before="0" w:after="40" w:line="469" w:lineRule="exact"/>
        <w:ind w:left="0" w:right="0" w:firstLine="440"/>
        <w:jc w:val="both"/>
      </w:pPr>
      <w:bookmarkStart w:id="554" w:name="bookmark554"/>
      <w:r>
        <w:rPr>
          <w:rFonts w:ascii="Times New Roman" w:eastAsia="Times New Roman" w:hAnsi="Times New Roman" w:cs="Times New Roman"/>
          <w:color w:val="000000"/>
          <w:spacing w:val="0"/>
          <w:w w:val="100"/>
          <w:position w:val="0"/>
        </w:rPr>
        <w:t>1</w:t>
      </w:r>
      <w:bookmarkEnd w:id="554"/>
      <w:r>
        <w:rPr>
          <w:color w:val="000000"/>
          <w:spacing w:val="0"/>
          <w:w w:val="100"/>
          <w:position w:val="0"/>
        </w:rPr>
        <w:t>、</w:t>
        <w:tab/>
        <w:t>黄志良：董事长。男，</w:t>
      </w:r>
      <w:r>
        <w:rPr>
          <w:rFonts w:ascii="Times New Roman" w:eastAsia="Times New Roman" w:hAnsi="Times New Roman" w:cs="Times New Roman"/>
          <w:color w:val="000000"/>
          <w:spacing w:val="0"/>
          <w:w w:val="100"/>
          <w:position w:val="0"/>
        </w:rPr>
        <w:t>1965</w:t>
      </w:r>
      <w:r>
        <w:rPr>
          <w:color w:val="000000"/>
          <w:spacing w:val="0"/>
          <w:w w:val="100"/>
          <w:position w:val="0"/>
        </w:rPr>
        <w:t>年出生，四川大学化工机械专业，中国科技大学</w:t>
      </w:r>
      <w:r>
        <w:rPr>
          <w:rFonts w:ascii="Times New Roman" w:eastAsia="Times New Roman" w:hAnsi="Times New Roman" w:cs="Times New Roman"/>
          <w:color w:val="000000"/>
          <w:spacing w:val="0"/>
          <w:w w:val="100"/>
          <w:position w:val="0"/>
        </w:rPr>
        <w:t>MBA</w:t>
      </w:r>
      <w:r>
        <w:rPr>
          <w:color w:val="000000"/>
          <w:spacing w:val="0"/>
          <w:w w:val="100"/>
          <w:position w:val="0"/>
        </w:rPr>
        <w:t>。</w:t>
      </w:r>
      <w:r>
        <w:rPr>
          <w:color w:val="000000"/>
          <w:spacing w:val="0"/>
          <w:w w:val="100"/>
          <w:position w:val="0"/>
        </w:rPr>
        <w:t>曾任成都化工 压力容器厂工程师、车间主任、技术科长、质量部部长、厂团委书记，珠海海顿实业有限公司北京分公 司生产部经理兼工程部经理、北京德普韦尔能源科技有限公司项目经理、成都一鸿建筑公司总经理、成都 市永晨市政设施厂厂长等职。</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月加入东旭集团，先后在东旭集团采购部、锦州旭龙公司、制造中 心、风险控制本部、东旭鸿基房地产公司、物资管理部工作，历任采购部长、常务副总经理、制造中心副 总经理、总裁助理、风险控制本部长、东旭鸿基地产常务副总裁、集团副总裁、东旭集团资产委员会副主 任兼物资管理部总经理等职。黄志良先生自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月起担任我公司董事。</w:t>
      </w:r>
    </w:p>
    <w:p>
      <w:pPr>
        <w:pStyle w:val="Style33"/>
        <w:keepNext w:val="0"/>
        <w:keepLines w:val="0"/>
        <w:widowControl w:val="0"/>
        <w:shd w:val="clear" w:color="auto" w:fill="auto"/>
        <w:tabs>
          <w:tab w:pos="732" w:val="left"/>
        </w:tabs>
        <w:bidi w:val="0"/>
        <w:spacing w:before="0" w:after="40" w:line="470" w:lineRule="exact"/>
        <w:ind w:left="0" w:right="0" w:firstLine="440"/>
        <w:jc w:val="both"/>
      </w:pPr>
      <w:bookmarkStart w:id="555" w:name="bookmark555"/>
      <w:r>
        <w:rPr>
          <w:rFonts w:ascii="Times New Roman" w:eastAsia="Times New Roman" w:hAnsi="Times New Roman" w:cs="Times New Roman"/>
          <w:color w:val="000000"/>
          <w:spacing w:val="0"/>
          <w:w w:val="100"/>
          <w:position w:val="0"/>
        </w:rPr>
        <w:t>2</w:t>
      </w:r>
      <w:bookmarkEnd w:id="555"/>
      <w:r>
        <w:rPr>
          <w:color w:val="000000"/>
          <w:spacing w:val="0"/>
          <w:w w:val="100"/>
          <w:position w:val="0"/>
        </w:rPr>
        <w:t>、</w:t>
        <w:tab/>
        <w:t>李泉年：董事。男，</w:t>
      </w:r>
      <w:r>
        <w:rPr>
          <w:rFonts w:ascii="Times New Roman" w:eastAsia="Times New Roman" w:hAnsi="Times New Roman" w:cs="Times New Roman"/>
          <w:color w:val="000000"/>
          <w:spacing w:val="0"/>
          <w:w w:val="100"/>
          <w:position w:val="0"/>
        </w:rPr>
        <w:t>1974</w:t>
      </w:r>
      <w:r>
        <w:rPr>
          <w:color w:val="000000"/>
          <w:spacing w:val="0"/>
          <w:w w:val="100"/>
          <w:position w:val="0"/>
        </w:rPr>
        <w:t>年出生，中国国籍，北京交通大学经济管理学院管理学硕士、博士，甘 肃工业大学经管学院经济学学士。先后曾任中国资产经营管理公司副总会计师、中国东方红卫星股份有限 公司子公司财务总监、母公司财务部副总经理、总经理，东旭光电股份有限公司财务总监。现任东旭集团 常务副总裁。</w:t>
      </w:r>
    </w:p>
    <w:p>
      <w:pPr>
        <w:pStyle w:val="Style33"/>
        <w:keepNext w:val="0"/>
        <w:keepLines w:val="0"/>
        <w:widowControl w:val="0"/>
        <w:shd w:val="clear" w:color="auto" w:fill="auto"/>
        <w:tabs>
          <w:tab w:pos="732" w:val="left"/>
        </w:tabs>
        <w:bidi w:val="0"/>
        <w:spacing w:before="0" w:after="40" w:line="470" w:lineRule="exact"/>
        <w:ind w:left="0" w:right="0" w:firstLine="440"/>
        <w:jc w:val="both"/>
      </w:pPr>
      <w:bookmarkStart w:id="556" w:name="bookmark556"/>
      <w:r>
        <w:rPr>
          <w:rFonts w:ascii="Times New Roman" w:eastAsia="Times New Roman" w:hAnsi="Times New Roman" w:cs="Times New Roman"/>
          <w:color w:val="000000"/>
          <w:spacing w:val="0"/>
          <w:w w:val="100"/>
          <w:position w:val="0"/>
        </w:rPr>
        <w:t>3</w:t>
      </w:r>
      <w:bookmarkEnd w:id="556"/>
      <w:r>
        <w:rPr>
          <w:color w:val="000000"/>
          <w:spacing w:val="0"/>
          <w:w w:val="100"/>
          <w:position w:val="0"/>
        </w:rPr>
        <w:t>、</w:t>
        <w:tab/>
        <w:t>王甫民：董事、副总经理。男，</w:t>
      </w:r>
      <w:r>
        <w:rPr>
          <w:rFonts w:ascii="Times New Roman" w:eastAsia="Times New Roman" w:hAnsi="Times New Roman" w:cs="Times New Roman"/>
          <w:color w:val="000000"/>
          <w:spacing w:val="0"/>
          <w:w w:val="100"/>
          <w:position w:val="0"/>
        </w:rPr>
        <w:t>1965</w:t>
      </w:r>
      <w:r>
        <w:rPr>
          <w:color w:val="000000"/>
          <w:spacing w:val="0"/>
          <w:w w:val="100"/>
          <w:position w:val="0"/>
        </w:rPr>
        <w:t>年出生，中国国籍，无境外永久居留权，毕业于沈阳理工大 学，机械设计本科学历，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月加入东旭集团，曾任河北东旭投资集团有限公司总经理、成都中光电 科技有限公司采购部长、河南安彩高科彩玻三厂包装车间副主任、项目部副部长、成都电子玻璃有限公司 设备资材部部长、成都电子玻璃有限公司屏成型副主任、河南安彩高科彩玻二厂屏成型整备系长、河南安 阳机床厂研究所技术主管等职务。</w:t>
      </w:r>
    </w:p>
    <w:p>
      <w:pPr>
        <w:pStyle w:val="Style33"/>
        <w:keepNext w:val="0"/>
        <w:keepLines w:val="0"/>
        <w:widowControl w:val="0"/>
        <w:shd w:val="clear" w:color="auto" w:fill="auto"/>
        <w:tabs>
          <w:tab w:pos="732" w:val="left"/>
        </w:tabs>
        <w:bidi w:val="0"/>
        <w:spacing w:before="0" w:after="40" w:line="467" w:lineRule="exact"/>
        <w:ind w:left="0" w:right="0" w:firstLine="440"/>
        <w:jc w:val="both"/>
      </w:pPr>
      <w:bookmarkStart w:id="557" w:name="bookmark557"/>
      <w:r>
        <w:rPr>
          <w:rFonts w:ascii="Times New Roman" w:eastAsia="Times New Roman" w:hAnsi="Times New Roman" w:cs="Times New Roman"/>
          <w:color w:val="000000"/>
          <w:spacing w:val="0"/>
          <w:w w:val="100"/>
          <w:position w:val="0"/>
        </w:rPr>
        <w:t>4</w:t>
      </w:r>
      <w:bookmarkEnd w:id="557"/>
      <w:r>
        <w:rPr>
          <w:color w:val="000000"/>
          <w:spacing w:val="0"/>
          <w:w w:val="100"/>
          <w:position w:val="0"/>
        </w:rPr>
        <w:t>、</w:t>
        <w:tab/>
        <w:t>夏志勇：董事、财务总监。男，</w:t>
      </w:r>
      <w:r>
        <w:rPr>
          <w:rFonts w:ascii="Times New Roman" w:eastAsia="Times New Roman" w:hAnsi="Times New Roman" w:cs="Times New Roman"/>
          <w:color w:val="000000"/>
          <w:spacing w:val="0"/>
          <w:w w:val="100"/>
          <w:position w:val="0"/>
        </w:rPr>
        <w:t>1971</w:t>
      </w:r>
      <w:r>
        <w:rPr>
          <w:color w:val="000000"/>
          <w:spacing w:val="0"/>
          <w:w w:val="100"/>
          <w:position w:val="0"/>
        </w:rPr>
        <w:t>年出生，中国国籍，东北林业大学工业电气自动化学士，注 册会计师、注册资产评估师、注册税务师。曾就职于信达会计师事务所、上海新进半导体制造有限公司、 长久汽车投资有限公司，从事财务工作。</w:t>
      </w:r>
      <w:r>
        <w:rPr>
          <w:rFonts w:ascii="Times New Roman" w:eastAsia="Times New Roman" w:hAnsi="Times New Roman" w:cs="Times New Roman"/>
          <w:color w:val="000000"/>
          <w:spacing w:val="0"/>
          <w:w w:val="100"/>
          <w:position w:val="0"/>
        </w:rPr>
        <w:t>2011</w:t>
      </w:r>
      <w:r>
        <w:rPr>
          <w:color w:val="000000"/>
          <w:spacing w:val="0"/>
          <w:w w:val="100"/>
          <w:position w:val="0"/>
        </w:rPr>
        <w:t>年加入东旭集团，先后在集团总部财务管理中心、证券部资 本运营中心任职，</w:t>
      </w:r>
      <w:r>
        <w:rPr>
          <w:rFonts w:ascii="Times New Roman" w:eastAsia="Times New Roman" w:hAnsi="Times New Roman" w:cs="Times New Roman"/>
          <w:color w:val="000000"/>
          <w:spacing w:val="0"/>
          <w:w w:val="100"/>
          <w:position w:val="0"/>
        </w:rPr>
        <w:t>2015</w:t>
      </w:r>
      <w:r>
        <w:rPr>
          <w:color w:val="000000"/>
          <w:spacing w:val="0"/>
          <w:w w:val="100"/>
          <w:position w:val="0"/>
        </w:rPr>
        <w:t>年起任职东旭蓝天新能源股份有限公司财务中心总经理、会计机构负责人。</w:t>
      </w:r>
    </w:p>
    <w:p>
      <w:pPr>
        <w:pStyle w:val="Style33"/>
        <w:keepNext w:val="0"/>
        <w:keepLines w:val="0"/>
        <w:widowControl w:val="0"/>
        <w:shd w:val="clear" w:color="auto" w:fill="auto"/>
        <w:tabs>
          <w:tab w:pos="732" w:val="left"/>
        </w:tabs>
        <w:bidi w:val="0"/>
        <w:spacing w:before="0" w:after="40" w:line="475" w:lineRule="exact"/>
        <w:ind w:left="0" w:right="0" w:firstLine="440"/>
        <w:jc w:val="both"/>
      </w:pPr>
      <w:bookmarkStart w:id="558" w:name="bookmark558"/>
      <w:r>
        <w:rPr>
          <w:rFonts w:ascii="Times New Roman" w:eastAsia="Times New Roman" w:hAnsi="Times New Roman" w:cs="Times New Roman"/>
          <w:color w:val="000000"/>
          <w:spacing w:val="0"/>
          <w:w w:val="100"/>
          <w:position w:val="0"/>
        </w:rPr>
        <w:t>5</w:t>
      </w:r>
      <w:bookmarkEnd w:id="558"/>
      <w:r>
        <w:rPr>
          <w:color w:val="000000"/>
          <w:spacing w:val="0"/>
          <w:w w:val="100"/>
          <w:position w:val="0"/>
        </w:rPr>
        <w:t>、</w:t>
        <w:tab/>
        <w:t>陈巍：董事、人力总监。男，</w:t>
      </w:r>
      <w:r>
        <w:rPr>
          <w:rFonts w:ascii="Times New Roman" w:eastAsia="Times New Roman" w:hAnsi="Times New Roman" w:cs="Times New Roman"/>
          <w:color w:val="000000"/>
          <w:spacing w:val="0"/>
          <w:w w:val="100"/>
          <w:position w:val="0"/>
        </w:rPr>
        <w:t>1981</w:t>
      </w:r>
      <w:r>
        <w:rPr>
          <w:color w:val="000000"/>
          <w:spacing w:val="0"/>
          <w:w w:val="100"/>
          <w:position w:val="0"/>
        </w:rPr>
        <w:t xml:space="preserve">年出生，中国国籍，无境外永久居留权，燕山大学机械设计与 自动化学士。先后曾任北汽福田欧洲事业部管理总监、国际贸易公司人力资源总监兼俄罗斯销售公司常务 </w:t>
      </w:r>
      <w:r>
        <w:rPr>
          <w:color w:val="000000"/>
          <w:spacing w:val="0"/>
          <w:w w:val="100"/>
          <w:position w:val="0"/>
        </w:rPr>
        <w:t>副总经理，万达金融集团人力行政中心副总经理、万达网络科技集团人力行政中心副总经理兼智慧生活事 业群副总裁、万达商管集团北区人力行政中心总经理。</w:t>
      </w:r>
    </w:p>
    <w:p>
      <w:pPr>
        <w:pStyle w:val="Style33"/>
        <w:keepNext w:val="0"/>
        <w:keepLines w:val="0"/>
        <w:widowControl w:val="0"/>
        <w:shd w:val="clear" w:color="auto" w:fill="auto"/>
        <w:tabs>
          <w:tab w:pos="731" w:val="left"/>
        </w:tabs>
        <w:bidi w:val="0"/>
        <w:spacing w:before="0" w:after="40" w:line="472" w:lineRule="exact"/>
        <w:ind w:left="0" w:right="0" w:firstLine="440"/>
        <w:jc w:val="both"/>
      </w:pPr>
      <w:bookmarkStart w:id="559" w:name="bookmark559"/>
      <w:r>
        <w:rPr>
          <w:rFonts w:ascii="Times New Roman" w:eastAsia="Times New Roman" w:hAnsi="Times New Roman" w:cs="Times New Roman"/>
          <w:color w:val="000000"/>
          <w:spacing w:val="0"/>
          <w:w w:val="100"/>
          <w:position w:val="0"/>
        </w:rPr>
        <w:t>6</w:t>
      </w:r>
      <w:bookmarkEnd w:id="559"/>
      <w:r>
        <w:rPr>
          <w:color w:val="000000"/>
          <w:spacing w:val="0"/>
          <w:w w:val="100"/>
          <w:position w:val="0"/>
        </w:rPr>
        <w:t>、</w:t>
        <w:tab/>
        <w:t>陈爱珍：独立董事。女，</w:t>
      </w:r>
      <w:r>
        <w:rPr>
          <w:rFonts w:ascii="Times New Roman" w:eastAsia="Times New Roman" w:hAnsi="Times New Roman" w:cs="Times New Roman"/>
          <w:color w:val="000000"/>
          <w:spacing w:val="0"/>
          <w:w w:val="100"/>
          <w:position w:val="0"/>
        </w:rPr>
        <w:t>1957</w:t>
      </w:r>
      <w:r>
        <w:rPr>
          <w:color w:val="000000"/>
          <w:spacing w:val="0"/>
          <w:w w:val="100"/>
          <w:position w:val="0"/>
        </w:rPr>
        <w:t>年出生。</w:t>
      </w:r>
      <w:r>
        <w:rPr>
          <w:rFonts w:ascii="Times New Roman" w:eastAsia="Times New Roman" w:hAnsi="Times New Roman" w:cs="Times New Roman"/>
          <w:color w:val="000000"/>
          <w:spacing w:val="0"/>
          <w:w w:val="100"/>
          <w:position w:val="0"/>
        </w:rPr>
        <w:t>1982</w:t>
      </w:r>
      <w:r>
        <w:rPr>
          <w:color w:val="000000"/>
          <w:spacing w:val="0"/>
          <w:w w:val="100"/>
          <w:position w:val="0"/>
        </w:rPr>
        <w:t>年山西大学经济系毕业后留校任教，历任助教、讲师、 副教授。</w:t>
      </w:r>
      <w:r>
        <w:rPr>
          <w:rFonts w:ascii="Times New Roman" w:eastAsia="Times New Roman" w:hAnsi="Times New Roman" w:cs="Times New Roman"/>
          <w:color w:val="000000"/>
          <w:spacing w:val="0"/>
          <w:w w:val="100"/>
          <w:position w:val="0"/>
        </w:rPr>
        <w:t>1987</w:t>
      </w:r>
      <w:r>
        <w:rPr>
          <w:color w:val="000000"/>
          <w:spacing w:val="0"/>
          <w:w w:val="100"/>
          <w:position w:val="0"/>
        </w:rPr>
        <w:t>年至</w:t>
      </w:r>
      <w:r>
        <w:rPr>
          <w:rFonts w:ascii="Times New Roman" w:eastAsia="Times New Roman" w:hAnsi="Times New Roman" w:cs="Times New Roman"/>
          <w:color w:val="000000"/>
          <w:spacing w:val="0"/>
          <w:w w:val="100"/>
          <w:position w:val="0"/>
        </w:rPr>
        <w:t>1991</w:t>
      </w:r>
      <w:r>
        <w:rPr>
          <w:color w:val="000000"/>
          <w:spacing w:val="0"/>
          <w:w w:val="100"/>
          <w:position w:val="0"/>
        </w:rPr>
        <w:t>年赴日本立教大学留学深造，获经济学</w:t>
      </w:r>
      <w:r>
        <w:rPr>
          <w:rFonts w:ascii="Times New Roman" w:eastAsia="Times New Roman" w:hAnsi="Times New Roman" w:cs="Times New Roman"/>
          <w:color w:val="000000"/>
          <w:spacing w:val="0"/>
          <w:w w:val="100"/>
          <w:position w:val="0"/>
        </w:rPr>
        <w:t>.</w:t>
      </w:r>
      <w:r>
        <w:rPr>
          <w:color w:val="000000"/>
          <w:spacing w:val="0"/>
          <w:w w:val="100"/>
          <w:position w:val="0"/>
        </w:rPr>
        <w:t>硕士学位。</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月获律师从业资格， 曾先后为兰花科创、太原重工、西山煤电等多家企业的股票发行上市业务提供法律服务。编写有《股份公 司操作实务》及发表专业论文多篇。</w:t>
      </w:r>
      <w:r>
        <w:rPr>
          <w:rFonts w:ascii="Times New Roman" w:eastAsia="Times New Roman" w:hAnsi="Times New Roman" w:cs="Times New Roman"/>
          <w:color w:val="000000"/>
          <w:spacing w:val="0"/>
          <w:w w:val="100"/>
          <w:position w:val="0"/>
        </w:rPr>
        <w:t>1998</w:t>
      </w:r>
      <w:r>
        <w:rPr>
          <w:color w:val="000000"/>
          <w:spacing w:val="0"/>
          <w:w w:val="100"/>
          <w:position w:val="0"/>
        </w:rPr>
        <w:t>年至今在北京市众天律师事务所担任合伙人律师。</w:t>
      </w:r>
    </w:p>
    <w:p>
      <w:pPr>
        <w:pStyle w:val="Style33"/>
        <w:keepNext w:val="0"/>
        <w:keepLines w:val="0"/>
        <w:widowControl w:val="0"/>
        <w:shd w:val="clear" w:color="auto" w:fill="auto"/>
        <w:tabs>
          <w:tab w:pos="731" w:val="left"/>
        </w:tabs>
        <w:bidi w:val="0"/>
        <w:spacing w:before="0" w:after="40" w:line="470" w:lineRule="exact"/>
        <w:ind w:left="0" w:right="0" w:firstLine="440"/>
        <w:jc w:val="both"/>
      </w:pPr>
      <w:bookmarkStart w:id="560" w:name="bookmark560"/>
      <w:r>
        <w:rPr>
          <w:rFonts w:ascii="Times New Roman" w:eastAsia="Times New Roman" w:hAnsi="Times New Roman" w:cs="Times New Roman"/>
          <w:color w:val="000000"/>
          <w:spacing w:val="0"/>
          <w:w w:val="100"/>
          <w:position w:val="0"/>
        </w:rPr>
        <w:t>7</w:t>
      </w:r>
      <w:bookmarkEnd w:id="560"/>
      <w:r>
        <w:rPr>
          <w:color w:val="000000"/>
          <w:spacing w:val="0"/>
          <w:w w:val="100"/>
          <w:position w:val="0"/>
        </w:rPr>
        <w:t>、</w:t>
        <w:tab/>
        <w:t>王立勇：独立董事。男，</w:t>
      </w:r>
      <w:r>
        <w:rPr>
          <w:rFonts w:ascii="Times New Roman" w:eastAsia="Times New Roman" w:hAnsi="Times New Roman" w:cs="Times New Roman"/>
          <w:color w:val="000000"/>
          <w:spacing w:val="0"/>
          <w:w w:val="100"/>
          <w:position w:val="0"/>
        </w:rPr>
        <w:t>1976</w:t>
      </w:r>
      <w:r>
        <w:rPr>
          <w:color w:val="000000"/>
          <w:spacing w:val="0"/>
          <w:w w:val="100"/>
          <w:position w:val="0"/>
        </w:rPr>
        <w:t>年出生，中国社会科学院应用经济学博士后，中共党员。</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月在中央财经大学经济学院任院长助理、系主任职务；</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月作为高 级访问学者前往美国康奈尔大学进行学术访问。</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月在中央财经大学统数学院任数 量经济研究中心主任、新三板研究中心主任、院长助理、数量经济系主任，教授，博士生导师。</w:t>
      </w:r>
      <w:r>
        <w:rPr>
          <w:rFonts w:ascii="Times New Roman" w:eastAsia="Times New Roman" w:hAnsi="Times New Roman" w:cs="Times New Roman"/>
          <w:color w:val="000000"/>
          <w:spacing w:val="0"/>
          <w:w w:val="100"/>
          <w:position w:val="0"/>
        </w:rPr>
        <w:t>2009</w:t>
      </w:r>
      <w:r>
        <w:rPr>
          <w:color w:val="000000"/>
          <w:spacing w:val="0"/>
          <w:w w:val="100"/>
          <w:position w:val="0"/>
        </w:rPr>
        <w:t>年入 选教育部新世纪优秀人才计划，中央财经大学首批青年科研创新团队负责人。在</w:t>
      </w:r>
      <w:r>
        <w:rPr>
          <w:rFonts w:ascii="Times New Roman" w:eastAsia="Times New Roman" w:hAnsi="Times New Roman" w:cs="Times New Roman"/>
          <w:color w:val="000000"/>
          <w:spacing w:val="0"/>
          <w:w w:val="100"/>
          <w:position w:val="0"/>
        </w:rPr>
        <w:t>SSCI</w:t>
      </w:r>
      <w:r>
        <w:rPr>
          <w:color w:val="000000"/>
          <w:spacing w:val="0"/>
          <w:w w:val="100"/>
          <w:position w:val="0"/>
        </w:rPr>
        <w:t>、</w:t>
      </w:r>
      <w:r>
        <w:rPr>
          <w:color w:val="000000"/>
          <w:spacing w:val="0"/>
          <w:w w:val="100"/>
          <w:position w:val="0"/>
        </w:rPr>
        <w:t>《经济研究》、《管 理世界》、《世界经济》等发表论文</w:t>
      </w:r>
      <w:r>
        <w:rPr>
          <w:rFonts w:ascii="Times New Roman" w:eastAsia="Times New Roman" w:hAnsi="Times New Roman" w:cs="Times New Roman"/>
          <w:color w:val="000000"/>
          <w:spacing w:val="0"/>
          <w:w w:val="100"/>
          <w:position w:val="0"/>
        </w:rPr>
        <w:t>90</w:t>
      </w:r>
      <w:r>
        <w:rPr>
          <w:color w:val="000000"/>
          <w:spacing w:val="0"/>
          <w:w w:val="100"/>
          <w:position w:val="0"/>
        </w:rPr>
        <w:t>余篇；出版专著</w:t>
      </w:r>
      <w:r>
        <w:rPr>
          <w:rFonts w:ascii="Times New Roman" w:eastAsia="Times New Roman" w:hAnsi="Times New Roman" w:cs="Times New Roman"/>
          <w:color w:val="000000"/>
          <w:spacing w:val="0"/>
          <w:w w:val="100"/>
          <w:position w:val="0"/>
        </w:rPr>
        <w:t>4</w:t>
      </w:r>
      <w:r>
        <w:rPr>
          <w:color w:val="000000"/>
          <w:spacing w:val="0"/>
          <w:w w:val="100"/>
          <w:position w:val="0"/>
        </w:rPr>
        <w:t>部、译著</w:t>
      </w:r>
      <w:r>
        <w:rPr>
          <w:rFonts w:ascii="Times New Roman" w:eastAsia="Times New Roman" w:hAnsi="Times New Roman" w:cs="Times New Roman"/>
          <w:color w:val="000000"/>
          <w:spacing w:val="0"/>
          <w:w w:val="100"/>
          <w:position w:val="0"/>
        </w:rPr>
        <w:t>3</w:t>
      </w:r>
      <w:r>
        <w:rPr>
          <w:color w:val="000000"/>
          <w:spacing w:val="0"/>
          <w:w w:val="100"/>
          <w:position w:val="0"/>
        </w:rPr>
        <w:t>部。现任中央财经大学国际经济与 贸易学院副院长，国际经济大数据研究中心主任，教授，博士生导师，博士后合作导师。</w:t>
      </w:r>
    </w:p>
    <w:p>
      <w:pPr>
        <w:pStyle w:val="Style33"/>
        <w:keepNext w:val="0"/>
        <w:keepLines w:val="0"/>
        <w:widowControl w:val="0"/>
        <w:shd w:val="clear" w:color="auto" w:fill="auto"/>
        <w:tabs>
          <w:tab w:pos="740" w:val="left"/>
        </w:tabs>
        <w:bidi w:val="0"/>
        <w:spacing w:before="0" w:after="0" w:line="470" w:lineRule="exact"/>
        <w:ind w:left="0" w:right="0" w:firstLine="440"/>
        <w:jc w:val="both"/>
      </w:pPr>
      <w:bookmarkStart w:id="561" w:name="bookmark561"/>
      <w:r>
        <w:rPr>
          <w:rFonts w:ascii="Times New Roman" w:eastAsia="Times New Roman" w:hAnsi="Times New Roman" w:cs="Times New Roman"/>
          <w:color w:val="000000"/>
          <w:spacing w:val="0"/>
          <w:w w:val="100"/>
          <w:position w:val="0"/>
        </w:rPr>
        <w:t>8</w:t>
      </w:r>
      <w:bookmarkEnd w:id="561"/>
      <w:r>
        <w:rPr>
          <w:color w:val="000000"/>
          <w:spacing w:val="0"/>
          <w:w w:val="100"/>
          <w:position w:val="0"/>
        </w:rPr>
        <w:t>、</w:t>
        <w:tab/>
        <w:t>罗炜：独立董事。男，</w:t>
      </w:r>
      <w:r>
        <w:rPr>
          <w:rFonts w:ascii="Times New Roman" w:eastAsia="Times New Roman" w:hAnsi="Times New Roman" w:cs="Times New Roman"/>
          <w:color w:val="000000"/>
          <w:spacing w:val="0"/>
          <w:w w:val="100"/>
          <w:position w:val="0"/>
        </w:rPr>
        <w:t>1975</w:t>
      </w:r>
      <w:r>
        <w:rPr>
          <w:color w:val="000000"/>
          <w:spacing w:val="0"/>
          <w:w w:val="100"/>
          <w:position w:val="0"/>
        </w:rPr>
        <w:t>年出生，会计学博士，研究专长为公司治理、风险投资、盈余管理、 会计信息与公司激励计划、自愿性信息披露。已在《经济研究》、《管理世界》、《中国会计评论》、《会 计研究》、</w:t>
      </w:r>
      <w:r>
        <w:rPr>
          <w:rFonts w:ascii="Times New Roman" w:eastAsia="Times New Roman" w:hAnsi="Times New Roman" w:cs="Times New Roman"/>
          <w:color w:val="000000"/>
          <w:spacing w:val="0"/>
          <w:w w:val="100"/>
          <w:position w:val="0"/>
        </w:rPr>
        <w:t xml:space="preserve">Journal of Business Finance </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rPr>
        <w:t>Accounting</w:t>
      </w:r>
      <w:r>
        <w:rPr>
          <w:color w:val="000000"/>
          <w:spacing w:val="0"/>
          <w:w w:val="100"/>
          <w:position w:val="0"/>
        </w:rPr>
        <w:t>、</w:t>
      </w:r>
      <w:r>
        <w:rPr>
          <w:rFonts w:ascii="Times New Roman" w:eastAsia="Times New Roman" w:hAnsi="Times New Roman" w:cs="Times New Roman"/>
          <w:color w:val="000000"/>
          <w:spacing w:val="0"/>
          <w:w w:val="100"/>
          <w:position w:val="0"/>
        </w:rPr>
        <w:t xml:space="preserve">Journal of Corporate Finance </w:t>
      </w:r>
      <w:r>
        <w:rPr>
          <w:color w:val="000000"/>
          <w:spacing w:val="0"/>
          <w:w w:val="100"/>
          <w:position w:val="0"/>
        </w:rPr>
        <w:t>等学术期刊上发表文章若 干。主持完成国家自然科学基金项目一</w:t>
      </w:r>
      <w:r>
        <w:rPr>
          <w:rFonts w:ascii="Times New Roman" w:eastAsia="Times New Roman" w:hAnsi="Times New Roman" w:cs="Times New Roman"/>
          <w:color w:val="000000"/>
          <w:spacing w:val="0"/>
          <w:w w:val="100"/>
          <w:position w:val="0"/>
        </w:rPr>
        <w:t>"</w:t>
      </w:r>
      <w:r>
        <w:rPr>
          <w:color w:val="000000"/>
          <w:spacing w:val="0"/>
          <w:w w:val="100"/>
          <w:position w:val="0"/>
        </w:rPr>
        <w:t>风险投资退出研究:基于会计信息质量与政治关联的双重视角</w:t>
      </w:r>
      <w:r>
        <w:rPr>
          <w:rFonts w:ascii="Times New Roman" w:eastAsia="Times New Roman" w:hAnsi="Times New Roman" w:cs="Times New Roman"/>
          <w:color w:val="000000"/>
          <w:spacing w:val="0"/>
          <w:w w:val="100"/>
          <w:position w:val="0"/>
        </w:rPr>
        <w:t>"</w:t>
      </w:r>
      <w:r>
        <w:rPr>
          <w:color w:val="000000"/>
          <w:spacing w:val="0"/>
          <w:w w:val="100"/>
          <w:position w:val="0"/>
        </w:rPr>
        <w:t>。 荣获</w:t>
      </w:r>
      <w:r>
        <w:rPr>
          <w:rFonts w:ascii="Times New Roman" w:eastAsia="Times New Roman" w:hAnsi="Times New Roman" w:cs="Times New Roman"/>
          <w:color w:val="000000"/>
          <w:spacing w:val="0"/>
          <w:w w:val="100"/>
          <w:position w:val="0"/>
        </w:rPr>
        <w:t>2011</w:t>
      </w:r>
      <w:r>
        <w:rPr>
          <w:color w:val="000000"/>
          <w:spacing w:val="0"/>
          <w:w w:val="100"/>
          <w:position w:val="0"/>
        </w:rPr>
        <w:t>年度、</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年度北京大学教学优秀奖。罗炜博士 </w:t>
      </w:r>
      <w:r>
        <w:rPr>
          <w:rFonts w:ascii="Times New Roman" w:eastAsia="Times New Roman" w:hAnsi="Times New Roman" w:cs="Times New Roman"/>
          <w:color w:val="000000"/>
          <w:spacing w:val="0"/>
          <w:w w:val="100"/>
          <w:position w:val="0"/>
        </w:rPr>
        <w:t>2004</w:t>
      </w:r>
      <w:r>
        <w:rPr>
          <w:color w:val="000000"/>
          <w:spacing w:val="0"/>
          <w:w w:val="100"/>
          <w:position w:val="0"/>
        </w:rPr>
        <w:t>年曾荣获</w:t>
      </w:r>
      <w:r>
        <w:rPr>
          <w:rFonts w:ascii="Times New Roman" w:eastAsia="Times New Roman" w:hAnsi="Times New Roman" w:cs="Times New Roman"/>
          <w:color w:val="000000"/>
          <w:spacing w:val="0"/>
          <w:w w:val="100"/>
          <w:position w:val="0"/>
        </w:rPr>
        <w:t>American Accounting Association Doctoral Consortium Fellow</w:t>
      </w:r>
      <w:r>
        <w:rPr>
          <w:color w:val="000000"/>
          <w:spacing w:val="0"/>
          <w:w w:val="100"/>
          <w:position w:val="0"/>
        </w:rPr>
        <w:t>称号。他目前是美国会计学会会员，并且担任《经济研究》、《金融研究》、</w:t>
      </w:r>
    </w:p>
    <w:p>
      <w:pPr>
        <w:pStyle w:val="Style19"/>
        <w:keepNext w:val="0"/>
        <w:keepLines w:val="0"/>
        <w:widowControl w:val="0"/>
        <w:shd w:val="clear" w:color="auto" w:fill="auto"/>
        <w:bidi w:val="0"/>
        <w:spacing w:before="0" w:after="40" w:line="470" w:lineRule="exact"/>
        <w:ind w:left="0" w:right="0" w:firstLine="0"/>
        <w:jc w:val="both"/>
        <w:rPr>
          <w:sz w:val="20"/>
          <w:szCs w:val="20"/>
        </w:rPr>
      </w:pPr>
      <w:r>
        <w:rPr>
          <w:rFonts w:ascii="SimSun" w:eastAsia="SimSun" w:hAnsi="SimSun" w:cs="SimSun"/>
          <w:color w:val="000000"/>
          <w:spacing w:val="0"/>
          <w:w w:val="100"/>
          <w:position w:val="0"/>
          <w:sz w:val="20"/>
          <w:szCs w:val="20"/>
        </w:rPr>
        <w:t>《会计研究》、《中国会计评论》、</w:t>
      </w:r>
      <w:r>
        <w:rPr>
          <w:color w:val="000000"/>
          <w:spacing w:val="0"/>
          <w:w w:val="100"/>
          <w:position w:val="0"/>
          <w:sz w:val="20"/>
          <w:szCs w:val="20"/>
        </w:rPr>
        <w:t>Contemporary Accounting Research</w:t>
      </w:r>
      <w:r>
        <w:rPr>
          <w:rFonts w:ascii="SimSun" w:eastAsia="SimSun" w:hAnsi="SimSun" w:cs="SimSun"/>
          <w:color w:val="000000"/>
          <w:spacing w:val="0"/>
          <w:w w:val="100"/>
          <w:position w:val="0"/>
          <w:sz w:val="20"/>
          <w:szCs w:val="20"/>
        </w:rPr>
        <w:t>、</w:t>
      </w:r>
      <w:r>
        <w:rPr>
          <w:color w:val="000000"/>
          <w:spacing w:val="0"/>
          <w:w w:val="100"/>
          <w:position w:val="0"/>
          <w:sz w:val="20"/>
          <w:szCs w:val="20"/>
        </w:rPr>
        <w:t>Journal of Corporate Finance</w:t>
      </w:r>
      <w:r>
        <w:rPr>
          <w:rFonts w:ascii="SimSun" w:eastAsia="SimSun" w:hAnsi="SimSun" w:cs="SimSun"/>
          <w:color w:val="000000"/>
          <w:spacing w:val="0"/>
          <w:w w:val="100"/>
          <w:position w:val="0"/>
          <w:sz w:val="20"/>
          <w:szCs w:val="20"/>
        </w:rPr>
        <w:t xml:space="preserve">&gt; </w:t>
      </w:r>
      <w:r>
        <w:rPr>
          <w:color w:val="000000"/>
          <w:spacing w:val="0"/>
          <w:w w:val="100"/>
          <w:position w:val="0"/>
          <w:sz w:val="20"/>
          <w:szCs w:val="20"/>
        </w:rPr>
        <w:t xml:space="preserve">Journal of Business Finance </w:t>
      </w:r>
      <w:r>
        <w:rPr>
          <w:color w:val="000000"/>
          <w:spacing w:val="0"/>
          <w:w w:val="100"/>
          <w:position w:val="0"/>
          <w:sz w:val="20"/>
          <w:szCs w:val="20"/>
        </w:rPr>
        <w:t xml:space="preserve">&amp; </w:t>
      </w:r>
      <w:r>
        <w:rPr>
          <w:color w:val="000000"/>
          <w:spacing w:val="0"/>
          <w:w w:val="100"/>
          <w:position w:val="0"/>
          <w:sz w:val="20"/>
          <w:szCs w:val="20"/>
        </w:rPr>
        <w:t>Accounting</w:t>
      </w:r>
      <w:r>
        <w:rPr>
          <w:rFonts w:ascii="SimSun" w:eastAsia="SimSun" w:hAnsi="SimSun" w:cs="SimSun"/>
          <w:color w:val="000000"/>
          <w:spacing w:val="0"/>
          <w:w w:val="100"/>
          <w:position w:val="0"/>
          <w:sz w:val="20"/>
          <w:szCs w:val="20"/>
        </w:rPr>
        <w:t>等学术期刊的审稿人。他与合作者（张翼、朱宁）的论文</w:t>
      </w:r>
      <w:r>
        <w:rPr>
          <w:color w:val="000000"/>
          <w:spacing w:val="0"/>
          <w:w w:val="100"/>
          <w:position w:val="0"/>
          <w:sz w:val="20"/>
          <w:szCs w:val="20"/>
        </w:rPr>
        <w:t>“Bank ownership and executive perquisites: newevidence from an emerging market"</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 xml:space="preserve">获得 </w:t>
      </w:r>
      <w:r>
        <w:rPr>
          <w:color w:val="000000"/>
          <w:spacing w:val="0"/>
          <w:w w:val="100"/>
          <w:position w:val="0"/>
          <w:sz w:val="20"/>
          <w:szCs w:val="20"/>
        </w:rPr>
        <w:t xml:space="preserve">2010 </w:t>
      </w:r>
      <w:r>
        <w:rPr>
          <w:rFonts w:ascii="SimSun" w:eastAsia="SimSun" w:hAnsi="SimSun" w:cs="SimSun"/>
          <w:color w:val="000000"/>
          <w:spacing w:val="0"/>
          <w:w w:val="100"/>
          <w:position w:val="0"/>
          <w:sz w:val="20"/>
          <w:szCs w:val="20"/>
        </w:rPr>
        <w:t>年全美华人金融协会</w:t>
      </w:r>
      <w:r>
        <w:rPr>
          <w:rFonts w:ascii="SimSun" w:eastAsia="SimSun" w:hAnsi="SimSun" w:cs="SimSun"/>
          <w:color w:val="000000"/>
          <w:spacing w:val="0"/>
          <w:w w:val="100"/>
          <w:position w:val="0"/>
          <w:sz w:val="20"/>
          <w:szCs w:val="20"/>
        </w:rPr>
        <w:t>（</w:t>
      </w:r>
      <w:r>
        <w:rPr>
          <w:color w:val="000000"/>
          <w:spacing w:val="0"/>
          <w:w w:val="100"/>
          <w:position w:val="0"/>
          <w:sz w:val="20"/>
          <w:szCs w:val="20"/>
        </w:rPr>
        <w:t>TCFA</w:t>
      </w:r>
      <w:r>
        <w:rPr>
          <w:rFonts w:ascii="SimSun" w:eastAsia="SimSun" w:hAnsi="SimSun" w:cs="SimSun"/>
          <w:color w:val="000000"/>
          <w:spacing w:val="0"/>
          <w:w w:val="100"/>
          <w:position w:val="0"/>
          <w:sz w:val="20"/>
          <w:szCs w:val="20"/>
        </w:rPr>
        <w:t xml:space="preserve">） </w:t>
      </w:r>
      <w:r>
        <w:rPr>
          <w:rFonts w:ascii="SimSun" w:eastAsia="SimSun" w:hAnsi="SimSun" w:cs="SimSun"/>
          <w:color w:val="000000"/>
          <w:spacing w:val="0"/>
          <w:w w:val="100"/>
          <w:position w:val="0"/>
          <w:sz w:val="20"/>
          <w:szCs w:val="20"/>
        </w:rPr>
        <w:t>第</w:t>
      </w:r>
      <w:r>
        <w:rPr>
          <w:color w:val="000000"/>
          <w:spacing w:val="0"/>
          <w:w w:val="100"/>
          <w:position w:val="0"/>
          <w:sz w:val="20"/>
          <w:szCs w:val="20"/>
        </w:rPr>
        <w:t>16</w:t>
      </w:r>
      <w:r>
        <w:rPr>
          <w:rFonts w:ascii="SimSun" w:eastAsia="SimSun" w:hAnsi="SimSun" w:cs="SimSun"/>
          <w:color w:val="000000"/>
          <w:spacing w:val="0"/>
          <w:w w:val="100"/>
          <w:position w:val="0"/>
          <w:sz w:val="20"/>
          <w:szCs w:val="20"/>
        </w:rPr>
        <w:t>届年会最佳论文奖。</w:t>
      </w:r>
    </w:p>
    <w:p>
      <w:pPr>
        <w:pStyle w:val="Style33"/>
        <w:keepNext w:val="0"/>
        <w:keepLines w:val="0"/>
        <w:widowControl w:val="0"/>
        <w:shd w:val="clear" w:color="auto" w:fill="auto"/>
        <w:bidi w:val="0"/>
        <w:spacing w:before="0" w:after="40" w:line="470" w:lineRule="exact"/>
        <w:ind w:left="0" w:right="0" w:firstLine="440"/>
        <w:jc w:val="both"/>
      </w:pPr>
      <w:bookmarkStart w:id="562" w:name="bookmark562"/>
      <w:r>
        <w:rPr>
          <w:rFonts w:ascii="Times New Roman" w:eastAsia="Times New Roman" w:hAnsi="Times New Roman" w:cs="Times New Roman"/>
          <w:color w:val="000000"/>
          <w:spacing w:val="0"/>
          <w:w w:val="100"/>
          <w:position w:val="0"/>
        </w:rPr>
        <w:t>9</w:t>
      </w:r>
      <w:bookmarkEnd w:id="562"/>
      <w:r>
        <w:rPr>
          <w:color w:val="000000"/>
          <w:spacing w:val="0"/>
          <w:w w:val="100"/>
          <w:position w:val="0"/>
        </w:rPr>
        <w:t>、 许健：独立董事。男，</w:t>
      </w:r>
      <w:r>
        <w:rPr>
          <w:rFonts w:ascii="Times New Roman" w:eastAsia="Times New Roman" w:hAnsi="Times New Roman" w:cs="Times New Roman"/>
          <w:color w:val="000000"/>
          <w:spacing w:val="0"/>
          <w:w w:val="100"/>
          <w:position w:val="0"/>
        </w:rPr>
        <w:t>1975</w:t>
      </w:r>
      <w:r>
        <w:rPr>
          <w:color w:val="000000"/>
          <w:spacing w:val="0"/>
          <w:w w:val="100"/>
          <w:position w:val="0"/>
        </w:rPr>
        <w:t>年出生，中国科学院数学与系统科学研究院管理学博士。现为经济与 管理学院院聘教授，经管学院院长助理、应用经济学系副主任，中国科学院大学</w:t>
      </w:r>
      <w:r>
        <w:rPr>
          <w:rFonts w:ascii="Times New Roman" w:eastAsia="Times New Roman" w:hAnsi="Times New Roman" w:cs="Times New Roman"/>
          <w:color w:val="000000"/>
          <w:spacing w:val="0"/>
          <w:w w:val="100"/>
          <w:position w:val="0"/>
        </w:rPr>
        <w:t>MBA</w:t>
      </w:r>
      <w:r>
        <w:rPr>
          <w:color w:val="000000"/>
          <w:spacing w:val="0"/>
          <w:w w:val="100"/>
          <w:position w:val="0"/>
        </w:rPr>
        <w:t>教育管理中心主任， 中国科学院大学中国区域发展研究中心主任。主要研究方向为应用投入产出分析和计量经济模型研究资源 环境问题与宏观经济问题。主要讲授计量经济模型、高级宏观经济学等课程，为</w:t>
      </w:r>
      <w:r>
        <w:rPr>
          <w:rFonts w:ascii="Times New Roman" w:eastAsia="Times New Roman" w:hAnsi="Times New Roman" w:cs="Times New Roman"/>
          <w:color w:val="000000"/>
          <w:spacing w:val="0"/>
          <w:w w:val="100"/>
          <w:position w:val="0"/>
        </w:rPr>
        <w:t>MBA</w:t>
      </w:r>
      <w:r>
        <w:rPr>
          <w:color w:val="000000"/>
          <w:spacing w:val="0"/>
          <w:w w:val="100"/>
          <w:position w:val="0"/>
        </w:rPr>
        <w:t>学生讲授管理经济 学、宏观经济学等课程。</w:t>
      </w:r>
      <w:r>
        <w:rPr>
          <w:rFonts w:ascii="Times New Roman" w:eastAsia="Times New Roman" w:hAnsi="Times New Roman" w:cs="Times New Roman"/>
          <w:color w:val="000000"/>
          <w:spacing w:val="0"/>
          <w:w w:val="100"/>
          <w:position w:val="0"/>
        </w:rPr>
        <w:t>2003</w:t>
      </w:r>
      <w:r>
        <w:rPr>
          <w:color w:val="000000"/>
          <w:spacing w:val="0"/>
          <w:w w:val="100"/>
          <w:position w:val="0"/>
        </w:rPr>
        <w:t>年以来在国内外发表文章</w:t>
      </w:r>
      <w:r>
        <w:rPr>
          <w:rFonts w:ascii="Times New Roman" w:eastAsia="Times New Roman" w:hAnsi="Times New Roman" w:cs="Times New Roman"/>
          <w:color w:val="000000"/>
          <w:spacing w:val="0"/>
          <w:w w:val="100"/>
          <w:position w:val="0"/>
        </w:rPr>
        <w:t>30</w:t>
      </w:r>
      <w:r>
        <w:rPr>
          <w:color w:val="000000"/>
          <w:spacing w:val="0"/>
          <w:w w:val="100"/>
          <w:position w:val="0"/>
        </w:rPr>
        <w:t>多篇。曾获得北京市科学技术奖一等奖、新 疆维吾尔自治区科学技术奖二等奖、全国统计科学研究优秀成果奖二等奖等。</w:t>
      </w:r>
    </w:p>
    <w:p>
      <w:pPr>
        <w:pStyle w:val="Style33"/>
        <w:keepNext w:val="0"/>
        <w:keepLines w:val="0"/>
        <w:widowControl w:val="0"/>
        <w:shd w:val="clear" w:color="auto" w:fill="auto"/>
        <w:tabs>
          <w:tab w:pos="974" w:val="left"/>
        </w:tabs>
        <w:bidi w:val="0"/>
        <w:spacing w:before="0" w:after="0" w:line="472" w:lineRule="exact"/>
        <w:ind w:left="0" w:right="0" w:firstLine="440"/>
        <w:jc w:val="left"/>
      </w:pPr>
      <w:bookmarkStart w:id="563" w:name="bookmark563"/>
      <w:r>
        <w:rPr>
          <w:color w:val="000000"/>
          <w:spacing w:val="0"/>
          <w:w w:val="100"/>
          <w:position w:val="0"/>
        </w:rPr>
        <w:t>（</w:t>
      </w:r>
      <w:bookmarkEnd w:id="563"/>
      <w:r>
        <w:rPr>
          <w:color w:val="000000"/>
          <w:spacing w:val="0"/>
          <w:w w:val="100"/>
          <w:position w:val="0"/>
        </w:rPr>
        <w:t>二）</w:t>
        <w:tab/>
        <w:t>监事</w:t>
      </w:r>
    </w:p>
    <w:p>
      <w:pPr>
        <w:pStyle w:val="Style33"/>
        <w:keepNext w:val="0"/>
        <w:keepLines w:val="0"/>
        <w:widowControl w:val="0"/>
        <w:shd w:val="clear" w:color="auto" w:fill="auto"/>
        <w:bidi w:val="0"/>
        <w:spacing w:before="0" w:after="0" w:line="469" w:lineRule="exact"/>
        <w:ind w:left="0" w:right="0" w:firstLine="440"/>
        <w:jc w:val="both"/>
      </w:pPr>
      <w:bookmarkStart w:id="564" w:name="bookmark564"/>
      <w:r>
        <w:rPr>
          <w:rFonts w:ascii="Times New Roman" w:eastAsia="Times New Roman" w:hAnsi="Times New Roman" w:cs="Times New Roman"/>
          <w:color w:val="000000"/>
          <w:spacing w:val="0"/>
          <w:w w:val="100"/>
          <w:position w:val="0"/>
        </w:rPr>
        <w:t>1</w:t>
      </w:r>
      <w:bookmarkEnd w:id="564"/>
      <w:r>
        <w:rPr>
          <w:color w:val="000000"/>
          <w:spacing w:val="0"/>
          <w:w w:val="100"/>
          <w:position w:val="0"/>
        </w:rPr>
        <w:t>、 苏国珍：监事长。男，</w:t>
      </w:r>
      <w:r>
        <w:rPr>
          <w:rFonts w:ascii="Times New Roman" w:eastAsia="Times New Roman" w:hAnsi="Times New Roman" w:cs="Times New Roman"/>
          <w:color w:val="000000"/>
          <w:spacing w:val="0"/>
          <w:w w:val="100"/>
          <w:position w:val="0"/>
        </w:rPr>
        <w:t>1967</w:t>
      </w:r>
      <w:r>
        <w:rPr>
          <w:color w:val="000000"/>
          <w:spacing w:val="0"/>
          <w:w w:val="100"/>
          <w:position w:val="0"/>
        </w:rPr>
        <w:t>年出生，中共党员，首都经济贸易大学劳动经济人力资源管理方向硕 士研究生，高级工程师，先后在北车集团所属企业担任技术员、工程师、处长、合资企业党委委员，中信 国安集团所属企业集群担任总经办主任、人力资源负责人，</w:t>
      </w:r>
      <w:r>
        <w:rPr>
          <w:rFonts w:ascii="Times New Roman" w:eastAsia="Times New Roman" w:hAnsi="Times New Roman" w:cs="Times New Roman"/>
          <w:color w:val="000000"/>
          <w:spacing w:val="0"/>
          <w:w w:val="100"/>
          <w:position w:val="0"/>
        </w:rPr>
        <w:t>2010</w:t>
      </w:r>
      <w:r>
        <w:rPr>
          <w:color w:val="000000"/>
          <w:spacing w:val="0"/>
          <w:w w:val="100"/>
          <w:position w:val="0"/>
        </w:rPr>
        <w:t>年加盟东旭集团，现任东旭实业集团副总 裁。</w:t>
      </w:r>
    </w:p>
    <w:p>
      <w:pPr>
        <w:pStyle w:val="Style33"/>
        <w:keepNext w:val="0"/>
        <w:keepLines w:val="0"/>
        <w:widowControl w:val="0"/>
        <w:shd w:val="clear" w:color="auto" w:fill="auto"/>
        <w:tabs>
          <w:tab w:pos="735" w:val="left"/>
        </w:tabs>
        <w:bidi w:val="0"/>
        <w:spacing w:before="0" w:after="0" w:line="473" w:lineRule="exact"/>
        <w:ind w:left="0" w:right="0" w:firstLine="440"/>
        <w:jc w:val="both"/>
      </w:pPr>
      <w:bookmarkStart w:id="565" w:name="bookmark565"/>
      <w:r>
        <w:rPr>
          <w:rFonts w:ascii="Times New Roman" w:eastAsia="Times New Roman" w:hAnsi="Times New Roman" w:cs="Times New Roman"/>
          <w:color w:val="000000"/>
          <w:spacing w:val="0"/>
          <w:w w:val="100"/>
          <w:position w:val="0"/>
        </w:rPr>
        <w:t>2</w:t>
      </w:r>
      <w:bookmarkEnd w:id="565"/>
      <w:r>
        <w:rPr>
          <w:color w:val="000000"/>
          <w:spacing w:val="0"/>
          <w:w w:val="100"/>
          <w:position w:val="0"/>
        </w:rPr>
        <w:t>、</w:t>
        <w:tab/>
        <w:t>曾维海：监事。男，</w:t>
      </w:r>
      <w:r>
        <w:rPr>
          <w:rFonts w:ascii="Times New Roman" w:eastAsia="Times New Roman" w:hAnsi="Times New Roman" w:cs="Times New Roman"/>
          <w:color w:val="000000"/>
          <w:spacing w:val="0"/>
          <w:w w:val="100"/>
          <w:position w:val="0"/>
        </w:rPr>
        <w:t>1977</w:t>
      </w:r>
      <w:r>
        <w:rPr>
          <w:color w:val="000000"/>
          <w:spacing w:val="0"/>
          <w:w w:val="100"/>
          <w:position w:val="0"/>
        </w:rPr>
        <w:t xml:space="preserve">年出生，中国共产党党员，清华大学经管学院硕士。曾就职于航空工业、 </w:t>
      </w:r>
      <w:r>
        <w:rPr>
          <w:rFonts w:ascii="Times New Roman" w:eastAsia="Times New Roman" w:hAnsi="Times New Roman" w:cs="Times New Roman"/>
          <w:color w:val="000000"/>
          <w:spacing w:val="0"/>
          <w:w w:val="100"/>
          <w:position w:val="0"/>
        </w:rPr>
        <w:t>LG</w:t>
      </w:r>
      <w:r>
        <w:rPr>
          <w:color w:val="000000"/>
          <w:spacing w:val="0"/>
          <w:w w:val="100"/>
          <w:position w:val="0"/>
        </w:rPr>
        <w:t>、</w:t>
      </w:r>
      <w:r>
        <w:rPr>
          <w:color w:val="000000"/>
          <w:spacing w:val="0"/>
          <w:w w:val="100"/>
          <w:position w:val="0"/>
        </w:rPr>
        <w:t>松下等公司，从事财务领域工作。</w:t>
      </w:r>
      <w:r>
        <w:rPr>
          <w:rFonts w:ascii="Times New Roman" w:eastAsia="Times New Roman" w:hAnsi="Times New Roman" w:cs="Times New Roman"/>
          <w:color w:val="000000"/>
          <w:spacing w:val="0"/>
          <w:w w:val="100"/>
          <w:position w:val="0"/>
        </w:rPr>
        <w:t>2013</w:t>
      </w:r>
      <w:r>
        <w:rPr>
          <w:color w:val="000000"/>
          <w:spacing w:val="0"/>
          <w:w w:val="100"/>
          <w:position w:val="0"/>
        </w:rPr>
        <w:t>年加入东旭集团，先后担任集团财务管理中心总经理、管理 本部薪酬绩效中心总经理、人力管理本部副本部长、运营管理本部副本部长，现任东旭实业集团副总裁。</w:t>
      </w:r>
    </w:p>
    <w:p>
      <w:pPr>
        <w:pStyle w:val="Style33"/>
        <w:keepNext w:val="0"/>
        <w:keepLines w:val="0"/>
        <w:widowControl w:val="0"/>
        <w:shd w:val="clear" w:color="auto" w:fill="auto"/>
        <w:bidi w:val="0"/>
        <w:spacing w:before="0" w:after="0" w:line="473" w:lineRule="exact"/>
        <w:ind w:left="0" w:right="0" w:firstLine="440"/>
        <w:jc w:val="both"/>
      </w:pPr>
      <w:bookmarkStart w:id="566" w:name="bookmark566"/>
      <w:r>
        <w:rPr>
          <w:rFonts w:ascii="Times New Roman" w:eastAsia="Times New Roman" w:hAnsi="Times New Roman" w:cs="Times New Roman"/>
          <w:color w:val="000000"/>
          <w:spacing w:val="0"/>
          <w:w w:val="100"/>
          <w:position w:val="0"/>
        </w:rPr>
        <w:t>3</w:t>
      </w:r>
      <w:bookmarkEnd w:id="566"/>
      <w:r>
        <w:rPr>
          <w:color w:val="000000"/>
          <w:spacing w:val="0"/>
          <w:w w:val="100"/>
          <w:position w:val="0"/>
        </w:rPr>
        <w:t>、 邢丽芬：监事。女，</w:t>
      </w:r>
      <w:r>
        <w:rPr>
          <w:rFonts w:ascii="Times New Roman" w:eastAsia="Times New Roman" w:hAnsi="Times New Roman" w:cs="Times New Roman"/>
          <w:color w:val="000000"/>
          <w:spacing w:val="0"/>
          <w:w w:val="100"/>
          <w:position w:val="0"/>
        </w:rPr>
        <w:t>1980</w:t>
      </w:r>
      <w:r>
        <w:rPr>
          <w:color w:val="000000"/>
          <w:spacing w:val="0"/>
          <w:w w:val="100"/>
          <w:position w:val="0"/>
        </w:rPr>
        <w:t>年出生，东北大学化工过程机械专业，硕士学位。先后就职于北京北仪 创新真空技术有限责任公司、北京航天万源科技有限公司，从事研发工作。</w:t>
      </w:r>
      <w:r>
        <w:rPr>
          <w:rFonts w:ascii="Times New Roman" w:eastAsia="Times New Roman" w:hAnsi="Times New Roman" w:cs="Times New Roman"/>
          <w:color w:val="000000"/>
          <w:spacing w:val="0"/>
          <w:w w:val="100"/>
          <w:position w:val="0"/>
        </w:rPr>
        <w:t>2009</w:t>
      </w:r>
      <w:r>
        <w:rPr>
          <w:color w:val="000000"/>
          <w:spacing w:val="0"/>
          <w:w w:val="100"/>
          <w:position w:val="0"/>
        </w:rPr>
        <w:t>年至今，就职于东旭蓝天 新能源股份有限公司项目管理中心总经理。</w:t>
      </w:r>
    </w:p>
    <w:p>
      <w:pPr>
        <w:pStyle w:val="Style33"/>
        <w:keepNext w:val="0"/>
        <w:keepLines w:val="0"/>
        <w:widowControl w:val="0"/>
        <w:shd w:val="clear" w:color="auto" w:fill="auto"/>
        <w:tabs>
          <w:tab w:pos="974" w:val="left"/>
        </w:tabs>
        <w:bidi w:val="0"/>
        <w:spacing w:before="0" w:after="0" w:line="472" w:lineRule="exact"/>
        <w:ind w:left="0" w:right="0" w:firstLine="440"/>
        <w:jc w:val="both"/>
      </w:pPr>
      <w:bookmarkStart w:id="567" w:name="bookmark567"/>
      <w:r>
        <w:rPr>
          <w:color w:val="000000"/>
          <w:spacing w:val="0"/>
          <w:w w:val="100"/>
          <w:position w:val="0"/>
        </w:rPr>
        <w:t>（</w:t>
      </w:r>
      <w:bookmarkEnd w:id="567"/>
      <w:r>
        <w:rPr>
          <w:color w:val="000000"/>
          <w:spacing w:val="0"/>
          <w:w w:val="100"/>
          <w:position w:val="0"/>
        </w:rPr>
        <w:t>三）</w:t>
        <w:tab/>
        <w:t>其他高级管理人员</w:t>
      </w:r>
    </w:p>
    <w:p>
      <w:pPr>
        <w:pStyle w:val="Style33"/>
        <w:keepNext w:val="0"/>
        <w:keepLines w:val="0"/>
        <w:widowControl w:val="0"/>
        <w:shd w:val="clear" w:color="auto" w:fill="auto"/>
        <w:tabs>
          <w:tab w:pos="734" w:val="left"/>
        </w:tabs>
        <w:bidi w:val="0"/>
        <w:spacing w:before="0" w:after="0" w:line="472" w:lineRule="exact"/>
        <w:ind w:left="0" w:right="0" w:firstLine="440"/>
        <w:jc w:val="both"/>
      </w:pPr>
      <w:bookmarkStart w:id="568" w:name="bookmark568"/>
      <w:r>
        <w:rPr>
          <w:rFonts w:ascii="Times New Roman" w:eastAsia="Times New Roman" w:hAnsi="Times New Roman" w:cs="Times New Roman"/>
          <w:color w:val="000000"/>
          <w:spacing w:val="0"/>
          <w:w w:val="100"/>
          <w:position w:val="0"/>
        </w:rPr>
        <w:t>1</w:t>
      </w:r>
      <w:bookmarkEnd w:id="568"/>
      <w:r>
        <w:rPr>
          <w:color w:val="000000"/>
          <w:spacing w:val="0"/>
          <w:w w:val="100"/>
          <w:position w:val="0"/>
        </w:rPr>
        <w:t>、</w:t>
        <w:tab/>
        <w:t>卢召义：总经理。男，</w:t>
      </w:r>
      <w:r>
        <w:rPr>
          <w:rFonts w:ascii="Times New Roman" w:eastAsia="Times New Roman" w:hAnsi="Times New Roman" w:cs="Times New Roman"/>
          <w:color w:val="000000"/>
          <w:spacing w:val="0"/>
          <w:w w:val="100"/>
          <w:position w:val="0"/>
        </w:rPr>
        <w:t>1973</w:t>
      </w:r>
      <w:r>
        <w:rPr>
          <w:color w:val="000000"/>
          <w:spacing w:val="0"/>
          <w:w w:val="100"/>
          <w:position w:val="0"/>
        </w:rPr>
        <w:t>年出生，中国国籍，长江商学院</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注册一级建造师，高级工程 师。曾任中国建筑第一工程局南京分公司副总经理，北京东方园林环境股份有限公司副总裁、董事，上海 复星集团中国合伙人，上海星景股权投资管理有限公司董事。</w:t>
      </w:r>
      <w:r>
        <w:rPr>
          <w:rFonts w:ascii="Times New Roman" w:eastAsia="Times New Roman" w:hAnsi="Times New Roman" w:cs="Times New Roman"/>
          <w:color w:val="000000"/>
          <w:spacing w:val="0"/>
          <w:w w:val="100"/>
          <w:position w:val="0"/>
        </w:rPr>
        <w:t>2017</w:t>
      </w:r>
      <w:r>
        <w:rPr>
          <w:color w:val="000000"/>
          <w:spacing w:val="0"/>
          <w:w w:val="100"/>
          <w:position w:val="0"/>
        </w:rPr>
        <w:t>年起担任东旭蓝天新能源股份有限公司 生态环保板块负责人，助推公司成为环保新能源综合服务商。</w:t>
      </w:r>
    </w:p>
    <w:p>
      <w:pPr>
        <w:pStyle w:val="Style33"/>
        <w:keepNext w:val="0"/>
        <w:keepLines w:val="0"/>
        <w:widowControl w:val="0"/>
        <w:shd w:val="clear" w:color="auto" w:fill="auto"/>
        <w:tabs>
          <w:tab w:pos="734" w:val="left"/>
        </w:tabs>
        <w:bidi w:val="0"/>
        <w:spacing w:before="0" w:after="0" w:line="475" w:lineRule="exact"/>
        <w:ind w:left="0" w:right="0" w:firstLine="440"/>
        <w:jc w:val="both"/>
      </w:pPr>
      <w:bookmarkStart w:id="569" w:name="bookmark569"/>
      <w:r>
        <w:rPr>
          <w:rFonts w:ascii="Times New Roman" w:eastAsia="Times New Roman" w:hAnsi="Times New Roman" w:cs="Times New Roman"/>
          <w:color w:val="000000"/>
          <w:spacing w:val="0"/>
          <w:w w:val="100"/>
          <w:position w:val="0"/>
        </w:rPr>
        <w:t>2</w:t>
      </w:r>
      <w:bookmarkEnd w:id="569"/>
      <w:r>
        <w:rPr>
          <w:color w:val="000000"/>
          <w:spacing w:val="0"/>
          <w:w w:val="100"/>
          <w:position w:val="0"/>
        </w:rPr>
        <w:t>、</w:t>
        <w:tab/>
        <w:t>邓新贵：副总经理。男，</w:t>
      </w:r>
      <w:r>
        <w:rPr>
          <w:rFonts w:ascii="Times New Roman" w:eastAsia="Times New Roman" w:hAnsi="Times New Roman" w:cs="Times New Roman"/>
          <w:color w:val="000000"/>
          <w:spacing w:val="0"/>
          <w:w w:val="100"/>
          <w:position w:val="0"/>
        </w:rPr>
        <w:t>1964</w:t>
      </w:r>
      <w:r>
        <w:rPr>
          <w:color w:val="000000"/>
          <w:spacing w:val="0"/>
          <w:w w:val="100"/>
          <w:position w:val="0"/>
        </w:rPr>
        <w:t>年出生，毕业于中国纺织大学，机械制造工艺及设备本科学历，曾 任江西景德半导体新材料有限公司总经理、江苏正翔硅业有限公司总经理、九江金源化纤有限公司副总经 理、九江化纤股份有限公司总经理等职务。</w:t>
      </w:r>
    </w:p>
    <w:p>
      <w:pPr>
        <w:pStyle w:val="Style33"/>
        <w:keepNext w:val="0"/>
        <w:keepLines w:val="0"/>
        <w:widowControl w:val="0"/>
        <w:shd w:val="clear" w:color="auto" w:fill="auto"/>
        <w:tabs>
          <w:tab w:pos="734" w:val="left"/>
        </w:tabs>
        <w:bidi w:val="0"/>
        <w:spacing w:before="0" w:after="200" w:line="469" w:lineRule="exact"/>
        <w:ind w:left="0" w:right="0" w:firstLine="440"/>
        <w:jc w:val="both"/>
      </w:pPr>
      <w:bookmarkStart w:id="570" w:name="bookmark570"/>
      <w:r>
        <w:rPr>
          <w:rFonts w:ascii="Times New Roman" w:eastAsia="Times New Roman" w:hAnsi="Times New Roman" w:cs="Times New Roman"/>
          <w:color w:val="000000"/>
          <w:spacing w:val="0"/>
          <w:w w:val="100"/>
          <w:position w:val="0"/>
        </w:rPr>
        <w:t>3</w:t>
      </w:r>
      <w:bookmarkEnd w:id="570"/>
      <w:r>
        <w:rPr>
          <w:color w:val="000000"/>
          <w:spacing w:val="0"/>
          <w:w w:val="100"/>
          <w:position w:val="0"/>
        </w:rPr>
        <w:t>、</w:t>
        <w:tab/>
        <w:t>王正军：董事会秘书、副总经理。男</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w:t>
      </w:r>
      <w:r>
        <w:rPr>
          <w:color w:val="000000"/>
          <w:spacing w:val="0"/>
          <w:w w:val="100"/>
          <w:position w:val="0"/>
        </w:rPr>
        <w:t>，</w:t>
      </w:r>
      <w:r>
        <w:rPr>
          <w:color w:val="000000"/>
          <w:spacing w:val="0"/>
          <w:w w:val="100"/>
          <w:position w:val="0"/>
        </w:rPr>
        <w:t>中国国籍</w:t>
      </w:r>
      <w:r>
        <w:rPr>
          <w:color w:val="000000"/>
          <w:spacing w:val="0"/>
          <w:w w:val="100"/>
          <w:position w:val="0"/>
        </w:rPr>
        <w:t>，</w:t>
      </w:r>
      <w:r>
        <w:rPr>
          <w:color w:val="000000"/>
          <w:spacing w:val="0"/>
          <w:w w:val="100"/>
          <w:position w:val="0"/>
        </w:rPr>
        <w:t>中共党员</w:t>
      </w:r>
      <w:r>
        <w:rPr>
          <w:color w:val="000000"/>
          <w:spacing w:val="0"/>
          <w:w w:val="100"/>
          <w:position w:val="0"/>
        </w:rPr>
        <w:t>，</w:t>
      </w:r>
      <w:r>
        <w:rPr>
          <w:color w:val="000000"/>
          <w:spacing w:val="0"/>
          <w:w w:val="100"/>
          <w:position w:val="0"/>
        </w:rPr>
        <w:t>中国人民解放军军事经 济管理学院经济管理专业本科学历。曾任中国人民解放军某部财务助理、财务主管、国泰君安证券股份有 限公司投资分析师、机构部总经理、神雾科技集团股份有限公司总经理助理、神雾节能股份有限公司副总 经理、董事会秘书、非独立董事等职。</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 领取报酬津贴</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李泉年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常务副总裁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苏国珍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东旭实业集 团副总裁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238"/>
        <w:gridCol w:w="3269"/>
        <w:gridCol w:w="1090"/>
        <w:gridCol w:w="1229"/>
        <w:gridCol w:w="1354"/>
        <w:gridCol w:w="1406"/>
      </w:tblGrid>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曾维海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东旭实业集 团副总裁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w:t>
            </w:r>
          </w:p>
        </w:tc>
        <w:tc>
          <w:tcPr>
            <w:tcBorders>
              <w:top w:val="single" w:sz="4"/>
              <w:right w:val="single" w:sz="4"/>
            </w:tcBorders>
            <w:shd w:val="clear" w:color="auto" w:fill="FFFFFF"/>
            <w:vAlign w:val="top"/>
          </w:tcPr>
          <w:p>
            <w:pPr>
              <w:widowControl w:val="0"/>
              <w:rPr>
                <w:sz w:val="10"/>
                <w:szCs w:val="10"/>
              </w:rPr>
            </w:pPr>
          </w:p>
        </w:tc>
      </w:tr>
      <w:tr>
        <w:trPr>
          <w:trHeight w:val="754" w:hRule="exact"/>
        </w:trPr>
        <w:tc>
          <w:tcPr>
            <w:gridSpan w:val="6"/>
            <w:tcBorders>
              <w:top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在其他单位任职情况</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V</w:t>
            </w:r>
            <w:r>
              <w:rPr>
                <w:rFonts w:ascii="SimSun" w:eastAsia="SimSun" w:hAnsi="SimSun" w:cs="SimSun"/>
                <w:color w:val="000000"/>
                <w:spacing w:val="0"/>
                <w:w w:val="100"/>
                <w:position w:val="0"/>
                <w:sz w:val="17"/>
                <w:szCs w:val="17"/>
              </w:rPr>
              <w:t>适用</w:t>
            </w:r>
            <w:r>
              <w:rPr>
                <w:rFonts w:ascii="SimSun" w:eastAsia="SimSun" w:hAnsi="SimSun" w:cs="SimSun"/>
                <w:color w:val="000000"/>
                <w:spacing w:val="0"/>
                <w:w w:val="100"/>
                <w:position w:val="0"/>
                <w:sz w:val="18"/>
                <w:szCs w:val="18"/>
              </w:rPr>
              <w:t>口</w:t>
            </w:r>
            <w:r>
              <w:rPr>
                <w:rFonts w:ascii="SimSun" w:eastAsia="SimSun" w:hAnsi="SimSun" w:cs="SimSun"/>
                <w:color w:val="000000"/>
                <w:spacing w:val="0"/>
                <w:w w:val="100"/>
                <w:position w:val="0"/>
                <w:sz w:val="17"/>
                <w:szCs w:val="17"/>
              </w:rPr>
              <w:t>不适用</w:t>
            </w:r>
          </w:p>
        </w:tc>
      </w:tr>
      <w:tr>
        <w:trPr>
          <w:trHeight w:val="710"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160" w:right="0" w:hanging="160"/>
              <w:jc w:val="left"/>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陈爱珍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汇洁股份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2017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陈爱珍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先河环保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王立勇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科隆股份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罗炜</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新晨科技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rPr>
        <w:t>四</w:t>
      </w:r>
      <w:bookmarkEnd w:id="573"/>
      <w:r>
        <w:rPr>
          <w:color w:val="000000"/>
          <w:spacing w:val="0"/>
          <w:w w:val="100"/>
          <w:position w:val="0"/>
        </w:rPr>
        <w:t>、董事、监事、高级管理人员报酬情况</w:t>
      </w:r>
      <w:bookmarkEnd w:id="571"/>
      <w:bookmarkEnd w:id="572"/>
      <w:bookmarkEnd w:id="574"/>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2419"/>
        <w:gridCol w:w="7171"/>
      </w:tblGrid>
      <w:tr>
        <w:trPr>
          <w:trHeight w:val="66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董事、监事、高级管理人员报 酬的决策程序</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根据《公司章程》的有关规定，股东大会决定董事、监事报酬，董事会决定高级管理人员报 酬。</w:t>
            </w:r>
          </w:p>
        </w:tc>
      </w:tr>
      <w:tr>
        <w:trPr>
          <w:trHeight w:val="159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董事、监事、高级管理人员报 酬确定依据</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董事、监事报酬确定依据：公司董事（含独立董事）、监事津贴由公司股东大会审议决定； 高管报酬确定依据：公司高管的薪酬结构为：基本年薪</w:t>
            </w:r>
            <w:r>
              <w:rPr>
                <w:color w:val="000000"/>
                <w:spacing w:val="0"/>
                <w:w w:val="100"/>
                <w:position w:val="0"/>
                <w:sz w:val="18"/>
                <w:szCs w:val="18"/>
              </w:rPr>
              <w:t>+</w:t>
            </w:r>
            <w:r>
              <w:rPr>
                <w:rFonts w:ascii="SimSun" w:eastAsia="SimSun" w:hAnsi="SimSun" w:cs="SimSun"/>
                <w:color w:val="000000"/>
                <w:spacing w:val="0"/>
                <w:w w:val="100"/>
                <w:position w:val="0"/>
                <w:sz w:val="17"/>
                <w:szCs w:val="17"/>
              </w:rPr>
              <w:t>绩效奖金。其中：一、基本年薪： 按各自职级档位发放；二、绩效奖金：根据于年初制订的高级管理人员年度绩效目标，完成 考核后，按年终个人业绩考核成绩，作为高管绩效奖金的发放依据。三、绩效奖金的发放需 与公司年度业绩挂钩。</w:t>
            </w:r>
          </w:p>
        </w:tc>
      </w:tr>
      <w:tr>
        <w:trPr>
          <w:trHeight w:val="67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董事、监事和高级管理人员报 酬的实际支付情况</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公司按照董事、监事、高级管理人员薪酬的决策程序与确定依据支付薪酬，实际支付情况详 见下表。</w:t>
            </w:r>
          </w:p>
        </w:tc>
      </w:tr>
    </w:tbl>
    <w:p>
      <w:pPr>
        <w:widowControl w:val="0"/>
        <w:spacing w:after="3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黄志良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李泉年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王甫民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夏志勇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董事、财务总监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陈爱珍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王立勇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苏国珍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曾维海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邢丽芬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邓新贵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王正军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侯继伟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卢召义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何为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482.1</w:t>
            </w:r>
          </w:p>
        </w:tc>
        <w:tc>
          <w:tcPr>
            <w:tcBorders>
              <w:top w:val="single" w:sz="4"/>
              <w:left w:val="single" w:sz="4"/>
              <w:bottom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公司董事、高级管理人员报告期内被授予的股权激励情况</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rPr>
        <w:t>五</w:t>
      </w:r>
      <w:bookmarkEnd w:id="577"/>
      <w:r>
        <w:rPr>
          <w:color w:val="000000"/>
          <w:spacing w:val="0"/>
          <w:w w:val="100"/>
          <w:position w:val="0"/>
        </w:rPr>
        <w:t>、公司员工情况</w:t>
      </w:r>
      <w:bookmarkEnd w:id="575"/>
      <w:bookmarkEnd w:id="576"/>
      <w:bookmarkEnd w:id="578"/>
    </w:p>
    <w:p>
      <w:pPr>
        <w:pStyle w:val="Style30"/>
        <w:keepNext/>
        <w:keepLines/>
        <w:widowControl w:val="0"/>
        <w:shd w:val="clear" w:color="auto" w:fill="auto"/>
        <w:bidi w:val="0"/>
        <w:spacing w:before="0" w:after="30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1</w:t>
      </w:r>
      <w:bookmarkEnd w:id="581"/>
      <w:r>
        <w:rPr>
          <w:color w:val="000000"/>
          <w:spacing w:val="0"/>
          <w:w w:val="100"/>
          <w:position w:val="0"/>
        </w:rPr>
        <w:t>、员工数量、专业构成及教育程度</w:t>
      </w:r>
      <w:bookmarkEnd w:id="579"/>
      <w:bookmarkEnd w:id="580"/>
      <w:bookmarkEnd w:id="58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w:t>
            </w:r>
          </w:p>
        </w:tc>
      </w:tr>
      <w:tr>
        <w:trPr>
          <w:trHeight w:val="408" w:hRule="exact"/>
        </w:trPr>
        <w:tc>
          <w:tcPr>
            <w:gridSpan w:val="2"/>
            <w:tcBorders>
              <w:top w:val="single" w:sz="4"/>
              <w:left w:val="single" w:sz="4"/>
              <w:bottom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博士</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560" w:right="0" w:firstLine="0"/>
              <w:jc w:val="left"/>
            </w:pPr>
            <w:r>
              <w:rPr>
                <w:color w:val="000000"/>
                <w:spacing w:val="0"/>
                <w:w w:val="100"/>
                <w:position w:val="0"/>
              </w:rPr>
              <w:t>60</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80" w:right="0" w:firstLine="0"/>
              <w:jc w:val="left"/>
            </w:pPr>
            <w:r>
              <w:rPr>
                <w:color w:val="000000"/>
                <w:spacing w:val="0"/>
                <w:w w:val="100"/>
                <w:position w:val="0"/>
              </w:rPr>
              <w:t>433</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80" w:right="0" w:firstLine="0"/>
              <w:jc w:val="left"/>
            </w:pPr>
            <w:r>
              <w:rPr>
                <w:color w:val="000000"/>
                <w:spacing w:val="0"/>
                <w:w w:val="100"/>
                <w:position w:val="0"/>
              </w:rPr>
              <w:t>266</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中专</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560" w:right="0" w:firstLine="0"/>
              <w:jc w:val="left"/>
            </w:pPr>
            <w:r>
              <w:rPr>
                <w:color w:val="000000"/>
                <w:spacing w:val="0"/>
                <w:w w:val="100"/>
                <w:position w:val="0"/>
              </w:rPr>
              <w:t>65</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560" w:right="0" w:firstLine="0"/>
              <w:jc w:val="left"/>
            </w:pPr>
            <w:r>
              <w:rPr>
                <w:color w:val="000000"/>
                <w:spacing w:val="0"/>
                <w:w w:val="100"/>
                <w:position w:val="0"/>
              </w:rPr>
              <w:t>13</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80" w:right="0" w:firstLine="0"/>
              <w:jc w:val="left"/>
            </w:pPr>
            <w:r>
              <w:rPr>
                <w:color w:val="000000"/>
                <w:spacing w:val="0"/>
                <w:w w:val="100"/>
                <w:position w:val="0"/>
              </w:rPr>
              <w:t>842</w:t>
            </w:r>
          </w:p>
        </w:tc>
      </w:tr>
    </w:tbl>
    <w:p>
      <w:pPr>
        <w:widowControl w:val="0"/>
        <w:spacing w:after="99" w:line="1" w:lineRule="exact"/>
      </w:pPr>
    </w:p>
    <w:p>
      <w:pPr>
        <w:pStyle w:val="Style30"/>
        <w:keepNext/>
        <w:keepLines/>
        <w:widowControl w:val="0"/>
        <w:shd w:val="clear" w:color="auto" w:fill="auto"/>
        <w:tabs>
          <w:tab w:pos="365" w:val="left"/>
        </w:tabs>
        <w:bidi w:val="0"/>
        <w:spacing w:before="0" w:after="220" w:line="468" w:lineRule="exact"/>
        <w:ind w:left="0" w:right="0" w:firstLine="0"/>
        <w:jc w:val="both"/>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2</w:t>
      </w:r>
      <w:bookmarkEnd w:id="585"/>
      <w:r>
        <w:rPr>
          <w:color w:val="000000"/>
          <w:spacing w:val="0"/>
          <w:w w:val="100"/>
          <w:position w:val="0"/>
        </w:rPr>
        <w:t>、</w:t>
        <w:tab/>
        <w:t>薪酬政策</w:t>
      </w:r>
      <w:bookmarkEnd w:id="583"/>
      <w:bookmarkEnd w:id="584"/>
      <w:bookmarkEnd w:id="586"/>
    </w:p>
    <w:p>
      <w:pPr>
        <w:pStyle w:val="Style33"/>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公司重视员工权益的保障，整体薪酬体系继续贯彻</w:t>
      </w:r>
      <w:r>
        <w:rPr>
          <w:rFonts w:ascii="Times New Roman" w:eastAsia="Times New Roman" w:hAnsi="Times New Roman" w:cs="Times New Roman"/>
          <w:color w:val="000000"/>
          <w:spacing w:val="0"/>
          <w:w w:val="100"/>
          <w:position w:val="0"/>
        </w:rPr>
        <w:t>“</w:t>
      </w:r>
      <w:r>
        <w:rPr>
          <w:color w:val="000000"/>
          <w:spacing w:val="0"/>
          <w:w w:val="100"/>
          <w:position w:val="0"/>
        </w:rPr>
        <w:t>对外有竞争力，对内兼顾效率公平</w:t>
      </w:r>
      <w:r>
        <w:rPr>
          <w:rFonts w:ascii="Times New Roman" w:eastAsia="Times New Roman" w:hAnsi="Times New Roman" w:cs="Times New Roman"/>
          <w:color w:val="000000"/>
          <w:spacing w:val="0"/>
          <w:w w:val="100"/>
          <w:position w:val="0"/>
        </w:rPr>
        <w:t>''</w:t>
      </w:r>
      <w:r>
        <w:rPr>
          <w:color w:val="000000"/>
          <w:spacing w:val="0"/>
          <w:w w:val="100"/>
          <w:position w:val="0"/>
        </w:rPr>
        <w:t>原则，使公司 薪酬政策服务于公司发展战略。公司整体薪酬水平以市场为导向，以公司经营管理情况和财务支付能力为 前提，为员工提供了当地具有竞争力的薪资福利待遇，员工薪酬由基本工资与绩效工资构成，充分调动了 员工的积极性和创造性。</w:t>
      </w:r>
    </w:p>
    <w:p>
      <w:pPr>
        <w:pStyle w:val="Style30"/>
        <w:keepNext/>
        <w:keepLines/>
        <w:widowControl w:val="0"/>
        <w:shd w:val="clear" w:color="auto" w:fill="auto"/>
        <w:tabs>
          <w:tab w:pos="365" w:val="left"/>
        </w:tabs>
        <w:bidi w:val="0"/>
        <w:spacing w:before="0" w:after="220" w:line="468" w:lineRule="exact"/>
        <w:ind w:left="0" w:right="0" w:firstLine="0"/>
        <w:jc w:val="both"/>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3</w:t>
      </w:r>
      <w:bookmarkEnd w:id="589"/>
      <w:r>
        <w:rPr>
          <w:color w:val="000000"/>
          <w:spacing w:val="0"/>
          <w:w w:val="100"/>
          <w:position w:val="0"/>
        </w:rPr>
        <w:t>、</w:t>
        <w:tab/>
        <w:t>培训计划</w:t>
      </w:r>
      <w:bookmarkEnd w:id="587"/>
      <w:bookmarkEnd w:id="588"/>
      <w:bookmarkEnd w:id="590"/>
    </w:p>
    <w:p>
      <w:pPr>
        <w:pStyle w:val="Style33"/>
        <w:keepNext w:val="0"/>
        <w:keepLines w:val="0"/>
        <w:widowControl w:val="0"/>
        <w:shd w:val="clear" w:color="auto" w:fill="auto"/>
        <w:bidi w:val="0"/>
        <w:spacing w:before="0" w:after="220" w:line="467" w:lineRule="exact"/>
        <w:ind w:left="0" w:right="0" w:firstLine="440"/>
        <w:jc w:val="left"/>
      </w:pPr>
      <w:r>
        <w:rPr>
          <w:color w:val="000000"/>
          <w:spacing w:val="0"/>
          <w:w w:val="100"/>
          <w:position w:val="0"/>
        </w:rPr>
        <w:t>员工培训是公司人力资源管理的重点。公司一直十分重视员工的培训与发展工作，公司结合公司现状、 年度计划、岗位性质与职责、以及员工学习需求，制定有效合适的培训计划。包括新员工入职培训、在职 人员业务培训、一线员工的操作技能培训、管理者提升培训、业余学习等，不断提高员工的整体素质，实 现公司与员工的双赢共进。</w:t>
      </w:r>
    </w:p>
    <w:p>
      <w:pPr>
        <w:pStyle w:val="Style30"/>
        <w:keepNext/>
        <w:keepLines/>
        <w:widowControl w:val="0"/>
        <w:shd w:val="clear" w:color="auto" w:fill="auto"/>
        <w:tabs>
          <w:tab w:pos="365" w:val="left"/>
        </w:tabs>
        <w:bidi w:val="0"/>
        <w:spacing w:before="0" w:after="380" w:line="468" w:lineRule="exact"/>
        <w:ind w:left="0" w:right="0" w:firstLine="0"/>
        <w:jc w:val="both"/>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4</w:t>
      </w:r>
      <w:bookmarkEnd w:id="593"/>
      <w:r>
        <w:rPr>
          <w:color w:val="000000"/>
          <w:spacing w:val="0"/>
          <w:w w:val="100"/>
          <w:position w:val="0"/>
        </w:rPr>
        <w:t>、</w:t>
        <w:tab/>
        <w:t>劳务外包情况</w:t>
      </w:r>
      <w:bookmarkEnd w:id="591"/>
      <w:bookmarkEnd w:id="592"/>
      <w:bookmarkEnd w:id="594"/>
    </w:p>
    <w:p>
      <w:pPr>
        <w:pStyle w:val="Style26"/>
        <w:keepNext w:val="0"/>
        <w:keepLines w:val="0"/>
        <w:widowControl w:val="0"/>
        <w:shd w:val="clear" w:color="auto" w:fill="auto"/>
        <w:bidi w:val="0"/>
        <w:spacing w:before="0" w:after="220" w:line="240" w:lineRule="auto"/>
        <w:ind w:left="0" w:right="0" w:firstLine="0"/>
        <w:jc w:val="both"/>
        <w:sectPr>
          <w:footnotePr>
            <w:pos w:val="pageBottom"/>
            <w:numFmt w:val="decimal"/>
            <w:numRestart w:val="continuous"/>
          </w:footnotePr>
          <w:pgSz w:w="11900" w:h="16840"/>
          <w:pgMar w:top="1311" w:right="1045" w:bottom="1489" w:left="106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
        <w:keepNext/>
        <w:keepLines/>
        <w:widowControl w:val="0"/>
        <w:shd w:val="clear" w:color="auto" w:fill="auto"/>
        <w:bidi w:val="0"/>
        <w:spacing w:before="580" w:after="580" w:line="240" w:lineRule="auto"/>
        <w:ind w:left="0" w:right="0" w:firstLine="0"/>
        <w:jc w:val="center"/>
      </w:pPr>
      <w:bookmarkStart w:id="595" w:name="bookmark595"/>
      <w:bookmarkStart w:id="596" w:name="bookmark596"/>
      <w:bookmarkStart w:id="597" w:name="bookmark597"/>
      <w:r>
        <w:rPr>
          <w:color w:val="000000"/>
          <w:spacing w:val="0"/>
          <w:w w:val="100"/>
          <w:position w:val="0"/>
        </w:rPr>
        <w:t>第十节公司治理</w:t>
      </w:r>
      <w:bookmarkEnd w:id="595"/>
      <w:bookmarkEnd w:id="596"/>
      <w:bookmarkEnd w:id="597"/>
    </w:p>
    <w:p>
      <w:pPr>
        <w:pStyle w:val="Style22"/>
        <w:keepNext/>
        <w:keepLines/>
        <w:widowControl w:val="0"/>
        <w:shd w:val="clear" w:color="auto" w:fill="auto"/>
        <w:bidi w:val="0"/>
        <w:spacing w:before="0" w:after="200" w:line="240" w:lineRule="auto"/>
        <w:ind w:left="0" w:right="0" w:firstLine="0"/>
        <w:jc w:val="both"/>
      </w:pPr>
      <w:bookmarkStart w:id="598" w:name="bookmark598"/>
      <w:bookmarkStart w:id="599" w:name="bookmark599"/>
      <w:bookmarkStart w:id="600" w:name="bookmark600"/>
      <w:bookmarkStart w:id="601" w:name="bookmark601"/>
      <w:bookmarkStart w:id="602" w:name="bookmark602"/>
      <w:r>
        <w:rPr>
          <w:color w:val="000000"/>
          <w:spacing w:val="0"/>
          <w:w w:val="100"/>
          <w:position w:val="0"/>
        </w:rPr>
        <w:t>一</w:t>
      </w:r>
      <w:bookmarkEnd w:id="601"/>
      <w:r>
        <w:rPr>
          <w:color w:val="000000"/>
          <w:spacing w:val="0"/>
          <w:w w:val="100"/>
          <w:position w:val="0"/>
        </w:rPr>
        <w:t>、公司治理的基本状况</w:t>
      </w:r>
      <w:bookmarkEnd w:id="599"/>
      <w:bookmarkEnd w:id="600"/>
      <w:bookmarkEnd w:id="602"/>
      <w:bookmarkEnd w:id="598"/>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报告期内，公司按照《公司法》、《证券法》、《上市公司治理准则》、《深圳证券交易所股票上市 规则》和中国证监会、深圳证券交易所有关法律法规等的要求，不断完善公司治理结构，建立健全内部管 理和控制制度，提高治理水平。截至报告期末，公司治理实际情况基本符合中国证监会发布的有关上市公 司治理规范性文件的要求。</w:t>
      </w:r>
    </w:p>
    <w:p>
      <w:pPr>
        <w:pStyle w:val="Style33"/>
        <w:keepNext w:val="0"/>
        <w:keepLines w:val="0"/>
        <w:widowControl w:val="0"/>
        <w:shd w:val="clear" w:color="auto" w:fill="auto"/>
        <w:tabs>
          <w:tab w:pos="1030" w:val="left"/>
        </w:tabs>
        <w:bidi w:val="0"/>
        <w:spacing w:before="0" w:after="0" w:line="469" w:lineRule="exact"/>
        <w:ind w:left="0" w:right="0" w:firstLine="440"/>
        <w:jc w:val="both"/>
      </w:pPr>
      <w:bookmarkStart w:id="603" w:name="bookmark603"/>
      <w:r>
        <w:rPr>
          <w:color w:val="000000"/>
          <w:spacing w:val="0"/>
          <w:w w:val="100"/>
          <w:position w:val="0"/>
        </w:rPr>
        <w:t>（</w:t>
      </w:r>
      <w:bookmarkEnd w:id="603"/>
      <w:r>
        <w:rPr>
          <w:color w:val="000000"/>
          <w:spacing w:val="0"/>
          <w:w w:val="100"/>
          <w:position w:val="0"/>
        </w:rPr>
        <w:t>一）</w:t>
        <w:tab/>
        <w:t>关于股东与股东大会</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公司严格按照《上市公司股东大会规则》、《公司章程》以及《股东大会议事规则》的规定和要求， 规范股东大会的召集、召开及议事程序，并聘请律师进行现场见证，能够确保全体股东特别是中小股东享 有平等地位，充分行使自己的权力。</w:t>
      </w:r>
    </w:p>
    <w:p>
      <w:pPr>
        <w:pStyle w:val="Style33"/>
        <w:keepNext w:val="0"/>
        <w:keepLines w:val="0"/>
        <w:widowControl w:val="0"/>
        <w:shd w:val="clear" w:color="auto" w:fill="auto"/>
        <w:tabs>
          <w:tab w:pos="1030" w:val="left"/>
        </w:tabs>
        <w:bidi w:val="0"/>
        <w:spacing w:before="0" w:after="0" w:line="469" w:lineRule="exact"/>
        <w:ind w:left="0" w:right="0" w:firstLine="440"/>
        <w:jc w:val="both"/>
      </w:pPr>
      <w:bookmarkStart w:id="604" w:name="bookmark604"/>
      <w:r>
        <w:rPr>
          <w:color w:val="000000"/>
          <w:spacing w:val="0"/>
          <w:w w:val="100"/>
          <w:position w:val="0"/>
        </w:rPr>
        <w:t>（</w:t>
      </w:r>
      <w:bookmarkEnd w:id="604"/>
      <w:r>
        <w:rPr>
          <w:color w:val="000000"/>
          <w:spacing w:val="0"/>
          <w:w w:val="100"/>
          <w:position w:val="0"/>
        </w:rPr>
        <w:t>二）</w:t>
        <w:tab/>
        <w:t>关于公司与控股股东</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公司拥有独立的业务和经营自主能力，在业务、人员、资产、机构、财务等方面与控股股东相互独立。 公司的重大决策由股东大会依法做出，控股股东依法行使股东权利。</w:t>
      </w:r>
    </w:p>
    <w:p>
      <w:pPr>
        <w:pStyle w:val="Style33"/>
        <w:keepNext w:val="0"/>
        <w:keepLines w:val="0"/>
        <w:widowControl w:val="0"/>
        <w:shd w:val="clear" w:color="auto" w:fill="auto"/>
        <w:tabs>
          <w:tab w:pos="1030" w:val="left"/>
        </w:tabs>
        <w:bidi w:val="0"/>
        <w:spacing w:before="0" w:after="0" w:line="469" w:lineRule="exact"/>
        <w:ind w:left="0" w:right="0" w:firstLine="440"/>
        <w:jc w:val="both"/>
      </w:pPr>
      <w:bookmarkStart w:id="605" w:name="bookmark605"/>
      <w:r>
        <w:rPr>
          <w:color w:val="000000"/>
          <w:spacing w:val="0"/>
          <w:w w:val="100"/>
          <w:position w:val="0"/>
        </w:rPr>
        <w:t>（</w:t>
      </w:r>
      <w:bookmarkEnd w:id="605"/>
      <w:r>
        <w:rPr>
          <w:color w:val="000000"/>
          <w:spacing w:val="0"/>
          <w:w w:val="100"/>
          <w:position w:val="0"/>
        </w:rPr>
        <w:t>三）</w:t>
        <w:tab/>
        <w:t>关于董事与董事会</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公司严格按照《公司章程》规定的选聘程序选举董事，董事会的人数及人员构成符合法律法规和《公 司章程》的要求。公司全体董事能够依据《董事会议事规则》、《独立董事年报工作制度》等制度开展工 作，恪尽职守、勤勉尽责，诚实守信地履行职责，积极参加有关培训，学习有关法律法规，促进董事会规 范运作和科学决策。</w:t>
      </w:r>
    </w:p>
    <w:p>
      <w:pPr>
        <w:pStyle w:val="Style33"/>
        <w:keepNext w:val="0"/>
        <w:keepLines w:val="0"/>
        <w:widowControl w:val="0"/>
        <w:shd w:val="clear" w:color="auto" w:fill="auto"/>
        <w:tabs>
          <w:tab w:pos="1030" w:val="left"/>
        </w:tabs>
        <w:bidi w:val="0"/>
        <w:spacing w:before="0" w:after="0" w:line="469" w:lineRule="exact"/>
        <w:ind w:left="0" w:right="0" w:firstLine="440"/>
        <w:jc w:val="both"/>
      </w:pPr>
      <w:bookmarkStart w:id="606" w:name="bookmark606"/>
      <w:r>
        <w:rPr>
          <w:color w:val="000000"/>
          <w:spacing w:val="0"/>
          <w:w w:val="100"/>
          <w:position w:val="0"/>
        </w:rPr>
        <w:t>（</w:t>
      </w:r>
      <w:bookmarkEnd w:id="606"/>
      <w:r>
        <w:rPr>
          <w:color w:val="000000"/>
          <w:spacing w:val="0"/>
          <w:w w:val="100"/>
          <w:position w:val="0"/>
        </w:rPr>
        <w:t>四）</w:t>
        <w:tab/>
        <w:t>关于监事与监事会</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公司严格按照《公司法》、《公司章程》等的有关规定产生监事，监事会的人数及构成符合法律、法 规的要求。公司监事能够按照《监事会议事规则》等的要求，认真履行职责，诚信、勤勉、尽责地对公司 财务以及董事、高级管理人员履行职责的合法、合规性进行监督，维护公司及股东的合法权益。</w:t>
      </w:r>
    </w:p>
    <w:p>
      <w:pPr>
        <w:pStyle w:val="Style33"/>
        <w:keepNext w:val="0"/>
        <w:keepLines w:val="0"/>
        <w:widowControl w:val="0"/>
        <w:shd w:val="clear" w:color="auto" w:fill="auto"/>
        <w:tabs>
          <w:tab w:pos="1030" w:val="left"/>
        </w:tabs>
        <w:bidi w:val="0"/>
        <w:spacing w:before="0" w:after="0" w:line="469" w:lineRule="exact"/>
        <w:ind w:left="0" w:right="0" w:firstLine="440"/>
        <w:jc w:val="both"/>
      </w:pPr>
      <w:bookmarkStart w:id="607" w:name="bookmark607"/>
      <w:r>
        <w:rPr>
          <w:color w:val="000000"/>
          <w:spacing w:val="0"/>
          <w:w w:val="100"/>
          <w:position w:val="0"/>
        </w:rPr>
        <w:t>（</w:t>
      </w:r>
      <w:bookmarkEnd w:id="607"/>
      <w:r>
        <w:rPr>
          <w:color w:val="000000"/>
          <w:spacing w:val="0"/>
          <w:w w:val="100"/>
          <w:position w:val="0"/>
        </w:rPr>
        <w:t>五）</w:t>
        <w:tab/>
        <w:t>关于信息披露与透明度</w:t>
      </w:r>
    </w:p>
    <w:p>
      <w:pPr>
        <w:pStyle w:val="Style33"/>
        <w:keepNext w:val="0"/>
        <w:keepLines w:val="0"/>
        <w:widowControl w:val="0"/>
        <w:shd w:val="clear" w:color="auto" w:fill="auto"/>
        <w:bidi w:val="0"/>
        <w:spacing w:before="0" w:after="380" w:line="469" w:lineRule="exact"/>
        <w:ind w:left="0" w:right="0" w:firstLine="440"/>
        <w:jc w:val="both"/>
      </w:pPr>
      <w:r>
        <w:rPr>
          <w:color w:val="000000"/>
          <w:spacing w:val="0"/>
          <w:w w:val="100"/>
          <w:position w:val="0"/>
        </w:rPr>
        <w:t>公司指定董事会秘书为公司的投资者关系管理负责人，负责公司的信息披露与投资者关系的管理，接 待股东的来访和咨询；指定《证券时报》、《中国证券报》和巨潮资讯网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为公司 信息披露的报纸和网站，严格按照有关法律法规的规定真实、准确、及时的披露信息，并确保所有股东有 公平的机会获得信息。</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2"/>
        <w:keepNext/>
        <w:keepLines/>
        <w:widowControl w:val="0"/>
        <w:shd w:val="clear" w:color="auto" w:fill="auto"/>
        <w:tabs>
          <w:tab w:pos="517" w:val="left"/>
        </w:tabs>
        <w:bidi w:val="0"/>
        <w:spacing w:before="0" w:after="22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rPr>
        <w:t>二</w:t>
      </w:r>
      <w:bookmarkEnd w:id="610"/>
      <w:r>
        <w:rPr>
          <w:color w:val="000000"/>
          <w:spacing w:val="0"/>
          <w:w w:val="100"/>
          <w:position w:val="0"/>
        </w:rPr>
        <w:t>、</w:t>
        <w:tab/>
        <w:t>公司相对于控股股东在业务、人员、资产、机构、财务等方面的独立情况</w:t>
      </w:r>
      <w:bookmarkEnd w:id="608"/>
      <w:bookmarkEnd w:id="609"/>
      <w:bookmarkEnd w:id="611"/>
    </w:p>
    <w:p>
      <w:pPr>
        <w:pStyle w:val="Style33"/>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公司拥有独立的业务和经营自主能力，在人员、资产、财务、机构、业务等方面与控股股东相互独立。 公司的重大决策由股东大会依法做出，控股股东依法行使股东权利，没有超越公司股东大会直接或间接干 预公司的决策和经营活动的行为。</w:t>
      </w:r>
    </w:p>
    <w:p>
      <w:pPr>
        <w:pStyle w:val="Style33"/>
        <w:keepNext w:val="0"/>
        <w:keepLines w:val="0"/>
        <w:widowControl w:val="0"/>
        <w:shd w:val="clear" w:color="auto" w:fill="auto"/>
        <w:tabs>
          <w:tab w:pos="794" w:val="left"/>
        </w:tabs>
        <w:bidi w:val="0"/>
        <w:spacing w:before="0" w:after="0"/>
        <w:ind w:left="0" w:right="0" w:firstLine="440"/>
        <w:jc w:val="both"/>
      </w:pPr>
      <w:bookmarkStart w:id="612" w:name="bookmark612"/>
      <w:r>
        <w:rPr>
          <w:rFonts w:ascii="Times New Roman" w:eastAsia="Times New Roman" w:hAnsi="Times New Roman" w:cs="Times New Roman"/>
          <w:color w:val="000000"/>
          <w:spacing w:val="0"/>
          <w:w w:val="100"/>
          <w:position w:val="0"/>
        </w:rPr>
        <w:t>1</w:t>
      </w:r>
      <w:bookmarkEnd w:id="612"/>
      <w:r>
        <w:rPr>
          <w:color w:val="000000"/>
          <w:spacing w:val="0"/>
          <w:w w:val="100"/>
          <w:position w:val="0"/>
        </w:rPr>
        <w:t>、</w:t>
        <w:tab/>
        <w:t>人员独立</w:t>
      </w:r>
    </w:p>
    <w:p>
      <w:pPr>
        <w:pStyle w:val="Style33"/>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）公司在劳动、人事及工资管理方面拥有独立完整的体系，完全独立于控股股东和实际控制人。 公司拥有独立的员工队伍，高级管理人员以及财务人员、业务人员均专职在公司工作并领取薪酬。</w:t>
      </w:r>
    </w:p>
    <w:p>
      <w:pPr>
        <w:pStyle w:val="Style33"/>
        <w:keepNext w:val="0"/>
        <w:keepLines w:val="0"/>
        <w:widowControl w:val="0"/>
        <w:shd w:val="clear" w:color="auto" w:fill="auto"/>
        <w:tabs>
          <w:tab w:pos="813" w:val="left"/>
        </w:tabs>
        <w:bidi w:val="0"/>
        <w:spacing w:before="0" w:after="0"/>
        <w:ind w:left="0" w:right="0" w:firstLine="440"/>
        <w:jc w:val="both"/>
      </w:pPr>
      <w:bookmarkStart w:id="613" w:name="bookmark613"/>
      <w:r>
        <w:rPr>
          <w:rFonts w:ascii="Times New Roman" w:eastAsia="Times New Roman" w:hAnsi="Times New Roman" w:cs="Times New Roman"/>
          <w:color w:val="000000"/>
          <w:spacing w:val="0"/>
          <w:w w:val="100"/>
          <w:position w:val="0"/>
        </w:rPr>
        <w:t>2</w:t>
      </w:r>
      <w:bookmarkEnd w:id="613"/>
      <w:r>
        <w:rPr>
          <w:color w:val="000000"/>
          <w:spacing w:val="0"/>
          <w:w w:val="100"/>
          <w:position w:val="0"/>
        </w:rPr>
        <w:t>、</w:t>
        <w:tab/>
        <w:t>资产独立</w:t>
      </w:r>
    </w:p>
    <w:p>
      <w:pPr>
        <w:pStyle w:val="Style33"/>
        <w:keepNext w:val="0"/>
        <w:keepLines w:val="0"/>
        <w:widowControl w:val="0"/>
        <w:shd w:val="clear" w:color="auto" w:fill="auto"/>
        <w:tabs>
          <w:tab w:pos="928" w:val="left"/>
        </w:tabs>
        <w:bidi w:val="0"/>
        <w:spacing w:before="0" w:after="0" w:line="468" w:lineRule="exact"/>
        <w:ind w:left="0" w:right="0" w:firstLine="440"/>
        <w:jc w:val="both"/>
      </w:pPr>
      <w:bookmarkStart w:id="614" w:name="bookmark614"/>
      <w:r>
        <w:rPr>
          <w:color w:val="000000"/>
          <w:spacing w:val="0"/>
          <w:w w:val="100"/>
          <w:position w:val="0"/>
        </w:rPr>
        <w:t>（</w:t>
      </w:r>
      <w:bookmarkEnd w:id="614"/>
      <w:r>
        <w:rPr>
          <w:rFonts w:ascii="Times New Roman" w:eastAsia="Times New Roman" w:hAnsi="Times New Roman" w:cs="Times New Roman"/>
          <w:color w:val="000000"/>
          <w:spacing w:val="0"/>
          <w:w w:val="100"/>
          <w:position w:val="0"/>
        </w:rPr>
        <w:t>1</w:t>
      </w:r>
      <w:r>
        <w:rPr>
          <w:color w:val="000000"/>
          <w:spacing w:val="0"/>
          <w:w w:val="100"/>
          <w:position w:val="0"/>
        </w:rPr>
        <w:t>）</w:t>
        <w:tab/>
        <w:t>本公司具有独立完整的资产；</w:t>
      </w:r>
    </w:p>
    <w:p>
      <w:pPr>
        <w:pStyle w:val="Style33"/>
        <w:keepNext w:val="0"/>
        <w:keepLines w:val="0"/>
        <w:widowControl w:val="0"/>
        <w:shd w:val="clear" w:color="auto" w:fill="auto"/>
        <w:tabs>
          <w:tab w:pos="928" w:val="left"/>
        </w:tabs>
        <w:bidi w:val="0"/>
        <w:spacing w:before="0" w:after="220" w:line="468" w:lineRule="exact"/>
        <w:ind w:left="0" w:right="0" w:firstLine="440"/>
        <w:jc w:val="both"/>
      </w:pPr>
      <w:bookmarkStart w:id="615" w:name="bookmark615"/>
      <w:r>
        <w:rPr>
          <w:color w:val="000000"/>
          <w:spacing w:val="0"/>
          <w:w w:val="100"/>
          <w:position w:val="0"/>
        </w:rPr>
        <w:t>（</w:t>
      </w:r>
      <w:bookmarkEnd w:id="615"/>
      <w:r>
        <w:rPr>
          <w:rFonts w:ascii="Times New Roman" w:eastAsia="Times New Roman" w:hAnsi="Times New Roman" w:cs="Times New Roman"/>
          <w:color w:val="000000"/>
          <w:spacing w:val="0"/>
          <w:w w:val="100"/>
          <w:position w:val="0"/>
        </w:rPr>
        <w:t>2</w:t>
      </w:r>
      <w:r>
        <w:rPr>
          <w:color w:val="000000"/>
          <w:spacing w:val="0"/>
          <w:w w:val="100"/>
          <w:position w:val="0"/>
        </w:rPr>
        <w:t>）</w:t>
        <w:tab/>
        <w:t>本公司不存在资金、资产被控股股东、实际控制人及其控制的其他企业违规占用的情形。</w:t>
      </w:r>
    </w:p>
    <w:p>
      <w:pPr>
        <w:pStyle w:val="Style33"/>
        <w:keepNext w:val="0"/>
        <w:keepLines w:val="0"/>
        <w:widowControl w:val="0"/>
        <w:shd w:val="clear" w:color="auto" w:fill="auto"/>
        <w:tabs>
          <w:tab w:pos="813" w:val="left"/>
        </w:tabs>
        <w:bidi w:val="0"/>
        <w:spacing w:before="0" w:after="0"/>
        <w:ind w:left="0" w:right="0" w:firstLine="440"/>
        <w:jc w:val="both"/>
      </w:pPr>
      <w:bookmarkStart w:id="616" w:name="bookmark616"/>
      <w:r>
        <w:rPr>
          <w:rFonts w:ascii="Times New Roman" w:eastAsia="Times New Roman" w:hAnsi="Times New Roman" w:cs="Times New Roman"/>
          <w:color w:val="000000"/>
          <w:spacing w:val="0"/>
          <w:w w:val="100"/>
          <w:position w:val="0"/>
        </w:rPr>
        <w:t>3</w:t>
      </w:r>
      <w:bookmarkEnd w:id="616"/>
      <w:r>
        <w:rPr>
          <w:color w:val="000000"/>
          <w:spacing w:val="0"/>
          <w:w w:val="100"/>
          <w:position w:val="0"/>
        </w:rPr>
        <w:t>、</w:t>
        <w:tab/>
        <w:t>财务独立</w:t>
      </w:r>
    </w:p>
    <w:p>
      <w:pPr>
        <w:pStyle w:val="Style33"/>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公司设有独立的财务部门，配备了专职的财务人员，建立了独立的财务核算体系，并符合有关会计制 度的要求，独立开展财务工作；公司制定了完善的财务管理制度，独立运营，不与控股股东、关联企业或 其他任何单位或个人共用银行账户；公司依法独立进行纳税申报，履行缴纳义务，不存在与股东单位混合 纳税的情况。</w:t>
      </w:r>
    </w:p>
    <w:p>
      <w:pPr>
        <w:pStyle w:val="Style33"/>
        <w:keepNext w:val="0"/>
        <w:keepLines w:val="0"/>
        <w:widowControl w:val="0"/>
        <w:shd w:val="clear" w:color="auto" w:fill="auto"/>
        <w:tabs>
          <w:tab w:pos="813" w:val="left"/>
        </w:tabs>
        <w:bidi w:val="0"/>
        <w:spacing w:before="0" w:after="0"/>
        <w:ind w:left="0" w:right="0" w:firstLine="440"/>
        <w:jc w:val="both"/>
      </w:pPr>
      <w:bookmarkStart w:id="617" w:name="bookmark617"/>
      <w:r>
        <w:rPr>
          <w:rFonts w:ascii="Times New Roman" w:eastAsia="Times New Roman" w:hAnsi="Times New Roman" w:cs="Times New Roman"/>
          <w:color w:val="000000"/>
          <w:spacing w:val="0"/>
          <w:w w:val="100"/>
          <w:position w:val="0"/>
        </w:rPr>
        <w:t>4</w:t>
      </w:r>
      <w:bookmarkEnd w:id="617"/>
      <w:r>
        <w:rPr>
          <w:color w:val="000000"/>
          <w:spacing w:val="0"/>
          <w:w w:val="100"/>
          <w:position w:val="0"/>
        </w:rPr>
        <w:t>、</w:t>
        <w:tab/>
        <w:t>机构独立</w:t>
      </w:r>
    </w:p>
    <w:p>
      <w:pPr>
        <w:pStyle w:val="Style33"/>
        <w:keepNext w:val="0"/>
        <w:keepLines w:val="0"/>
        <w:widowControl w:val="0"/>
        <w:shd w:val="clear" w:color="auto" w:fill="auto"/>
        <w:bidi w:val="0"/>
        <w:spacing w:before="0" w:after="220" w:line="499" w:lineRule="exact"/>
        <w:ind w:left="0" w:right="0" w:firstLine="440"/>
        <w:jc w:val="both"/>
      </w:pPr>
      <w:r>
        <w:rPr>
          <w:color w:val="000000"/>
          <w:spacing w:val="0"/>
          <w:w w:val="100"/>
          <w:position w:val="0"/>
        </w:rPr>
        <w:t>公司具有健全的股份公司法人治理结构，拥有独立、完整的组织机构，不存在受股东及其他任何单位 或个人干预公司机构设置的情形。</w:t>
      </w:r>
    </w:p>
    <w:p>
      <w:pPr>
        <w:pStyle w:val="Style33"/>
        <w:keepNext w:val="0"/>
        <w:keepLines w:val="0"/>
        <w:widowControl w:val="0"/>
        <w:shd w:val="clear" w:color="auto" w:fill="auto"/>
        <w:tabs>
          <w:tab w:pos="813" w:val="left"/>
        </w:tabs>
        <w:bidi w:val="0"/>
        <w:spacing w:before="0" w:after="0" w:line="492" w:lineRule="auto"/>
        <w:ind w:left="0" w:right="0" w:firstLine="440"/>
        <w:jc w:val="both"/>
      </w:pPr>
      <w:bookmarkStart w:id="618" w:name="bookmark618"/>
      <w:r>
        <w:rPr>
          <w:rFonts w:ascii="Times New Roman" w:eastAsia="Times New Roman" w:hAnsi="Times New Roman" w:cs="Times New Roman"/>
          <w:color w:val="000000"/>
          <w:spacing w:val="0"/>
          <w:w w:val="100"/>
          <w:position w:val="0"/>
        </w:rPr>
        <w:t>5</w:t>
      </w:r>
      <w:bookmarkEnd w:id="618"/>
      <w:r>
        <w:rPr>
          <w:color w:val="000000"/>
          <w:spacing w:val="0"/>
          <w:w w:val="100"/>
          <w:position w:val="0"/>
        </w:rPr>
        <w:t>、</w:t>
        <w:tab/>
        <w:t>业务独立</w:t>
      </w:r>
    </w:p>
    <w:p>
      <w:pPr>
        <w:pStyle w:val="Style33"/>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公司拥有完整的供应、生产和销售体系，具有独立面向市场自主经营的能力，独立经营、独立核算和 决策、独立承担责任与风险，未受控股股东、实际控制人及其控制的其他企业的干涉、控制。</w:t>
      </w:r>
    </w:p>
    <w:p>
      <w:pPr>
        <w:pStyle w:val="Style22"/>
        <w:keepNext/>
        <w:keepLines/>
        <w:widowControl w:val="0"/>
        <w:shd w:val="clear" w:color="auto" w:fill="auto"/>
        <w:tabs>
          <w:tab w:pos="522" w:val="left"/>
        </w:tabs>
        <w:bidi w:val="0"/>
        <w:spacing w:before="0" w:after="38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rPr>
        <w:t>三</w:t>
      </w:r>
      <w:bookmarkEnd w:id="621"/>
      <w:r>
        <w:rPr>
          <w:color w:val="000000"/>
          <w:spacing w:val="0"/>
          <w:w w:val="100"/>
          <w:position w:val="0"/>
        </w:rPr>
        <w:t>、</w:t>
        <w:tab/>
        <w:t>同业竞争情况</w:t>
      </w:r>
      <w:bookmarkEnd w:id="619"/>
      <w:bookmarkEnd w:id="620"/>
      <w:bookmarkEnd w:id="622"/>
    </w:p>
    <w:p>
      <w:pPr>
        <w:pStyle w:val="Style26"/>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2"/>
        <w:keepNext/>
        <w:keepLines/>
        <w:widowControl w:val="0"/>
        <w:shd w:val="clear" w:color="auto" w:fill="auto"/>
        <w:bidi w:val="0"/>
        <w:spacing w:before="0" w:after="380" w:line="240" w:lineRule="auto"/>
        <w:ind w:left="0" w:right="0" w:firstLine="0"/>
        <w:jc w:val="left"/>
      </w:pPr>
      <w:bookmarkStart w:id="623" w:name="bookmark623"/>
      <w:bookmarkStart w:id="624" w:name="bookmark624"/>
      <w:bookmarkStart w:id="625" w:name="bookmark625"/>
      <w:bookmarkStart w:id="626" w:name="bookmark626"/>
      <w:r>
        <w:rPr>
          <w:color w:val="000000"/>
          <w:spacing w:val="0"/>
          <w:w w:val="100"/>
          <w:position w:val="0"/>
        </w:rPr>
        <w:t>四</w:t>
      </w:r>
      <w:bookmarkEnd w:id="625"/>
      <w:r>
        <w:rPr>
          <w:color w:val="000000"/>
          <w:spacing w:val="0"/>
          <w:w w:val="100"/>
          <w:position w:val="0"/>
        </w:rPr>
        <w:t>、报告期内召开的年度股东大会和临时股东大会的有关情况</w:t>
      </w:r>
      <w:bookmarkEnd w:id="623"/>
      <w:bookmarkEnd w:id="624"/>
      <w:bookmarkEnd w:id="626"/>
    </w:p>
    <w:p>
      <w:pPr>
        <w:pStyle w:val="Style30"/>
        <w:keepNext/>
        <w:keepLines/>
        <w:widowControl w:val="0"/>
        <w:shd w:val="clear" w:color="auto" w:fill="auto"/>
        <w:bidi w:val="0"/>
        <w:spacing w:before="0" w:after="320" w:line="240" w:lineRule="auto"/>
        <w:ind w:left="0" w:right="0" w:firstLine="0"/>
        <w:jc w:val="left"/>
      </w:pPr>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1</w:t>
      </w:r>
      <w:r>
        <w:rPr>
          <w:color w:val="000000"/>
          <w:spacing w:val="0"/>
          <w:w w:val="100"/>
          <w:position w:val="0"/>
        </w:rPr>
        <w:t>、本报告期股东大会情况</w:t>
      </w:r>
      <w:bookmarkEnd w:id="627"/>
      <w:bookmarkEnd w:id="628"/>
      <w:bookmarkEnd w:id="629"/>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38.26%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7"/>
                <w:szCs w:val="17"/>
              </w:rPr>
              <w:t>巨潮资讯：</w:t>
            </w:r>
            <w:r>
              <w:rPr>
                <w:color w:val="000000"/>
                <w:spacing w:val="0"/>
                <w:w w:val="100"/>
                <w:position w:val="0"/>
              </w:rPr>
              <w:t>2019</w:t>
            </w:r>
            <w:r>
              <w:rPr>
                <w:rFonts w:ascii="SimSun" w:eastAsia="SimSun" w:hAnsi="SimSun" w:cs="SimSun"/>
                <w:color w:val="000000"/>
                <w:spacing w:val="0"/>
                <w:w w:val="100"/>
                <w:position w:val="0"/>
                <w:sz w:val="17"/>
                <w:szCs w:val="17"/>
              </w:rPr>
              <w:t xml:space="preserve">年 第一次临时股东大 会决议公告 </w:t>
            </w:r>
            <w:r>
              <w:rPr>
                <w:color w:val="000000"/>
                <w:spacing w:val="0"/>
                <w:w w:val="100"/>
                <w:position w:val="0"/>
              </w:rPr>
              <w:t>2019-014</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年第二次临时 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巨潮资讯：</w:t>
            </w:r>
            <w:r>
              <w:rPr>
                <w:color w:val="000000"/>
                <w:spacing w:val="0"/>
                <w:w w:val="100"/>
                <w:position w:val="0"/>
              </w:rPr>
              <w:t>2019</w:t>
            </w:r>
            <w:r>
              <w:rPr>
                <w:rFonts w:ascii="SimSun" w:eastAsia="SimSun" w:hAnsi="SimSun" w:cs="SimSun"/>
                <w:color w:val="000000"/>
                <w:spacing w:val="0"/>
                <w:w w:val="100"/>
                <w:position w:val="0"/>
                <w:sz w:val="17"/>
                <w:szCs w:val="17"/>
              </w:rPr>
              <w:t xml:space="preserve">年 第二次临时股东大 会决议公告 </w:t>
            </w:r>
            <w:r>
              <w:rPr>
                <w:color w:val="000000"/>
                <w:spacing w:val="0"/>
                <w:w w:val="100"/>
                <w:position w:val="0"/>
              </w:rPr>
              <w:t>2019-015</w:t>
            </w:r>
          </w:p>
        </w:tc>
      </w:tr>
      <w:tr>
        <w:trPr>
          <w:trHeight w:val="13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年第三次临时 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38.20%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巨潮资讯：</w:t>
            </w:r>
            <w:r>
              <w:rPr>
                <w:color w:val="000000"/>
                <w:spacing w:val="0"/>
                <w:w w:val="100"/>
                <w:position w:val="0"/>
              </w:rPr>
              <w:t>2019</w:t>
            </w:r>
            <w:r>
              <w:rPr>
                <w:rFonts w:ascii="SimSun" w:eastAsia="SimSun" w:hAnsi="SimSun" w:cs="SimSun"/>
                <w:color w:val="000000"/>
                <w:spacing w:val="0"/>
                <w:w w:val="100"/>
                <w:position w:val="0"/>
                <w:sz w:val="17"/>
                <w:szCs w:val="17"/>
              </w:rPr>
              <w:t xml:space="preserve">年 第三次临时股东大 会决议公告 </w:t>
            </w:r>
            <w:r>
              <w:rPr>
                <w:color w:val="000000"/>
                <w:spacing w:val="0"/>
                <w:w w:val="100"/>
                <w:position w:val="0"/>
              </w:rPr>
              <w:t>2019-028</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年年度股东大 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39.25%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巨潮资讯：</w:t>
            </w:r>
            <w:r>
              <w:rPr>
                <w:color w:val="000000"/>
                <w:spacing w:val="0"/>
                <w:w w:val="100"/>
                <w:position w:val="0"/>
              </w:rPr>
              <w:t>2018</w:t>
            </w:r>
            <w:r>
              <w:rPr>
                <w:rFonts w:ascii="SimSun" w:eastAsia="SimSun" w:hAnsi="SimSun" w:cs="SimSun"/>
                <w:color w:val="000000"/>
                <w:spacing w:val="0"/>
                <w:w w:val="100"/>
                <w:position w:val="0"/>
                <w:sz w:val="17"/>
                <w:szCs w:val="17"/>
              </w:rPr>
              <w:t xml:space="preserve">年 年度股东大会决议 公告 </w:t>
            </w:r>
            <w:r>
              <w:rPr>
                <w:color w:val="000000"/>
                <w:spacing w:val="0"/>
                <w:w w:val="100"/>
                <w:position w:val="0"/>
              </w:rPr>
              <w:t>2019-037</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年第四次临时 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39.09%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sz w:val="17"/>
                <w:szCs w:val="17"/>
              </w:rPr>
              <w:t>巨潮资讯：</w:t>
            </w:r>
            <w:r>
              <w:rPr>
                <w:color w:val="000000"/>
                <w:spacing w:val="0"/>
                <w:w w:val="100"/>
                <w:position w:val="0"/>
              </w:rPr>
              <w:t>2019</w:t>
            </w:r>
            <w:r>
              <w:rPr>
                <w:rFonts w:ascii="SimSun" w:eastAsia="SimSun" w:hAnsi="SimSun" w:cs="SimSun"/>
                <w:color w:val="000000"/>
                <w:spacing w:val="0"/>
                <w:w w:val="100"/>
                <w:position w:val="0"/>
                <w:sz w:val="17"/>
                <w:szCs w:val="17"/>
              </w:rPr>
              <w:t xml:space="preserve">年 第四次临时股东大 会决议公告 </w:t>
            </w:r>
            <w:r>
              <w:rPr>
                <w:color w:val="000000"/>
                <w:spacing w:val="0"/>
                <w:w w:val="100"/>
                <w:position w:val="0"/>
              </w:rPr>
              <w:t>2019-046</w:t>
            </w:r>
          </w:p>
        </w:tc>
      </w:tr>
      <w:tr>
        <w:trPr>
          <w:trHeight w:val="134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年第五次临时 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39.10%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巨潮资讯：</w:t>
            </w:r>
            <w:r>
              <w:rPr>
                <w:color w:val="000000"/>
                <w:spacing w:val="0"/>
                <w:w w:val="100"/>
                <w:position w:val="0"/>
              </w:rPr>
              <w:t>2019</w:t>
            </w:r>
            <w:r>
              <w:rPr>
                <w:rFonts w:ascii="SimSun" w:eastAsia="SimSun" w:hAnsi="SimSun" w:cs="SimSun"/>
                <w:color w:val="000000"/>
                <w:spacing w:val="0"/>
                <w:w w:val="100"/>
                <w:position w:val="0"/>
                <w:sz w:val="17"/>
                <w:szCs w:val="17"/>
              </w:rPr>
              <w:t xml:space="preserve">年 第五次临时股东大 会决议公告 </w:t>
            </w:r>
            <w:r>
              <w:rPr>
                <w:color w:val="000000"/>
                <w:spacing w:val="0"/>
                <w:w w:val="100"/>
                <w:position w:val="0"/>
              </w:rPr>
              <w:t>2019-058</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2</w:t>
      </w:r>
      <w:r>
        <w:rPr>
          <w:color w:val="000000"/>
          <w:spacing w:val="0"/>
          <w:w w:val="100"/>
          <w:position w:val="0"/>
        </w:rPr>
        <w:t>、表决权恢复的优先股股东请求召开临时股东大会</w:t>
      </w:r>
      <w:bookmarkEnd w:id="630"/>
      <w:bookmarkEnd w:id="631"/>
      <w:bookmarkEnd w:id="632"/>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80" w:line="240" w:lineRule="auto"/>
        <w:ind w:left="0" w:right="0" w:firstLine="0"/>
        <w:jc w:val="left"/>
      </w:pPr>
      <w:bookmarkStart w:id="633" w:name="bookmark633"/>
      <w:bookmarkStart w:id="634" w:name="bookmark634"/>
      <w:bookmarkStart w:id="635" w:name="bookmark635"/>
      <w:bookmarkStart w:id="636" w:name="bookmark636"/>
      <w:r>
        <w:rPr>
          <w:color w:val="000000"/>
          <w:spacing w:val="0"/>
          <w:w w:val="100"/>
          <w:position w:val="0"/>
        </w:rPr>
        <w:t>五</w:t>
      </w:r>
      <w:bookmarkEnd w:id="635"/>
      <w:r>
        <w:rPr>
          <w:color w:val="000000"/>
          <w:spacing w:val="0"/>
          <w:w w:val="100"/>
          <w:position w:val="0"/>
        </w:rPr>
        <w:t>、报告期内独立董事履行职责的情况</w:t>
      </w:r>
      <w:bookmarkEnd w:id="633"/>
      <w:bookmarkEnd w:id="634"/>
      <w:bookmarkEnd w:id="636"/>
    </w:p>
    <w:p>
      <w:pPr>
        <w:pStyle w:val="Style30"/>
        <w:keepNext/>
        <w:keepLines/>
        <w:widowControl w:val="0"/>
        <w:shd w:val="clear" w:color="auto" w:fill="auto"/>
        <w:bidi w:val="0"/>
        <w:spacing w:before="0" w:after="320" w:line="240" w:lineRule="auto"/>
        <w:ind w:left="0" w:right="0" w:firstLine="0"/>
        <w:jc w:val="left"/>
      </w:pPr>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1</w:t>
      </w:r>
      <w:r>
        <w:rPr>
          <w:color w:val="000000"/>
          <w:spacing w:val="0"/>
          <w:w w:val="100"/>
          <w:position w:val="0"/>
        </w:rPr>
        <w:t>、独立董事出席董事会及股东大会的情况</w:t>
      </w:r>
      <w:bookmarkEnd w:id="637"/>
      <w:bookmarkEnd w:id="638"/>
      <w:bookmarkEnd w:id="639"/>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独立董事出席董事会及股东大会的情况</w:t>
            </w:r>
          </w:p>
        </w:tc>
      </w:tr>
      <w:tr>
        <w:trPr>
          <w:trHeight w:val="1022"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本报告期应参</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以通讯方式参</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是否连续两次</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未亲自参加董</w:t>
            </w:r>
          </w:p>
          <w:p>
            <w:pPr>
              <w:pStyle w:val="Style19"/>
              <w:keepNext w:val="0"/>
              <w:keepLines w:val="0"/>
              <w:widowControl w:val="0"/>
              <w:shd w:val="clear" w:color="auto" w:fill="auto"/>
              <w:bidi w:val="0"/>
              <w:spacing w:before="0" w:after="120" w:line="240" w:lineRule="auto"/>
              <w:ind w:left="0" w:right="0" w:firstLine="220"/>
              <w:jc w:val="left"/>
              <w:rPr>
                <w:sz w:val="17"/>
                <w:szCs w:val="17"/>
              </w:rPr>
            </w:pPr>
            <w:r>
              <w:rPr>
                <w:rFonts w:ascii="SimSun" w:eastAsia="SimSun" w:hAnsi="SimSun" w:cs="SimSun"/>
                <w:color w:val="000000"/>
                <w:spacing w:val="0"/>
                <w:w w:val="100"/>
                <w:position w:val="0"/>
                <w:sz w:val="17"/>
                <w:szCs w:val="17"/>
              </w:rPr>
              <w:t>事会会议</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陈爱珍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bl>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王立勇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bl>
    <w:p>
      <w:pPr>
        <w:pStyle w:val="Style24"/>
        <w:keepNext w:val="0"/>
        <w:keepLines w:val="0"/>
        <w:widowControl w:val="0"/>
        <w:shd w:val="clear" w:color="auto" w:fill="auto"/>
        <w:bidi w:val="0"/>
        <w:spacing w:before="0" w:after="0" w:line="350" w:lineRule="exact"/>
        <w:ind w:left="0" w:right="0" w:firstLine="0"/>
        <w:jc w:val="left"/>
      </w:pPr>
      <w:r>
        <w:rPr>
          <w:color w:val="000000"/>
          <w:spacing w:val="0"/>
          <w:w w:val="100"/>
          <w:position w:val="0"/>
        </w:rPr>
        <w:t>连续两次未亲自出席董事会的说明 不适用</w:t>
      </w:r>
    </w:p>
    <w:p>
      <w:pPr>
        <w:widowControl w:val="0"/>
        <w:spacing w:after="159" w:line="1" w:lineRule="exact"/>
      </w:pPr>
    </w:p>
    <w:p>
      <w:pPr>
        <w:pStyle w:val="Style30"/>
        <w:keepNext/>
        <w:keepLines/>
        <w:widowControl w:val="0"/>
        <w:shd w:val="clear" w:color="auto" w:fill="auto"/>
        <w:tabs>
          <w:tab w:pos="361" w:val="left"/>
        </w:tabs>
        <w:bidi w:val="0"/>
        <w:spacing w:before="0" w:after="220" w:line="469" w:lineRule="exact"/>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2</w:t>
      </w:r>
      <w:bookmarkEnd w:id="642"/>
      <w:r>
        <w:rPr>
          <w:color w:val="000000"/>
          <w:spacing w:val="0"/>
          <w:w w:val="100"/>
          <w:position w:val="0"/>
        </w:rPr>
        <w:t>、</w:t>
        <w:tab/>
        <w:t>独立董事对公司有关事项提出异议的情况</w:t>
      </w:r>
      <w:bookmarkEnd w:id="640"/>
      <w:bookmarkEnd w:id="641"/>
      <w:bookmarkEnd w:id="643"/>
    </w:p>
    <w:p>
      <w:pPr>
        <w:pStyle w:val="Style26"/>
        <w:keepNext w:val="0"/>
        <w:keepLines w:val="0"/>
        <w:widowControl w:val="0"/>
        <w:shd w:val="clear" w:color="auto" w:fill="auto"/>
        <w:bidi w:val="0"/>
        <w:spacing w:before="0" w:after="160" w:line="350" w:lineRule="exact"/>
        <w:ind w:left="0" w:right="0" w:firstLine="0"/>
        <w:jc w:val="left"/>
      </w:pPr>
      <w:r>
        <w:rPr>
          <w:color w:val="000000"/>
          <w:spacing w:val="0"/>
          <w:w w:val="100"/>
          <w:position w:val="0"/>
        </w:rPr>
        <w:t>独立董事对公司有关事项是否提出异议</w:t>
      </w:r>
    </w:p>
    <w:p>
      <w:pPr>
        <w:pStyle w:val="Style26"/>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400" w:line="350" w:lineRule="exact"/>
        <w:ind w:left="0" w:right="0" w:firstLine="0"/>
        <w:jc w:val="left"/>
      </w:pPr>
      <w:r>
        <w:rPr>
          <w:color w:val="000000"/>
          <w:spacing w:val="0"/>
          <w:w w:val="100"/>
          <w:position w:val="0"/>
        </w:rPr>
        <w:t>报告期内独立董事对公司有关事项未提出异议。</w:t>
      </w:r>
    </w:p>
    <w:p>
      <w:pPr>
        <w:pStyle w:val="Style30"/>
        <w:keepNext/>
        <w:keepLines/>
        <w:widowControl w:val="0"/>
        <w:shd w:val="clear" w:color="auto" w:fill="auto"/>
        <w:tabs>
          <w:tab w:pos="361" w:val="left"/>
        </w:tabs>
        <w:bidi w:val="0"/>
        <w:spacing w:before="0" w:after="0" w:line="48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3</w:t>
      </w:r>
      <w:bookmarkEnd w:id="646"/>
      <w:r>
        <w:rPr>
          <w:color w:val="000000"/>
          <w:spacing w:val="0"/>
          <w:w w:val="100"/>
          <w:position w:val="0"/>
        </w:rPr>
        <w:t>、</w:t>
        <w:tab/>
        <w:t>独立董事履行职责的其他说明</w:t>
      </w:r>
      <w:bookmarkEnd w:id="644"/>
      <w:bookmarkEnd w:id="645"/>
      <w:bookmarkEnd w:id="647"/>
    </w:p>
    <w:p>
      <w:pPr>
        <w:pStyle w:val="Style26"/>
        <w:keepNext w:val="0"/>
        <w:keepLines w:val="0"/>
        <w:widowControl w:val="0"/>
        <w:shd w:val="clear" w:color="auto" w:fill="auto"/>
        <w:bidi w:val="0"/>
        <w:spacing w:before="0" w:after="160" w:line="350" w:lineRule="exact"/>
        <w:ind w:left="0" w:right="0" w:firstLine="0"/>
        <w:jc w:val="left"/>
      </w:pPr>
      <w:r>
        <w:rPr>
          <w:color w:val="000000"/>
          <w:spacing w:val="0"/>
          <w:w w:val="100"/>
          <w:position w:val="0"/>
        </w:rPr>
        <w:t>独立董事对公司有关建议是否被采纳</w:t>
      </w:r>
    </w:p>
    <w:p>
      <w:pPr>
        <w:pStyle w:val="Style26"/>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独立董事对公司有关建议被采纳或未被采纳的说明</w:t>
      </w:r>
    </w:p>
    <w:p>
      <w:pPr>
        <w:pStyle w:val="Style33"/>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报告期内，公司独立董事严格按照《公司章程》、《独立董事工作细则》、《上市公司治理准则》及 《深圳证券交易所主板上市公司规范运作指引》及相关法律、法规等有关规定和要求，本着对公司及中小 股东负责的态度，独立公正地履行职责，积极出席董事会、股东大会，主动了解生产经营状况和内部控制 建设及董事会决议的执行情况，就公司年度利润分配预案、年度内部控制自我评价、年度关联方资金占用 情况、年度内对外担保情况、续聘年度财务及内审机构、募集资金存放与使用、财务公司关联存贷款、增 补董事、会计政策变更、关联交易等事项进行审核并出具了独立董事意见，有效保证了公司董事会决策的 公正性和客观性，为完善公司监督机制，维护公司和全体股东的合法权益发挥了重要作用。此外，独立董 事利用自己的专业知识和经验对公司的战略发展、内部控制、重大经营决策等提供了专业性意见，对公司 财务及生产经营活动、信息披露工作进行有效监督，为公司未来发展和规范运作及提升管理水平起到了积 极作用。</w:t>
      </w:r>
    </w:p>
    <w:p>
      <w:pPr>
        <w:pStyle w:val="Style22"/>
        <w:keepNext/>
        <w:keepLines/>
        <w:widowControl w:val="0"/>
        <w:shd w:val="clear" w:color="auto" w:fill="auto"/>
        <w:bidi w:val="0"/>
        <w:spacing w:before="0" w:after="22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rPr>
        <w:t>六</w:t>
      </w:r>
      <w:bookmarkEnd w:id="650"/>
      <w:r>
        <w:rPr>
          <w:color w:val="000000"/>
          <w:spacing w:val="0"/>
          <w:w w:val="100"/>
          <w:position w:val="0"/>
        </w:rPr>
        <w:t>、董事会下设专门委员会在报告期内履行职责情况</w:t>
      </w:r>
      <w:bookmarkEnd w:id="648"/>
      <w:bookmarkEnd w:id="649"/>
      <w:bookmarkEnd w:id="651"/>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公司董事会下设薪酬与考核委员会和审计委员会。报告期内，各专门委员会勤勉尽责，按照有关法律 法规、规范性文件及公司专门委员会工作细则积极开展工作。</w:t>
      </w:r>
    </w:p>
    <w:p>
      <w:pPr>
        <w:pStyle w:val="Style33"/>
        <w:keepNext w:val="0"/>
        <w:keepLines w:val="0"/>
        <w:widowControl w:val="0"/>
        <w:shd w:val="clear" w:color="auto" w:fill="auto"/>
        <w:bidi w:val="0"/>
        <w:spacing w:before="0" w:after="0" w:line="467"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、报告期内，董事会薪酬与考核委员会依据相关法律、法规和《公司章程》的规定，结合公司实际 情况，指导对高级管理人员的绩效考评工作，对公司高级管理人员进行考核评分认定；</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年度，董事会 薪酬与考核委员会按照《独立董事工作制度》、《薪酬与考核委员会议事规则》等相关制度的规定，履行 </w:t>
      </w:r>
      <w:r>
        <w:rPr>
          <w:color w:val="000000"/>
          <w:spacing w:val="0"/>
          <w:w w:val="100"/>
          <w:position w:val="0"/>
        </w:rPr>
        <w:t>了董事会专门委员会的工作职责。</w:t>
      </w:r>
    </w:p>
    <w:p>
      <w:pPr>
        <w:pStyle w:val="Style33"/>
        <w:keepNext w:val="0"/>
        <w:keepLines w:val="0"/>
        <w:widowControl w:val="0"/>
        <w:shd w:val="clear" w:color="auto" w:fill="auto"/>
        <w:bidi w:val="0"/>
        <w:spacing w:before="0" w:after="440" w:line="470" w:lineRule="exact"/>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、报告期内，董事会审计委员会结合公司各次定期报告、财务报告以及临时公告的披露情况，对披 露及备查资料进行了认真的核查，勤勉尽责，积极开展各项工作。董事会审计委员会在公司年度审计过程 中，认真听取管理层对公司财务状况和经营业绩的汇报，与年审会计师进行沟通，了解年报预审、审计工 作的计划、进度安排，对或有风险和内部控制等事项进行了充分的沟通，督促其在约定时限内提交审计报 告，对公司提出改进建议，按照《独立董事工作制度》、《审计委员会议事规则》等相关制度的规定，认 真履行了董事会专门委员会的工作职责。</w:t>
      </w:r>
    </w:p>
    <w:p>
      <w:pPr>
        <w:pStyle w:val="Style22"/>
        <w:keepNext/>
        <w:keepLines/>
        <w:widowControl w:val="0"/>
        <w:shd w:val="clear" w:color="auto" w:fill="auto"/>
        <w:tabs>
          <w:tab w:pos="690" w:val="left"/>
        </w:tabs>
        <w:bidi w:val="0"/>
        <w:spacing w:before="0" w:after="38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rPr>
        <w:t>七</w:t>
      </w:r>
      <w:bookmarkEnd w:id="654"/>
      <w:r>
        <w:rPr>
          <w:color w:val="000000"/>
          <w:spacing w:val="0"/>
          <w:w w:val="100"/>
          <w:position w:val="0"/>
        </w:rPr>
        <w:t>、</w:t>
        <w:tab/>
        <w:t>监事会工作情况</w:t>
      </w:r>
      <w:bookmarkEnd w:id="652"/>
      <w:bookmarkEnd w:id="653"/>
      <w:bookmarkEnd w:id="655"/>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2"/>
        <w:keepNext/>
        <w:keepLines/>
        <w:widowControl w:val="0"/>
        <w:shd w:val="clear" w:color="auto" w:fill="auto"/>
        <w:tabs>
          <w:tab w:pos="690" w:val="left"/>
        </w:tabs>
        <w:bidi w:val="0"/>
        <w:spacing w:before="0" w:after="220" w:line="240" w:lineRule="auto"/>
        <w:ind w:left="0" w:right="0" w:firstLine="0"/>
        <w:jc w:val="left"/>
      </w:pPr>
      <w:bookmarkStart w:id="656" w:name="bookmark656"/>
      <w:bookmarkStart w:id="657" w:name="bookmark657"/>
      <w:bookmarkStart w:id="658" w:name="bookmark658"/>
      <w:bookmarkStart w:id="659" w:name="bookmark659"/>
      <w:r>
        <w:rPr>
          <w:color w:val="000000"/>
          <w:spacing w:val="0"/>
          <w:w w:val="100"/>
          <w:position w:val="0"/>
        </w:rPr>
        <w:t>八</w:t>
      </w:r>
      <w:bookmarkEnd w:id="658"/>
      <w:r>
        <w:rPr>
          <w:color w:val="000000"/>
          <w:spacing w:val="0"/>
          <w:w w:val="100"/>
          <w:position w:val="0"/>
        </w:rPr>
        <w:t>、</w:t>
        <w:tab/>
        <w:t>监事会工作报告</w:t>
      </w:r>
      <w:bookmarkEnd w:id="656"/>
      <w:bookmarkEnd w:id="657"/>
      <w:bookmarkEnd w:id="659"/>
    </w:p>
    <w:p>
      <w:pPr>
        <w:pStyle w:val="Style33"/>
        <w:keepNext w:val="0"/>
        <w:keepLines w:val="0"/>
        <w:widowControl w:val="0"/>
        <w:shd w:val="clear" w:color="auto" w:fill="auto"/>
        <w:tabs>
          <w:tab w:pos="918" w:val="left"/>
        </w:tabs>
        <w:bidi w:val="0"/>
        <w:spacing w:before="0" w:after="0" w:line="472" w:lineRule="exact"/>
        <w:ind w:left="0" w:right="0" w:firstLine="440"/>
        <w:jc w:val="both"/>
      </w:pPr>
      <w:bookmarkStart w:id="660" w:name="bookmark660"/>
      <w:r>
        <w:rPr>
          <w:b/>
          <w:bCs/>
          <w:color w:val="000000"/>
          <w:spacing w:val="0"/>
          <w:w w:val="100"/>
          <w:position w:val="0"/>
        </w:rPr>
        <w:t>一</w:t>
      </w:r>
      <w:bookmarkEnd w:id="660"/>
      <w:r>
        <w:rPr>
          <w:b/>
          <w:bCs/>
          <w:color w:val="000000"/>
          <w:spacing w:val="0"/>
          <w:w w:val="100"/>
          <w:position w:val="0"/>
        </w:rPr>
        <w:t>、</w:t>
        <w:tab/>
        <w:t>监事会日常工作情况</w:t>
      </w:r>
    </w:p>
    <w:p>
      <w:pPr>
        <w:pStyle w:val="Style33"/>
        <w:keepNext w:val="0"/>
        <w:keepLines w:val="0"/>
        <w:widowControl w:val="0"/>
        <w:shd w:val="clear" w:color="auto" w:fill="auto"/>
        <w:bidi w:val="0"/>
        <w:spacing w:before="0" w:after="0" w:line="472" w:lineRule="exact"/>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年度，监事会共召开了</w:t>
      </w:r>
      <w:r>
        <w:rPr>
          <w:rFonts w:ascii="Times New Roman" w:eastAsia="Times New Roman" w:hAnsi="Times New Roman" w:cs="Times New Roman"/>
          <w:color w:val="000000"/>
          <w:spacing w:val="0"/>
          <w:w w:val="100"/>
          <w:position w:val="0"/>
        </w:rPr>
        <w:t>5</w:t>
      </w:r>
      <w:r>
        <w:rPr>
          <w:color w:val="000000"/>
          <w:spacing w:val="0"/>
          <w:w w:val="100"/>
          <w:position w:val="0"/>
        </w:rPr>
        <w:t>次会议，任职监事均出席了相应会议，会议召开情况如下：</w:t>
      </w:r>
    </w:p>
    <w:p>
      <w:pPr>
        <w:pStyle w:val="Style33"/>
        <w:keepNext w:val="0"/>
        <w:keepLines w:val="0"/>
        <w:widowControl w:val="0"/>
        <w:shd w:val="clear" w:color="auto" w:fill="auto"/>
        <w:tabs>
          <w:tab w:pos="795" w:val="left"/>
        </w:tabs>
        <w:bidi w:val="0"/>
        <w:spacing w:before="0" w:after="0" w:line="472" w:lineRule="exact"/>
        <w:ind w:left="0" w:right="0" w:firstLine="440"/>
        <w:jc w:val="both"/>
      </w:pPr>
      <w:bookmarkStart w:id="661" w:name="bookmark661"/>
      <w:r>
        <w:rPr>
          <w:rFonts w:ascii="Times New Roman" w:eastAsia="Times New Roman" w:hAnsi="Times New Roman" w:cs="Times New Roman"/>
          <w:color w:val="000000"/>
          <w:spacing w:val="0"/>
          <w:w w:val="100"/>
          <w:position w:val="0"/>
        </w:rPr>
        <w:t>1</w:t>
      </w:r>
      <w:bookmarkEnd w:id="661"/>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日召开第九届监事会第七次会议，审议并通过了《</w:t>
      </w:r>
      <w:r>
        <w:rPr>
          <w:rFonts w:ascii="Times New Roman" w:eastAsia="Times New Roman" w:hAnsi="Times New Roman" w:cs="Times New Roman"/>
          <w:color w:val="000000"/>
          <w:spacing w:val="0"/>
          <w:w w:val="100"/>
          <w:position w:val="0"/>
        </w:rPr>
        <w:t>2018</w:t>
      </w:r>
      <w:r>
        <w:rPr>
          <w:color w:val="000000"/>
          <w:spacing w:val="0"/>
          <w:w w:val="100"/>
          <w:position w:val="0"/>
        </w:rPr>
        <w:t>年年度报告及其摘要》、《</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年度内部控制评价报告》、《监事会</w:t>
      </w:r>
      <w:r>
        <w:rPr>
          <w:rFonts w:ascii="Times New Roman" w:eastAsia="Times New Roman" w:hAnsi="Times New Roman" w:cs="Times New Roman"/>
          <w:color w:val="000000"/>
          <w:spacing w:val="0"/>
          <w:w w:val="100"/>
          <w:position w:val="0"/>
        </w:rPr>
        <w:t>2018</w:t>
      </w:r>
      <w:r>
        <w:rPr>
          <w:color w:val="000000"/>
          <w:spacing w:val="0"/>
          <w:w w:val="100"/>
          <w:position w:val="0"/>
        </w:rPr>
        <w:t>年度工作报告》、《关于</w:t>
      </w:r>
      <w:r>
        <w:rPr>
          <w:rFonts w:ascii="Times New Roman" w:eastAsia="Times New Roman" w:hAnsi="Times New Roman" w:cs="Times New Roman"/>
          <w:color w:val="000000"/>
          <w:spacing w:val="0"/>
          <w:w w:val="100"/>
          <w:position w:val="0"/>
        </w:rPr>
        <w:t>2018</w:t>
      </w:r>
      <w:r>
        <w:rPr>
          <w:color w:val="000000"/>
          <w:spacing w:val="0"/>
          <w:w w:val="100"/>
          <w:position w:val="0"/>
        </w:rPr>
        <w:t>年计提各项资产减值准备的专项 报告》、《</w:t>
      </w:r>
      <w:r>
        <w:rPr>
          <w:rFonts w:ascii="Times New Roman" w:eastAsia="Times New Roman" w:hAnsi="Times New Roman" w:cs="Times New Roman"/>
          <w:color w:val="000000"/>
          <w:spacing w:val="0"/>
          <w:w w:val="100"/>
          <w:position w:val="0"/>
        </w:rPr>
        <w:t>2018</w:t>
      </w:r>
      <w:r>
        <w:rPr>
          <w:color w:val="000000"/>
          <w:spacing w:val="0"/>
          <w:w w:val="100"/>
          <w:position w:val="0"/>
        </w:rPr>
        <w:t>年度财务决算报告》、《</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年度利润分配的预案》、《董事会关于</w:t>
      </w:r>
      <w:r>
        <w:rPr>
          <w:rFonts w:ascii="Times New Roman" w:eastAsia="Times New Roman" w:hAnsi="Times New Roman" w:cs="Times New Roman"/>
          <w:color w:val="000000"/>
          <w:spacing w:val="0"/>
          <w:w w:val="100"/>
          <w:position w:val="0"/>
        </w:rPr>
        <w:t>2018</w:t>
      </w:r>
      <w:r>
        <w:rPr>
          <w:color w:val="000000"/>
          <w:spacing w:val="0"/>
          <w:w w:val="100"/>
          <w:position w:val="0"/>
        </w:rPr>
        <w:t>年度募集资金存 放与使用情况的专项报告》、《关于会计政策变更的议案》、《公司</w:t>
      </w:r>
      <w:r>
        <w:rPr>
          <w:rFonts w:ascii="Times New Roman" w:eastAsia="Times New Roman" w:hAnsi="Times New Roman" w:cs="Times New Roman"/>
          <w:color w:val="000000"/>
          <w:spacing w:val="0"/>
          <w:w w:val="100"/>
          <w:position w:val="0"/>
        </w:rPr>
        <w:t>2019</w:t>
      </w:r>
      <w:r>
        <w:rPr>
          <w:color w:val="000000"/>
          <w:spacing w:val="0"/>
          <w:w w:val="100"/>
          <w:position w:val="0"/>
        </w:rPr>
        <w:t>年第一季度报告》。</w:t>
      </w:r>
    </w:p>
    <w:p>
      <w:pPr>
        <w:pStyle w:val="Style33"/>
        <w:keepNext w:val="0"/>
        <w:keepLines w:val="0"/>
        <w:widowControl w:val="0"/>
        <w:shd w:val="clear" w:color="auto" w:fill="auto"/>
        <w:tabs>
          <w:tab w:pos="786" w:val="left"/>
        </w:tabs>
        <w:bidi w:val="0"/>
        <w:spacing w:before="0" w:after="0" w:line="480" w:lineRule="exact"/>
        <w:ind w:left="0" w:right="0" w:firstLine="440"/>
        <w:jc w:val="both"/>
      </w:pPr>
      <w:bookmarkStart w:id="662" w:name="bookmark662"/>
      <w:r>
        <w:rPr>
          <w:rFonts w:ascii="Times New Roman" w:eastAsia="Times New Roman" w:hAnsi="Times New Roman" w:cs="Times New Roman"/>
          <w:color w:val="000000"/>
          <w:spacing w:val="0"/>
          <w:w w:val="100"/>
          <w:position w:val="0"/>
        </w:rPr>
        <w:t>2</w:t>
      </w:r>
      <w:bookmarkEnd w:id="662"/>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日召开第九届监事会第八次会议，审议并通过了《关于部分募集资金投资项目结项、 终止并将剩余募集资金永久补充流动资金的议案》。</w:t>
      </w:r>
    </w:p>
    <w:p>
      <w:pPr>
        <w:pStyle w:val="Style33"/>
        <w:keepNext w:val="0"/>
        <w:keepLines w:val="0"/>
        <w:widowControl w:val="0"/>
        <w:shd w:val="clear" w:color="auto" w:fill="auto"/>
        <w:bidi w:val="0"/>
        <w:spacing w:before="0" w:after="0" w:line="485" w:lineRule="exact"/>
        <w:ind w:left="0" w:right="0" w:firstLine="440"/>
        <w:jc w:val="both"/>
      </w:pPr>
      <w:bookmarkStart w:id="663" w:name="bookmark663"/>
      <w:r>
        <w:rPr>
          <w:rFonts w:ascii="Times New Roman" w:eastAsia="Times New Roman" w:hAnsi="Times New Roman" w:cs="Times New Roman"/>
          <w:color w:val="000000"/>
          <w:spacing w:val="0"/>
          <w:w w:val="100"/>
          <w:position w:val="0"/>
        </w:rPr>
        <w:t>3</w:t>
      </w:r>
      <w:bookmarkEnd w:id="663"/>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日召开第九届监事会第九次会议，审议并通过了《</w:t>
      </w:r>
      <w:r>
        <w:rPr>
          <w:rFonts w:ascii="Times New Roman" w:eastAsia="Times New Roman" w:hAnsi="Times New Roman" w:cs="Times New Roman"/>
          <w:color w:val="000000"/>
          <w:spacing w:val="0"/>
          <w:w w:val="100"/>
          <w:position w:val="0"/>
        </w:rPr>
        <w:t>2019</w:t>
      </w:r>
      <w:r>
        <w:rPr>
          <w:color w:val="000000"/>
          <w:spacing w:val="0"/>
          <w:w w:val="100"/>
          <w:position w:val="0"/>
        </w:rPr>
        <w:t>年半年度报告及其摘要》、《</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年半年度募集资金存放与使用情况的专项报告》、《关于会计政策变更的议案》。</w:t>
      </w:r>
    </w:p>
    <w:p>
      <w:pPr>
        <w:pStyle w:val="Style33"/>
        <w:keepNext w:val="0"/>
        <w:keepLines w:val="0"/>
        <w:widowControl w:val="0"/>
        <w:shd w:val="clear" w:color="auto" w:fill="auto"/>
        <w:tabs>
          <w:tab w:pos="786" w:val="left"/>
        </w:tabs>
        <w:bidi w:val="0"/>
        <w:spacing w:before="0" w:after="0" w:line="485" w:lineRule="exact"/>
        <w:ind w:left="0" w:right="0" w:firstLine="440"/>
        <w:jc w:val="both"/>
      </w:pPr>
      <w:bookmarkStart w:id="664" w:name="bookmark664"/>
      <w:r>
        <w:rPr>
          <w:rFonts w:ascii="Times New Roman" w:eastAsia="Times New Roman" w:hAnsi="Times New Roman" w:cs="Times New Roman"/>
          <w:color w:val="000000"/>
          <w:spacing w:val="0"/>
          <w:w w:val="100"/>
          <w:position w:val="0"/>
        </w:rPr>
        <w:t>4</w:t>
      </w:r>
      <w:bookmarkEnd w:id="664"/>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日召开第九届监事会第十次会议，审议并通过了《关于使用部分闲置募集资金暂时补 充流动资金的议案》。</w:t>
      </w:r>
    </w:p>
    <w:p>
      <w:pPr>
        <w:pStyle w:val="Style33"/>
        <w:keepNext w:val="0"/>
        <w:keepLines w:val="0"/>
        <w:widowControl w:val="0"/>
        <w:shd w:val="clear" w:color="auto" w:fill="auto"/>
        <w:tabs>
          <w:tab w:pos="790" w:val="left"/>
        </w:tabs>
        <w:bidi w:val="0"/>
        <w:spacing w:before="0" w:after="0" w:line="485" w:lineRule="exact"/>
        <w:ind w:left="0" w:right="0" w:firstLine="440"/>
        <w:jc w:val="both"/>
      </w:pPr>
      <w:bookmarkStart w:id="665" w:name="bookmark665"/>
      <w:r>
        <w:rPr>
          <w:rFonts w:ascii="Times New Roman" w:eastAsia="Times New Roman" w:hAnsi="Times New Roman" w:cs="Times New Roman"/>
          <w:color w:val="000000"/>
          <w:spacing w:val="0"/>
          <w:w w:val="100"/>
          <w:position w:val="0"/>
        </w:rPr>
        <w:t>5</w:t>
      </w:r>
      <w:bookmarkEnd w:id="665"/>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日召开第九届监事会第十一次会议，审议并通过了《公司</w:t>
      </w:r>
      <w:r>
        <w:rPr>
          <w:rFonts w:ascii="Times New Roman" w:eastAsia="Times New Roman" w:hAnsi="Times New Roman" w:cs="Times New Roman"/>
          <w:color w:val="000000"/>
          <w:spacing w:val="0"/>
          <w:w w:val="100"/>
          <w:position w:val="0"/>
        </w:rPr>
        <w:t>2019</w:t>
      </w:r>
      <w:r>
        <w:rPr>
          <w:color w:val="000000"/>
          <w:spacing w:val="0"/>
          <w:w w:val="100"/>
          <w:position w:val="0"/>
        </w:rPr>
        <w:t>年第三季度报告全文 及正文》。</w:t>
      </w:r>
    </w:p>
    <w:p>
      <w:pPr>
        <w:pStyle w:val="Style33"/>
        <w:keepNext w:val="0"/>
        <w:keepLines w:val="0"/>
        <w:widowControl w:val="0"/>
        <w:shd w:val="clear" w:color="auto" w:fill="auto"/>
        <w:tabs>
          <w:tab w:pos="918" w:val="left"/>
        </w:tabs>
        <w:bidi w:val="0"/>
        <w:spacing w:before="0" w:after="220" w:line="485" w:lineRule="exact"/>
        <w:ind w:left="0" w:right="0" w:firstLine="440"/>
        <w:jc w:val="both"/>
      </w:pPr>
      <w:bookmarkStart w:id="666" w:name="bookmark666"/>
      <w:r>
        <w:rPr>
          <w:b/>
          <w:bCs/>
          <w:color w:val="000000"/>
          <w:spacing w:val="0"/>
          <w:w w:val="100"/>
          <w:position w:val="0"/>
        </w:rPr>
        <w:t>二</w:t>
      </w:r>
      <w:bookmarkEnd w:id="666"/>
      <w:r>
        <w:rPr>
          <w:b/>
          <w:bCs/>
          <w:color w:val="000000"/>
          <w:spacing w:val="0"/>
          <w:w w:val="100"/>
          <w:position w:val="0"/>
        </w:rPr>
        <w:t>、</w:t>
        <w:tab/>
        <w:t>监事会对公司</w:t>
      </w: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年度有关事项发表的核查意见</w:t>
      </w:r>
    </w:p>
    <w:p>
      <w:pPr>
        <w:pStyle w:val="Style33"/>
        <w:keepNext w:val="0"/>
        <w:keepLines w:val="0"/>
        <w:widowControl w:val="0"/>
        <w:shd w:val="clear" w:color="auto" w:fill="auto"/>
        <w:bidi w:val="0"/>
        <w:spacing w:before="0" w:after="300" w:line="506" w:lineRule="auto"/>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、公司依法运作情况</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报告期内，公司监事会遵照有关法律法规，针对公司日常经营管理情况、财务状况、各项内部控制制 度的建立健全及执行情况，以及对公司董事、高级管理人员履职等情况进行了监督。公司董事会严格按照 《公司法》、《证券法》及《公司章程》等有关规定依法规范运作。公司监事会认真监督公司信息披露情 况，促使公司及时、公正、完整地披露公司应披露的信息。</w:t>
      </w:r>
    </w:p>
    <w:p>
      <w:pPr>
        <w:pStyle w:val="Style33"/>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监事会认为：公司能够严格依法规范运作，董事会运作规范、经营决策科学合理，认真执行股东大会 的各项决议，忠实履行了诚信义务；公司建立了较为完善的内部控制制度；信息披露及时、准确；公司 董事、高级管理人员认真执行公司职务，无违反法律法规、公司《章程》或损害公司利益的行为。</w:t>
      </w:r>
    </w:p>
    <w:p>
      <w:pPr>
        <w:pStyle w:val="Style33"/>
        <w:keepNext w:val="0"/>
        <w:keepLines w:val="0"/>
        <w:widowControl w:val="0"/>
        <w:shd w:val="clear" w:color="auto" w:fill="auto"/>
        <w:tabs>
          <w:tab w:pos="790" w:val="left"/>
        </w:tabs>
        <w:bidi w:val="0"/>
        <w:spacing w:before="0" w:after="0"/>
        <w:ind w:left="0" w:right="0" w:firstLine="440"/>
        <w:jc w:val="both"/>
      </w:pPr>
      <w:bookmarkStart w:id="667" w:name="bookmark667"/>
      <w:r>
        <w:rPr>
          <w:rFonts w:ascii="Times New Roman" w:eastAsia="Times New Roman" w:hAnsi="Times New Roman" w:cs="Times New Roman"/>
          <w:color w:val="000000"/>
          <w:spacing w:val="0"/>
          <w:w w:val="100"/>
          <w:position w:val="0"/>
        </w:rPr>
        <w:t>2</w:t>
      </w:r>
      <w:bookmarkEnd w:id="667"/>
      <w:r>
        <w:rPr>
          <w:color w:val="000000"/>
          <w:spacing w:val="0"/>
          <w:w w:val="100"/>
          <w:position w:val="0"/>
        </w:rPr>
        <w:t>、</w:t>
        <w:tab/>
        <w:t>检查公司财务情况</w:t>
      </w:r>
    </w:p>
    <w:p>
      <w:pPr>
        <w:pStyle w:val="Style33"/>
        <w:keepNext w:val="0"/>
        <w:keepLines w:val="0"/>
        <w:widowControl w:val="0"/>
        <w:shd w:val="clear" w:color="auto" w:fill="auto"/>
        <w:bidi w:val="0"/>
        <w:spacing w:before="0" w:after="240" w:line="469"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年，公司监事会对公司财务状况实施了监督和检查，认为公司财务运作规范，财务部门所编制的 财务报告真实、客观、准确地反映了公司的财务状况、经营成果及现金流量情况，符合《企业会计准则》 和《企业会计制度》。</w:t>
      </w:r>
    </w:p>
    <w:p>
      <w:pPr>
        <w:pStyle w:val="Style33"/>
        <w:keepNext w:val="0"/>
        <w:keepLines w:val="0"/>
        <w:widowControl w:val="0"/>
        <w:shd w:val="clear" w:color="auto" w:fill="auto"/>
        <w:tabs>
          <w:tab w:pos="790" w:val="left"/>
        </w:tabs>
        <w:bidi w:val="0"/>
        <w:spacing w:before="0" w:after="0"/>
        <w:ind w:left="0" w:right="0" w:firstLine="440"/>
        <w:jc w:val="both"/>
      </w:pPr>
      <w:bookmarkStart w:id="668" w:name="bookmark668"/>
      <w:r>
        <w:rPr>
          <w:rFonts w:ascii="Times New Roman" w:eastAsia="Times New Roman" w:hAnsi="Times New Roman" w:cs="Times New Roman"/>
          <w:color w:val="000000"/>
          <w:spacing w:val="0"/>
          <w:w w:val="100"/>
          <w:position w:val="0"/>
        </w:rPr>
        <w:t>3</w:t>
      </w:r>
      <w:bookmarkEnd w:id="668"/>
      <w:r>
        <w:rPr>
          <w:color w:val="000000"/>
          <w:spacing w:val="0"/>
          <w:w w:val="100"/>
          <w:position w:val="0"/>
        </w:rPr>
        <w:t>、</w:t>
        <w:tab/>
        <w:t>公司关联交易情况</w:t>
      </w:r>
    </w:p>
    <w:p>
      <w:pPr>
        <w:pStyle w:val="Style33"/>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通过对公司报告期内发生的关联交易的监督，监事会认为：报告期内公司发生的关联交易遵循公平、 公正、公开的原则进行，不存在损害公司或中小股东利益的情况。</w:t>
      </w:r>
    </w:p>
    <w:p>
      <w:pPr>
        <w:pStyle w:val="Style33"/>
        <w:keepNext w:val="0"/>
        <w:keepLines w:val="0"/>
        <w:widowControl w:val="0"/>
        <w:shd w:val="clear" w:color="auto" w:fill="auto"/>
        <w:tabs>
          <w:tab w:pos="790" w:val="left"/>
        </w:tabs>
        <w:bidi w:val="0"/>
        <w:spacing w:before="0" w:after="0"/>
        <w:ind w:left="0" w:right="0" w:firstLine="440"/>
        <w:jc w:val="left"/>
      </w:pPr>
      <w:bookmarkStart w:id="669" w:name="bookmark669"/>
      <w:r>
        <w:rPr>
          <w:rFonts w:ascii="Times New Roman" w:eastAsia="Times New Roman" w:hAnsi="Times New Roman" w:cs="Times New Roman"/>
          <w:color w:val="000000"/>
          <w:spacing w:val="0"/>
          <w:w w:val="100"/>
          <w:position w:val="0"/>
        </w:rPr>
        <w:t>4</w:t>
      </w:r>
      <w:bookmarkEnd w:id="669"/>
      <w:r>
        <w:rPr>
          <w:color w:val="000000"/>
          <w:spacing w:val="0"/>
          <w:w w:val="100"/>
          <w:position w:val="0"/>
        </w:rPr>
        <w:t>、</w:t>
        <w:tab/>
        <w:t>公司对外担保情况</w:t>
      </w:r>
    </w:p>
    <w:p>
      <w:pPr>
        <w:pStyle w:val="Style33"/>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监事会认为，公司对外担保的审议、决策程序符合有关法律、法规及公司章程的相关规定，不存在损 害公司和股东利益的行为。公司为全资子公司担保是为了稳定日常经营活动、促进公司整体业务的持续发 展，拓展公司融资渠道等需要，风险可控。</w:t>
      </w:r>
    </w:p>
    <w:p>
      <w:pPr>
        <w:pStyle w:val="Style33"/>
        <w:keepNext w:val="0"/>
        <w:keepLines w:val="0"/>
        <w:widowControl w:val="0"/>
        <w:shd w:val="clear" w:color="auto" w:fill="auto"/>
        <w:tabs>
          <w:tab w:pos="790" w:val="left"/>
        </w:tabs>
        <w:bidi w:val="0"/>
        <w:spacing w:before="0" w:after="0"/>
        <w:ind w:left="0" w:right="0" w:firstLine="440"/>
        <w:jc w:val="both"/>
      </w:pPr>
      <w:bookmarkStart w:id="670" w:name="bookmark670"/>
      <w:r>
        <w:rPr>
          <w:rFonts w:ascii="Times New Roman" w:eastAsia="Times New Roman" w:hAnsi="Times New Roman" w:cs="Times New Roman"/>
          <w:color w:val="000000"/>
          <w:spacing w:val="0"/>
          <w:w w:val="100"/>
          <w:position w:val="0"/>
        </w:rPr>
        <w:t>5</w:t>
      </w:r>
      <w:bookmarkEnd w:id="670"/>
      <w:r>
        <w:rPr>
          <w:color w:val="000000"/>
          <w:spacing w:val="0"/>
          <w:w w:val="100"/>
          <w:position w:val="0"/>
        </w:rPr>
        <w:t>、</w:t>
        <w:tab/>
        <w:t>募集资金项目情况</w:t>
      </w:r>
    </w:p>
    <w:p>
      <w:pPr>
        <w:pStyle w:val="Style33"/>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监事会检查了报告期内公司募集资金的存放与使用情况，经核查，监事会认为：公司严格按照《深圳 证券交易所主板上市公司规范运作指引》、公司《募集资金管理制度》等相关规定，对募集资金的存放及 使用进行有效管理和监督，募集资金存放、使用、管理及信息披露不存在违规情形。</w:t>
      </w:r>
    </w:p>
    <w:p>
      <w:pPr>
        <w:pStyle w:val="Style33"/>
        <w:keepNext w:val="0"/>
        <w:keepLines w:val="0"/>
        <w:widowControl w:val="0"/>
        <w:shd w:val="clear" w:color="auto" w:fill="auto"/>
        <w:tabs>
          <w:tab w:pos="790" w:val="left"/>
        </w:tabs>
        <w:bidi w:val="0"/>
        <w:spacing w:before="0" w:after="0"/>
        <w:ind w:left="0" w:right="0" w:firstLine="440"/>
        <w:jc w:val="both"/>
      </w:pPr>
      <w:bookmarkStart w:id="671" w:name="bookmark671"/>
      <w:r>
        <w:rPr>
          <w:rFonts w:ascii="Times New Roman" w:eastAsia="Times New Roman" w:hAnsi="Times New Roman" w:cs="Times New Roman"/>
          <w:color w:val="000000"/>
          <w:spacing w:val="0"/>
          <w:w w:val="100"/>
          <w:position w:val="0"/>
        </w:rPr>
        <w:t>6</w:t>
      </w:r>
      <w:bookmarkEnd w:id="671"/>
      <w:r>
        <w:rPr>
          <w:color w:val="000000"/>
          <w:spacing w:val="0"/>
          <w:w w:val="100"/>
          <w:position w:val="0"/>
        </w:rPr>
        <w:t>、</w:t>
        <w:tab/>
        <w:t>公司内部控制自我评价报告</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监事会认为，公司建立了较为完善的内部控制制度体系并能有效执行，公司内部审计部门及人员配备 到位，保证公司内部控制的执行及监督作用。</w:t>
      </w:r>
      <w:r>
        <w:rPr>
          <w:rFonts w:ascii="Times New Roman" w:eastAsia="Times New Roman" w:hAnsi="Times New Roman" w:cs="Times New Roman"/>
          <w:color w:val="000000"/>
          <w:spacing w:val="0"/>
          <w:w w:val="100"/>
          <w:position w:val="0"/>
        </w:rPr>
        <w:t>2019</w:t>
      </w:r>
      <w:r>
        <w:rPr>
          <w:color w:val="000000"/>
          <w:spacing w:val="0"/>
          <w:w w:val="100"/>
          <w:position w:val="0"/>
        </w:rPr>
        <w:t>年，公司未有违反深圳证券交易所《上市公司内部控制 指引》及公司内部控制制度的情形发生。公司内部控制评价全面、真实、准确，反映了公司内部控制的实 际情况。</w:t>
      </w:r>
    </w:p>
    <w:p>
      <w:pPr>
        <w:pStyle w:val="Style33"/>
        <w:keepNext w:val="0"/>
        <w:keepLines w:val="0"/>
        <w:widowControl w:val="0"/>
        <w:shd w:val="clear" w:color="auto" w:fill="auto"/>
        <w:bidi w:val="0"/>
        <w:spacing w:before="0" w:after="0" w:line="469" w:lineRule="exact"/>
        <w:ind w:left="0" w:right="0" w:firstLine="440"/>
        <w:jc w:val="both"/>
      </w:pPr>
      <w:bookmarkStart w:id="672" w:name="bookmark672"/>
      <w:r>
        <w:rPr>
          <w:b/>
          <w:bCs/>
          <w:color w:val="000000"/>
          <w:spacing w:val="0"/>
          <w:w w:val="100"/>
          <w:position w:val="0"/>
        </w:rPr>
        <w:t>三</w:t>
      </w:r>
      <w:bookmarkEnd w:id="672"/>
      <w:r>
        <w:rPr>
          <w:b/>
          <w:bCs/>
          <w:color w:val="000000"/>
          <w:spacing w:val="0"/>
          <w:w w:val="100"/>
          <w:position w:val="0"/>
        </w:rPr>
        <w:t>、监事会</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年工作计划</w:t>
      </w:r>
    </w:p>
    <w:p>
      <w:pPr>
        <w:pStyle w:val="Style33"/>
        <w:keepNext w:val="0"/>
        <w:keepLines w:val="0"/>
        <w:widowControl w:val="0"/>
        <w:shd w:val="clear" w:color="auto" w:fill="auto"/>
        <w:bidi w:val="0"/>
        <w:spacing w:before="0" w:after="440" w:line="469"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年，监事会将继续按照法律、法规及公司《章程》的有关规定，认真履行监督职责，督促公司规 范运作。结合公司的运营实际和发展布局，对公司董事会、高级管理人员以及业务运作构建更加全面、合 </w:t>
      </w:r>
      <w:r>
        <w:rPr>
          <w:color w:val="000000"/>
          <w:spacing w:val="0"/>
          <w:w w:val="100"/>
          <w:position w:val="0"/>
        </w:rPr>
        <w:t>理、高效的监督模式，依法依规切实履行好监事会职权，完善公司风险管控体系建设，在强化监督管理职 能的同时，加强与公司董事会审计委员会的合作，加大审计监督力度，加强风险防范意识，提高监督水平； 与董事会和全体股东一起共同促进公司的规范运行、持续、健康发展，维护和保障公司、股东利益，实现 公司经营管理水平的进一步提高。</w:t>
      </w:r>
    </w:p>
    <w:p>
      <w:pPr>
        <w:pStyle w:val="Style22"/>
        <w:keepNext/>
        <w:keepLines/>
        <w:widowControl w:val="0"/>
        <w:shd w:val="clear" w:color="auto" w:fill="auto"/>
        <w:bidi w:val="0"/>
        <w:spacing w:before="0" w:after="200" w:line="240" w:lineRule="auto"/>
        <w:ind w:left="0" w:right="0" w:firstLine="0"/>
        <w:jc w:val="both"/>
      </w:pPr>
      <w:bookmarkStart w:id="673" w:name="bookmark673"/>
      <w:bookmarkStart w:id="674" w:name="bookmark674"/>
      <w:bookmarkStart w:id="675" w:name="bookmark675"/>
      <w:bookmarkStart w:id="676" w:name="bookmark676"/>
      <w:r>
        <w:rPr>
          <w:color w:val="000000"/>
          <w:spacing w:val="0"/>
          <w:w w:val="100"/>
          <w:position w:val="0"/>
        </w:rPr>
        <w:t>九</w:t>
      </w:r>
      <w:bookmarkEnd w:id="675"/>
      <w:r>
        <w:rPr>
          <w:color w:val="000000"/>
          <w:spacing w:val="0"/>
          <w:w w:val="100"/>
          <w:position w:val="0"/>
        </w:rPr>
        <w:t>、高级管理人员的考评及激励情况</w:t>
      </w:r>
      <w:bookmarkEnd w:id="673"/>
      <w:bookmarkEnd w:id="674"/>
      <w:bookmarkEnd w:id="676"/>
    </w:p>
    <w:p>
      <w:pPr>
        <w:pStyle w:val="Style33"/>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公司高度重视对高级管理人员的绩效考评工作，不断完善高级管理人员的考评与激励机制，健全薪绩 效、酬管理体系。董事会薪酬与考核委员会指导对高级管理人员的绩效考评工作，对公司高级管理人员进 行考核评分认定，年终考核分数作为高级管理人员个人绩效计发的主要依据，高级管理人员薪酬与绩效考 评结果挂钩。</w:t>
      </w:r>
    </w:p>
    <w:p>
      <w:pPr>
        <w:pStyle w:val="Style22"/>
        <w:keepNext/>
        <w:keepLines/>
        <w:widowControl w:val="0"/>
        <w:shd w:val="clear" w:color="auto" w:fill="auto"/>
        <w:bidi w:val="0"/>
        <w:spacing w:before="0" w:line="240" w:lineRule="auto"/>
        <w:ind w:left="0" w:right="0" w:firstLine="0"/>
        <w:jc w:val="both"/>
      </w:pPr>
      <w:bookmarkStart w:id="677" w:name="bookmark677"/>
      <w:bookmarkStart w:id="678" w:name="bookmark678"/>
      <w:bookmarkStart w:id="679" w:name="bookmark679"/>
      <w:r>
        <w:rPr>
          <w:color w:val="000000"/>
          <w:spacing w:val="0"/>
          <w:w w:val="100"/>
          <w:position w:val="0"/>
        </w:rPr>
        <w:t>十、内部控制情况</w:t>
      </w:r>
      <w:bookmarkEnd w:id="677"/>
      <w:bookmarkEnd w:id="678"/>
      <w:bookmarkEnd w:id="679"/>
    </w:p>
    <w:p>
      <w:pPr>
        <w:pStyle w:val="Style30"/>
        <w:keepNext/>
        <w:keepLines/>
        <w:widowControl w:val="0"/>
        <w:shd w:val="clear" w:color="auto" w:fill="auto"/>
        <w:bidi w:val="0"/>
        <w:spacing w:before="0" w:after="140" w:line="480" w:lineRule="auto"/>
        <w:ind w:left="0" w:right="0" w:firstLine="0"/>
        <w:jc w:val="both"/>
      </w:pPr>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680"/>
      <w:bookmarkEnd w:id="681"/>
      <w:bookmarkEnd w:id="682"/>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bidi w:val="0"/>
        <w:spacing w:before="0" w:after="320" w:line="240" w:lineRule="auto"/>
        <w:ind w:left="0" w:right="0" w:firstLine="0"/>
        <w:jc w:val="both"/>
      </w:pPr>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2</w:t>
      </w:r>
      <w:r>
        <w:rPr>
          <w:color w:val="000000"/>
          <w:spacing w:val="0"/>
          <w:w w:val="100"/>
          <w:position w:val="0"/>
        </w:rPr>
        <w:t>、内控自我评价报告</w:t>
      </w:r>
      <w:bookmarkEnd w:id="683"/>
      <w:bookmarkEnd w:id="684"/>
      <w:bookmarkEnd w:id="685"/>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72.11%</w:t>
            </w:r>
          </w:p>
        </w:tc>
      </w:tr>
      <w:tr>
        <w:trPr>
          <w:trHeight w:val="710"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50.25%</w:t>
            </w:r>
          </w:p>
        </w:tc>
      </w:tr>
      <w:tr>
        <w:trPr>
          <w:trHeight w:val="403" w:hRule="exact"/>
        </w:trPr>
        <w:tc>
          <w:tcPr>
            <w:gridSpan w:val="3"/>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3490"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公司确定的财务报告内部控制缺陷评价的 定性标准如下：（</w:t>
            </w:r>
            <w:r>
              <w:rPr>
                <w:color w:val="000000"/>
                <w:spacing w:val="0"/>
                <w:w w:val="100"/>
                <w:position w:val="0"/>
                <w:sz w:val="18"/>
                <w:szCs w:val="18"/>
              </w:rPr>
              <w:t>1</w:t>
            </w:r>
            <w:r>
              <w:rPr>
                <w:rFonts w:ascii="SimSun" w:eastAsia="SimSun" w:hAnsi="SimSun" w:cs="SimSun"/>
                <w:color w:val="000000"/>
                <w:spacing w:val="0"/>
                <w:w w:val="100"/>
                <w:position w:val="0"/>
                <w:sz w:val="17"/>
                <w:szCs w:val="17"/>
              </w:rPr>
              <w:t>）重大缺陷</w:t>
            </w:r>
            <w:r>
              <w:rPr>
                <w:color w:val="000000"/>
                <w:spacing w:val="0"/>
                <w:w w:val="100"/>
                <w:position w:val="0"/>
                <w:sz w:val="18"/>
                <w:szCs w:val="18"/>
              </w:rPr>
              <w:t>:</w:t>
            </w:r>
            <w:r>
              <w:rPr>
                <w:rFonts w:ascii="SimSun" w:eastAsia="SimSun" w:hAnsi="SimSun" w:cs="SimSun"/>
                <w:color w:val="000000"/>
                <w:spacing w:val="0"/>
                <w:w w:val="100"/>
                <w:position w:val="0"/>
                <w:sz w:val="17"/>
                <w:szCs w:val="17"/>
              </w:rPr>
              <w:t>具有以下特 征的缺陷定性为重大缺陷：①公司董事、 监事和高级管理人员舞弊；②已公布的财 务报表出现重大错报而需进行更正；③注 册会计师发现当期财务报表存在重大错 报，而公司内部控制在运行过程中未能发 现该错报；（</w:t>
            </w:r>
            <w:r>
              <w:rPr>
                <w:color w:val="000000"/>
                <w:spacing w:val="0"/>
                <w:w w:val="100"/>
                <w:position w:val="0"/>
                <w:sz w:val="18"/>
                <w:szCs w:val="18"/>
              </w:rPr>
              <w:t>2</w:t>
            </w:r>
            <w:r>
              <w:rPr>
                <w:rFonts w:ascii="SimSun" w:eastAsia="SimSun" w:hAnsi="SimSun" w:cs="SimSun"/>
                <w:color w:val="000000"/>
                <w:spacing w:val="0"/>
                <w:w w:val="100"/>
                <w:position w:val="0"/>
                <w:sz w:val="17"/>
                <w:szCs w:val="17"/>
              </w:rPr>
              <w:t>）重要缺陷</w:t>
            </w:r>
            <w:r>
              <w:rPr>
                <w:color w:val="000000"/>
                <w:spacing w:val="0"/>
                <w:w w:val="100"/>
                <w:position w:val="0"/>
                <w:sz w:val="18"/>
                <w:szCs w:val="18"/>
              </w:rPr>
              <w:t>:</w:t>
            </w:r>
            <w:r>
              <w:rPr>
                <w:rFonts w:ascii="SimSun" w:eastAsia="SimSun" w:hAnsi="SimSun" w:cs="SimSun"/>
                <w:color w:val="000000"/>
                <w:spacing w:val="0"/>
                <w:w w:val="100"/>
                <w:position w:val="0"/>
                <w:sz w:val="17"/>
                <w:szCs w:val="17"/>
              </w:rPr>
              <w:t>具有以下特征的 缺陷定性为重要缺陷：①未依照《企业会 计准则》选择和应用会计政策；②未建立 反舞弊制度和控制措施；③对于期末财务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确定的非财务报告内部控制缺陷评价 的定性标准如下：（</w:t>
            </w:r>
            <w:r>
              <w:rPr>
                <w:color w:val="000000"/>
                <w:spacing w:val="0"/>
                <w:w w:val="100"/>
                <w:position w:val="0"/>
                <w:sz w:val="18"/>
                <w:szCs w:val="18"/>
              </w:rPr>
              <w:t>1</w:t>
            </w:r>
            <w:r>
              <w:rPr>
                <w:rFonts w:ascii="SimSun" w:eastAsia="SimSun" w:hAnsi="SimSun" w:cs="SimSun"/>
                <w:color w:val="000000"/>
                <w:spacing w:val="0"/>
                <w:w w:val="100"/>
                <w:position w:val="0"/>
                <w:sz w:val="17"/>
                <w:szCs w:val="17"/>
              </w:rPr>
              <w:t>）重大缺陷。公司 根据缺陷直接或潜在负面影响的性质、 影响的范围等因素进行判断，具有以下 特征的缺陷定性为重大缺陷：①严重违 犯国家法律、行政法规和规范性文件， 受到政府部门或监管机构调查、处罚， 造成重大经济损失或企业声誉严重受 损；②因决策程序不科学，导致重大失 误，造成重大损失；③内部控制评价的 结果特别是重大缺陷未得到整改；（</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4421"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报告过程的控制存在一项或多项缺陷且不 能合理保证编制的财务报表达到真实、完 整的目标。（</w:t>
            </w:r>
            <w:r>
              <w:rPr>
                <w:color w:val="000000"/>
                <w:spacing w:val="0"/>
                <w:w w:val="100"/>
                <w:position w:val="0"/>
                <w:sz w:val="18"/>
                <w:szCs w:val="18"/>
              </w:rPr>
              <w:t>3</w:t>
            </w:r>
            <w:r>
              <w:rPr>
                <w:rFonts w:ascii="SimSun" w:eastAsia="SimSun" w:hAnsi="SimSun" w:cs="SimSun"/>
                <w:color w:val="000000"/>
                <w:spacing w:val="0"/>
                <w:w w:val="100"/>
                <w:position w:val="0"/>
                <w:sz w:val="17"/>
                <w:szCs w:val="17"/>
              </w:rPr>
              <w:t>）一般缺陷：指未构成重大 缺陷、重要缺陷标准的其他内部控制缺陷。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重要缺陷。公司根据缺陷直接或潜在负 面影响的性质、影响的范围等因素进行 判断，具有以下特征的缺陷定性为重要 缺陷：①违犯国家法律、行政法规和规 范性文件，受到政府部门或监管机构调 查、处罚，造成较大经济损失或对企业 声誉造成较大损害；②决策程序导致出 现重要失误，造成较大损失；③内部控 制评价的结果特别是重要缺陷未得到 整改；④重要业务制度或流程存在重要 缺陷或未有效执行，对公司造成重要的 负面影响。（</w:t>
            </w:r>
            <w:r>
              <w:rPr>
                <w:color w:val="000000"/>
                <w:spacing w:val="0"/>
                <w:w w:val="100"/>
                <w:position w:val="0"/>
                <w:sz w:val="18"/>
                <w:szCs w:val="18"/>
              </w:rPr>
              <w:t>3</w:t>
            </w:r>
            <w:r>
              <w:rPr>
                <w:rFonts w:ascii="SimSun" w:eastAsia="SimSun" w:hAnsi="SimSun" w:cs="SimSun"/>
                <w:color w:val="000000"/>
                <w:spacing w:val="0"/>
                <w:w w:val="100"/>
                <w:position w:val="0"/>
                <w:sz w:val="17"/>
                <w:szCs w:val="17"/>
              </w:rPr>
              <w:t>）一般缺陷。指未构成重 大缺陷、重要缺陷标准的其他内部控制 缺陷。</w:t>
            </w:r>
          </w:p>
        </w:tc>
      </w:tr>
      <w:tr>
        <w:trPr>
          <w:trHeight w:val="196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重大缺陷：潜在错报金额</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合并会计报表资 产总额的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。重要缺陷：合并会计报表 资产总额的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潜在错报金额</w:t>
            </w:r>
            <w:r>
              <w:rPr>
                <w:color w:val="000000"/>
                <w:spacing w:val="0"/>
                <w:w w:val="100"/>
                <w:position w:val="0"/>
                <w:sz w:val="18"/>
                <w:szCs w:val="18"/>
              </w:rPr>
              <w:t>S</w:t>
            </w:r>
            <w:r>
              <w:rPr>
                <w:rFonts w:ascii="SimSun" w:eastAsia="SimSun" w:hAnsi="SimSun" w:cs="SimSun"/>
                <w:color w:val="000000"/>
                <w:spacing w:val="0"/>
                <w:w w:val="100"/>
                <w:position w:val="0"/>
                <w:sz w:val="17"/>
                <w:szCs w:val="17"/>
              </w:rPr>
              <w:t>合并会 计报表资产总额的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。一般缺陷：潜在错 报金额</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合并会计报表资产总额的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重大缺陷：直接财产损失金额</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合并会 计报表资产总额的</w:t>
            </w:r>
            <w:r>
              <w:rPr>
                <w:color w:val="000000"/>
                <w:spacing w:val="0"/>
                <w:w w:val="100"/>
                <w:position w:val="0"/>
                <w:sz w:val="18"/>
                <w:szCs w:val="18"/>
              </w:rPr>
              <w:t>1%</w:t>
            </w:r>
            <w:r>
              <w:rPr>
                <w:rFonts w:ascii="SimSun" w:eastAsia="SimSun" w:hAnsi="SimSun" w:cs="SimSun"/>
                <w:color w:val="000000"/>
                <w:spacing w:val="0"/>
                <w:w w:val="100"/>
                <w:position w:val="0"/>
                <w:sz w:val="17"/>
                <w:szCs w:val="17"/>
              </w:rPr>
              <w:t>。重要缺陷：合 并会计报表资产总额的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直接财 产损失金额</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合并会计报表资产总额的 </w:t>
            </w:r>
            <w:r>
              <w:rPr>
                <w:color w:val="000000"/>
                <w:spacing w:val="0"/>
                <w:w w:val="100"/>
                <w:position w:val="0"/>
                <w:sz w:val="18"/>
                <w:szCs w:val="18"/>
              </w:rPr>
              <w:t>1%</w:t>
            </w:r>
            <w:r>
              <w:rPr>
                <w:rFonts w:ascii="SimSun" w:eastAsia="SimSun" w:hAnsi="SimSun" w:cs="SimSun"/>
                <w:color w:val="000000"/>
                <w:spacing w:val="0"/>
                <w:w w:val="100"/>
                <w:position w:val="0"/>
                <w:sz w:val="17"/>
                <w:szCs w:val="17"/>
              </w:rPr>
              <w:t>。一般缺陷：直接财产损失金额</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合 并会计报表资产总额的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686" w:name="bookmark686"/>
      <w:bookmarkStart w:id="687" w:name="bookmark687"/>
      <w:bookmarkStart w:id="688" w:name="bookmark688"/>
      <w:r>
        <w:rPr>
          <w:color w:val="000000"/>
          <w:spacing w:val="0"/>
          <w:w w:val="100"/>
          <w:position w:val="0"/>
        </w:rPr>
        <w:t>十一、内部控制审计报告</w:t>
      </w:r>
      <w:bookmarkEnd w:id="686"/>
      <w:bookmarkEnd w:id="687"/>
      <w:bookmarkEnd w:id="688"/>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我们认为，东旭蓝天公司于</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日按照《企业内部控制基本规范》和相关规定在所有重大方面保持了有效的 财务报告内部控制。</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内控审计报告披露情况</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内部控制审计报告全文披露日期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内部控制审计报告全文披露索引</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内控审计报告意见类型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带强调事项段无保留意见</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会计师事务所是否出具非标准意见的内部控制审计报告</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会计师事务所出具的内部控制审计报告与董事会的自我评价报告意见是否一致</w:t>
      </w:r>
    </w:p>
    <w:p>
      <w:pPr>
        <w:pStyle w:val="Style26"/>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0"/>
        <w:keepNext/>
        <w:keepLines/>
        <w:widowControl w:val="0"/>
        <w:shd w:val="clear" w:color="auto" w:fill="auto"/>
        <w:bidi w:val="0"/>
        <w:spacing w:before="0" w:after="440" w:line="240" w:lineRule="auto"/>
        <w:ind w:left="0" w:right="0" w:firstLine="0"/>
        <w:jc w:val="center"/>
      </w:pPr>
      <w:bookmarkStart w:id="689" w:name="bookmark689"/>
      <w:bookmarkStart w:id="690" w:name="bookmark690"/>
      <w:bookmarkStart w:id="691" w:name="bookmark691"/>
      <w:r>
        <w:rPr>
          <w:color w:val="000000"/>
          <w:spacing w:val="0"/>
          <w:w w:val="100"/>
          <w:position w:val="0"/>
        </w:rPr>
        <w:t>第十一节公司债券相关情况</w:t>
      </w:r>
      <w:bookmarkEnd w:id="689"/>
      <w:bookmarkEnd w:id="690"/>
      <w:bookmarkEnd w:id="691"/>
    </w:p>
    <w:p>
      <w:pPr>
        <w:pStyle w:val="Style26"/>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321" w:right="1055" w:bottom="1451" w:left="1058" w:header="0" w:footer="3" w:gutter="0"/>
          <w:cols w:space="720"/>
          <w:noEndnote/>
          <w:rtlGutter w:val="0"/>
          <w:docGrid w:linePitch="360"/>
        </w:sectPr>
      </w:pPr>
      <w:bookmarkStart w:id="692" w:name="bookmark692"/>
      <w:r>
        <w:rPr>
          <w:color w:val="000000"/>
          <w:spacing w:val="0"/>
          <w:w w:val="100"/>
          <w:position w:val="0"/>
        </w:rPr>
        <w:t>公司是否存在公开发行并在证券交易所上市，且在年度报告批准报出日未到期或到期未能全额兑付的公司债券 否</w:t>
      </w:r>
      <w:bookmarkEnd w:id="692"/>
    </w:p>
    <w:p>
      <w:pPr>
        <w:pStyle w:val="Style10"/>
        <w:keepNext/>
        <w:keepLines/>
        <w:widowControl w:val="0"/>
        <w:shd w:val="clear" w:color="auto" w:fill="auto"/>
        <w:bidi w:val="0"/>
        <w:spacing w:before="480" w:line="240" w:lineRule="auto"/>
        <w:ind w:left="0" w:right="0" w:firstLine="0"/>
        <w:jc w:val="center"/>
      </w:pPr>
      <w:bookmarkStart w:id="693" w:name="bookmark693"/>
      <w:bookmarkStart w:id="694" w:name="bookmark694"/>
      <w:bookmarkStart w:id="695" w:name="bookmark695"/>
      <w:r>
        <w:rPr>
          <w:color w:val="000000"/>
          <w:spacing w:val="0"/>
          <w:w w:val="100"/>
          <w:position w:val="0"/>
        </w:rPr>
        <w:t>第十二节财务报告</w:t>
      </w:r>
      <w:bookmarkEnd w:id="693"/>
      <w:bookmarkEnd w:id="694"/>
      <w:bookmarkEnd w:id="695"/>
    </w:p>
    <w:p>
      <w:pPr>
        <w:pStyle w:val="Style24"/>
        <w:keepNext w:val="0"/>
        <w:keepLines w:val="0"/>
        <w:widowControl w:val="0"/>
        <w:shd w:val="clear" w:color="auto" w:fill="auto"/>
        <w:bidi w:val="0"/>
        <w:spacing w:before="0" w:after="0" w:line="240" w:lineRule="auto"/>
        <w:ind w:left="0" w:right="0" w:firstLine="0"/>
        <w:jc w:val="left"/>
        <w:rPr>
          <w:sz w:val="22"/>
          <w:szCs w:val="22"/>
        </w:rPr>
      </w:pPr>
      <w:bookmarkStart w:id="696" w:name="bookmark696"/>
      <w:bookmarkStart w:id="697" w:name="bookmark697"/>
      <w:r>
        <w:rPr>
          <w:b/>
          <w:bCs/>
          <w:color w:val="000000"/>
          <w:spacing w:val="0"/>
          <w:w w:val="100"/>
          <w:position w:val="0"/>
          <w:sz w:val="22"/>
          <w:szCs w:val="22"/>
        </w:rPr>
        <w:t>一、审计报告</w:t>
      </w:r>
      <w:bookmarkEnd w:id="697"/>
      <w:bookmarkEnd w:id="69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带强调事项段的无保留意见</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中兴华会计师事务所(特殊普通合伙)</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中兴财光华审会字</w:t>
            </w:r>
            <w:r>
              <w:rPr>
                <w:color w:val="000000"/>
                <w:spacing w:val="0"/>
                <w:w w:val="100"/>
                <w:position w:val="0"/>
                <w:sz w:val="18"/>
                <w:szCs w:val="18"/>
              </w:rPr>
              <w:t>(2020)</w:t>
            </w:r>
            <w:r>
              <w:rPr>
                <w:rFonts w:ascii="SimSun" w:eastAsia="SimSun" w:hAnsi="SimSun" w:cs="SimSun"/>
                <w:color w:val="000000"/>
                <w:spacing w:val="0"/>
                <w:w w:val="100"/>
                <w:position w:val="0"/>
                <w:sz w:val="17"/>
                <w:szCs w:val="17"/>
              </w:rPr>
              <w:t>第</w:t>
            </w:r>
            <w:r>
              <w:rPr>
                <w:color w:val="000000"/>
                <w:spacing w:val="0"/>
                <w:w w:val="100"/>
                <w:position w:val="0"/>
                <w:sz w:val="18"/>
                <w:szCs w:val="18"/>
              </w:rPr>
              <w:t>105033</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康利岩、王雅栋</w:t>
            </w:r>
          </w:p>
        </w:tc>
      </w:tr>
    </w:tbl>
    <w:p>
      <w:pPr>
        <w:pStyle w:val="Style24"/>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239" w:line="1" w:lineRule="exact"/>
      </w:pPr>
    </w:p>
    <w:p>
      <w:pPr>
        <w:pStyle w:val="Style12"/>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审计报告</w:t>
      </w:r>
    </w:p>
    <w:p>
      <w:pPr>
        <w:pStyle w:val="Style19"/>
        <w:keepNext w:val="0"/>
        <w:keepLines w:val="0"/>
        <w:widowControl w:val="0"/>
        <w:shd w:val="clear" w:color="auto" w:fill="auto"/>
        <w:bidi w:val="0"/>
        <w:spacing w:before="0" w:after="300" w:line="313" w:lineRule="exact"/>
        <w:ind w:left="0" w:right="0" w:firstLine="0"/>
        <w:jc w:val="right"/>
        <w:rPr>
          <w:sz w:val="22"/>
          <w:szCs w:val="22"/>
        </w:rPr>
      </w:pPr>
      <w:r>
        <w:rPr>
          <w:rFonts w:ascii="SimSun" w:eastAsia="SimSun" w:hAnsi="SimSun" w:cs="SimSun"/>
          <w:color w:val="000000"/>
          <w:spacing w:val="0"/>
          <w:w w:val="100"/>
          <w:position w:val="0"/>
          <w:sz w:val="22"/>
          <w:szCs w:val="22"/>
        </w:rPr>
        <w:t>中兴财光华审会字</w:t>
      </w:r>
      <w:r>
        <w:rPr>
          <w:color w:val="000000"/>
          <w:spacing w:val="0"/>
          <w:w w:val="100"/>
          <w:position w:val="0"/>
          <w:sz w:val="24"/>
          <w:szCs w:val="24"/>
        </w:rPr>
        <w:t>(2020)</w:t>
      </w:r>
      <w:r>
        <w:rPr>
          <w:rFonts w:ascii="SimSun" w:eastAsia="SimSun" w:hAnsi="SimSun" w:cs="SimSun"/>
          <w:color w:val="000000"/>
          <w:spacing w:val="0"/>
          <w:w w:val="100"/>
          <w:position w:val="0"/>
          <w:sz w:val="22"/>
          <w:szCs w:val="22"/>
        </w:rPr>
        <w:t>第</w:t>
      </w:r>
      <w:r>
        <w:rPr>
          <w:color w:val="000000"/>
          <w:spacing w:val="0"/>
          <w:w w:val="100"/>
          <w:position w:val="0"/>
          <w:sz w:val="24"/>
          <w:szCs w:val="24"/>
        </w:rPr>
        <w:t>105033</w:t>
      </w:r>
      <w:r>
        <w:rPr>
          <w:rFonts w:ascii="SimSun" w:eastAsia="SimSun" w:hAnsi="SimSun" w:cs="SimSun"/>
          <w:color w:val="000000"/>
          <w:spacing w:val="0"/>
          <w:w w:val="100"/>
          <w:position w:val="0"/>
          <w:sz w:val="22"/>
          <w:szCs w:val="22"/>
        </w:rPr>
        <w:t>号</w:t>
      </w:r>
    </w:p>
    <w:p>
      <w:pPr>
        <w:pStyle w:val="Style33"/>
        <w:keepNext w:val="0"/>
        <w:keepLines w:val="0"/>
        <w:widowControl w:val="0"/>
        <w:shd w:val="clear" w:color="auto" w:fill="auto"/>
        <w:bidi w:val="0"/>
        <w:spacing w:before="0" w:after="300" w:line="313" w:lineRule="exact"/>
        <w:ind w:left="0" w:right="0" w:firstLine="0"/>
        <w:jc w:val="left"/>
        <w:rPr>
          <w:sz w:val="22"/>
          <w:szCs w:val="22"/>
        </w:rPr>
      </w:pPr>
      <w:r>
        <w:rPr>
          <w:color w:val="000000"/>
          <w:spacing w:val="0"/>
          <w:w w:val="100"/>
          <w:position w:val="0"/>
          <w:sz w:val="22"/>
          <w:szCs w:val="22"/>
        </w:rPr>
        <w:t>东旭蓝天新能源股份有限公司全体股东：</w:t>
      </w:r>
    </w:p>
    <w:p>
      <w:pPr>
        <w:pStyle w:val="Style33"/>
        <w:keepNext w:val="0"/>
        <w:keepLines w:val="0"/>
        <w:widowControl w:val="0"/>
        <w:shd w:val="clear" w:color="auto" w:fill="auto"/>
        <w:tabs>
          <w:tab w:pos="962" w:val="left"/>
        </w:tabs>
        <w:bidi w:val="0"/>
        <w:spacing w:before="0" w:after="0" w:line="313" w:lineRule="exact"/>
        <w:ind w:left="0" w:right="0" w:firstLine="440"/>
        <w:jc w:val="both"/>
        <w:rPr>
          <w:sz w:val="22"/>
          <w:szCs w:val="22"/>
        </w:rPr>
      </w:pPr>
      <w:bookmarkStart w:id="698" w:name="bookmark698"/>
      <w:r>
        <w:rPr>
          <w:b/>
          <w:bCs/>
          <w:color w:val="000000"/>
          <w:spacing w:val="0"/>
          <w:w w:val="100"/>
          <w:position w:val="0"/>
          <w:sz w:val="22"/>
          <w:szCs w:val="22"/>
        </w:rPr>
        <w:t>一</w:t>
      </w:r>
      <w:bookmarkEnd w:id="698"/>
      <w:r>
        <w:rPr>
          <w:b/>
          <w:bCs/>
          <w:color w:val="000000"/>
          <w:spacing w:val="0"/>
          <w:w w:val="100"/>
          <w:position w:val="0"/>
          <w:sz w:val="22"/>
          <w:szCs w:val="22"/>
        </w:rPr>
        <w:t>、</w:t>
        <w:tab/>
        <w:t>审计意见</w:t>
      </w:r>
    </w:p>
    <w:p>
      <w:pPr>
        <w:pStyle w:val="Style33"/>
        <w:keepNext w:val="0"/>
        <w:keepLines w:val="0"/>
        <w:widowControl w:val="0"/>
        <w:shd w:val="clear" w:color="auto" w:fill="auto"/>
        <w:bidi w:val="0"/>
        <w:spacing w:before="0" w:after="0" w:line="313" w:lineRule="exact"/>
        <w:ind w:left="0" w:right="0" w:firstLine="440"/>
        <w:jc w:val="both"/>
        <w:rPr>
          <w:sz w:val="22"/>
          <w:szCs w:val="22"/>
        </w:rPr>
      </w:pPr>
      <w:r>
        <w:rPr>
          <w:color w:val="000000"/>
          <w:spacing w:val="0"/>
          <w:w w:val="100"/>
          <w:position w:val="0"/>
          <w:sz w:val="22"/>
          <w:szCs w:val="22"/>
        </w:rPr>
        <w:t>我们审计了东旭蓝天新能源股份有限公司(以下简称东旭蓝天公司)财务报表，包括</w:t>
      </w:r>
      <w:r>
        <w:rPr>
          <w:rFonts w:ascii="Times New Roman" w:eastAsia="Times New Roman" w:hAnsi="Times New Roman" w:cs="Times New Roman"/>
          <w:color w:val="000000"/>
          <w:spacing w:val="0"/>
          <w:w w:val="100"/>
          <w:position w:val="0"/>
          <w:sz w:val="24"/>
          <w:szCs w:val="24"/>
        </w:rPr>
        <w:t xml:space="preserve">2019 </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日的合并及公司资产负债表，</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年度的合并及公司利润表、合并及公司现金流 量表、合并及公司股东权益变动表以及财务报表附注。</w:t>
      </w:r>
    </w:p>
    <w:p>
      <w:pPr>
        <w:pStyle w:val="Style33"/>
        <w:keepNext w:val="0"/>
        <w:keepLines w:val="0"/>
        <w:widowControl w:val="0"/>
        <w:shd w:val="clear" w:color="auto" w:fill="auto"/>
        <w:bidi w:val="0"/>
        <w:spacing w:before="0" w:after="300" w:line="313" w:lineRule="exact"/>
        <w:ind w:left="0" w:right="0" w:firstLine="440"/>
        <w:jc w:val="both"/>
        <w:rPr>
          <w:sz w:val="22"/>
          <w:szCs w:val="22"/>
        </w:rPr>
      </w:pPr>
      <w:r>
        <w:rPr>
          <w:color w:val="000000"/>
          <w:spacing w:val="0"/>
          <w:w w:val="100"/>
          <w:position w:val="0"/>
          <w:sz w:val="22"/>
          <w:szCs w:val="22"/>
        </w:rPr>
        <w:t>我们认为，后附的财务报表在所有重大方面按照企业会计准则的规定编制，公允反映了 东旭蓝天公司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日的合并及公司财务状况以及</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年度的合并及公司经营 成果和现金流量。</w:t>
      </w:r>
    </w:p>
    <w:p>
      <w:pPr>
        <w:pStyle w:val="Style33"/>
        <w:keepNext w:val="0"/>
        <w:keepLines w:val="0"/>
        <w:widowControl w:val="0"/>
        <w:shd w:val="clear" w:color="auto" w:fill="auto"/>
        <w:tabs>
          <w:tab w:pos="962" w:val="left"/>
        </w:tabs>
        <w:bidi w:val="0"/>
        <w:spacing w:before="0" w:after="0" w:line="310" w:lineRule="exact"/>
        <w:ind w:left="0" w:right="0" w:firstLine="440"/>
        <w:jc w:val="both"/>
        <w:rPr>
          <w:sz w:val="22"/>
          <w:szCs w:val="22"/>
        </w:rPr>
      </w:pPr>
      <w:bookmarkStart w:id="699" w:name="bookmark699"/>
      <w:r>
        <w:rPr>
          <w:b/>
          <w:bCs/>
          <w:color w:val="000000"/>
          <w:spacing w:val="0"/>
          <w:w w:val="100"/>
          <w:position w:val="0"/>
          <w:sz w:val="22"/>
          <w:szCs w:val="22"/>
        </w:rPr>
        <w:t>二</w:t>
      </w:r>
      <w:bookmarkEnd w:id="699"/>
      <w:r>
        <w:rPr>
          <w:b/>
          <w:bCs/>
          <w:color w:val="000000"/>
          <w:spacing w:val="0"/>
          <w:w w:val="100"/>
          <w:position w:val="0"/>
          <w:sz w:val="22"/>
          <w:szCs w:val="22"/>
        </w:rPr>
        <w:t>、</w:t>
        <w:tab/>
        <w:t>形成审计意见的基础</w:t>
      </w:r>
    </w:p>
    <w:p>
      <w:pPr>
        <w:pStyle w:val="Style33"/>
        <w:keepNext w:val="0"/>
        <w:keepLines w:val="0"/>
        <w:widowControl w:val="0"/>
        <w:shd w:val="clear" w:color="auto" w:fill="auto"/>
        <w:bidi w:val="0"/>
        <w:spacing w:before="0" w:after="360" w:line="310" w:lineRule="exact"/>
        <w:ind w:left="0" w:right="0" w:firstLine="440"/>
        <w:jc w:val="both"/>
        <w:rPr>
          <w:sz w:val="22"/>
          <w:szCs w:val="22"/>
        </w:rPr>
      </w:pPr>
      <w:r>
        <w:rPr>
          <w:color w:val="000000"/>
          <w:spacing w:val="0"/>
          <w:w w:val="100"/>
          <w:position w:val="0"/>
          <w:sz w:val="22"/>
          <w:szCs w:val="22"/>
        </w:rPr>
        <w:t>我们按照中国注册会计师审计准则的规定执行了审计工作。审计报告的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注册会计师对财 务报表审计的责任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部分进一步阐述了我们在这些准则下的责任。按照中国注册会计师职业道 德守则，我们独立于东旭蓝天公司，并履行了职业道德方面的其他责任。我们相信，我们获 取的审计证据是充分、适当的，为发表审计意见提供了基础。</w:t>
      </w:r>
    </w:p>
    <w:p>
      <w:pPr>
        <w:pStyle w:val="Style33"/>
        <w:keepNext w:val="0"/>
        <w:keepLines w:val="0"/>
        <w:widowControl w:val="0"/>
        <w:shd w:val="clear" w:color="auto" w:fill="auto"/>
        <w:bidi w:val="0"/>
        <w:spacing w:before="0" w:after="0" w:line="300" w:lineRule="auto"/>
        <w:ind w:left="0" w:right="0" w:firstLine="580"/>
        <w:jc w:val="both"/>
        <w:rPr>
          <w:sz w:val="22"/>
          <w:szCs w:val="22"/>
        </w:rPr>
      </w:pPr>
      <w:r>
        <w:rPr>
          <w:rFonts w:ascii="Arial" w:eastAsia="Arial" w:hAnsi="Arial" w:cs="Arial"/>
          <w:b/>
          <w:bCs/>
          <w:color w:val="000000"/>
          <w:spacing w:val="0"/>
          <w:w w:val="100"/>
          <w:position w:val="0"/>
          <w:sz w:val="22"/>
          <w:szCs w:val="22"/>
        </w:rPr>
        <w:t>3</w:t>
      </w:r>
      <w:r>
        <w:rPr>
          <w:b/>
          <w:bCs/>
          <w:color w:val="000000"/>
          <w:spacing w:val="0"/>
          <w:w w:val="100"/>
          <w:position w:val="0"/>
          <w:sz w:val="22"/>
          <w:szCs w:val="22"/>
        </w:rPr>
        <w:t>.强调事项</w:t>
      </w:r>
    </w:p>
    <w:p>
      <w:pPr>
        <w:pStyle w:val="Style33"/>
        <w:keepNext w:val="0"/>
        <w:keepLines w:val="0"/>
        <w:widowControl w:val="0"/>
        <w:shd w:val="clear" w:color="auto" w:fill="auto"/>
        <w:bidi w:val="0"/>
        <w:spacing w:before="0" w:after="0" w:line="317" w:lineRule="exact"/>
        <w:ind w:left="0" w:right="0" w:firstLine="440"/>
        <w:jc w:val="left"/>
        <w:rPr>
          <w:sz w:val="22"/>
          <w:szCs w:val="22"/>
        </w:rPr>
      </w:pPr>
      <w:r>
        <w:rPr>
          <w:color w:val="000000"/>
          <w:spacing w:val="0"/>
          <w:w w:val="100"/>
          <w:position w:val="0"/>
          <w:sz w:val="22"/>
          <w:szCs w:val="22"/>
        </w:rPr>
        <w:t>我们提醒财务报表使用者关注，截至</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日，东旭蓝天在东旭集团财务有限公 司存款余额为</w:t>
      </w:r>
      <w:r>
        <w:rPr>
          <w:rFonts w:ascii="Times New Roman" w:eastAsia="Times New Roman" w:hAnsi="Times New Roman" w:cs="Times New Roman"/>
          <w:color w:val="000000"/>
          <w:spacing w:val="0"/>
          <w:w w:val="100"/>
          <w:position w:val="0"/>
          <w:sz w:val="24"/>
          <w:szCs w:val="24"/>
        </w:rPr>
        <w:t>28.72</w:t>
      </w:r>
      <w:r>
        <w:rPr>
          <w:color w:val="000000"/>
          <w:spacing w:val="0"/>
          <w:w w:val="100"/>
          <w:position w:val="0"/>
          <w:sz w:val="22"/>
          <w:szCs w:val="22"/>
        </w:rPr>
        <w:t>亿元，由于东旭集团财务有限公司出现资金流动性问题，导致东旭蓝天在 东旭集团财务有限公司的存款支取受到限制，东旭蓝天在东旭集团财务有限公司的定期存款 按期收回存在不确定性。</w:t>
      </w:r>
    </w:p>
    <w:p>
      <w:pPr>
        <w:pStyle w:val="Style33"/>
        <w:keepNext w:val="0"/>
        <w:keepLines w:val="0"/>
        <w:widowControl w:val="0"/>
        <w:shd w:val="clear" w:color="auto" w:fill="auto"/>
        <w:bidi w:val="0"/>
        <w:spacing w:before="0" w:after="300" w:line="317" w:lineRule="exact"/>
        <w:ind w:left="0" w:right="0" w:firstLine="440"/>
        <w:jc w:val="both"/>
        <w:rPr>
          <w:sz w:val="22"/>
          <w:szCs w:val="22"/>
        </w:rPr>
      </w:pPr>
      <w:r>
        <w:rPr>
          <w:color w:val="000000"/>
          <w:spacing w:val="0"/>
          <w:w w:val="100"/>
          <w:position w:val="0"/>
          <w:sz w:val="22"/>
          <w:szCs w:val="22"/>
        </w:rPr>
        <w:t>本段内容不影响已发表的审计意见。</w:t>
      </w:r>
    </w:p>
    <w:p>
      <w:pPr>
        <w:pStyle w:val="Style33"/>
        <w:keepNext w:val="0"/>
        <w:keepLines w:val="0"/>
        <w:widowControl w:val="0"/>
        <w:shd w:val="clear" w:color="auto" w:fill="auto"/>
        <w:bidi w:val="0"/>
        <w:spacing w:before="0" w:after="0" w:line="313" w:lineRule="exact"/>
        <w:ind w:left="0" w:right="0" w:firstLine="440"/>
        <w:jc w:val="both"/>
        <w:rPr>
          <w:sz w:val="22"/>
          <w:szCs w:val="22"/>
        </w:rPr>
      </w:pPr>
      <w:bookmarkStart w:id="700" w:name="bookmark700"/>
      <w:r>
        <w:rPr>
          <w:b/>
          <w:bCs/>
          <w:color w:val="000000"/>
          <w:spacing w:val="0"/>
          <w:w w:val="100"/>
          <w:position w:val="0"/>
          <w:sz w:val="22"/>
          <w:szCs w:val="22"/>
        </w:rPr>
        <w:t>四</w:t>
      </w:r>
      <w:bookmarkEnd w:id="700"/>
      <w:r>
        <w:rPr>
          <w:b/>
          <w:bCs/>
          <w:color w:val="000000"/>
          <w:spacing w:val="0"/>
          <w:w w:val="100"/>
          <w:position w:val="0"/>
          <w:sz w:val="22"/>
          <w:szCs w:val="22"/>
        </w:rPr>
        <w:t>、关键审计事项</w:t>
      </w:r>
    </w:p>
    <w:p>
      <w:pPr>
        <w:pStyle w:val="Style33"/>
        <w:keepNext w:val="0"/>
        <w:keepLines w:val="0"/>
        <w:widowControl w:val="0"/>
        <w:shd w:val="clear" w:color="auto" w:fill="auto"/>
        <w:bidi w:val="0"/>
        <w:spacing w:before="0" w:after="0" w:line="313" w:lineRule="exact"/>
        <w:ind w:left="0" w:right="0" w:firstLine="440"/>
        <w:jc w:val="both"/>
        <w:rPr>
          <w:sz w:val="22"/>
          <w:szCs w:val="22"/>
        </w:rPr>
      </w:pPr>
      <w:r>
        <w:rPr>
          <w:color w:val="000000"/>
          <w:spacing w:val="0"/>
          <w:w w:val="100"/>
          <w:position w:val="0"/>
          <w:sz w:val="22"/>
          <w:szCs w:val="22"/>
        </w:rPr>
        <w:t xml:space="preserve">关键审计事项是我们根据职业判断，认为对本期财务报表审计最为重要的事项。这些事 </w:t>
      </w:r>
      <w:r>
        <w:rPr>
          <w:color w:val="000000"/>
          <w:spacing w:val="0"/>
          <w:w w:val="100"/>
          <w:position w:val="0"/>
          <w:sz w:val="22"/>
          <w:szCs w:val="22"/>
        </w:rPr>
        <w:t>项的应对以对财务报表整体进行审计并形成审计意见为背景，我们不对这些事项单独发表意 见。</w:t>
      </w:r>
    </w:p>
    <w:p>
      <w:pPr>
        <w:pStyle w:val="Style33"/>
        <w:keepNext w:val="0"/>
        <w:keepLines w:val="0"/>
        <w:widowControl w:val="0"/>
        <w:shd w:val="clear" w:color="auto" w:fill="auto"/>
        <w:bidi w:val="0"/>
        <w:spacing w:before="0" w:after="300" w:line="317" w:lineRule="exact"/>
        <w:ind w:left="0" w:right="0" w:firstLine="440"/>
        <w:jc w:val="both"/>
        <w:rPr>
          <w:sz w:val="22"/>
          <w:szCs w:val="22"/>
        </w:rPr>
      </w:pPr>
      <w:r>
        <w:rPr>
          <w:color w:val="000000"/>
          <w:spacing w:val="0"/>
          <w:w w:val="100"/>
          <w:position w:val="0"/>
          <w:sz w:val="22"/>
          <w:szCs w:val="22"/>
        </w:rPr>
        <w:t>我们确定下列事项是需要在审计报告中沟通的关键审计事项：</w:t>
      </w:r>
    </w:p>
    <w:p>
      <w:pPr>
        <w:pStyle w:val="Style33"/>
        <w:keepNext w:val="0"/>
        <w:keepLines w:val="0"/>
        <w:widowControl w:val="0"/>
        <w:shd w:val="clear" w:color="auto" w:fill="auto"/>
        <w:tabs>
          <w:tab w:pos="1086" w:val="left"/>
        </w:tabs>
        <w:bidi w:val="0"/>
        <w:spacing w:before="0" w:after="40" w:line="315" w:lineRule="exact"/>
        <w:ind w:left="0" w:right="0" w:firstLine="440"/>
        <w:jc w:val="both"/>
        <w:rPr>
          <w:sz w:val="22"/>
          <w:szCs w:val="22"/>
        </w:rPr>
      </w:pPr>
      <w:bookmarkStart w:id="701" w:name="bookmark701"/>
      <w:r>
        <w:rPr>
          <w:color w:val="000000"/>
          <w:spacing w:val="0"/>
          <w:w w:val="100"/>
          <w:position w:val="0"/>
          <w:sz w:val="22"/>
          <w:szCs w:val="22"/>
        </w:rPr>
        <w:t>（</w:t>
      </w:r>
      <w:bookmarkEnd w:id="701"/>
      <w:r>
        <w:rPr>
          <w:color w:val="000000"/>
          <w:spacing w:val="0"/>
          <w:w w:val="100"/>
          <w:position w:val="0"/>
          <w:sz w:val="22"/>
          <w:szCs w:val="22"/>
        </w:rPr>
        <w:t>一）</w:t>
        <w:tab/>
        <w:t>收入确认</w:t>
      </w:r>
    </w:p>
    <w:p>
      <w:pPr>
        <w:pStyle w:val="Style33"/>
        <w:keepNext w:val="0"/>
        <w:keepLines w:val="0"/>
        <w:widowControl w:val="0"/>
        <w:numPr>
          <w:ilvl w:val="0"/>
          <w:numId w:val="15"/>
        </w:numPr>
        <w:shd w:val="clear" w:color="auto" w:fill="auto"/>
        <w:tabs>
          <w:tab w:pos="770" w:val="left"/>
        </w:tabs>
        <w:bidi w:val="0"/>
        <w:spacing w:before="0" w:after="0" w:line="276" w:lineRule="auto"/>
        <w:ind w:left="0" w:right="0" w:firstLine="440"/>
        <w:jc w:val="both"/>
        <w:rPr>
          <w:sz w:val="22"/>
          <w:szCs w:val="22"/>
        </w:rPr>
      </w:pPr>
      <w:bookmarkStart w:id="702" w:name="bookmark702"/>
      <w:bookmarkEnd w:id="702"/>
      <w:r>
        <w:rPr>
          <w:color w:val="000000"/>
          <w:spacing w:val="0"/>
          <w:w w:val="100"/>
          <w:position w:val="0"/>
          <w:sz w:val="22"/>
          <w:szCs w:val="22"/>
        </w:rPr>
        <w:t>事项描述</w:t>
      </w:r>
    </w:p>
    <w:p>
      <w:pPr>
        <w:pStyle w:val="Style33"/>
        <w:keepNext w:val="0"/>
        <w:keepLines w:val="0"/>
        <w:widowControl w:val="0"/>
        <w:shd w:val="clear" w:color="auto" w:fill="auto"/>
        <w:bidi w:val="0"/>
        <w:spacing w:before="0" w:after="0" w:line="315" w:lineRule="exact"/>
        <w:ind w:left="0" w:right="0" w:firstLine="440"/>
        <w:jc w:val="both"/>
        <w:rPr>
          <w:sz w:val="22"/>
          <w:szCs w:val="22"/>
        </w:rPr>
      </w:pPr>
      <w:r>
        <w:rPr>
          <w:color w:val="000000"/>
          <w:spacing w:val="0"/>
          <w:w w:val="100"/>
          <w:position w:val="0"/>
          <w:sz w:val="22"/>
          <w:szCs w:val="22"/>
        </w:rPr>
        <w:t>相关信息披露详见财务报表附注三、</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2"/>
          <w:szCs w:val="22"/>
        </w:rPr>
        <w:t>及附注五、</w:t>
      </w:r>
      <w:r>
        <w:rPr>
          <w:rFonts w:ascii="Times New Roman" w:eastAsia="Times New Roman" w:hAnsi="Times New Roman" w:cs="Times New Roman"/>
          <w:color w:val="000000"/>
          <w:spacing w:val="0"/>
          <w:w w:val="100"/>
          <w:position w:val="0"/>
          <w:sz w:val="24"/>
          <w:szCs w:val="24"/>
        </w:rPr>
        <w:t>43</w:t>
      </w:r>
      <w:r>
        <w:rPr>
          <w:color w:val="000000"/>
          <w:spacing w:val="0"/>
          <w:w w:val="100"/>
          <w:position w:val="0"/>
          <w:sz w:val="22"/>
          <w:szCs w:val="22"/>
        </w:rPr>
        <w:t>。</w:t>
      </w:r>
    </w:p>
    <w:p>
      <w:pPr>
        <w:pStyle w:val="Style33"/>
        <w:keepNext w:val="0"/>
        <w:keepLines w:val="0"/>
        <w:widowControl w:val="0"/>
        <w:shd w:val="clear" w:color="auto" w:fill="auto"/>
        <w:bidi w:val="0"/>
        <w:spacing w:before="0" w:after="40" w:line="315" w:lineRule="exact"/>
        <w:ind w:left="0" w:right="0" w:firstLine="480"/>
        <w:jc w:val="both"/>
        <w:rPr>
          <w:sz w:val="22"/>
          <w:szCs w:val="22"/>
        </w:rPr>
      </w:pPr>
      <w:r>
        <w:rPr>
          <w:color w:val="000000"/>
          <w:spacing w:val="0"/>
          <w:w w:val="100"/>
          <w:position w:val="0"/>
          <w:sz w:val="22"/>
          <w:szCs w:val="22"/>
        </w:rPr>
        <w:t>东旭蓝天公司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年度确认的主营业务收入</w:t>
      </w:r>
      <w:r>
        <w:rPr>
          <w:rFonts w:ascii="Times New Roman" w:eastAsia="Times New Roman" w:hAnsi="Times New Roman" w:cs="Times New Roman"/>
          <w:color w:val="000000"/>
          <w:spacing w:val="0"/>
          <w:w w:val="100"/>
          <w:position w:val="0"/>
          <w:sz w:val="24"/>
          <w:szCs w:val="24"/>
        </w:rPr>
        <w:t>680,576.16</w:t>
      </w:r>
      <w:r>
        <w:rPr>
          <w:color w:val="000000"/>
          <w:spacing w:val="0"/>
          <w:w w:val="100"/>
          <w:position w:val="0"/>
          <w:sz w:val="22"/>
          <w:szCs w:val="22"/>
        </w:rPr>
        <w:t>万元，其中：新能源确认的主营 业务收入为人民币</w:t>
      </w:r>
      <w:r>
        <w:rPr>
          <w:rFonts w:ascii="Times New Roman" w:eastAsia="Times New Roman" w:hAnsi="Times New Roman" w:cs="Times New Roman"/>
          <w:color w:val="000000"/>
          <w:spacing w:val="0"/>
          <w:w w:val="100"/>
          <w:position w:val="0"/>
          <w:sz w:val="24"/>
          <w:szCs w:val="24"/>
        </w:rPr>
        <w:t>363,362.18</w:t>
      </w:r>
      <w:r>
        <w:rPr>
          <w:color w:val="000000"/>
          <w:spacing w:val="0"/>
          <w:w w:val="100"/>
          <w:position w:val="0"/>
          <w:sz w:val="22"/>
          <w:szCs w:val="22"/>
        </w:rPr>
        <w:t>万元，较</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2"/>
          <w:szCs w:val="22"/>
        </w:rPr>
        <w:t>年度减少</w:t>
      </w:r>
      <w:r>
        <w:rPr>
          <w:rFonts w:ascii="Times New Roman" w:eastAsia="Times New Roman" w:hAnsi="Times New Roman" w:cs="Times New Roman"/>
          <w:color w:val="000000"/>
          <w:spacing w:val="0"/>
          <w:w w:val="100"/>
          <w:position w:val="0"/>
          <w:sz w:val="24"/>
          <w:szCs w:val="24"/>
        </w:rPr>
        <w:t xml:space="preserve">27.96% </w:t>
      </w:r>
      <w:r>
        <w:rPr>
          <w:color w:val="000000"/>
          <w:spacing w:val="0"/>
          <w:w w:val="100"/>
          <w:position w:val="0"/>
          <w:sz w:val="22"/>
          <w:szCs w:val="22"/>
        </w:rPr>
        <w:t>；环保确认的主营业务收入为人 民币</w:t>
      </w:r>
      <w:r>
        <w:rPr>
          <w:rFonts w:ascii="Times New Roman" w:eastAsia="Times New Roman" w:hAnsi="Times New Roman" w:cs="Times New Roman"/>
          <w:color w:val="000000"/>
          <w:spacing w:val="0"/>
          <w:w w:val="100"/>
          <w:position w:val="0"/>
          <w:sz w:val="24"/>
          <w:szCs w:val="24"/>
        </w:rPr>
        <w:t>100,572.25</w:t>
      </w:r>
      <w:r>
        <w:rPr>
          <w:color w:val="000000"/>
          <w:spacing w:val="0"/>
          <w:w w:val="100"/>
          <w:position w:val="0"/>
          <w:sz w:val="22"/>
          <w:szCs w:val="22"/>
        </w:rPr>
        <w:t>万元，较</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2"/>
          <w:szCs w:val="22"/>
        </w:rPr>
        <w:t>年度减少</w:t>
      </w:r>
      <w:r>
        <w:rPr>
          <w:rFonts w:ascii="Times New Roman" w:eastAsia="Times New Roman" w:hAnsi="Times New Roman" w:cs="Times New Roman"/>
          <w:color w:val="000000"/>
          <w:spacing w:val="0"/>
          <w:w w:val="100"/>
          <w:position w:val="0"/>
          <w:sz w:val="24"/>
          <w:szCs w:val="24"/>
        </w:rPr>
        <w:t>67.73%</w:t>
      </w:r>
      <w:r>
        <w:rPr>
          <w:color w:val="000000"/>
          <w:spacing w:val="0"/>
          <w:w w:val="100"/>
          <w:position w:val="0"/>
          <w:sz w:val="22"/>
          <w:szCs w:val="22"/>
        </w:rPr>
        <w:t>；上述两项收入占</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 xml:space="preserve">年度主营营业收入总额的 </w:t>
      </w:r>
      <w:r>
        <w:rPr>
          <w:rFonts w:ascii="Times New Roman" w:eastAsia="Times New Roman" w:hAnsi="Times New Roman" w:cs="Times New Roman"/>
          <w:color w:val="000000"/>
          <w:spacing w:val="0"/>
          <w:w w:val="100"/>
          <w:position w:val="0"/>
          <w:sz w:val="24"/>
          <w:szCs w:val="24"/>
        </w:rPr>
        <w:t>68.17%</w:t>
      </w:r>
      <w:r>
        <w:rPr>
          <w:color w:val="000000"/>
          <w:spacing w:val="0"/>
          <w:w w:val="100"/>
          <w:position w:val="0"/>
          <w:sz w:val="22"/>
          <w:szCs w:val="22"/>
        </w:rPr>
        <w:t>。东旭蓝天公司在建造合同能够可靠估计的情况下采用完工百分比法对上述收入进行 确认，以累计实际发生成本占预计总成本的比例确定完工进度。由于确定合同预计总成本涉 及重大的会计估计和判断，又管理层对建造合同预计总成本估计和判断的合理性对东旭蓝天 公司上述收入的确认会产生重大影响，因此我们将上述收入的确认作为关键审计事项。</w:t>
      </w:r>
    </w:p>
    <w:p>
      <w:pPr>
        <w:pStyle w:val="Style33"/>
        <w:keepNext w:val="0"/>
        <w:keepLines w:val="0"/>
        <w:widowControl w:val="0"/>
        <w:numPr>
          <w:ilvl w:val="0"/>
          <w:numId w:val="15"/>
        </w:numPr>
        <w:shd w:val="clear" w:color="auto" w:fill="auto"/>
        <w:tabs>
          <w:tab w:pos="794" w:val="left"/>
        </w:tabs>
        <w:bidi w:val="0"/>
        <w:spacing w:before="0" w:after="0" w:line="276" w:lineRule="auto"/>
        <w:ind w:left="0" w:right="0" w:firstLine="440"/>
        <w:jc w:val="both"/>
        <w:rPr>
          <w:sz w:val="22"/>
          <w:szCs w:val="22"/>
        </w:rPr>
      </w:pPr>
      <w:bookmarkStart w:id="703" w:name="bookmark703"/>
      <w:bookmarkEnd w:id="703"/>
      <w:r>
        <w:rPr>
          <w:color w:val="000000"/>
          <w:spacing w:val="0"/>
          <w:w w:val="100"/>
          <w:position w:val="0"/>
          <w:sz w:val="22"/>
          <w:szCs w:val="22"/>
        </w:rPr>
        <w:t>审计应对</w:t>
      </w:r>
    </w:p>
    <w:p>
      <w:pPr>
        <w:pStyle w:val="Style33"/>
        <w:keepNext w:val="0"/>
        <w:keepLines w:val="0"/>
        <w:widowControl w:val="0"/>
        <w:shd w:val="clear" w:color="auto" w:fill="auto"/>
        <w:bidi w:val="0"/>
        <w:spacing w:before="0" w:after="0" w:line="315" w:lineRule="exact"/>
        <w:ind w:left="0" w:right="0" w:firstLine="440"/>
        <w:jc w:val="both"/>
        <w:rPr>
          <w:sz w:val="22"/>
          <w:szCs w:val="22"/>
        </w:rPr>
      </w:pPr>
      <w:r>
        <w:rPr>
          <w:color w:val="000000"/>
          <w:spacing w:val="0"/>
          <w:w w:val="100"/>
          <w:position w:val="0"/>
          <w:sz w:val="22"/>
          <w:szCs w:val="22"/>
        </w:rPr>
        <w:t>针对上述关键审计事项，我们执行的主要审计程序如下：</w:t>
      </w:r>
    </w:p>
    <w:p>
      <w:pPr>
        <w:pStyle w:val="Style33"/>
        <w:keepNext w:val="0"/>
        <w:keepLines w:val="0"/>
        <w:widowControl w:val="0"/>
        <w:shd w:val="clear" w:color="auto" w:fill="auto"/>
        <w:tabs>
          <w:tab w:pos="1131" w:val="left"/>
        </w:tabs>
        <w:bidi w:val="0"/>
        <w:spacing w:before="0" w:after="0" w:line="315" w:lineRule="exact"/>
        <w:ind w:left="0" w:right="0" w:firstLine="480"/>
        <w:jc w:val="both"/>
        <w:rPr>
          <w:sz w:val="22"/>
          <w:szCs w:val="22"/>
        </w:rPr>
      </w:pPr>
      <w:bookmarkStart w:id="704" w:name="bookmark704"/>
      <w:r>
        <w:rPr>
          <w:color w:val="000000"/>
          <w:spacing w:val="0"/>
          <w:w w:val="100"/>
          <w:position w:val="0"/>
          <w:sz w:val="22"/>
          <w:szCs w:val="22"/>
        </w:rPr>
        <w:t>（</w:t>
      </w:r>
      <w:bookmarkEnd w:id="704"/>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tab/>
        <w:t>了解和评价管理层对建造合同预算编制与收入确认相关的关键内部控制设计的合理 性和运行的有效性；</w:t>
      </w:r>
    </w:p>
    <w:p>
      <w:pPr>
        <w:pStyle w:val="Style33"/>
        <w:keepNext w:val="0"/>
        <w:keepLines w:val="0"/>
        <w:widowControl w:val="0"/>
        <w:shd w:val="clear" w:color="auto" w:fill="auto"/>
        <w:tabs>
          <w:tab w:pos="1136" w:val="left"/>
        </w:tabs>
        <w:bidi w:val="0"/>
        <w:spacing w:before="0" w:after="0" w:line="315" w:lineRule="exact"/>
        <w:ind w:left="0" w:right="0" w:firstLine="480"/>
        <w:jc w:val="both"/>
        <w:rPr>
          <w:sz w:val="22"/>
          <w:szCs w:val="22"/>
        </w:rPr>
      </w:pPr>
      <w:bookmarkStart w:id="705" w:name="bookmark705"/>
      <w:r>
        <w:rPr>
          <w:color w:val="000000"/>
          <w:spacing w:val="0"/>
          <w:w w:val="100"/>
          <w:position w:val="0"/>
          <w:sz w:val="22"/>
          <w:szCs w:val="22"/>
        </w:rPr>
        <w:t>（</w:t>
      </w:r>
      <w:bookmarkEnd w:id="705"/>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我们采用抽样方式，将已完工项目实际发生的总成本与管理层作出的合同预计总成 本进行对比分析，分析是否存在异常的差异，以判断管理层是否有效的对合同预算进行动态 管理，同时对未完工项目的预计总成本与同类已完工项目的历史实际成本也进行对比分析， 评估管理层做出此项会计估计的经验和能力；</w:t>
      </w:r>
    </w:p>
    <w:p>
      <w:pPr>
        <w:pStyle w:val="Style33"/>
        <w:keepNext w:val="0"/>
        <w:keepLines w:val="0"/>
        <w:widowControl w:val="0"/>
        <w:shd w:val="clear" w:color="auto" w:fill="auto"/>
        <w:tabs>
          <w:tab w:pos="1131" w:val="left"/>
        </w:tabs>
        <w:bidi w:val="0"/>
        <w:spacing w:before="0" w:after="0" w:line="315" w:lineRule="exact"/>
        <w:ind w:left="0" w:right="0" w:firstLine="480"/>
        <w:jc w:val="both"/>
        <w:rPr>
          <w:sz w:val="22"/>
          <w:szCs w:val="22"/>
        </w:rPr>
      </w:pPr>
      <w:bookmarkStart w:id="706" w:name="bookmark706"/>
      <w:r>
        <w:rPr>
          <w:color w:val="000000"/>
          <w:spacing w:val="0"/>
          <w:w w:val="100"/>
          <w:position w:val="0"/>
          <w:sz w:val="22"/>
          <w:szCs w:val="22"/>
        </w:rPr>
        <w:t>（</w:t>
      </w:r>
      <w:bookmarkEnd w:id="706"/>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tab/>
        <w:t>我们获取了管理层编制的建造合同收入成本计算表，抽取重要项目工程项目核实当 期施工成本的发生和完整性，抽取工程预算以核实成本总金额，重新计算建造合同完工百分 比以及收入、毛利的金额；</w:t>
      </w:r>
    </w:p>
    <w:p>
      <w:pPr>
        <w:pStyle w:val="Style33"/>
        <w:keepNext w:val="0"/>
        <w:keepLines w:val="0"/>
        <w:widowControl w:val="0"/>
        <w:shd w:val="clear" w:color="auto" w:fill="auto"/>
        <w:tabs>
          <w:tab w:pos="1136" w:val="left"/>
        </w:tabs>
        <w:bidi w:val="0"/>
        <w:spacing w:before="0" w:after="0" w:line="315" w:lineRule="exact"/>
        <w:ind w:left="0" w:right="0" w:firstLine="480"/>
        <w:jc w:val="both"/>
        <w:rPr>
          <w:sz w:val="22"/>
          <w:szCs w:val="22"/>
        </w:rPr>
      </w:pPr>
      <w:bookmarkStart w:id="707" w:name="bookmark707"/>
      <w:r>
        <w:rPr>
          <w:color w:val="000000"/>
          <w:spacing w:val="0"/>
          <w:w w:val="100"/>
          <w:position w:val="0"/>
          <w:sz w:val="22"/>
          <w:szCs w:val="22"/>
        </w:rPr>
        <w:t>（</w:t>
      </w:r>
      <w:bookmarkEnd w:id="707"/>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w:t>
        <w:tab/>
        <w:t>我们采用抽样方式对工程项目实际发生的成本进行了测试，包括：检查合同（总包 合同及其分包合同、设备采购合同）、发票、付款单据、材料入库单、进度确认单等支持性 资料；并走访重要供应商获取更具说服力的审计证据；</w:t>
      </w:r>
    </w:p>
    <w:p>
      <w:pPr>
        <w:pStyle w:val="Style33"/>
        <w:keepNext w:val="0"/>
        <w:keepLines w:val="0"/>
        <w:widowControl w:val="0"/>
        <w:shd w:val="clear" w:color="auto" w:fill="auto"/>
        <w:tabs>
          <w:tab w:pos="1131" w:val="left"/>
        </w:tabs>
        <w:bidi w:val="0"/>
        <w:spacing w:before="0" w:after="0" w:line="315" w:lineRule="exact"/>
        <w:ind w:left="0" w:right="0" w:firstLine="480"/>
        <w:jc w:val="both"/>
        <w:rPr>
          <w:sz w:val="22"/>
          <w:szCs w:val="22"/>
        </w:rPr>
      </w:pPr>
      <w:bookmarkStart w:id="708" w:name="bookmark708"/>
      <w:r>
        <w:rPr>
          <w:color w:val="000000"/>
          <w:spacing w:val="0"/>
          <w:w w:val="100"/>
          <w:position w:val="0"/>
          <w:sz w:val="22"/>
          <w:szCs w:val="22"/>
        </w:rPr>
        <w:t>（</w:t>
      </w:r>
      <w:bookmarkEnd w:id="708"/>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w:t>
        <w:tab/>
        <w:t>在抽样的基础上，对工程项目进行现场查看，询问现场专业技术人员，确认账面确 认的工程进度是否与实际情况相符；</w:t>
      </w:r>
    </w:p>
    <w:p>
      <w:pPr>
        <w:pStyle w:val="Style33"/>
        <w:keepNext w:val="0"/>
        <w:keepLines w:val="0"/>
        <w:widowControl w:val="0"/>
        <w:shd w:val="clear" w:color="auto" w:fill="auto"/>
        <w:tabs>
          <w:tab w:pos="1024" w:val="left"/>
        </w:tabs>
        <w:bidi w:val="0"/>
        <w:spacing w:before="0" w:after="300" w:line="315" w:lineRule="exact"/>
        <w:ind w:left="0" w:right="0" w:firstLine="440"/>
        <w:jc w:val="both"/>
        <w:rPr>
          <w:sz w:val="22"/>
          <w:szCs w:val="22"/>
        </w:rPr>
      </w:pPr>
      <w:bookmarkStart w:id="709" w:name="bookmark709"/>
      <w:r>
        <w:rPr>
          <w:color w:val="000000"/>
          <w:spacing w:val="0"/>
          <w:w w:val="100"/>
          <w:position w:val="0"/>
          <w:sz w:val="22"/>
          <w:szCs w:val="22"/>
        </w:rPr>
        <w:t>（</w:t>
      </w:r>
      <w:bookmarkEnd w:id="709"/>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w:t>
        <w:tab/>
        <w:t>抽取</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年度收入确认较大的工程项目执行了函证程序。</w:t>
      </w:r>
    </w:p>
    <w:p>
      <w:pPr>
        <w:pStyle w:val="Style33"/>
        <w:keepNext w:val="0"/>
        <w:keepLines w:val="0"/>
        <w:widowControl w:val="0"/>
        <w:shd w:val="clear" w:color="auto" w:fill="auto"/>
        <w:tabs>
          <w:tab w:pos="1086" w:val="left"/>
        </w:tabs>
        <w:bidi w:val="0"/>
        <w:spacing w:before="0" w:after="40" w:line="312" w:lineRule="exact"/>
        <w:ind w:left="0" w:right="0" w:firstLine="440"/>
        <w:jc w:val="both"/>
        <w:rPr>
          <w:sz w:val="22"/>
          <w:szCs w:val="22"/>
        </w:rPr>
      </w:pPr>
      <w:bookmarkStart w:id="710" w:name="bookmark710"/>
      <w:r>
        <w:rPr>
          <w:color w:val="000000"/>
          <w:spacing w:val="0"/>
          <w:w w:val="100"/>
          <w:position w:val="0"/>
          <w:sz w:val="22"/>
          <w:szCs w:val="22"/>
        </w:rPr>
        <w:t>（</w:t>
      </w:r>
      <w:bookmarkEnd w:id="710"/>
      <w:r>
        <w:rPr>
          <w:color w:val="000000"/>
          <w:spacing w:val="0"/>
          <w:w w:val="100"/>
          <w:position w:val="0"/>
          <w:sz w:val="22"/>
          <w:szCs w:val="22"/>
        </w:rPr>
        <w:t>二）</w:t>
        <w:tab/>
        <w:t>商誉减值</w:t>
      </w:r>
    </w:p>
    <w:p>
      <w:pPr>
        <w:pStyle w:val="Style33"/>
        <w:keepNext w:val="0"/>
        <w:keepLines w:val="0"/>
        <w:widowControl w:val="0"/>
        <w:numPr>
          <w:ilvl w:val="0"/>
          <w:numId w:val="17"/>
        </w:numPr>
        <w:shd w:val="clear" w:color="auto" w:fill="auto"/>
        <w:bidi w:val="0"/>
        <w:spacing w:before="0" w:after="0" w:line="271" w:lineRule="auto"/>
        <w:ind w:left="0" w:right="0" w:firstLine="440"/>
        <w:jc w:val="both"/>
        <w:rPr>
          <w:sz w:val="22"/>
          <w:szCs w:val="22"/>
        </w:rPr>
      </w:pPr>
      <w:bookmarkStart w:id="711" w:name="bookmark711"/>
      <w:bookmarkEnd w:id="711"/>
      <w:r>
        <w:rPr>
          <w:color w:val="000000"/>
          <w:spacing w:val="0"/>
          <w:w w:val="100"/>
          <w:position w:val="0"/>
          <w:sz w:val="22"/>
          <w:szCs w:val="22"/>
        </w:rPr>
        <w:t>事项描述</w:t>
      </w:r>
    </w:p>
    <w:p>
      <w:pPr>
        <w:pStyle w:val="Style33"/>
        <w:keepNext w:val="0"/>
        <w:keepLines w:val="0"/>
        <w:widowControl w:val="0"/>
        <w:shd w:val="clear" w:color="auto" w:fill="auto"/>
        <w:bidi w:val="0"/>
        <w:spacing w:before="0" w:after="0" w:line="312" w:lineRule="exact"/>
        <w:ind w:left="0" w:right="0" w:firstLine="440"/>
        <w:jc w:val="both"/>
        <w:rPr>
          <w:sz w:val="22"/>
          <w:szCs w:val="22"/>
        </w:rPr>
      </w:pPr>
      <w:r>
        <w:rPr>
          <w:color w:val="000000"/>
          <w:spacing w:val="0"/>
          <w:w w:val="100"/>
          <w:position w:val="0"/>
          <w:sz w:val="22"/>
          <w:szCs w:val="22"/>
        </w:rPr>
        <w:t>相关信息披露详见财务报表附注三、</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2"/>
          <w:szCs w:val="22"/>
        </w:rPr>
        <w:t>及附注五、</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2"/>
          <w:szCs w:val="22"/>
        </w:rPr>
        <w:t>。</w:t>
      </w:r>
    </w:p>
    <w:p>
      <w:pPr>
        <w:pStyle w:val="Style33"/>
        <w:keepNext w:val="0"/>
        <w:keepLines w:val="0"/>
        <w:widowControl w:val="0"/>
        <w:shd w:val="clear" w:color="auto" w:fill="auto"/>
        <w:bidi w:val="0"/>
        <w:spacing w:before="0" w:after="40" w:line="312" w:lineRule="exact"/>
        <w:ind w:left="0" w:right="0" w:firstLine="480"/>
        <w:jc w:val="both"/>
        <w:rPr>
          <w:sz w:val="22"/>
          <w:szCs w:val="22"/>
        </w:rPr>
      </w:pPr>
      <w:r>
        <w:rPr>
          <w:color w:val="000000"/>
          <w:spacing w:val="0"/>
          <w:w w:val="100"/>
          <w:position w:val="0"/>
          <w:sz w:val="22"/>
          <w:szCs w:val="22"/>
        </w:rPr>
        <w:t>截至</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日，东旭蓝天公司合并报表中商誉账面价值</w:t>
      </w:r>
      <w:r>
        <w:rPr>
          <w:rFonts w:ascii="Times New Roman" w:eastAsia="Times New Roman" w:hAnsi="Times New Roman" w:cs="Times New Roman"/>
          <w:color w:val="000000"/>
          <w:spacing w:val="0"/>
          <w:w w:val="100"/>
          <w:position w:val="0"/>
          <w:sz w:val="24"/>
          <w:szCs w:val="24"/>
        </w:rPr>
        <w:t>86,317.11</w:t>
      </w:r>
      <w:r>
        <w:rPr>
          <w:color w:val="000000"/>
          <w:spacing w:val="0"/>
          <w:w w:val="100"/>
          <w:position w:val="0"/>
          <w:sz w:val="22"/>
          <w:szCs w:val="22"/>
        </w:rPr>
        <w:t>万元，主要 系东旭蓝天公司</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2"/>
          <w:szCs w:val="22"/>
        </w:rPr>
        <w:t>年收购环保公司、新能源公司及酒店商贸公司形成。根据企业 会计准则，东旭蓝天公司管理层在</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年年度终了对商誉进行减值测试，因商誉减值测试的 评估需依赖管理层的判断，减值评估涉及确定折现率、未来期间销售增长率、毛利率等评估 参数，商誉减值测试的评估过程复杂，其所基于的假设，受到预期未来市场和经济环境的影 响而有可能改变，由于商誉减值的确认对本期财务报告影响重大，因此我们将商誉减值识别 为关键审计事项。</w:t>
      </w:r>
    </w:p>
    <w:p>
      <w:pPr>
        <w:pStyle w:val="Style33"/>
        <w:keepNext w:val="0"/>
        <w:keepLines w:val="0"/>
        <w:widowControl w:val="0"/>
        <w:numPr>
          <w:ilvl w:val="0"/>
          <w:numId w:val="17"/>
        </w:numPr>
        <w:shd w:val="clear" w:color="auto" w:fill="auto"/>
        <w:bidi w:val="0"/>
        <w:spacing w:before="0" w:after="0" w:line="271" w:lineRule="auto"/>
        <w:ind w:left="0" w:right="0" w:firstLine="440"/>
        <w:jc w:val="both"/>
        <w:rPr>
          <w:sz w:val="22"/>
          <w:szCs w:val="22"/>
        </w:rPr>
      </w:pPr>
      <w:bookmarkStart w:id="712" w:name="bookmark712"/>
      <w:bookmarkEnd w:id="712"/>
      <w:r>
        <w:rPr>
          <w:color w:val="000000"/>
          <w:spacing w:val="0"/>
          <w:w w:val="100"/>
          <w:position w:val="0"/>
          <w:sz w:val="22"/>
          <w:szCs w:val="22"/>
        </w:rPr>
        <w:t>审计应对</w:t>
      </w:r>
    </w:p>
    <w:p>
      <w:pPr>
        <w:pStyle w:val="Style33"/>
        <w:keepNext w:val="0"/>
        <w:keepLines w:val="0"/>
        <w:widowControl w:val="0"/>
        <w:shd w:val="clear" w:color="auto" w:fill="auto"/>
        <w:bidi w:val="0"/>
        <w:spacing w:before="0" w:after="40" w:line="312" w:lineRule="exact"/>
        <w:ind w:left="0" w:right="0" w:firstLine="440"/>
        <w:jc w:val="both"/>
        <w:rPr>
          <w:sz w:val="22"/>
          <w:szCs w:val="22"/>
        </w:rPr>
      </w:pPr>
      <w:r>
        <w:rPr>
          <w:color w:val="000000"/>
          <w:spacing w:val="0"/>
          <w:w w:val="100"/>
          <w:position w:val="0"/>
          <w:sz w:val="22"/>
          <w:szCs w:val="22"/>
        </w:rPr>
        <w:t>针对上述关键审计事项，我们执行的主要审计程序如下：</w:t>
      </w:r>
    </w:p>
    <w:p>
      <w:pPr>
        <w:pStyle w:val="Style33"/>
        <w:keepNext w:val="0"/>
        <w:keepLines w:val="0"/>
        <w:widowControl w:val="0"/>
        <w:shd w:val="clear" w:color="auto" w:fill="auto"/>
        <w:bidi w:val="0"/>
        <w:spacing w:before="0" w:after="0" w:line="322" w:lineRule="exact"/>
        <w:ind w:left="0" w:right="0" w:firstLine="460"/>
        <w:jc w:val="both"/>
        <w:rPr>
          <w:sz w:val="22"/>
          <w:szCs w:val="22"/>
        </w:rPr>
      </w:pPr>
      <w:bookmarkStart w:id="713" w:name="bookmark713"/>
      <w:r>
        <w:rPr>
          <w:color w:val="000000"/>
          <w:spacing w:val="0"/>
          <w:w w:val="100"/>
          <w:position w:val="0"/>
          <w:sz w:val="22"/>
          <w:szCs w:val="22"/>
        </w:rPr>
        <w:t>（</w:t>
      </w:r>
      <w:bookmarkEnd w:id="713"/>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）了解和评价管理层与商誉减值相关的关键内部控制设计和运行的有效性；识别和评 估商誉减值方面的重大错报风险；</w:t>
      </w:r>
    </w:p>
    <w:p>
      <w:pPr>
        <w:pStyle w:val="Style33"/>
        <w:keepNext w:val="0"/>
        <w:keepLines w:val="0"/>
        <w:widowControl w:val="0"/>
        <w:shd w:val="clear" w:color="auto" w:fill="auto"/>
        <w:bidi w:val="0"/>
        <w:spacing w:before="0" w:after="0" w:line="319" w:lineRule="exact"/>
        <w:ind w:left="0" w:right="0" w:firstLine="460"/>
        <w:jc w:val="both"/>
        <w:rPr>
          <w:sz w:val="22"/>
          <w:szCs w:val="22"/>
        </w:rPr>
      </w:pPr>
      <w:bookmarkStart w:id="714" w:name="bookmark714"/>
      <w:r>
        <w:rPr>
          <w:color w:val="000000"/>
          <w:spacing w:val="0"/>
          <w:w w:val="100"/>
          <w:position w:val="0"/>
          <w:sz w:val="22"/>
          <w:szCs w:val="22"/>
        </w:rPr>
        <w:t>（</w:t>
      </w:r>
      <w:bookmarkEnd w:id="71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）复核管理层对资产组的认定和商誉的分摊方法；测试管理层减值测试所依据的基础 数据，利用资产评估师评估管理层减值测试中所采用关键假设及判断的合理性，以及了解和 评价管理层利用资产评估师的工作；</w:t>
      </w:r>
    </w:p>
    <w:p>
      <w:pPr>
        <w:pStyle w:val="Style33"/>
        <w:keepNext w:val="0"/>
        <w:keepLines w:val="0"/>
        <w:widowControl w:val="0"/>
        <w:shd w:val="clear" w:color="auto" w:fill="auto"/>
        <w:tabs>
          <w:tab w:pos="1117" w:val="left"/>
        </w:tabs>
        <w:bidi w:val="0"/>
        <w:spacing w:before="0" w:after="0" w:line="318" w:lineRule="exact"/>
        <w:ind w:left="0" w:right="0" w:firstLine="460"/>
        <w:jc w:val="left"/>
        <w:rPr>
          <w:sz w:val="22"/>
          <w:szCs w:val="22"/>
        </w:rPr>
      </w:pPr>
      <w:bookmarkStart w:id="715" w:name="bookmark715"/>
      <w:r>
        <w:rPr>
          <w:color w:val="000000"/>
          <w:spacing w:val="0"/>
          <w:w w:val="100"/>
          <w:position w:val="0"/>
          <w:sz w:val="22"/>
          <w:szCs w:val="22"/>
        </w:rPr>
        <w:t>（</w:t>
      </w:r>
      <w:bookmarkEnd w:id="715"/>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tab/>
        <w:t>评价资产评估师的专业胜任能力、客观性及独立性；查阅评估报告的评估技术说 明、分析评估取值和计算公式是否合理、复核计算评估数据。同时对评估师进行访谈，访谈 内容包括出具的评估报告的目的和范围、其独立性、评估方法选用、评估过程、其主要参数 的选取及评估结果的合理性；</w:t>
      </w:r>
    </w:p>
    <w:p>
      <w:pPr>
        <w:pStyle w:val="Style33"/>
        <w:keepNext w:val="0"/>
        <w:keepLines w:val="0"/>
        <w:widowControl w:val="0"/>
        <w:shd w:val="clear" w:color="auto" w:fill="auto"/>
        <w:tabs>
          <w:tab w:pos="986" w:val="left"/>
        </w:tabs>
        <w:bidi w:val="0"/>
        <w:spacing w:before="0" w:after="380" w:line="312" w:lineRule="exact"/>
        <w:ind w:left="0" w:right="0" w:firstLine="460"/>
        <w:jc w:val="left"/>
        <w:rPr>
          <w:sz w:val="22"/>
          <w:szCs w:val="22"/>
        </w:rPr>
      </w:pPr>
      <w:bookmarkStart w:id="716" w:name="bookmark716"/>
      <w:r>
        <w:rPr>
          <w:color w:val="000000"/>
          <w:spacing w:val="0"/>
          <w:w w:val="100"/>
          <w:position w:val="0"/>
          <w:sz w:val="22"/>
          <w:szCs w:val="22"/>
        </w:rPr>
        <w:t>（</w:t>
      </w:r>
      <w:bookmarkEnd w:id="716"/>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w:t>
        <w:tab/>
        <w:t>复核东旭蓝天公司商誉列报是否恰当。</w:t>
      </w:r>
    </w:p>
    <w:p>
      <w:pPr>
        <w:pStyle w:val="Style33"/>
        <w:keepNext w:val="0"/>
        <w:keepLines w:val="0"/>
        <w:widowControl w:val="0"/>
        <w:shd w:val="clear" w:color="auto" w:fill="auto"/>
        <w:bidi w:val="0"/>
        <w:spacing w:before="0" w:after="0" w:line="311" w:lineRule="exact"/>
        <w:ind w:left="0" w:right="0" w:firstLine="460"/>
        <w:jc w:val="left"/>
        <w:rPr>
          <w:sz w:val="22"/>
          <w:szCs w:val="22"/>
        </w:rPr>
      </w:pPr>
      <w:bookmarkStart w:id="717" w:name="bookmark717"/>
      <w:r>
        <w:rPr>
          <w:b/>
          <w:bCs/>
          <w:color w:val="000000"/>
          <w:spacing w:val="0"/>
          <w:w w:val="100"/>
          <w:position w:val="0"/>
          <w:sz w:val="22"/>
          <w:szCs w:val="22"/>
        </w:rPr>
        <w:t>五</w:t>
      </w:r>
      <w:bookmarkEnd w:id="717"/>
      <w:r>
        <w:rPr>
          <w:b/>
          <w:bCs/>
          <w:color w:val="000000"/>
          <w:spacing w:val="0"/>
          <w:w w:val="100"/>
          <w:position w:val="0"/>
          <w:sz w:val="22"/>
          <w:szCs w:val="22"/>
        </w:rPr>
        <w:t>、其他信息</w:t>
      </w:r>
    </w:p>
    <w:p>
      <w:pPr>
        <w:pStyle w:val="Style33"/>
        <w:keepNext w:val="0"/>
        <w:keepLines w:val="0"/>
        <w:widowControl w:val="0"/>
        <w:shd w:val="clear" w:color="auto" w:fill="auto"/>
        <w:bidi w:val="0"/>
        <w:spacing w:before="0" w:after="0" w:line="311" w:lineRule="exact"/>
        <w:ind w:left="0" w:right="0" w:firstLine="460"/>
        <w:jc w:val="left"/>
        <w:rPr>
          <w:sz w:val="22"/>
          <w:szCs w:val="22"/>
        </w:rPr>
      </w:pPr>
      <w:r>
        <w:rPr>
          <w:color w:val="000000"/>
          <w:spacing w:val="0"/>
          <w:w w:val="100"/>
          <w:position w:val="0"/>
          <w:sz w:val="22"/>
          <w:szCs w:val="22"/>
        </w:rPr>
        <w:t>东旭蓝天公司管理层</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以下简称管理层</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对其他信息负责。其他信息包括</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年年报报告 （但不包括财务报表和我们得审计报告）。</w:t>
      </w:r>
    </w:p>
    <w:p>
      <w:pPr>
        <w:pStyle w:val="Style33"/>
        <w:keepNext w:val="0"/>
        <w:keepLines w:val="0"/>
        <w:widowControl w:val="0"/>
        <w:shd w:val="clear" w:color="auto" w:fill="auto"/>
        <w:bidi w:val="0"/>
        <w:spacing w:before="0" w:after="0" w:line="311" w:lineRule="exact"/>
        <w:ind w:left="0" w:right="0" w:firstLine="460"/>
        <w:jc w:val="left"/>
        <w:rPr>
          <w:sz w:val="22"/>
          <w:szCs w:val="22"/>
        </w:rPr>
      </w:pPr>
      <w:r>
        <w:rPr>
          <w:color w:val="000000"/>
          <w:spacing w:val="0"/>
          <w:w w:val="100"/>
          <w:position w:val="0"/>
          <w:sz w:val="22"/>
          <w:szCs w:val="22"/>
        </w:rPr>
        <w:t>我们对财务报表发表的审计意见不涵盖其他信息，我们也不对其他信息发表任何形式的 鉴证结论。</w:t>
      </w:r>
    </w:p>
    <w:p>
      <w:pPr>
        <w:pStyle w:val="Style33"/>
        <w:keepNext w:val="0"/>
        <w:keepLines w:val="0"/>
        <w:widowControl w:val="0"/>
        <w:shd w:val="clear" w:color="auto" w:fill="auto"/>
        <w:bidi w:val="0"/>
        <w:spacing w:before="0" w:after="0" w:line="311" w:lineRule="exact"/>
        <w:ind w:left="0" w:right="0" w:firstLine="460"/>
        <w:jc w:val="left"/>
        <w:rPr>
          <w:sz w:val="22"/>
          <w:szCs w:val="22"/>
        </w:rPr>
      </w:pPr>
      <w:r>
        <w:rPr>
          <w:color w:val="000000"/>
          <w:spacing w:val="0"/>
          <w:w w:val="100"/>
          <w:position w:val="0"/>
          <w:sz w:val="22"/>
          <w:szCs w:val="22"/>
        </w:rPr>
        <w:t>结合我们对财务报表的审计，我们的责任是阅读其他信息，在此过程中，考虑其他信息 是否与财务报表或我们在审计过程中了解到的情况存在重大不一致或者似乎存在重大错报。</w:t>
      </w:r>
    </w:p>
    <w:p>
      <w:pPr>
        <w:pStyle w:val="Style33"/>
        <w:keepNext w:val="0"/>
        <w:keepLines w:val="0"/>
        <w:widowControl w:val="0"/>
        <w:shd w:val="clear" w:color="auto" w:fill="auto"/>
        <w:bidi w:val="0"/>
        <w:spacing w:before="0" w:after="300" w:line="311" w:lineRule="exact"/>
        <w:ind w:left="0" w:right="0" w:firstLine="460"/>
        <w:jc w:val="left"/>
        <w:rPr>
          <w:sz w:val="22"/>
          <w:szCs w:val="22"/>
        </w:rPr>
      </w:pPr>
      <w:r>
        <w:rPr>
          <w:color w:val="000000"/>
          <w:spacing w:val="0"/>
          <w:w w:val="100"/>
          <w:position w:val="0"/>
          <w:sz w:val="22"/>
          <w:szCs w:val="22"/>
        </w:rPr>
        <w:t>基于我们对审计报告日前获取的其他信息已执行的工作，如果我们确定其他信息存在重 大错报，我们应当报告该事实。在这方面，我们无任何事项需要报告。</w:t>
      </w:r>
    </w:p>
    <w:p>
      <w:pPr>
        <w:pStyle w:val="Style33"/>
        <w:keepNext w:val="0"/>
        <w:keepLines w:val="0"/>
        <w:widowControl w:val="0"/>
        <w:shd w:val="clear" w:color="auto" w:fill="auto"/>
        <w:tabs>
          <w:tab w:pos="982" w:val="left"/>
        </w:tabs>
        <w:bidi w:val="0"/>
        <w:spacing w:before="0" w:after="0" w:line="309" w:lineRule="exact"/>
        <w:ind w:left="0" w:right="0" w:firstLine="460"/>
        <w:jc w:val="left"/>
        <w:rPr>
          <w:sz w:val="22"/>
          <w:szCs w:val="22"/>
        </w:rPr>
      </w:pPr>
      <w:bookmarkStart w:id="718" w:name="bookmark718"/>
      <w:r>
        <w:rPr>
          <w:b/>
          <w:bCs/>
          <w:color w:val="000000"/>
          <w:spacing w:val="0"/>
          <w:w w:val="100"/>
          <w:position w:val="0"/>
          <w:sz w:val="22"/>
          <w:szCs w:val="22"/>
        </w:rPr>
        <w:t>六</w:t>
      </w:r>
      <w:bookmarkEnd w:id="718"/>
      <w:r>
        <w:rPr>
          <w:b/>
          <w:bCs/>
          <w:color w:val="000000"/>
          <w:spacing w:val="0"/>
          <w:w w:val="100"/>
          <w:position w:val="0"/>
          <w:sz w:val="22"/>
          <w:szCs w:val="22"/>
        </w:rPr>
        <w:t>、</w:t>
        <w:tab/>
        <w:t>管理层和治理层对财务报表的责任</w:t>
      </w:r>
    </w:p>
    <w:p>
      <w:pPr>
        <w:pStyle w:val="Style33"/>
        <w:keepNext w:val="0"/>
        <w:keepLines w:val="0"/>
        <w:widowControl w:val="0"/>
        <w:shd w:val="clear" w:color="auto" w:fill="auto"/>
        <w:bidi w:val="0"/>
        <w:spacing w:before="0" w:after="0" w:line="309" w:lineRule="exact"/>
        <w:ind w:left="0" w:right="0" w:firstLine="460"/>
        <w:jc w:val="left"/>
        <w:rPr>
          <w:sz w:val="22"/>
          <w:szCs w:val="22"/>
        </w:rPr>
      </w:pPr>
      <w:r>
        <w:rPr>
          <w:color w:val="000000"/>
          <w:spacing w:val="0"/>
          <w:w w:val="100"/>
          <w:position w:val="0"/>
          <w:sz w:val="22"/>
          <w:szCs w:val="22"/>
        </w:rPr>
        <w:t>管理层负责按照企业会计准则的规定编制财务报表，使其实现公允反映，并设计、执行 和维护必要的内部控制，以使财务报表不存在由于舞弊或错误导致的重大错报。</w:t>
      </w:r>
    </w:p>
    <w:p>
      <w:pPr>
        <w:pStyle w:val="Style33"/>
        <w:keepNext w:val="0"/>
        <w:keepLines w:val="0"/>
        <w:widowControl w:val="0"/>
        <w:shd w:val="clear" w:color="auto" w:fill="auto"/>
        <w:bidi w:val="0"/>
        <w:spacing w:before="0" w:after="0" w:line="309" w:lineRule="exact"/>
        <w:ind w:left="0" w:right="0" w:firstLine="460"/>
        <w:jc w:val="left"/>
        <w:rPr>
          <w:sz w:val="22"/>
          <w:szCs w:val="22"/>
        </w:rPr>
      </w:pPr>
      <w:r>
        <w:rPr>
          <w:color w:val="000000"/>
          <w:spacing w:val="0"/>
          <w:w w:val="100"/>
          <w:position w:val="0"/>
          <w:sz w:val="22"/>
          <w:szCs w:val="22"/>
        </w:rPr>
        <w:t>在编制财务报表时，管理层负责评估东旭蓝天公司的持续经营能力，披露与持续经营相 关的事项（如适用），并运用持续经营假设，除非管理层计划清算东旭蓝天公司、终止运营 或别无其他现实的选择。</w:t>
      </w:r>
    </w:p>
    <w:p>
      <w:pPr>
        <w:pStyle w:val="Style33"/>
        <w:keepNext w:val="0"/>
        <w:keepLines w:val="0"/>
        <w:widowControl w:val="0"/>
        <w:shd w:val="clear" w:color="auto" w:fill="auto"/>
        <w:bidi w:val="0"/>
        <w:spacing w:before="0" w:after="300" w:line="309" w:lineRule="exact"/>
        <w:ind w:left="0" w:right="0" w:firstLine="460"/>
        <w:jc w:val="left"/>
        <w:rPr>
          <w:sz w:val="22"/>
          <w:szCs w:val="22"/>
        </w:rPr>
      </w:pPr>
      <w:r>
        <w:rPr>
          <w:color w:val="000000"/>
          <w:spacing w:val="0"/>
          <w:w w:val="100"/>
          <w:position w:val="0"/>
          <w:sz w:val="22"/>
          <w:szCs w:val="22"/>
        </w:rPr>
        <w:t>治理层负责监督东旭蓝天公司的财务报告过程。</w:t>
      </w:r>
    </w:p>
    <w:p>
      <w:pPr>
        <w:pStyle w:val="Style33"/>
        <w:keepNext w:val="0"/>
        <w:keepLines w:val="0"/>
        <w:widowControl w:val="0"/>
        <w:shd w:val="clear" w:color="auto" w:fill="auto"/>
        <w:tabs>
          <w:tab w:pos="986" w:val="left"/>
        </w:tabs>
        <w:bidi w:val="0"/>
        <w:spacing w:before="0" w:after="0" w:line="312" w:lineRule="exact"/>
        <w:ind w:left="0" w:right="0" w:firstLine="460"/>
        <w:jc w:val="left"/>
        <w:rPr>
          <w:sz w:val="22"/>
          <w:szCs w:val="22"/>
        </w:rPr>
      </w:pPr>
      <w:bookmarkStart w:id="719" w:name="bookmark719"/>
      <w:r>
        <w:rPr>
          <w:b/>
          <w:bCs/>
          <w:color w:val="000000"/>
          <w:spacing w:val="0"/>
          <w:w w:val="100"/>
          <w:position w:val="0"/>
          <w:sz w:val="22"/>
          <w:szCs w:val="22"/>
        </w:rPr>
        <w:t>七</w:t>
      </w:r>
      <w:bookmarkEnd w:id="719"/>
      <w:r>
        <w:rPr>
          <w:b/>
          <w:bCs/>
          <w:color w:val="000000"/>
          <w:spacing w:val="0"/>
          <w:w w:val="100"/>
          <w:position w:val="0"/>
          <w:sz w:val="22"/>
          <w:szCs w:val="22"/>
        </w:rPr>
        <w:t>、</w:t>
        <w:tab/>
        <w:t>注册会计师对财务报表审计的责任</w:t>
      </w:r>
    </w:p>
    <w:p>
      <w:pPr>
        <w:pStyle w:val="Style33"/>
        <w:keepNext w:val="0"/>
        <w:keepLines w:val="0"/>
        <w:widowControl w:val="0"/>
        <w:shd w:val="clear" w:color="auto" w:fill="auto"/>
        <w:bidi w:val="0"/>
        <w:spacing w:before="0" w:after="300" w:line="312" w:lineRule="exact"/>
        <w:ind w:left="0" w:right="0" w:firstLine="460"/>
        <w:jc w:val="left"/>
        <w:rPr>
          <w:sz w:val="22"/>
          <w:szCs w:val="22"/>
        </w:rPr>
      </w:pPr>
      <w:r>
        <w:rPr>
          <w:color w:val="000000"/>
          <w:spacing w:val="0"/>
          <w:w w:val="100"/>
          <w:position w:val="0"/>
          <w:sz w:val="22"/>
          <w:szCs w:val="22"/>
        </w:rPr>
        <w:t>我们的目标是对财务报表整体是否不存在由于舞弊或错误导致的重大错报获取合理保证， 并出具包含审计意见的审计报告。合理保证是高水平的保证，但并不能保证按照审计准则执 行的审计在某一重大错报存在时总能发现。错报可能由于舞弊或错误导致，如果合理预期错 报单独或汇总起来可能影响财务报表使用者依据财务报表作出的经济决策，则通常认为错报 是重大的。</w:t>
      </w:r>
    </w:p>
    <w:p>
      <w:pPr>
        <w:pStyle w:val="Style33"/>
        <w:keepNext w:val="0"/>
        <w:keepLines w:val="0"/>
        <w:widowControl w:val="0"/>
        <w:shd w:val="clear" w:color="auto" w:fill="auto"/>
        <w:bidi w:val="0"/>
        <w:spacing w:before="0" w:after="0" w:line="312" w:lineRule="exact"/>
        <w:ind w:left="0" w:right="0" w:firstLine="460"/>
        <w:jc w:val="left"/>
        <w:rPr>
          <w:sz w:val="22"/>
          <w:szCs w:val="22"/>
        </w:rPr>
      </w:pPr>
      <w:r>
        <w:rPr>
          <w:color w:val="000000"/>
          <w:spacing w:val="0"/>
          <w:w w:val="100"/>
          <w:position w:val="0"/>
          <w:sz w:val="22"/>
          <w:szCs w:val="22"/>
        </w:rPr>
        <w:t>在按照审计准则执行审计工作的过程中，我们运用职业判断，并保持职业怀疑。同时， 我们也执行以下工作：</w:t>
      </w:r>
    </w:p>
    <w:p>
      <w:pPr>
        <w:pStyle w:val="Style33"/>
        <w:keepNext w:val="0"/>
        <w:keepLines w:val="0"/>
        <w:widowControl w:val="0"/>
        <w:shd w:val="clear" w:color="auto" w:fill="auto"/>
        <w:bidi w:val="0"/>
        <w:spacing w:before="0" w:after="0" w:line="312" w:lineRule="exact"/>
        <w:ind w:left="0" w:right="0" w:firstLine="460"/>
        <w:jc w:val="left"/>
        <w:rPr>
          <w:sz w:val="22"/>
          <w:szCs w:val="22"/>
        </w:rPr>
      </w:pPr>
      <w:bookmarkStart w:id="720" w:name="bookmark720"/>
      <w:r>
        <w:rPr>
          <w:color w:val="000000"/>
          <w:spacing w:val="0"/>
          <w:w w:val="100"/>
          <w:position w:val="0"/>
          <w:sz w:val="22"/>
          <w:szCs w:val="22"/>
        </w:rPr>
        <w:t>（</w:t>
      </w:r>
      <w:bookmarkEnd w:id="72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 识别和评估由于舞弊或错误导致的财务报表重大错报风险，设计和实施审计程序以 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pStyle w:val="Style33"/>
        <w:keepNext w:val="0"/>
        <w:keepLines w:val="0"/>
        <w:widowControl w:val="0"/>
        <w:shd w:val="clear" w:color="auto" w:fill="auto"/>
        <w:tabs>
          <w:tab w:pos="966" w:val="left"/>
        </w:tabs>
        <w:bidi w:val="0"/>
        <w:spacing w:before="0" w:after="0" w:line="312" w:lineRule="exact"/>
        <w:ind w:left="0" w:right="0" w:firstLine="440"/>
        <w:jc w:val="left"/>
        <w:rPr>
          <w:sz w:val="22"/>
          <w:szCs w:val="22"/>
        </w:rPr>
      </w:pPr>
      <w:bookmarkStart w:id="721" w:name="bookmark721"/>
      <w:r>
        <w:rPr>
          <w:color w:val="000000"/>
          <w:spacing w:val="0"/>
          <w:w w:val="100"/>
          <w:position w:val="0"/>
          <w:sz w:val="22"/>
          <w:szCs w:val="22"/>
        </w:rPr>
        <w:t>（</w:t>
      </w:r>
      <w:bookmarkEnd w:id="72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tab/>
        <w:t>了解与审计相关的内部控制，以设计恰当的审计程序。</w:t>
      </w:r>
    </w:p>
    <w:p>
      <w:pPr>
        <w:pStyle w:val="Style33"/>
        <w:keepNext w:val="0"/>
        <w:keepLines w:val="0"/>
        <w:widowControl w:val="0"/>
        <w:shd w:val="clear" w:color="auto" w:fill="auto"/>
        <w:tabs>
          <w:tab w:pos="966" w:val="left"/>
        </w:tabs>
        <w:bidi w:val="0"/>
        <w:spacing w:before="0" w:after="0" w:line="312" w:lineRule="exact"/>
        <w:ind w:left="0" w:right="0" w:firstLine="440"/>
        <w:jc w:val="left"/>
        <w:rPr>
          <w:sz w:val="22"/>
          <w:szCs w:val="22"/>
        </w:rPr>
      </w:pPr>
      <w:bookmarkStart w:id="722" w:name="bookmark722"/>
      <w:r>
        <w:rPr>
          <w:color w:val="000000"/>
          <w:spacing w:val="0"/>
          <w:w w:val="100"/>
          <w:position w:val="0"/>
          <w:sz w:val="22"/>
          <w:szCs w:val="22"/>
        </w:rPr>
        <w:t>（</w:t>
      </w:r>
      <w:bookmarkEnd w:id="722"/>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tab/>
        <w:t>评价管理层选用会计政策的恰当性和作出会计估计及相关披露的合理性。</w:t>
      </w:r>
    </w:p>
    <w:p>
      <w:pPr>
        <w:pStyle w:val="Style33"/>
        <w:keepNext w:val="0"/>
        <w:keepLines w:val="0"/>
        <w:widowControl w:val="0"/>
        <w:shd w:val="clear" w:color="auto" w:fill="auto"/>
        <w:bidi w:val="0"/>
        <w:spacing w:before="0" w:after="0" w:line="316" w:lineRule="exact"/>
        <w:ind w:left="0" w:right="0" w:firstLine="440"/>
        <w:jc w:val="both"/>
        <w:rPr>
          <w:sz w:val="22"/>
          <w:szCs w:val="22"/>
        </w:rPr>
      </w:pPr>
      <w:bookmarkStart w:id="723" w:name="bookmark723"/>
      <w:r>
        <w:rPr>
          <w:color w:val="000000"/>
          <w:spacing w:val="0"/>
          <w:w w:val="100"/>
          <w:position w:val="0"/>
          <w:sz w:val="22"/>
          <w:szCs w:val="22"/>
        </w:rPr>
        <w:t>（</w:t>
      </w:r>
      <w:bookmarkEnd w:id="723"/>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 对管理层使用持续经营假设的恰当性得出结论。同时，根据获取的审计证据，就可 能导致对东旭蓝天公司持续经营能力产生重大疑虑的事项或情况是否存在重大不确定性得出 结论。如果我们得出结论认为存在重大不确定性，审计准则要求我们在审计报告中提请报表 使用者注意财务报表中的相关披露；如果披露不充分，我们应当发表非无保留意见。我们的 结论基于截至审计报告日可获得的信息。然而，未来的事项或情况可能导致东旭蓝天公司不 能持续经营。</w:t>
      </w:r>
    </w:p>
    <w:p>
      <w:pPr>
        <w:pStyle w:val="Style33"/>
        <w:keepNext w:val="0"/>
        <w:keepLines w:val="0"/>
        <w:widowControl w:val="0"/>
        <w:shd w:val="clear" w:color="auto" w:fill="auto"/>
        <w:tabs>
          <w:tab w:pos="1026" w:val="left"/>
        </w:tabs>
        <w:bidi w:val="0"/>
        <w:spacing w:before="0" w:after="0" w:line="316" w:lineRule="exact"/>
        <w:ind w:left="0" w:right="0" w:firstLine="440"/>
        <w:jc w:val="both"/>
        <w:rPr>
          <w:sz w:val="22"/>
          <w:szCs w:val="22"/>
        </w:rPr>
      </w:pPr>
      <w:bookmarkStart w:id="724" w:name="bookmark724"/>
      <w:r>
        <w:rPr>
          <w:color w:val="000000"/>
          <w:spacing w:val="0"/>
          <w:w w:val="100"/>
          <w:position w:val="0"/>
          <w:sz w:val="22"/>
          <w:szCs w:val="22"/>
        </w:rPr>
        <w:t>（</w:t>
      </w:r>
      <w:bookmarkEnd w:id="724"/>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w:t>
        <w:tab/>
        <w:t>评价财务报表的总体列报、结构和内容，并评价财务报表是否公允反映相关交易和 事项。</w:t>
      </w:r>
    </w:p>
    <w:p>
      <w:pPr>
        <w:pStyle w:val="Style33"/>
        <w:keepNext w:val="0"/>
        <w:keepLines w:val="0"/>
        <w:widowControl w:val="0"/>
        <w:shd w:val="clear" w:color="auto" w:fill="auto"/>
        <w:bidi w:val="0"/>
        <w:spacing w:before="0" w:after="300" w:line="316" w:lineRule="exact"/>
        <w:ind w:left="0" w:right="0" w:firstLine="440"/>
        <w:jc w:val="both"/>
        <w:rPr>
          <w:sz w:val="22"/>
          <w:szCs w:val="22"/>
        </w:rPr>
      </w:pPr>
      <w:bookmarkStart w:id="725" w:name="bookmark725"/>
      <w:r>
        <w:rPr>
          <w:color w:val="000000"/>
          <w:spacing w:val="0"/>
          <w:w w:val="100"/>
          <w:position w:val="0"/>
          <w:sz w:val="22"/>
          <w:szCs w:val="22"/>
        </w:rPr>
        <w:t>（</w:t>
      </w:r>
      <w:bookmarkEnd w:id="725"/>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 就东旭蓝天公司中实体或业务活动的财务信息获取充分、适当的审计证据，以对财 务报表发表审计意见。我们负责指导、监督和执行集团审计，并对审计意见承担全部责任。</w:t>
      </w:r>
    </w:p>
    <w:p>
      <w:pPr>
        <w:pStyle w:val="Style33"/>
        <w:keepNext w:val="0"/>
        <w:keepLines w:val="0"/>
        <w:widowControl w:val="0"/>
        <w:shd w:val="clear" w:color="auto" w:fill="auto"/>
        <w:bidi w:val="0"/>
        <w:spacing w:before="0" w:after="0" w:line="313" w:lineRule="exact"/>
        <w:ind w:left="0" w:right="0" w:firstLine="440"/>
        <w:jc w:val="both"/>
        <w:rPr>
          <w:sz w:val="22"/>
          <w:szCs w:val="22"/>
        </w:rPr>
      </w:pPr>
      <w:r>
        <w:rPr>
          <w:color w:val="000000"/>
          <w:spacing w:val="0"/>
          <w:w w:val="100"/>
          <w:position w:val="0"/>
          <w:sz w:val="22"/>
          <w:szCs w:val="22"/>
        </w:rPr>
        <w:t>我们与治理层就计划的审计范围、时间安排和重大审计发现等事项进行沟通，包括沟通 我们在审计中识别出的值得关注的内部控制缺陷。</w:t>
      </w:r>
    </w:p>
    <w:p>
      <w:pPr>
        <w:pStyle w:val="Style33"/>
        <w:keepNext w:val="0"/>
        <w:keepLines w:val="0"/>
        <w:widowControl w:val="0"/>
        <w:shd w:val="clear" w:color="auto" w:fill="auto"/>
        <w:bidi w:val="0"/>
        <w:spacing w:before="0" w:after="0" w:line="313" w:lineRule="exact"/>
        <w:ind w:left="0" w:right="0" w:firstLine="440"/>
        <w:jc w:val="both"/>
        <w:rPr>
          <w:sz w:val="22"/>
          <w:szCs w:val="22"/>
        </w:rPr>
      </w:pPr>
      <w:r>
        <w:rPr>
          <w:color w:val="000000"/>
          <w:spacing w:val="0"/>
          <w:w w:val="100"/>
          <w:position w:val="0"/>
          <w:sz w:val="22"/>
          <w:szCs w:val="22"/>
        </w:rPr>
        <w:t>我们还就遵守与独立性相关的职业道德要求向治理层提供声明，并与治理层沟通可能被 合理认为影响我们独立性的所有关系和其他事项，以及相关的防范措施（如适用）。</w:t>
      </w:r>
    </w:p>
    <w:p>
      <w:pPr>
        <w:pStyle w:val="Style33"/>
        <w:keepNext w:val="0"/>
        <w:keepLines w:val="0"/>
        <w:widowControl w:val="0"/>
        <w:shd w:val="clear" w:color="auto" w:fill="auto"/>
        <w:bidi w:val="0"/>
        <w:spacing w:before="0" w:after="160" w:line="313" w:lineRule="exact"/>
        <w:ind w:left="0" w:right="0" w:firstLine="440"/>
        <w:jc w:val="both"/>
        <w:rPr>
          <w:sz w:val="22"/>
          <w:szCs w:val="22"/>
        </w:rPr>
        <w:sectPr>
          <w:footnotePr>
            <w:pos w:val="pageBottom"/>
            <w:numFmt w:val="decimal"/>
            <w:numRestart w:val="continuous"/>
          </w:footnotePr>
          <w:pgSz w:w="11900" w:h="16840"/>
          <w:pgMar w:top="1402" w:right="934" w:bottom="1589" w:left="1050" w:header="0" w:footer="3" w:gutter="0"/>
          <w:cols w:space="720"/>
          <w:noEndnote/>
          <w:rtlGutter w:val="0"/>
          <w:docGrid w:linePitch="360"/>
        </w:sectPr>
      </w:pPr>
      <w:r>
        <w:rPr>
          <w:color w:val="000000"/>
          <w:spacing w:val="0"/>
          <w:w w:val="100"/>
          <w:position w:val="0"/>
          <w:sz w:val="22"/>
          <w:szCs w:val="22"/>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pgSz w:w="11900" w:h="16840"/>
          <w:pgMar w:top="1369" w:right="924" w:bottom="1446" w:left="757" w:header="0" w:footer="3" w:gutter="0"/>
          <w:cols w:space="720"/>
          <w:noEndnote/>
          <w:rtlGutter w:val="0"/>
          <w:docGrid w:linePitch="360"/>
        </w:sectPr>
      </w:pPr>
    </w:p>
    <w:p>
      <w:pPr>
        <w:widowControl w:val="0"/>
        <w:spacing w:line="1" w:lineRule="exact"/>
      </w:pPr>
      <w:r>
        <mc:AlternateContent>
          <mc:Choice Requires="wps">
            <w:drawing>
              <wp:anchor distT="0" distB="993775" distL="114300" distR="114300" simplePos="0" relativeHeight="125829378" behindDoc="0" locked="0" layoutInCell="1" allowOverlap="1">
                <wp:simplePos x="0" y="0"/>
                <wp:positionH relativeFrom="page">
                  <wp:posOffset>3944620</wp:posOffset>
                </wp:positionH>
                <wp:positionV relativeFrom="paragraph">
                  <wp:posOffset>2575560</wp:posOffset>
                </wp:positionV>
                <wp:extent cx="1840865" cy="384175"/>
                <wp:wrapSquare wrapText="left"/>
                <wp:docPr id="3" name="Shape 3"/>
                <a:graphic xmlns:a="http://schemas.openxmlformats.org/drawingml/2006/main">
                  <a:graphicData uri="http://schemas.microsoft.com/office/word/2010/wordprocessingShape">
                    <wps:wsp>
                      <wps:cNvSpPr txBox="1"/>
                      <wps:spPr>
                        <a:xfrm>
                          <a:ext cx="1840865" cy="384175"/>
                        </a:xfrm>
                        <a:prstGeom prst="rect"/>
                        <a:noFill/>
                      </wps:spPr>
                      <wps:txbx>
                        <w:txbxContent>
                          <w:p>
                            <w:pPr>
                              <w:pStyle w:val="Style33"/>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中国注册会计师：</w:t>
                            </w:r>
                          </w:p>
                          <w:p>
                            <w:pPr>
                              <w:pStyle w:val="Style3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（项目合伙人）</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10.60000000000002pt;margin-top:202.80000000000001pt;width:144.95000000000002pt;height:30.25pt;z-index:-125829375;mso-wrap-distance-left:9.pt;mso-wrap-distance-right:9.pt;mso-wrap-distance-bottom:78.25pt;mso-position-horizontal-relative:page" filled="f" stroked="f">
                <v:textbox inset="0,0,0,0">
                  <w:txbxContent>
                    <w:p>
                      <w:pPr>
                        <w:pStyle w:val="Style33"/>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中国注册会计师：</w:t>
                      </w:r>
                    </w:p>
                    <w:p>
                      <w:pPr>
                        <w:pStyle w:val="Style3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（项目合伙人）</w:t>
                      </w:r>
                    </w:p>
                  </w:txbxContent>
                </v:textbox>
                <w10:wrap type="square" side="left" anchorx="page"/>
              </v:shape>
            </w:pict>
          </mc:Fallback>
        </mc:AlternateContent>
      </w:r>
      <w:r>
        <mc:AlternateContent>
          <mc:Choice Requires="wps">
            <w:drawing>
              <wp:anchor distT="1188720" distB="0" distL="864235" distR="187325" simplePos="0" relativeHeight="125829380" behindDoc="0" locked="0" layoutInCell="1" allowOverlap="1">
                <wp:simplePos x="0" y="0"/>
                <wp:positionH relativeFrom="page">
                  <wp:posOffset>4694555</wp:posOffset>
                </wp:positionH>
                <wp:positionV relativeFrom="paragraph">
                  <wp:posOffset>3764280</wp:posOffset>
                </wp:positionV>
                <wp:extent cx="1017905" cy="189230"/>
                <wp:wrapSquare wrapText="left"/>
                <wp:docPr id="5" name="Shape 5"/>
                <a:graphic xmlns:a="http://schemas.openxmlformats.org/drawingml/2006/main">
                  <a:graphicData uri="http://schemas.microsoft.com/office/word/2010/wordprocessingShape">
                    <wps:wsp>
                      <wps:cNvSpPr txBox="1"/>
                      <wps:spPr>
                        <a:xfrm>
                          <a:ext cx="1017905" cy="18923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2020</w:t>
                            </w:r>
                            <w:r>
                              <w:rPr>
                                <w:rFonts w:ascii="SimSun" w:eastAsia="SimSun" w:hAnsi="SimSun" w:cs="SimSun"/>
                                <w:color w:val="000000"/>
                                <w:spacing w:val="0"/>
                                <w:w w:val="100"/>
                                <w:position w:val="0"/>
                                <w:sz w:val="22"/>
                                <w:szCs w:val="22"/>
                              </w:rPr>
                              <w:t>年</w:t>
                            </w:r>
                            <w:r>
                              <w:rPr>
                                <w:color w:val="000000"/>
                                <w:spacing w:val="0"/>
                                <w:w w:val="100"/>
                                <w:position w:val="0"/>
                                <w:sz w:val="24"/>
                                <w:szCs w:val="24"/>
                              </w:rPr>
                              <w:t>5</w:t>
                            </w:r>
                            <w:r>
                              <w:rPr>
                                <w:rFonts w:ascii="SimSun" w:eastAsia="SimSun" w:hAnsi="SimSun" w:cs="SimSun"/>
                                <w:color w:val="000000"/>
                                <w:spacing w:val="0"/>
                                <w:w w:val="100"/>
                                <w:position w:val="0"/>
                                <w:sz w:val="22"/>
                                <w:szCs w:val="22"/>
                              </w:rPr>
                              <w:t>月</w:t>
                            </w:r>
                            <w:r>
                              <w:rPr>
                                <w:color w:val="000000"/>
                                <w:spacing w:val="0"/>
                                <w:w w:val="100"/>
                                <w:position w:val="0"/>
                                <w:sz w:val="24"/>
                                <w:szCs w:val="24"/>
                              </w:rPr>
                              <w:t>29</w:t>
                            </w:r>
                            <w:r>
                              <w:rPr>
                                <w:rFonts w:ascii="SimSun" w:eastAsia="SimSun" w:hAnsi="SimSun" w:cs="SimSun"/>
                                <w:color w:val="000000"/>
                                <w:spacing w:val="0"/>
                                <w:w w:val="100"/>
                                <w:position w:val="0"/>
                                <w:sz w:val="22"/>
                                <w:szCs w:val="22"/>
                              </w:rPr>
                              <w:t>日</w:t>
                            </w:r>
                          </w:p>
                        </w:txbxContent>
                      </wps:txbx>
                      <wps:bodyPr wrap="none" lIns="0" tIns="0" rIns="0" bIns="0">
                        <a:noAutoFit/>
                      </wps:bodyPr>
                    </wps:wsp>
                  </a:graphicData>
                </a:graphic>
              </wp:anchor>
            </w:drawing>
          </mc:Choice>
          <mc:Fallback>
            <w:pict>
              <v:shape id="_x0000_s1031" type="#_x0000_t202" style="position:absolute;margin-left:369.65000000000003pt;margin-top:296.40000000000003pt;width:80.150000000000006pt;height:14.9pt;z-index:-125829373;mso-wrap-distance-left:68.049999999999997pt;mso-wrap-distance-top:93.600000000000009pt;mso-wrap-distance-right:14.75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2020</w:t>
                      </w:r>
                      <w:r>
                        <w:rPr>
                          <w:rFonts w:ascii="SimSun" w:eastAsia="SimSun" w:hAnsi="SimSun" w:cs="SimSun"/>
                          <w:color w:val="000000"/>
                          <w:spacing w:val="0"/>
                          <w:w w:val="100"/>
                          <w:position w:val="0"/>
                          <w:sz w:val="22"/>
                          <w:szCs w:val="22"/>
                        </w:rPr>
                        <w:t>年</w:t>
                      </w:r>
                      <w:r>
                        <w:rPr>
                          <w:color w:val="000000"/>
                          <w:spacing w:val="0"/>
                          <w:w w:val="100"/>
                          <w:position w:val="0"/>
                          <w:sz w:val="24"/>
                          <w:szCs w:val="24"/>
                        </w:rPr>
                        <w:t>5</w:t>
                      </w:r>
                      <w:r>
                        <w:rPr>
                          <w:rFonts w:ascii="SimSun" w:eastAsia="SimSun" w:hAnsi="SimSun" w:cs="SimSun"/>
                          <w:color w:val="000000"/>
                          <w:spacing w:val="0"/>
                          <w:w w:val="100"/>
                          <w:position w:val="0"/>
                          <w:sz w:val="22"/>
                          <w:szCs w:val="22"/>
                        </w:rPr>
                        <w:t>月</w:t>
                      </w:r>
                      <w:r>
                        <w:rPr>
                          <w:color w:val="000000"/>
                          <w:spacing w:val="0"/>
                          <w:w w:val="100"/>
                          <w:position w:val="0"/>
                          <w:sz w:val="24"/>
                          <w:szCs w:val="24"/>
                        </w:rPr>
                        <w:t>29</w:t>
                      </w:r>
                      <w:r>
                        <w:rPr>
                          <w:rFonts w:ascii="SimSun" w:eastAsia="SimSun" w:hAnsi="SimSun" w:cs="SimSun"/>
                          <w:color w:val="000000"/>
                          <w:spacing w:val="0"/>
                          <w:w w:val="100"/>
                          <w:position w:val="0"/>
                          <w:sz w:val="22"/>
                          <w:szCs w:val="22"/>
                        </w:rPr>
                        <w:t>日</w:t>
                      </w:r>
                    </w:p>
                  </w:txbxContent>
                </v:textbox>
                <w10:wrap type="square" side="left" anchorx="page"/>
              </v:shape>
            </w:pict>
          </mc:Fallback>
        </mc:AlternateContent>
      </w:r>
    </w:p>
    <w:p>
      <w:pPr>
        <w:pStyle w:val="Style33"/>
        <w:keepNext w:val="0"/>
        <w:keepLines w:val="0"/>
        <w:widowControl w:val="0"/>
        <w:shd w:val="clear" w:color="auto" w:fill="auto"/>
        <w:bidi w:val="0"/>
        <w:spacing w:before="0" w:after="3740" w:line="240" w:lineRule="auto"/>
        <w:ind w:left="0" w:right="0" w:firstLine="0"/>
        <w:jc w:val="left"/>
        <w:rPr>
          <w:sz w:val="22"/>
          <w:szCs w:val="22"/>
        </w:rPr>
      </w:pPr>
      <w:r>
        <w:rPr>
          <w:color w:val="000000"/>
          <w:spacing w:val="0"/>
          <w:w w:val="100"/>
          <w:position w:val="0"/>
          <w:sz w:val="22"/>
          <w:szCs w:val="22"/>
        </w:rPr>
        <w:t>（此页无正文，仅为审计报告盖章签字页）</w:t>
      </w:r>
    </w:p>
    <w:p>
      <w:pPr>
        <w:pStyle w:val="Style33"/>
        <w:keepNext w:val="0"/>
        <w:keepLines w:val="0"/>
        <w:widowControl w:val="0"/>
        <w:shd w:val="clear" w:color="auto" w:fill="auto"/>
        <w:bidi w:val="0"/>
        <w:spacing w:before="0" w:after="80" w:line="240" w:lineRule="auto"/>
        <w:ind w:left="0" w:right="0" w:firstLine="440"/>
        <w:jc w:val="left"/>
        <w:rPr>
          <w:sz w:val="22"/>
          <w:szCs w:val="22"/>
        </w:rPr>
      </w:pPr>
      <w:r>
        <w:rPr>
          <w:color w:val="000000"/>
          <w:spacing w:val="0"/>
          <w:w w:val="100"/>
          <w:position w:val="0"/>
          <w:sz w:val="22"/>
          <w:szCs w:val="22"/>
        </w:rPr>
        <w:t>中兴财光华会计师事务所</w:t>
      </w:r>
    </w:p>
    <w:p>
      <w:pPr>
        <w:pStyle w:val="Style33"/>
        <w:keepNext w:val="0"/>
        <w:keepLines w:val="0"/>
        <w:widowControl w:val="0"/>
        <w:shd w:val="clear" w:color="auto" w:fill="auto"/>
        <w:bidi w:val="0"/>
        <w:spacing w:before="0" w:after="360" w:line="240" w:lineRule="auto"/>
        <w:ind w:left="0" w:right="0" w:firstLine="440"/>
        <w:jc w:val="left"/>
        <w:rPr>
          <w:sz w:val="22"/>
          <w:szCs w:val="22"/>
        </w:rPr>
      </w:pPr>
      <w:r>
        <w:rPr>
          <w:color w:val="000000"/>
          <w:spacing w:val="0"/>
          <w:w w:val="100"/>
          <w:position w:val="0"/>
          <w:sz w:val="22"/>
          <w:szCs w:val="22"/>
        </w:rPr>
        <w:t>（特殊普通合伙）</w:t>
      </w:r>
    </w:p>
    <w:p>
      <w:pPr>
        <w:pStyle w:val="Style33"/>
        <w:keepNext w:val="0"/>
        <w:keepLines w:val="0"/>
        <w:widowControl w:val="0"/>
        <w:shd w:val="clear" w:color="auto" w:fill="auto"/>
        <w:bidi w:val="0"/>
        <w:spacing w:before="0" w:after="680" w:line="240" w:lineRule="auto"/>
        <w:ind w:left="0" w:right="0" w:firstLine="840"/>
        <w:jc w:val="left"/>
        <w:rPr>
          <w:sz w:val="22"/>
          <w:szCs w:val="22"/>
        </w:rPr>
      </w:pPr>
      <w:r>
        <w:rPr>
          <w:color w:val="000000"/>
          <w:spacing w:val="0"/>
          <w:w w:val="100"/>
          <w:position w:val="0"/>
          <w:sz w:val="22"/>
          <w:szCs w:val="22"/>
        </w:rPr>
        <w:t>中国注册会计师：</w:t>
      </w:r>
    </w:p>
    <w:p>
      <w:pPr>
        <w:pStyle w:val="Style33"/>
        <w:keepNext w:val="0"/>
        <w:keepLines w:val="0"/>
        <w:widowControl w:val="0"/>
        <w:shd w:val="clear" w:color="auto" w:fill="auto"/>
        <w:bidi w:val="0"/>
        <w:spacing w:before="0" w:after="520" w:line="240" w:lineRule="auto"/>
        <w:ind w:left="0" w:right="0" w:firstLine="600"/>
        <w:jc w:val="left"/>
        <w:rPr>
          <w:sz w:val="22"/>
          <w:szCs w:val="22"/>
        </w:rPr>
      </w:pPr>
      <w:r>
        <w:rPr>
          <w:color w:val="000000"/>
          <w:spacing w:val="0"/>
          <w:w w:val="100"/>
          <w:position w:val="0"/>
          <w:sz w:val="22"/>
          <w:szCs w:val="22"/>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北京</w:t>
      </w:r>
      <w:r>
        <w:br w:type="page"/>
      </w:r>
    </w:p>
    <w:p>
      <w:pPr>
        <w:pStyle w:val="Style22"/>
        <w:keepNext/>
        <w:keepLines/>
        <w:widowControl w:val="0"/>
        <w:shd w:val="clear" w:color="auto" w:fill="auto"/>
        <w:bidi w:val="0"/>
        <w:spacing w:before="0" w:after="380" w:line="240" w:lineRule="auto"/>
        <w:ind w:left="0" w:right="0" w:firstLine="0"/>
        <w:jc w:val="left"/>
      </w:pPr>
      <w:bookmarkStart w:id="726" w:name="bookmark726"/>
      <w:bookmarkStart w:id="727" w:name="bookmark727"/>
      <w:bookmarkStart w:id="728" w:name="bookmark728"/>
      <w:r>
        <w:rPr>
          <w:color w:val="000000"/>
          <w:spacing w:val="0"/>
          <w:w w:val="100"/>
          <w:position w:val="0"/>
        </w:rPr>
        <w:t>二、财务报表</w:t>
      </w:r>
      <w:bookmarkEnd w:id="726"/>
      <w:bookmarkEnd w:id="727"/>
      <w:bookmarkEnd w:id="72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0"/>
        <w:keepNext/>
        <w:keepLines/>
        <w:widowControl w:val="0"/>
        <w:shd w:val="clear" w:color="auto" w:fill="auto"/>
        <w:bidi w:val="0"/>
        <w:spacing w:before="0" w:after="380" w:line="240" w:lineRule="auto"/>
        <w:ind w:left="0" w:right="0" w:firstLine="0"/>
        <w:jc w:val="left"/>
      </w:pPr>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729"/>
      <w:bookmarkEnd w:id="730"/>
      <w:bookmarkEnd w:id="731"/>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编制单位：东旭蓝天新能源股份有限公司</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4,717,284,263.63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7,480,672,414.45</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371,176,195.17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309,904,124.28</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2,986,108,843.89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3,297,595,292.91</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4,883,792,708.46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4,641,887,925.92</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650,732,493.13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1,019,210,727.88</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12,819,770.84</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2,482,258,945.56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3,445,020,169.07</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991,009,984.95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1,172,867,914.51</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17,082,763,434.79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21,367,158,569.02</w:t>
            </w:r>
          </w:p>
        </w:tc>
      </w:tr>
      <w:tr>
        <w:trPr>
          <w:trHeight w:val="408"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19,765,357.37</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9,266,106.87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9,970,731.52</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4,275,282.24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1,539,722,510.04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1,599,807,043.17</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5,820,999,223.56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5,637,026,735.10</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524,358,423.69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937,087,373.81</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22,741,643.82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16,672,765.84</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153,321,679.81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139,004,450.01</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3,193,797.22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2,976,120.02</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863,171,058.98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970,983,314.42</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416,250,798.87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422,732,891.39</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92,701,367.26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134,567,336.69</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4,444,466,863.38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3,165,292,114.79</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13,904,468,755.74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13,055,886,234.13</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30,987,232,190.53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34,423,044,803.15</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2,590,779,510.12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2,710,000,000.00</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49,619,917.50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84,470,000.00</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4,046,836,598.21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5,211,083,645.07</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865,198,029.07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1,430,697,285.56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23,929,407.58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26,859,682.22</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110,830,092.11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206,207,534.16</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709,325,852.20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652,114,649.81</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14,794,673.18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148,760,425.03</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2,981,984.85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1,786,039.81</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3,023,989,648.89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2,425,511,455.98</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624,175,532.72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674,076,689.68</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12,044,684,588.40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13,421,020,942.48</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3,288,240,859.86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4,023,650,989.52</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1,789,898,313.12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2,091,305,969.62</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24,178,920.70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1,910,661.07</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23,994,921.71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15,994,921.67</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288,934,695.31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291,619,424.42</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6,743,044.84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6,359,559.03</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5,421,990,755.54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6,430,841,525.33</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17,466,675,343.94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19,851,862,467.81</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1,486,873,870.00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1,486,873,870.00</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10,675,789,931.20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10,680,408,964.23</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2,090,303.22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2,142,972.38</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216,091,994.43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216,123,282.18</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1,031,098,658.99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2,114,893,635.75</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13,411,944,757.84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14,500,442,724.54</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108,612,088.75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70,739,610.80</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13,520,556,846.59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14,571,182,335.34</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30,987,232,190.53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34,423,044,803.15</w:t>
            </w:r>
          </w:p>
        </w:tc>
      </w:tr>
    </w:tbl>
    <w:p>
      <w:pPr>
        <w:pStyle w:val="Style30"/>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850" simplePos="0" relativeHeight="125829382" behindDoc="0" locked="0" layoutInCell="1" allowOverlap="1">
                <wp:simplePos x="0" y="0"/>
                <wp:positionH relativeFrom="page">
                  <wp:posOffset>652780</wp:posOffset>
                </wp:positionH>
                <wp:positionV relativeFrom="margin">
                  <wp:posOffset>3587750</wp:posOffset>
                </wp:positionV>
                <wp:extent cx="1051560" cy="149225"/>
                <wp:wrapTopAndBottom/>
                <wp:docPr id="7" name="Shape 7"/>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法定代表人：黄志良</w:t>
                            </w:r>
                          </w:p>
                        </w:txbxContent>
                      </wps:txbx>
                      <wps:bodyPr wrap="none" lIns="0" tIns="0" rIns="0" bIns="0">
                        <a:noAutoFit/>
                      </wps:bodyPr>
                    </wps:wsp>
                  </a:graphicData>
                </a:graphic>
              </wp:anchor>
            </w:drawing>
          </mc:Choice>
          <mc:Fallback>
            <w:pict>
              <v:shape id="_x0000_s1033" type="#_x0000_t202" style="position:absolute;margin-left:51.399999999999999pt;margin-top:282.5pt;width:82.799999999999997pt;height:11.75pt;z-index:-125829371;mso-wrap-distance-left:9.pt;mso-wrap-distance-top:11.pt;mso-wrap-distance-right:405.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法定代表人：黄志良</w:t>
                      </w:r>
                    </w:p>
                  </w:txbxContent>
                </v:textbox>
                <w10:wrap type="topAndBottom" anchorx="page" anchory="margin"/>
              </v:shape>
            </w:pict>
          </mc:Fallback>
        </mc:AlternateContent>
      </w:r>
      <w:r>
        <mc:AlternateContent>
          <mc:Choice Requires="wps">
            <w:drawing>
              <wp:anchor distT="139700" distB="3175" distL="2348230" distR="2461895" simplePos="0" relativeHeight="125829384" behindDoc="0" locked="0" layoutInCell="1" allowOverlap="1">
                <wp:simplePos x="0" y="0"/>
                <wp:positionH relativeFrom="page">
                  <wp:posOffset>2886710</wp:posOffset>
                </wp:positionH>
                <wp:positionV relativeFrom="margin">
                  <wp:posOffset>3587750</wp:posOffset>
                </wp:positionV>
                <wp:extent cx="1505585" cy="146050"/>
                <wp:wrapTopAndBottom/>
                <wp:docPr id="9" name="Shape 9"/>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主管会计工作负责人：夏志勇</w:t>
                            </w:r>
                          </w:p>
                        </w:txbxContent>
                      </wps:txbx>
                      <wps:bodyPr wrap="none" lIns="0" tIns="0" rIns="0" bIns="0">
                        <a:noAutoFit/>
                      </wps:bodyPr>
                    </wps:wsp>
                  </a:graphicData>
                </a:graphic>
              </wp:anchor>
            </w:drawing>
          </mc:Choice>
          <mc:Fallback>
            <w:pict>
              <v:shape id="_x0000_s1035" type="#_x0000_t202" style="position:absolute;margin-left:227.30000000000001pt;margin-top:282.5pt;width:118.55pt;height:11.5pt;z-index:-125829369;mso-wrap-distance-left:184.90000000000001pt;mso-wrap-distance-top:11.pt;mso-wrap-distance-right:193.84999999999999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主管会计工作负责人：夏志勇</w:t>
                      </w:r>
                    </w:p>
                  </w:txbxContent>
                </v:textbox>
                <w10:wrap type="topAndBottom" anchorx="page" anchory="margin"/>
              </v:shape>
            </w:pict>
          </mc:Fallback>
        </mc:AlternateContent>
      </w:r>
      <w:r>
        <mc:AlternateContent>
          <mc:Choice Requires="wps">
            <w:drawing>
              <wp:anchor distT="139700" distB="0" distL="5030470" distR="114935" simplePos="0" relativeHeight="125829386" behindDoc="0" locked="0" layoutInCell="1" allowOverlap="1">
                <wp:simplePos x="0" y="0"/>
                <wp:positionH relativeFrom="page">
                  <wp:posOffset>5568950</wp:posOffset>
                </wp:positionH>
                <wp:positionV relativeFrom="margin">
                  <wp:posOffset>3587750</wp:posOffset>
                </wp:positionV>
                <wp:extent cx="1170305" cy="149225"/>
                <wp:wrapTopAndBottom/>
                <wp:docPr id="11" name="Shape 11"/>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会计机构负责人：李磊</w:t>
                            </w:r>
                          </w:p>
                        </w:txbxContent>
                      </wps:txbx>
                      <wps:bodyPr wrap="none" lIns="0" tIns="0" rIns="0" bIns="0">
                        <a:noAutoFit/>
                      </wps:bodyPr>
                    </wps:wsp>
                  </a:graphicData>
                </a:graphic>
              </wp:anchor>
            </w:drawing>
          </mc:Choice>
          <mc:Fallback>
            <w:pict>
              <v:shape id="_x0000_s1037" type="#_x0000_t202" style="position:absolute;margin-left:438.5pt;margin-top:282.5pt;width:92.150000000000006pt;height:11.75pt;z-index:-125829367;mso-wrap-distance-left:396.10000000000002pt;mso-wrap-distance-top:11.pt;mso-wrap-distance-right:9.0500000000000007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会计机构负责人：李磊</w:t>
                      </w:r>
                    </w:p>
                  </w:txbxContent>
                </v:textbox>
                <w10:wrap type="topAndBottom" anchorx="page" anchory="margin"/>
              </v:shape>
            </w:pict>
          </mc:Fallback>
        </mc:AlternateContent>
      </w:r>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732"/>
      <w:bookmarkEnd w:id="733"/>
      <w:bookmarkEnd w:id="73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264,560,973.18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401,783,855.48</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11,138,331.77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14,453,720.87</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3,089,960.52</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2,497,897,880.48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3,134,512,107.50</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4,219,850.83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7,324,608.93</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2,777,817,036.26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3,561,164,253.30</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14,371,357.37</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13,253,789,674.51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13,128,614,788.15</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4,275,282.24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49,395,151.71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56,960,094.63</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5,357,280.07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6,938,900.46</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57,438,314.33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56,024,169.61</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11,596,647.57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12,039,526.61</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13,146,984.14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12,459,565.89</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1,690,634,974.67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1,275,000,000.00</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15,095,634,309.24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14,562,408,402.72</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17,873,451,345.50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18,123,572,656.02</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933,582,236.55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820,000,000.00</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9,161,425.40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5,382,441.25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1,330,376.00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1,326,129.00</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10,592,517.57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10,807,912.00</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63,491,710.76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71,262,357.43</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1,955,376,591.97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1,903,771,343.92</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11,268,329.26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9,895,834.41</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1,786,039.81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1,786,039.81</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1,892,563,626.80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1,462,409,501.45</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4,866,098,485.05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4,274,959,685.05</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138,888,889.06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712,733,333.37</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143,972,418.14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194,033,228.88</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1,910,661.07</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693,820.56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717,839.34</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283,555,127.76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909,395,062.66</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5,149,653,612.81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5,184,354,747.71</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1,486,873,870.00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1,486,873,870.00</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10,842,095,949.64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10,807,726,179.12</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2,081,461.68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2,153,518.03</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146,481,906.33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146,513,194.08</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246,264,545.04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495,951,147.08</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12,723,797,732.69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12,939,217,908.31</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17,873,451,345.50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18,123,572,656.02</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3</w:t>
      </w:r>
      <w:bookmarkEnd w:id="737"/>
      <w:r>
        <w:rPr>
          <w:color w:val="000000"/>
          <w:spacing w:val="0"/>
          <w:w w:val="100"/>
          <w:position w:val="0"/>
        </w:rPr>
        <w:t>、合并利润表</w:t>
      </w:r>
      <w:bookmarkEnd w:id="735"/>
      <w:bookmarkEnd w:id="736"/>
      <w:bookmarkEnd w:id="73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6,805,761,615.72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8,676,289,465.14</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6,805,761,615.72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8,676,289,465.14</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6,890,317,197.67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8,373,259,092.54</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5,930,318,065.49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7,451,700,449.04</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940"/>
              <w:jc w:val="left"/>
              <w:rPr>
                <w:sz w:val="17"/>
                <w:szCs w:val="17"/>
              </w:rPr>
            </w:pPr>
            <w:r>
              <w:rPr>
                <w:rFonts w:ascii="SimSun" w:eastAsia="SimSun" w:hAnsi="SimSun" w:cs="SimSun"/>
                <w:color w:val="000000"/>
                <w:spacing w:val="0"/>
                <w:w w:val="100"/>
                <w:position w:val="0"/>
                <w:sz w:val="17"/>
                <w:szCs w:val="17"/>
              </w:rPr>
              <w:t>提取保险责任合同准备金</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31,046,735.47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21,613,371.02</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14,605,977.87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19,124,356.52</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269,191,422.99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315,221,467.23</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35,414,974.27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51,329,254.83</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609,740,021.58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514,270,193.90</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730,692,240.67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640,120,327.94</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16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135,278,982.35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143,402,131.52</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31,232,276.11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15,297,177.36</w:t>
            </w:r>
          </w:p>
        </w:tc>
      </w:tr>
      <w:tr>
        <w:trPr>
          <w:trHeight w:val="710"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102,127,720.91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1,337,368,960.17</w:t>
            </w:r>
          </w:p>
        </w:tc>
      </w:tr>
      <w:tr>
        <w:trPr>
          <w:trHeight w:val="725"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-704,624.65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70,731.52</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公允价值变动收益（损失以</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-519,611,870.29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-311,938,422.06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-275,384,112.64</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-15,639.64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1,992.91</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-782,761,516.92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1,380,314,390.40</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2,769,720.07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30,060,343.21</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120,179,226.21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36,778,277.74</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-900,171,023.06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1,373,596,455.87</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56,959,848.90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247,158,269.26</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-957,130,871.96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1,126,438,186.61</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-957,130,871.96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68,072,316.40</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1,058,365,870.21</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-957,109,228.27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1,117,732,285.03</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-21,643.69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8,705,901.58</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-42,229.90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-4,929,724.32</w:t>
            </w:r>
          </w:p>
        </w:tc>
      </w:tr>
      <w:tr>
        <w:trPr>
          <w:trHeight w:val="710"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22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-52,669.16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-4,924,045.90</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-72,056.35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-72,056.35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19,387.19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-4,924,045.90</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-4,913,500.25</w:t>
            </w:r>
          </w:p>
        </w:tc>
      </w:tr>
      <w:tr>
        <w:trPr>
          <w:trHeight w:val="710"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持有至到期投资重分类为 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19,387.19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-10,545.65</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10,439.26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-5,678.42</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color w:val="000000"/>
                <w:spacing w:val="0"/>
                <w:w w:val="100"/>
                <w:position w:val="0"/>
              </w:rPr>
              <w:t>-957,173,101.86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1,121,508,462.29</w:t>
            </w:r>
          </w:p>
        </w:tc>
      </w:tr>
      <w:tr>
        <w:trPr>
          <w:trHeight w:val="710"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left"/>
            </w:pPr>
            <w:r>
              <w:rPr>
                <w:color w:val="000000"/>
                <w:spacing w:val="0"/>
                <w:w w:val="100"/>
                <w:position w:val="0"/>
              </w:rPr>
              <w:t>-957,161,897.43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1,112,808,239.13</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-11,204.43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8,700,223.16</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0.8282</w:t>
            </w:r>
          </w:p>
        </w:tc>
      </w:tr>
      <w:tr>
        <w:trPr>
          <w:trHeight w:val="408"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-0.6437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0.8282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26"/>
        <w:keepNext w:val="0"/>
        <w:keepLines w:val="0"/>
        <w:widowControl w:val="0"/>
        <w:shd w:val="clear" w:color="auto" w:fill="auto"/>
        <w:tabs>
          <w:tab w:pos="3514" w:val="left"/>
          <w:tab w:pos="7738" w:val="left"/>
        </w:tabs>
        <w:bidi w:val="0"/>
        <w:spacing w:before="0" w:after="400" w:line="240" w:lineRule="auto"/>
        <w:ind w:left="0" w:right="0" w:firstLine="0"/>
        <w:jc w:val="left"/>
      </w:pPr>
      <w:r>
        <w:rPr>
          <w:color w:val="000000"/>
          <w:spacing w:val="0"/>
          <w:w w:val="100"/>
          <w:position w:val="0"/>
        </w:rPr>
        <w:t>法定代表人：黄志良</w:t>
        <w:tab/>
        <w:t>主管会计工作负责人：夏志勇</w:t>
        <w:tab/>
        <w:t>会计机构负责人：李磊</w:t>
      </w:r>
    </w:p>
    <w:p>
      <w:pPr>
        <w:pStyle w:val="Style30"/>
        <w:keepNext/>
        <w:keepLines/>
        <w:widowControl w:val="0"/>
        <w:shd w:val="clear" w:color="auto" w:fill="auto"/>
        <w:bidi w:val="0"/>
        <w:spacing w:before="0" w:after="40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4</w:t>
      </w:r>
      <w:bookmarkEnd w:id="741"/>
      <w:r>
        <w:rPr>
          <w:color w:val="000000"/>
          <w:spacing w:val="0"/>
          <w:w w:val="100"/>
          <w:position w:val="0"/>
        </w:rPr>
        <w:t>、母公司利润表</w:t>
      </w:r>
      <w:bookmarkEnd w:id="739"/>
      <w:bookmarkEnd w:id="740"/>
      <w:bookmarkEnd w:id="74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18"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c>
          <w:tcPr>
            <w:tcBorders>
              <w:top w:val="single" w:sz="4"/>
              <w:left w:val="single" w:sz="4"/>
              <w:bottom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年度</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2,840,551.99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6,732,618.58</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color w:val="000000"/>
                <w:spacing w:val="0"/>
                <w:w w:val="100"/>
                <w:position w:val="0"/>
              </w:rPr>
              <w:t>917,511.60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2,780,797.37</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color w:val="000000"/>
                <w:spacing w:val="0"/>
                <w:w w:val="100"/>
                <w:position w:val="0"/>
              </w:rPr>
              <w:t>493,988.23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1,546,070.61</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114,438.39</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34,021,992.48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36,185,877.12</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63,815,853.84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224,759,850.61</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171,155,461.51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280,302,824.21</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107,369,241.77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60,288,440.29</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8,098,836.84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2,947,683.89</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-5,437,567.88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663,239,129.19</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740"/>
              <w:jc w:val="left"/>
              <w:rPr>
                <w:sz w:val="17"/>
                <w:szCs w:val="17"/>
              </w:rPr>
            </w:pPr>
            <w:r>
              <w:rPr>
                <w:rFonts w:ascii="SimSun" w:eastAsia="SimSun" w:hAnsi="SimSun" w:cs="SimSun"/>
                <w:color w:val="000000"/>
                <w:spacing w:val="0"/>
                <w:w w:val="100"/>
                <w:position w:val="0"/>
                <w:sz w:val="17"/>
                <w:szCs w:val="17"/>
              </w:rPr>
              <w:t>其中：对联营企业和合营企 业的投资收益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00" w:right="0" w:firstLine="0"/>
              <w:jc w:val="both"/>
            </w:pPr>
            <w:r>
              <w:rPr>
                <w:color w:val="000000"/>
                <w:spacing w:val="0"/>
                <w:w w:val="100"/>
                <w:position w:val="0"/>
              </w:rPr>
              <w:t>-704,624.65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70,731.52</w:t>
            </w:r>
          </w:p>
        </w:tc>
      </w:tr>
      <w:tr>
        <w:trPr>
          <w:trHeight w:val="1022"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1100"/>
              <w:jc w:val="both"/>
              <w:rPr>
                <w:sz w:val="17"/>
                <w:szCs w:val="17"/>
              </w:rPr>
            </w:pPr>
            <w:r>
              <w:rPr>
                <w:rFonts w:ascii="SimSun" w:eastAsia="SimSun" w:hAnsi="SimSun" w:cs="SimSun"/>
                <w:color w:val="000000"/>
                <w:spacing w:val="0"/>
                <w:w w:val="100"/>
                <w:position w:val="0"/>
                <w:sz w:val="17"/>
                <w:szCs w:val="17"/>
              </w:rPr>
              <w:t>以摊余成本计量的金融 资产终止确认收益（损失以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740"/>
              <w:jc w:val="left"/>
              <w:rPr>
                <w:sz w:val="17"/>
                <w:szCs w:val="17"/>
              </w:rPr>
            </w:pPr>
            <w:r>
              <w:rPr>
                <w:rFonts w:ascii="SimSun" w:eastAsia="SimSun" w:hAnsi="SimSun" w:cs="SimSun"/>
                <w:color w:val="000000"/>
                <w:spacing w:val="0"/>
                <w:w w:val="100"/>
                <w:position w:val="0"/>
                <w:sz w:val="17"/>
                <w:szCs w:val="17"/>
              </w:rPr>
              <w:t xml:space="preserve">净敞口套期收益（损失以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公允价值变动收益（损失以</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740"/>
              <w:jc w:val="left"/>
              <w:rPr>
                <w:sz w:val="17"/>
                <w:szCs w:val="17"/>
              </w:rPr>
            </w:pPr>
            <w:r>
              <w:rPr>
                <w:rFonts w:ascii="SimSun" w:eastAsia="SimSun" w:hAnsi="SimSun" w:cs="SimSun"/>
                <w:color w:val="000000"/>
                <w:spacing w:val="0"/>
                <w:w w:val="100"/>
                <w:position w:val="0"/>
                <w:sz w:val="17"/>
                <w:szCs w:val="17"/>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-4,243,164.07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-32,076,531.23</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2,170.00</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-97,990,689.27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375,458,036.33</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397,442.76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30,000,000.00</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40,843,494.92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30,672,573.86</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-138,436,741.43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374,785,462.47</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00" w:right="0" w:firstLine="0"/>
              <w:jc w:val="both"/>
            </w:pPr>
            <w:r>
              <w:rPr>
                <w:color w:val="000000"/>
                <w:spacing w:val="0"/>
                <w:w w:val="100"/>
                <w:position w:val="0"/>
              </w:rPr>
              <w:t>-547,269.41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98,448,528.79</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-137,889,472.02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276,336,933.68</w:t>
            </w:r>
          </w:p>
        </w:tc>
      </w:tr>
      <w:tr>
        <w:trPr>
          <w:trHeight w:val="710"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（一）持续经营净利润（净亏损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-137,889,472.02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-206,839,250.99</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（二）终止经营净利润（净亏损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483,176,184.67</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80" w:right="0" w:firstLine="0"/>
              <w:jc w:val="left"/>
            </w:pPr>
            <w:r>
              <w:rPr>
                <w:color w:val="000000"/>
                <w:spacing w:val="0"/>
                <w:w w:val="100"/>
                <w:position w:val="0"/>
              </w:rPr>
              <w:t>-72,056.35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-4,913,500.25</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80" w:right="0" w:firstLine="0"/>
              <w:jc w:val="left"/>
            </w:pPr>
            <w:r>
              <w:rPr>
                <w:color w:val="000000"/>
                <w:spacing w:val="0"/>
                <w:w w:val="100"/>
                <w:position w:val="0"/>
              </w:rPr>
              <w:t>-72,056.35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80" w:right="0" w:firstLine="0"/>
              <w:jc w:val="left"/>
            </w:pPr>
            <w:r>
              <w:rPr>
                <w:color w:val="000000"/>
                <w:spacing w:val="0"/>
                <w:w w:val="100"/>
                <w:position w:val="0"/>
              </w:rPr>
              <w:t>-72,056.35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-4,913,500.25</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9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26" w:lineRule="exact"/>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-4,913,500.25</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26" w:lineRule="exact"/>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持有至到期投资重分类 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-137,961,528.37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271,423,433.43</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5</w:t>
      </w:r>
      <w:bookmarkEnd w:id="745"/>
      <w:r>
        <w:rPr>
          <w:color w:val="000000"/>
          <w:spacing w:val="0"/>
          <w:w w:val="100"/>
          <w:position w:val="0"/>
        </w:rPr>
        <w:t>、合并现金流量表</w:t>
      </w:r>
      <w:bookmarkEnd w:id="743"/>
      <w:bookmarkEnd w:id="744"/>
      <w:bookmarkEnd w:id="746"/>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8,422,212,386.70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5,716,687,061.59</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4,402,846.29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14,390,629.88</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375,360,352.38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860,057,355.91</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8,801,975,585.37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6,591,135,047.38</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7,547,788,573.93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8,513,666,010.28</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2"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302,330,018.70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358,067,613.59</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204,521,777.18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185,913,625.91</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166,954,278.30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1,366,746,061.34</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8,221,594,648.11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10,424,393,311.12</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580,380,937.26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-3,833,258,263.74</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85,394,000.00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277,974,512.71</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4,614,144.24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693,131.59</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113,358.41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1,128,550.29</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754,355,114.50</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2,944,166,515.47</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90,121,502.65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3,978,317,824.56</w:t>
            </w:r>
          </w:p>
        </w:tc>
      </w:tr>
      <w:tr>
        <w:trPr>
          <w:trHeight w:val="710"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1,302,977,722.65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3,729,307,793.53</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293,361,325.00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9,900,000.00</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7,669,661.22</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3,192,307,812.55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865,724,225.32</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4,788,646,860.20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4,612,601,680.07</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-4,698,525,357.55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-634,283,855.51</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33,100,000.00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2,004,600,000.00</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33,100,000.00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27,600,000.00</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2,106,040,000.00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3,964,300,000.00</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287,939,787.62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1,268,538,759.21</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2,427,079,787.62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7,237,438,759.21</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2,607,125,343.76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4,243,541,666.63</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701,878,748.10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599,389,295.23</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1,784,069,282.08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449,916,495.24</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5,093,073,373.94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5,292,847,457.10</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-2,665,993,586.32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1,944,591,302.11</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both"/>
            </w:pPr>
            <w:r>
              <w:rPr>
                <w:color w:val="000000"/>
                <w:spacing w:val="0"/>
                <w:w w:val="100"/>
                <w:position w:val="0"/>
              </w:rPr>
              <w:t>431,585.58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-2,017,705.97</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-6,783,706,421.03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-2,524,968,523.11</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7,441,158,194.39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9,966,126,717.50</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657,451,773.36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7,441,158,194.39</w:t>
            </w:r>
          </w:p>
        </w:tc>
      </w:tr>
    </w:tbl>
    <w:p>
      <w:pPr>
        <w:spacing w:lineRule="exact" w:line="1"/>
        <w:rPr>
          <w:sz w:val="2"/>
          <w:szCs w:val="2"/>
        </w:rPr>
      </w:pPr>
      <w:r>
        <w:br w:type="page"/>
      </w:r>
    </w:p>
    <w:p>
      <w:pPr>
        <w:pStyle w:val="Style30"/>
        <w:keepNext/>
        <w:keepLines/>
        <w:widowControl w:val="0"/>
        <w:shd w:val="clear" w:color="auto" w:fill="auto"/>
        <w:bidi w:val="0"/>
        <w:spacing w:before="0" w:after="40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6</w:t>
      </w:r>
      <w:bookmarkEnd w:id="749"/>
      <w:r>
        <w:rPr>
          <w:color w:val="000000"/>
          <w:spacing w:val="0"/>
          <w:w w:val="100"/>
          <w:position w:val="0"/>
        </w:rPr>
        <w:t>、母公司现金流量表</w:t>
      </w:r>
      <w:bookmarkEnd w:id="747"/>
      <w:bookmarkEnd w:id="748"/>
      <w:bookmarkEnd w:id="75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7,961,558.73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4,257,974.24</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39,670,350.59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130,984,874.20</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47,631,909.32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135,242,848.44</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2,187,213.56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10,251,593.84</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7,034,230.97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16,796,360.08</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6,635,685.83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1,610,593.38</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40,586,720.62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218,833,449.39</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56,443,850.98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247,491,996.69</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-8,811,941.66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-112,249,148.25</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1,012,525,168.38</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85,246.85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666,608,347.71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2,221,646,445.62</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666,693,594.56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3,234,171,614.00</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113,485.86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1,119,095.23</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107,808,700.00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1,898,718,100.00</w:t>
            </w:r>
          </w:p>
        </w:tc>
      </w:tr>
      <w:tr>
        <w:trPr>
          <w:trHeight w:val="710"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562,591,683.70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1,639,459,362.11</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670,513,869.56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3,539,296,557.34</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-3,820,275.00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-305,124,943.34</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1,977,000,000.00</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188,000,000.00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1,216,000,000.00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36,140,097.43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346,311,465.91</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224,140,097.43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3,539,311,465.91</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251,525,745.56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2,677,666,666.63</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293,360,300.38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198,956,903.35</w:t>
            </w: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59,939,156.69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25,064,321.74</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604,825,202.63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2,901,687,891.72</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-380,685,105.20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637,623,574.19</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-393,317,321.86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220,249,482.60</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400,705,147.42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180,455,664.82</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7,387,825.56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400,705,147.42</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7</w:t>
      </w:r>
      <w:bookmarkEnd w:id="753"/>
      <w:r>
        <w:rPr>
          <w:color w:val="000000"/>
          <w:spacing w:val="0"/>
          <w:w w:val="100"/>
          <w:position w:val="0"/>
        </w:rPr>
        <w:t>、合并所有者权益变动表</w:t>
      </w:r>
      <w:bookmarkEnd w:id="751"/>
      <w:bookmarkEnd w:id="752"/>
      <w:bookmarkEnd w:id="754"/>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w:t>
            </w:r>
          </w:p>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股东</w:t>
            </w:r>
          </w:p>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398"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综合</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专项</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盈余</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未分</w:t>
            </w:r>
          </w:p>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配利</w:t>
            </w:r>
          </w:p>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润</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339"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1,486 ,873, </w:t>
            </w:r>
            <w:r>
              <w:rPr>
                <w:color w:val="000000"/>
                <w:spacing w:val="0"/>
                <w:w w:val="100"/>
                <w:position w:val="0"/>
              </w:rPr>
              <w:t xml:space="preserve">870.0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10,680</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,408,9</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2,142,</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972.38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216,12</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3,282.</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2,114,</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893,63</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14,500 ,442,7 </w:t>
            </w:r>
            <w:r>
              <w:rPr>
                <w:color w:val="000000"/>
                <w:spacing w:val="0"/>
                <w:w w:val="100"/>
                <w:position w:val="0"/>
              </w:rPr>
              <w:t>24.54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70,739</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,610.8</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14,571 ,182,3 </w:t>
            </w:r>
            <w:r>
              <w:rPr>
                <w:color w:val="000000"/>
                <w:spacing w:val="0"/>
                <w:w w:val="100"/>
                <w:position w:val="0"/>
              </w:rPr>
              <w:t>35.34</w:t>
            </w: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-31,28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-15,17</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0,208.</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-15,20</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1,495.</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-7,502.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-15,20</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8,998.</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w:t>
            </w:r>
          </w:p>
        </w:tc>
      </w:tr>
      <w:tr>
        <w:trPr>
          <w:trHeight w:val="710"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26" w:lineRule="exact"/>
              <w:ind w:left="0" w:right="0" w:firstLine="740"/>
              <w:jc w:val="both"/>
              <w:rPr>
                <w:sz w:val="17"/>
                <w:szCs w:val="17"/>
              </w:rPr>
            </w:pPr>
            <w:r>
              <w:rPr>
                <w:rFonts w:ascii="SimSun" w:eastAsia="SimSun" w:hAnsi="SimSun" w:cs="SimSun"/>
                <w:color w:val="000000"/>
                <w:spacing w:val="0"/>
                <w:w w:val="100"/>
                <w:position w:val="0"/>
                <w:sz w:val="17"/>
                <w:szCs w:val="17"/>
              </w:rPr>
              <w:t>同一</w:t>
            </w:r>
          </w:p>
          <w:p>
            <w:pPr>
              <w:pStyle w:val="Style19"/>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10,680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,408,9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2,142,</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972.38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216,09</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1,994.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2,099,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14,485</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,241,2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70,732</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,108.4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14,555</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,973,3</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870.0</w:t>
            </w:r>
          </w:p>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64.23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36.95</w:t>
            </w: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24" w:lineRule="exact"/>
              <w:ind w:left="0" w:right="0" w:firstLine="0"/>
              <w:jc w:val="left"/>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-4,619,</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033.03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-52,66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-1,068,</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624,76</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-1,073,</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296,47</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37,879 </w:t>
            </w:r>
            <w:r>
              <w:rPr>
                <w:color w:val="000000"/>
                <w:spacing w:val="0"/>
                <w:w w:val="100"/>
                <w:position w:val="0"/>
              </w:rPr>
              <w:t xml:space="preserve">,980.3 </w:t>
            </w:r>
            <w:r>
              <w:rPr>
                <w:color w:val="000000"/>
                <w:spacing w:val="0"/>
                <w:w w:val="100"/>
                <w:position w:val="0"/>
              </w:rPr>
              <w:t>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-1,035,</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416,49</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0.36</w:t>
            </w: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-52,66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-957,1</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09,228</w:t>
            </w:r>
          </w:p>
          <w:p>
            <w:pPr>
              <w:pStyle w:val="Style19"/>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-957,1</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61,897</w:t>
            </w:r>
          </w:p>
          <w:p>
            <w:pPr>
              <w:pStyle w:val="Style19"/>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-11,20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-957,1</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73,101</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w:t>
            </w:r>
          </w:p>
        </w:tc>
      </w:tr>
      <w:tr>
        <w:trPr>
          <w:trHeight w:val="1022"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33,100</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33,100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,000.0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58,700</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58,700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,000.0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both"/>
            </w:pPr>
            <w:r>
              <w:rPr>
                <w:color w:val="000000"/>
                <w:spacing w:val="0"/>
                <w:w w:val="100"/>
                <w:position w:val="0"/>
              </w:rPr>
              <w:t>-25,60 0,000.</w:t>
            </w:r>
          </w:p>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both"/>
            </w:pPr>
            <w:r>
              <w:rPr>
                <w:color w:val="000000"/>
                <w:spacing w:val="0"/>
                <w:w w:val="100"/>
                <w:position w:val="0"/>
              </w:rPr>
              <w:t>-25,60 0,000.</w:t>
            </w:r>
          </w:p>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00</w:t>
            </w: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-111,5</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15,540</w:t>
            </w:r>
          </w:p>
          <w:p>
            <w:pPr>
              <w:pStyle w:val="Style19"/>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-111,5</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15,540</w:t>
            </w:r>
          </w:p>
          <w:p>
            <w:pPr>
              <w:pStyle w:val="Style19"/>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-111,5</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15,540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-111,5</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15,540</w:t>
            </w:r>
          </w:p>
          <w:p>
            <w:pPr>
              <w:pStyle w:val="Style19"/>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-111,5</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15,540</w:t>
            </w:r>
          </w:p>
          <w:p>
            <w:pPr>
              <w:pStyle w:val="Style19"/>
              <w:keepNext w:val="0"/>
              <w:keepLines w:val="0"/>
              <w:widowControl w:val="0"/>
              <w:shd w:val="clear" w:color="auto" w:fill="auto"/>
              <w:bidi w:val="0"/>
              <w:spacing w:before="0" w:after="100" w:line="240" w:lineRule="auto"/>
              <w:ind w:left="0" w:right="0" w:firstLine="320"/>
              <w:jc w:val="both"/>
            </w:pPr>
            <w:r>
              <w:rPr>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-111,5</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15,540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-4,619,</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033.03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-4,619,</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033.03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4,791,</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184.78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172,15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w:t>
            </w:r>
          </w:p>
        </w:tc>
      </w:tr>
      <w:tr>
        <w:trPr>
          <w:trHeight w:val="1349"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1,486 ,873, </w:t>
            </w:r>
            <w:r>
              <w:rPr>
                <w:color w:val="000000"/>
                <w:spacing w:val="0"/>
                <w:w w:val="100"/>
                <w:position w:val="0"/>
              </w:rPr>
              <w:t xml:space="preserve">870.0 </w:t>
            </w: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10,675</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,789,9</w:t>
            </w:r>
          </w:p>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2,090,</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303.22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216,09</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1,994.</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center"/>
            </w:pPr>
            <w:r>
              <w:rPr>
                <w:color w:val="000000"/>
                <w:spacing w:val="0"/>
                <w:w w:val="100"/>
                <w:position w:val="0"/>
              </w:rPr>
              <w:t>1,031, 098,65</w:t>
            </w:r>
          </w:p>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8.99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13,411 ,944,7 </w:t>
            </w:r>
            <w:r>
              <w:rPr>
                <w:color w:val="000000"/>
                <w:spacing w:val="0"/>
                <w:w w:val="100"/>
                <w:position w:val="0"/>
              </w:rPr>
              <w:t>57.84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108,61</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2,088.</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13,520 ,556,8 46.59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年年度</w:t>
            </w:r>
          </w:p>
        </w:tc>
      </w:tr>
      <w:tr>
        <w:trPr>
          <w:trHeight w:val="398" w:hRule="exact"/>
        </w:trPr>
        <w:tc>
          <w:tcPr>
            <w:vMerge/>
            <w:tcBorders>
              <w:left w:val="single" w:sz="4"/>
            </w:tcBorders>
            <w:shd w:val="clear" w:color="auto" w:fill="D4D4D4"/>
            <w:vAlign w:val="center"/>
          </w:tcPr>
          <w:p>
            <w:pPr/>
          </w:p>
        </w:tc>
        <w:tc>
          <w:tcPr>
            <w:gridSpan w:val="13"/>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少数股</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东权益</w:t>
            </w:r>
          </w:p>
        </w:tc>
        <w:tc>
          <w:tcPr>
            <w:vMerge w:val="restart"/>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所有者</w:t>
            </w:r>
          </w:p>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权益合</w:t>
            </w:r>
          </w:p>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综合</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专项</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盈余</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未分</w:t>
            </w:r>
          </w:p>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配利</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润</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339"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1,337 ,173, </w:t>
            </w:r>
            <w:r>
              <w:rPr>
                <w:color w:val="000000"/>
                <w:spacing w:val="0"/>
                <w:w w:val="100"/>
                <w:position w:val="0"/>
              </w:rPr>
              <w:t xml:space="preserve">272.0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8,873,</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617,27</w:t>
            </w:r>
          </w:p>
          <w:p>
            <w:pPr>
              <w:pStyle w:val="Style19"/>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7,067,</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188,48</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9,588.</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1,079,</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619,14</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11,485</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,966,2</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73,498,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11,559,</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465,111</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w:t>
            </w:r>
          </w:p>
        </w:tc>
      </w:tr>
      <w:tr>
        <w:trPr>
          <w:trHeight w:val="710"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400"/>
              <w:jc w:val="left"/>
              <w:rPr>
                <w:sz w:val="17"/>
                <w:szCs w:val="17"/>
              </w:rPr>
            </w:pPr>
            <w:r>
              <w:rPr>
                <w:rFonts w:ascii="SimSun" w:eastAsia="SimSun" w:hAnsi="SimSun" w:cs="SimSun"/>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326" w:lineRule="exact"/>
              <w:ind w:left="0" w:right="0" w:firstLine="740"/>
              <w:jc w:val="both"/>
              <w:rPr>
                <w:sz w:val="17"/>
                <w:szCs w:val="17"/>
              </w:rPr>
            </w:pPr>
            <w:r>
              <w:rPr>
                <w:rFonts w:ascii="SimSun" w:eastAsia="SimSun" w:hAnsi="SimSun" w:cs="SimSun"/>
                <w:color w:val="000000"/>
                <w:spacing w:val="0"/>
                <w:w w:val="100"/>
                <w:position w:val="0"/>
                <w:sz w:val="17"/>
                <w:szCs w:val="17"/>
              </w:rPr>
              <w:t>同一</w:t>
            </w:r>
          </w:p>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控制下企业合 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1,337 ,173, </w:t>
            </w:r>
            <w:r>
              <w:rPr>
                <w:color w:val="000000"/>
                <w:spacing w:val="0"/>
                <w:w w:val="100"/>
                <w:position w:val="0"/>
              </w:rPr>
              <w:t xml:space="preserve">272.0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8,873,</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617,27</w:t>
            </w:r>
          </w:p>
          <w:p>
            <w:pPr>
              <w:pStyle w:val="Style19"/>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7,067,</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018.28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188,48</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9,588.</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1,079,</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619,14</w:t>
            </w:r>
          </w:p>
          <w:p>
            <w:pPr>
              <w:pStyle w:val="Style19"/>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11,485</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,966,2</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73,498,</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813.43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11,559,</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465,111</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w:t>
            </w:r>
          </w:p>
        </w:tc>
      </w:tr>
      <w:tr>
        <w:trPr>
          <w:trHeight w:val="1339"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149,7</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00,59</w:t>
            </w:r>
          </w:p>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1,806,</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791,69</w:t>
            </w:r>
          </w:p>
          <w:p>
            <w:pPr>
              <w:pStyle w:val="Style19"/>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left"/>
            </w:pPr>
            <w:r>
              <w:rPr>
                <w:color w:val="000000"/>
                <w:spacing w:val="0"/>
                <w:w w:val="100"/>
                <w:position w:val="0"/>
              </w:rPr>
              <w:t>-4,924, 045.90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27,633</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,693.3</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1,035,</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274,48</w:t>
            </w:r>
          </w:p>
          <w:p>
            <w:pPr>
              <w:pStyle w:val="Style19"/>
              <w:keepNext w:val="0"/>
              <w:keepLines w:val="0"/>
              <w:widowControl w:val="0"/>
              <w:shd w:val="clear" w:color="auto" w:fill="auto"/>
              <w:bidi w:val="0"/>
              <w:spacing w:before="0" w:after="100" w:line="240" w:lineRule="auto"/>
              <w:ind w:left="0" w:right="0" w:firstLine="240"/>
              <w:jc w:val="both"/>
            </w:pPr>
            <w:r>
              <w:rPr>
                <w:color w:val="000000"/>
                <w:spacing w:val="0"/>
                <w:w w:val="100"/>
                <w:position w:val="0"/>
              </w:rPr>
              <w:t>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3,014,</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476,42</w:t>
            </w:r>
          </w:p>
          <w:p>
            <w:pPr>
              <w:pStyle w:val="Style19"/>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6.43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both"/>
            </w:pPr>
            <w:r>
              <w:rPr>
                <w:color w:val="000000"/>
                <w:spacing w:val="0"/>
                <w:w w:val="100"/>
                <w:position w:val="0"/>
              </w:rPr>
              <w:t>-2,759, 202.63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3,011,7</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17,223.</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w:t>
            </w: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left"/>
            </w:pPr>
            <w:r>
              <w:rPr>
                <w:color w:val="000000"/>
                <w:spacing w:val="0"/>
                <w:w w:val="100"/>
                <w:position w:val="0"/>
              </w:rPr>
              <w:t>-4,924, 045.90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1,117,</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732,28</w:t>
            </w:r>
          </w:p>
          <w:p>
            <w:pPr>
              <w:pStyle w:val="Style19"/>
              <w:keepNext w:val="0"/>
              <w:keepLines w:val="0"/>
              <w:widowControl w:val="0"/>
              <w:shd w:val="clear" w:color="auto" w:fill="auto"/>
              <w:bidi w:val="0"/>
              <w:spacing w:before="0" w:after="80" w:line="240" w:lineRule="auto"/>
              <w:ind w:left="0" w:right="0" w:firstLine="240"/>
              <w:jc w:val="both"/>
            </w:pPr>
            <w:r>
              <w:rPr>
                <w:color w:val="000000"/>
                <w:spacing w:val="0"/>
                <w:w w:val="100"/>
                <w:position w:val="0"/>
              </w:rPr>
              <w:t>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1,112,</w:t>
            </w:r>
          </w:p>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808,23</w:t>
            </w:r>
          </w:p>
          <w:p>
            <w:pPr>
              <w:pStyle w:val="Style19"/>
              <w:keepNext w:val="0"/>
              <w:keepLines w:val="0"/>
              <w:widowControl w:val="0"/>
              <w:shd w:val="clear" w:color="auto" w:fill="auto"/>
              <w:bidi w:val="0"/>
              <w:spacing w:before="0" w:after="80" w:line="240" w:lineRule="auto"/>
              <w:ind w:left="0" w:right="0" w:firstLine="220"/>
              <w:jc w:val="both"/>
            </w:pPr>
            <w:r>
              <w:rPr>
                <w:color w:val="000000"/>
                <w:spacing w:val="0"/>
                <w:w w:val="100"/>
                <w:position w:val="0"/>
              </w:rPr>
              <w:t>9.13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8,700,2</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both"/>
            </w:pPr>
            <w:r>
              <w:rPr>
                <w:color w:val="000000"/>
                <w:spacing w:val="0"/>
                <w:w w:val="100"/>
                <w:position w:val="0"/>
              </w:rPr>
              <w:t xml:space="preserve">1,121,5 </w:t>
            </w:r>
            <w:r>
              <w:rPr>
                <w:color w:val="000000"/>
                <w:spacing w:val="0"/>
                <w:w w:val="100"/>
                <w:position w:val="0"/>
              </w:rPr>
              <w:t>08,462.</w:t>
            </w:r>
          </w:p>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29</w:t>
            </w:r>
          </w:p>
        </w:tc>
      </w:tr>
      <w:tr>
        <w:trPr>
          <w:trHeight w:val="1022"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149,7</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00,59</w:t>
            </w:r>
          </w:p>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1,806,</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791,69</w:t>
            </w:r>
          </w:p>
          <w:p>
            <w:pPr>
              <w:pStyle w:val="Style19"/>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1,956,</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492,29</w:t>
            </w:r>
          </w:p>
          <w:p>
            <w:pPr>
              <w:pStyle w:val="Style19"/>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1.45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27,600,</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1,984,0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92,291.</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w:t>
            </w: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149,7</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00,59</w:t>
            </w:r>
          </w:p>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1,806,</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791,69</w:t>
            </w:r>
          </w:p>
          <w:p>
            <w:pPr>
              <w:pStyle w:val="Style19"/>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1,956,</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492,29</w:t>
            </w:r>
          </w:p>
          <w:p>
            <w:pPr>
              <w:pStyle w:val="Style19"/>
              <w:keepNext w:val="0"/>
              <w:keepLines w:val="0"/>
              <w:widowControl w:val="0"/>
              <w:shd w:val="clear" w:color="auto" w:fill="auto"/>
              <w:bidi w:val="0"/>
              <w:spacing w:before="0" w:after="100" w:line="240" w:lineRule="auto"/>
              <w:ind w:left="0" w:right="0" w:firstLine="220"/>
              <w:jc w:val="both"/>
            </w:pPr>
            <w:r>
              <w:rPr>
                <w:color w:val="000000"/>
                <w:spacing w:val="0"/>
                <w:w w:val="100"/>
                <w:position w:val="0"/>
              </w:rPr>
              <w:t>1.45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w:t>
            </w:r>
          </w:p>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1,958,4</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92,291.</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w:t>
            </w: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25,600,</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25,600,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27,633</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,693.3</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-82,45</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7,797.</w:t>
            </w:r>
          </w:p>
          <w:p>
            <w:pPr>
              <w:pStyle w:val="Style19"/>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-54,82</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4,104.</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-54,824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,104.15</w:t>
            </w: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27,633</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,693.3</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-27,63</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3,693.</w:t>
            </w:r>
          </w:p>
          <w:p>
            <w:pPr>
              <w:pStyle w:val="Style19"/>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w:t>
            </w:r>
          </w:p>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-54,82</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4,104.</w:t>
            </w:r>
          </w:p>
          <w:p>
            <w:pPr>
              <w:pStyle w:val="Style19"/>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-54,82</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4,104.</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-54,824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,104.15</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（四）所有者</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-39,059</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,425.79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-39,059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,425.79</w:t>
            </w:r>
          </w:p>
        </w:tc>
      </w:tr>
      <w:tr>
        <w:trPr>
          <w:trHeight w:val="1349"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1,486 ,873, </w:t>
            </w:r>
            <w:r>
              <w:rPr>
                <w:color w:val="000000"/>
                <w:spacing w:val="0"/>
                <w:w w:val="100"/>
                <w:position w:val="0"/>
              </w:rPr>
              <w:t xml:space="preserve">870.0 </w:t>
            </w: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10,680</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,408,9</w:t>
            </w:r>
          </w:p>
          <w:p>
            <w:pPr>
              <w:pStyle w:val="Style19"/>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2,142,</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972.38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216,12</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3,282.</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2,114,</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893,63</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14,500 ,442,7 </w:t>
            </w:r>
            <w:r>
              <w:rPr>
                <w:color w:val="000000"/>
                <w:spacing w:val="0"/>
                <w:w w:val="100"/>
                <w:position w:val="0"/>
              </w:rPr>
              <w:t>24.54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70,739,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610.80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14,571,</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182,335</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8</w:t>
      </w:r>
      <w:bookmarkEnd w:id="757"/>
      <w:r>
        <w:rPr>
          <w:color w:val="000000"/>
          <w:spacing w:val="0"/>
          <w:w w:val="100"/>
          <w:position w:val="0"/>
        </w:rPr>
        <w:t>、母公司所有者权益变动表</w:t>
      </w:r>
      <w:bookmarkEnd w:id="755"/>
      <w:bookmarkEnd w:id="756"/>
      <w:bookmarkEnd w:id="758"/>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1,486,8</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73,870.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10,807,7</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26,179.1</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2,153,51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146,513,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495,95</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1,147.0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12,939,21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7,908.31</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-31,287. </w:t>
            </w:r>
            <w:r>
              <w:rPr>
                <w:color w:val="000000"/>
                <w:spacing w:val="0"/>
                <w:w w:val="100"/>
                <w:position w:val="0"/>
              </w:rPr>
              <w:t>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-281,58</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-312,877.5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1,486,8</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73,870.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10,807,7</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26,179.1</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2,153,51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146,481,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495,66</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9,557.3</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12,938,90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5,030.79</w:t>
            </w:r>
          </w:p>
        </w:tc>
      </w:tr>
      <w:tr>
        <w:trPr>
          <w:trHeight w:val="1022"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34,369,7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-72,056.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-249,40</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5,012.2</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-215,107,2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98.10</w:t>
            </w: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-72,056.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-137,88</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9,472.0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-137,961,5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28.37</w:t>
            </w: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-111,51</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5,540.2</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-111,515,5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40.25</w:t>
            </w:r>
          </w:p>
        </w:tc>
      </w:tr>
      <w:tr>
        <w:trPr>
          <w:trHeight w:val="710"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-111,51</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5,540.2</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-111,515,5</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40.25</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34,369,7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34,369,77</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r>
      <w:tr>
        <w:trPr>
          <w:trHeight w:val="1037"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1,486,8</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73,870.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10,842,0</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95,949.6</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2,081,46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146,481,</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246,26</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4,545.0</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12,723,79</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7,732.69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4D4D4"/>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一、上年期末余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1,337,</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173,27</w:t>
            </w:r>
          </w:p>
          <w:p>
            <w:pPr>
              <w:pStyle w:val="Style19"/>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9,000,9</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34,485.</w:t>
            </w:r>
          </w:p>
          <w:p>
            <w:pPr>
              <w:pStyle w:val="Style19"/>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7,067,0</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118,879 </w:t>
            </w:r>
            <w:r>
              <w:rPr>
                <w:color w:val="000000"/>
                <w:spacing w:val="0"/>
                <w:w w:val="100"/>
                <w:position w:val="0"/>
              </w:rPr>
              <w:t>,500.71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302,072,0</w:t>
            </w:r>
          </w:p>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10,766,126,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287.58</w:t>
            </w:r>
          </w:p>
        </w:tc>
      </w:tr>
      <w:tr>
        <w:trPr>
          <w:trHeight w:val="710"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420"/>
              <w:jc w:val="both"/>
              <w:rPr>
                <w:sz w:val="17"/>
                <w:szCs w:val="17"/>
              </w:rPr>
            </w:pPr>
            <w:r>
              <w:rPr>
                <w:rFonts w:ascii="SimSun" w:eastAsia="SimSun" w:hAnsi="SimSun" w:cs="SimSun"/>
                <w:color w:val="000000"/>
                <w:spacing w:val="0"/>
                <w:w w:val="100"/>
                <w:position w:val="0"/>
                <w:sz w:val="17"/>
                <w:szCs w:val="17"/>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1,337,</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173,27</w:t>
            </w:r>
          </w:p>
          <w:p>
            <w:pPr>
              <w:pStyle w:val="Style19"/>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9,000,9</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34,485.</w:t>
            </w:r>
          </w:p>
          <w:p>
            <w:pPr>
              <w:pStyle w:val="Style19"/>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7,067,0</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118,879 </w:t>
            </w:r>
            <w:r>
              <w:rPr>
                <w:color w:val="000000"/>
                <w:spacing w:val="0"/>
                <w:w w:val="100"/>
                <w:position w:val="0"/>
              </w:rPr>
              <w:t>,500.71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302,072,0</w:t>
            </w:r>
          </w:p>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10,766,126,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287.58</w:t>
            </w:r>
          </w:p>
        </w:tc>
      </w:tr>
      <w:tr>
        <w:trPr>
          <w:trHeight w:val="1022"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24"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149,70 </w:t>
            </w:r>
            <w:r>
              <w:rPr>
                <w:color w:val="000000"/>
                <w:spacing w:val="0"/>
                <w:w w:val="100"/>
                <w:position w:val="0"/>
              </w:rPr>
              <w:t>0,598.</w:t>
            </w:r>
          </w:p>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1,806,7</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91,693.</w:t>
            </w:r>
          </w:p>
          <w:p>
            <w:pPr>
              <w:pStyle w:val="Style19"/>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-4,913,5</w:t>
            </w:r>
          </w:p>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27,633,</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193,879,1</w:t>
            </w:r>
          </w:p>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36.16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2,173,091,6</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20.73</w:t>
            </w: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-4,913,5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276,336,9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271,423,43</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33.68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149,70 </w:t>
            </w:r>
            <w:r>
              <w:rPr>
                <w:color w:val="000000"/>
                <w:spacing w:val="0"/>
                <w:w w:val="100"/>
                <w:position w:val="0"/>
              </w:rPr>
              <w:t>0,598.</w:t>
            </w:r>
          </w:p>
          <w:p>
            <w:pPr>
              <w:pStyle w:val="Style19"/>
              <w:keepNext w:val="0"/>
              <w:keepLines w:val="0"/>
              <w:widowControl w:val="0"/>
              <w:shd w:val="clear" w:color="auto" w:fill="auto"/>
              <w:bidi w:val="0"/>
              <w:spacing w:before="0" w:after="0" w:line="36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1,806,7</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91,693.</w:t>
            </w:r>
          </w:p>
          <w:p>
            <w:pPr>
              <w:pStyle w:val="Style19"/>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1,956,492,2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91.45</w:t>
            </w: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149,70 </w:t>
            </w:r>
            <w:r>
              <w:rPr>
                <w:color w:val="000000"/>
                <w:spacing w:val="0"/>
                <w:w w:val="100"/>
                <w:position w:val="0"/>
              </w:rPr>
              <w:t>0,598.</w:t>
            </w:r>
          </w:p>
          <w:p>
            <w:pPr>
              <w:pStyle w:val="Style19"/>
              <w:keepNext w:val="0"/>
              <w:keepLines w:val="0"/>
              <w:widowControl w:val="0"/>
              <w:shd w:val="clear" w:color="auto" w:fill="auto"/>
              <w:bidi w:val="0"/>
              <w:spacing w:before="0" w:after="0" w:line="36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1,806,7</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91,693.</w:t>
            </w:r>
          </w:p>
          <w:p>
            <w:pPr>
              <w:pStyle w:val="Style19"/>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1,956,492,2</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91.45</w:t>
            </w:r>
          </w:p>
        </w:tc>
      </w:tr>
      <w:tr>
        <w:trPr>
          <w:trHeight w:val="1022"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27,633,</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693.37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-82,457,7</w:t>
            </w:r>
          </w:p>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97.52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-54,824,104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710"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27,633,</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693.37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-27,633,6</w:t>
            </w:r>
          </w:p>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93.37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-54,824,1</w:t>
            </w:r>
          </w:p>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04.15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-54,824,104</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0"/>
        <w:keepNext/>
        <w:keepLines/>
        <w:widowControl w:val="0"/>
        <w:shd w:val="clear" w:color="auto" w:fill="auto"/>
        <w:bidi w:val="0"/>
        <w:spacing w:before="0" w:after="360" w:line="240" w:lineRule="auto"/>
        <w:ind w:left="0" w:right="0" w:firstLine="0"/>
        <w:jc w:val="center"/>
        <w:rPr>
          <w:sz w:val="28"/>
          <w:szCs w:val="28"/>
        </w:rPr>
      </w:pPr>
      <w:bookmarkStart w:id="759" w:name="bookmark759"/>
      <w:bookmarkStart w:id="760" w:name="bookmark760"/>
      <w:bookmarkStart w:id="761" w:name="bookmark761"/>
      <w:r>
        <w:rPr>
          <w:rFonts w:ascii="SimHei" w:eastAsia="SimHei" w:hAnsi="SimHei" w:cs="SimHei"/>
          <w:color w:val="000000"/>
          <w:spacing w:val="0"/>
          <w:w w:val="100"/>
          <w:position w:val="0"/>
          <w:sz w:val="28"/>
          <w:szCs w:val="28"/>
        </w:rPr>
        <w:t>财务报表附注</w:t>
      </w:r>
      <w:bookmarkEnd w:id="759"/>
      <w:bookmarkEnd w:id="760"/>
      <w:bookmarkEnd w:id="761"/>
    </w:p>
    <w:p>
      <w:pPr>
        <w:pStyle w:val="Style10"/>
        <w:keepNext/>
        <w:keepLines/>
        <w:widowControl w:val="0"/>
        <w:shd w:val="clear" w:color="auto" w:fill="auto"/>
        <w:bidi w:val="0"/>
        <w:spacing w:before="0" w:after="0" w:line="500" w:lineRule="exact"/>
        <w:ind w:left="0" w:right="0" w:firstLine="360"/>
        <w:jc w:val="both"/>
        <w:rPr>
          <w:sz w:val="19"/>
          <w:szCs w:val="19"/>
        </w:rPr>
      </w:pPr>
      <w:bookmarkStart w:id="762" w:name="bookmark762"/>
      <w:bookmarkStart w:id="763" w:name="bookmark763"/>
      <w:bookmarkStart w:id="764" w:name="bookmark764"/>
      <w:bookmarkStart w:id="765" w:name="bookmark765"/>
      <w:r>
        <w:rPr>
          <w:color w:val="000000"/>
          <w:spacing w:val="0"/>
          <w:w w:val="100"/>
          <w:position w:val="0"/>
          <w:sz w:val="19"/>
          <w:szCs w:val="19"/>
        </w:rPr>
        <w:t>一</w:t>
      </w:r>
      <w:bookmarkEnd w:id="764"/>
      <w:r>
        <w:rPr>
          <w:color w:val="000000"/>
          <w:spacing w:val="0"/>
          <w:w w:val="100"/>
          <w:position w:val="0"/>
          <w:sz w:val="19"/>
          <w:szCs w:val="19"/>
        </w:rPr>
        <w:t>、公司基本情况</w:t>
      </w:r>
      <w:bookmarkEnd w:id="762"/>
      <w:bookmarkEnd w:id="763"/>
      <w:bookmarkEnd w:id="765"/>
    </w:p>
    <w:p>
      <w:pPr>
        <w:pStyle w:val="Style26"/>
        <w:keepNext w:val="0"/>
        <w:keepLines w:val="0"/>
        <w:widowControl w:val="0"/>
        <w:shd w:val="clear" w:color="auto" w:fill="auto"/>
        <w:bidi w:val="0"/>
        <w:spacing w:before="0" w:after="0" w:line="500" w:lineRule="exact"/>
        <w:ind w:left="0" w:right="0" w:firstLine="380"/>
        <w:jc w:val="both"/>
      </w:pPr>
      <w:r>
        <w:rPr>
          <w:color w:val="000000"/>
          <w:spacing w:val="0"/>
          <w:w w:val="100"/>
          <w:position w:val="0"/>
        </w:rPr>
        <w:t>东旭蓝天新能源股份有限公司（以下简称</w:t>
      </w:r>
      <w:r>
        <w:rPr>
          <w:rFonts w:ascii="Arial Narrow" w:eastAsia="Arial Narrow" w:hAnsi="Arial Narrow" w:cs="Arial Narrow"/>
          <w:color w:val="000000"/>
          <w:spacing w:val="0"/>
          <w:w w:val="100"/>
          <w:position w:val="0"/>
          <w:sz w:val="18"/>
          <w:szCs w:val="18"/>
        </w:rPr>
        <w:t>"</w:t>
      </w:r>
      <w:r>
        <w:rPr>
          <w:color w:val="000000"/>
          <w:spacing w:val="0"/>
          <w:w w:val="100"/>
          <w:position w:val="0"/>
        </w:rPr>
        <w:t>本公司</w:t>
      </w:r>
      <w:r>
        <w:rPr>
          <w:rFonts w:ascii="Arial Narrow" w:eastAsia="Arial Narrow" w:hAnsi="Arial Narrow" w:cs="Arial Narrow"/>
          <w:color w:val="000000"/>
          <w:spacing w:val="0"/>
          <w:w w:val="100"/>
          <w:position w:val="0"/>
          <w:sz w:val="18"/>
          <w:szCs w:val="18"/>
        </w:rPr>
        <w:t>”</w:t>
      </w:r>
      <w:r>
        <w:rPr>
          <w:color w:val="000000"/>
          <w:spacing w:val="0"/>
          <w:w w:val="100"/>
          <w:position w:val="0"/>
        </w:rPr>
        <w:t>或</w:t>
      </w:r>
      <w:r>
        <w:rPr>
          <w:rFonts w:ascii="Arial Narrow" w:eastAsia="Arial Narrow" w:hAnsi="Arial Narrow" w:cs="Arial Narrow"/>
          <w:color w:val="000000"/>
          <w:spacing w:val="0"/>
          <w:w w:val="100"/>
          <w:position w:val="0"/>
          <w:sz w:val="18"/>
          <w:szCs w:val="18"/>
        </w:rPr>
        <w:t>“</w:t>
      </w:r>
      <w:r>
        <w:rPr>
          <w:color w:val="000000"/>
          <w:spacing w:val="0"/>
          <w:w w:val="100"/>
          <w:position w:val="0"/>
        </w:rPr>
        <w:t>公司</w:t>
      </w:r>
      <w:r>
        <w:rPr>
          <w:rFonts w:ascii="Arial Narrow" w:eastAsia="Arial Narrow" w:hAnsi="Arial Narrow" w:cs="Arial Narrow"/>
          <w:color w:val="000000"/>
          <w:spacing w:val="0"/>
          <w:w w:val="100"/>
          <w:position w:val="0"/>
          <w:sz w:val="18"/>
          <w:szCs w:val="18"/>
        </w:rPr>
        <w:t>”</w:t>
      </w:r>
      <w:r>
        <w:rPr>
          <w:color w:val="000000"/>
          <w:spacing w:val="0"/>
          <w:w w:val="100"/>
          <w:position w:val="0"/>
        </w:rPr>
        <w:t>）是于</w:t>
      </w:r>
      <w:r>
        <w:rPr>
          <w:rFonts w:ascii="Arial Narrow" w:eastAsia="Arial Narrow" w:hAnsi="Arial Narrow" w:cs="Arial Narrow"/>
          <w:color w:val="000000"/>
          <w:spacing w:val="0"/>
          <w:w w:val="100"/>
          <w:position w:val="0"/>
          <w:sz w:val="18"/>
          <w:szCs w:val="18"/>
        </w:rPr>
        <w:t>1993</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日经深府办复</w:t>
      </w:r>
      <w:r>
        <w:rPr>
          <w:rFonts w:ascii="Arial Narrow" w:eastAsia="Arial Narrow" w:hAnsi="Arial Narrow" w:cs="Arial Narrow"/>
          <w:color w:val="000000"/>
          <w:spacing w:val="0"/>
          <w:w w:val="100"/>
          <w:position w:val="0"/>
          <w:sz w:val="18"/>
          <w:szCs w:val="18"/>
        </w:rPr>
        <w:t>[1993]926</w:t>
      </w:r>
      <w:r>
        <w:rPr>
          <w:color w:val="000000"/>
          <w:spacing w:val="0"/>
          <w:w w:val="100"/>
          <w:position w:val="0"/>
        </w:rPr>
        <w:t>号文批准在原深圳市 鸿基运输实业股份有限公司的基础上改组设立的公众公司。</w:t>
      </w:r>
      <w:r>
        <w:rPr>
          <w:rFonts w:ascii="Arial Narrow" w:eastAsia="Arial Narrow" w:hAnsi="Arial Narrow" w:cs="Arial Narrow"/>
          <w:color w:val="000000"/>
          <w:spacing w:val="0"/>
          <w:w w:val="100"/>
          <w:position w:val="0"/>
          <w:sz w:val="18"/>
          <w:szCs w:val="18"/>
        </w:rPr>
        <w:t>1994</w:t>
      </w:r>
      <w:r>
        <w:rPr>
          <w:color w:val="000000"/>
          <w:spacing w:val="0"/>
          <w:w w:val="100"/>
          <w:position w:val="0"/>
        </w:rPr>
        <w:t>年</w:t>
      </w:r>
      <w:r>
        <w:rPr>
          <w:rFonts w:ascii="Arial Narrow" w:eastAsia="Arial Narrow" w:hAnsi="Arial Narrow" w:cs="Arial Narrow"/>
          <w:color w:val="000000"/>
          <w:spacing w:val="0"/>
          <w:w w:val="100"/>
          <w:position w:val="0"/>
          <w:sz w:val="18"/>
          <w:szCs w:val="18"/>
        </w:rPr>
        <w:t>2</w:t>
      </w:r>
      <w:r>
        <w:rPr>
          <w:color w:val="000000"/>
          <w:spacing w:val="0"/>
          <w:w w:val="100"/>
          <w:position w:val="0"/>
        </w:rPr>
        <w:t>月</w:t>
      </w:r>
      <w:r>
        <w:rPr>
          <w:rFonts w:ascii="Arial Narrow" w:eastAsia="Arial Narrow" w:hAnsi="Arial Narrow" w:cs="Arial Narrow"/>
          <w:color w:val="000000"/>
          <w:spacing w:val="0"/>
          <w:w w:val="100"/>
          <w:position w:val="0"/>
          <w:sz w:val="18"/>
          <w:szCs w:val="18"/>
        </w:rPr>
        <w:t>8</w:t>
      </w:r>
      <w:r>
        <w:rPr>
          <w:color w:val="000000"/>
          <w:spacing w:val="0"/>
          <w:w w:val="100"/>
          <w:position w:val="0"/>
        </w:rPr>
        <w:t>日经深证办复</w:t>
      </w:r>
      <w:r>
        <w:rPr>
          <w:rFonts w:ascii="Arial Narrow" w:eastAsia="Arial Narrow" w:hAnsi="Arial Narrow" w:cs="Arial Narrow"/>
          <w:color w:val="000000"/>
          <w:spacing w:val="0"/>
          <w:w w:val="100"/>
          <w:position w:val="0"/>
          <w:sz w:val="18"/>
          <w:szCs w:val="18"/>
        </w:rPr>
        <w:t>[1994]40</w:t>
      </w:r>
      <w:r>
        <w:rPr>
          <w:color w:val="000000"/>
          <w:spacing w:val="0"/>
          <w:w w:val="100"/>
          <w:position w:val="0"/>
        </w:rPr>
        <w:t>号文批准，向社会公众公开发行人 民币普通股股票，并于同年在深圳证券交易所挂牌上市。</w:t>
      </w:r>
      <w:r>
        <w:rPr>
          <w:rFonts w:ascii="Arial Narrow" w:eastAsia="Arial Narrow" w:hAnsi="Arial Narrow" w:cs="Arial Narrow"/>
          <w:color w:val="000000"/>
          <w:spacing w:val="0"/>
          <w:w w:val="100"/>
          <w:position w:val="0"/>
          <w:sz w:val="18"/>
          <w:szCs w:val="18"/>
        </w:rPr>
        <w:t>1995</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1997</w:t>
      </w:r>
      <w:r>
        <w:rPr>
          <w:color w:val="000000"/>
          <w:spacing w:val="0"/>
          <w:w w:val="100"/>
          <w:position w:val="0"/>
        </w:rPr>
        <w:t>年</w:t>
      </w:r>
      <w:r>
        <w:rPr>
          <w:rFonts w:ascii="Arial Narrow" w:eastAsia="Arial Narrow" w:hAnsi="Arial Narrow" w:cs="Arial Narrow"/>
          <w:color w:val="000000"/>
          <w:spacing w:val="0"/>
          <w:w w:val="100"/>
          <w:position w:val="0"/>
          <w:sz w:val="18"/>
          <w:szCs w:val="18"/>
        </w:rPr>
        <w:t>8</w:t>
      </w:r>
      <w:r>
        <w:rPr>
          <w:color w:val="000000"/>
          <w:spacing w:val="0"/>
          <w:w w:val="100"/>
          <w:position w:val="0"/>
        </w:rPr>
        <w:t>月、</w:t>
      </w:r>
      <w:r>
        <w:rPr>
          <w:rFonts w:ascii="Arial Narrow" w:eastAsia="Arial Narrow" w:hAnsi="Arial Narrow" w:cs="Arial Narrow"/>
          <w:color w:val="000000"/>
          <w:spacing w:val="0"/>
          <w:w w:val="100"/>
          <w:position w:val="0"/>
          <w:sz w:val="18"/>
          <w:szCs w:val="18"/>
        </w:rPr>
        <w:t>1999</w:t>
      </w:r>
      <w:r>
        <w:rPr>
          <w:color w:val="000000"/>
          <w:spacing w:val="0"/>
          <w:w w:val="100"/>
          <w:position w:val="0"/>
        </w:rPr>
        <w:t>年</w:t>
      </w:r>
      <w:r>
        <w:rPr>
          <w:rFonts w:ascii="Arial Narrow" w:eastAsia="Arial Narrow" w:hAnsi="Arial Narrow" w:cs="Arial Narrow"/>
          <w:color w:val="000000"/>
          <w:spacing w:val="0"/>
          <w:w w:val="100"/>
          <w:position w:val="0"/>
          <w:sz w:val="18"/>
          <w:szCs w:val="18"/>
        </w:rPr>
        <w:t>4</w:t>
      </w:r>
      <w:r>
        <w:rPr>
          <w:color w:val="000000"/>
          <w:spacing w:val="0"/>
          <w:w w:val="100"/>
          <w:position w:val="0"/>
        </w:rPr>
        <w:t>月、</w:t>
      </w:r>
      <w:r>
        <w:rPr>
          <w:rFonts w:ascii="Arial Narrow" w:eastAsia="Arial Narrow" w:hAnsi="Arial Narrow" w:cs="Arial Narrow"/>
          <w:color w:val="000000"/>
          <w:spacing w:val="0"/>
          <w:w w:val="100"/>
          <w:position w:val="0"/>
          <w:sz w:val="18"/>
          <w:szCs w:val="18"/>
        </w:rPr>
        <w:t>7</w:t>
      </w:r>
      <w:r>
        <w:rPr>
          <w:color w:val="000000"/>
          <w:spacing w:val="0"/>
          <w:w w:val="100"/>
          <w:position w:val="0"/>
        </w:rPr>
        <w:t>月分别实施了增资配股、分 红派息和公积金转增股本，截至</w:t>
      </w:r>
      <w:r>
        <w:rPr>
          <w:rFonts w:ascii="Arial Narrow" w:eastAsia="Arial Narrow" w:hAnsi="Arial Narrow" w:cs="Arial Narrow"/>
          <w:color w:val="000000"/>
          <w:spacing w:val="0"/>
          <w:w w:val="100"/>
          <w:position w:val="0"/>
          <w:sz w:val="18"/>
          <w:szCs w:val="18"/>
        </w:rPr>
        <w:t>2004</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日止，总股本为</w:t>
      </w:r>
      <w:r>
        <w:rPr>
          <w:rFonts w:ascii="Arial Narrow" w:eastAsia="Arial Narrow" w:hAnsi="Arial Narrow" w:cs="Arial Narrow"/>
          <w:color w:val="000000"/>
          <w:spacing w:val="0"/>
          <w:w w:val="100"/>
          <w:position w:val="0"/>
          <w:sz w:val="18"/>
          <w:szCs w:val="18"/>
        </w:rPr>
        <w:t>469,593,364.00</w:t>
      </w:r>
      <w:r>
        <w:rPr>
          <w:color w:val="000000"/>
          <w:spacing w:val="0"/>
          <w:w w:val="100"/>
          <w:position w:val="0"/>
        </w:rPr>
        <w:t>元。</w:t>
      </w:r>
    </w:p>
    <w:p>
      <w:pPr>
        <w:pStyle w:val="Style26"/>
        <w:keepNext w:val="0"/>
        <w:keepLines w:val="0"/>
        <w:widowControl w:val="0"/>
        <w:shd w:val="clear" w:color="auto" w:fill="auto"/>
        <w:bidi w:val="0"/>
        <w:spacing w:before="0" w:after="0" w:line="500" w:lineRule="exact"/>
        <w:ind w:left="0" w:right="0" w:firstLine="380"/>
        <w:jc w:val="both"/>
      </w:pPr>
      <w:r>
        <w:rPr>
          <w:rFonts w:ascii="Arial Narrow" w:eastAsia="Arial Narrow" w:hAnsi="Arial Narrow" w:cs="Arial Narrow"/>
          <w:color w:val="000000"/>
          <w:spacing w:val="0"/>
          <w:w w:val="100"/>
          <w:position w:val="0"/>
          <w:sz w:val="18"/>
          <w:szCs w:val="18"/>
        </w:rPr>
        <w:t>2015</w:t>
      </w:r>
      <w:r>
        <w:rPr>
          <w:color w:val="000000"/>
          <w:spacing w:val="0"/>
          <w:w w:val="100"/>
          <w:position w:val="0"/>
        </w:rPr>
        <w:t>年</w:t>
      </w:r>
      <w:r>
        <w:rPr>
          <w:rFonts w:ascii="Arial Narrow" w:eastAsia="Arial Narrow" w:hAnsi="Arial Narrow" w:cs="Arial Narrow"/>
          <w:color w:val="000000"/>
          <w:spacing w:val="0"/>
          <w:w w:val="100"/>
          <w:position w:val="0"/>
          <w:sz w:val="18"/>
          <w:szCs w:val="18"/>
        </w:rPr>
        <w:t>8</w:t>
      </w:r>
      <w:r>
        <w:rPr>
          <w:color w:val="000000"/>
          <w:spacing w:val="0"/>
          <w:w w:val="100"/>
          <w:position w:val="0"/>
        </w:rPr>
        <w:t>月，东旭集团有限公司（以下简称</w:t>
      </w:r>
      <w:r>
        <w:rPr>
          <w:rFonts w:ascii="Arial Narrow" w:eastAsia="Arial Narrow" w:hAnsi="Arial Narrow" w:cs="Arial Narrow"/>
          <w:color w:val="000000"/>
          <w:spacing w:val="0"/>
          <w:w w:val="100"/>
          <w:position w:val="0"/>
          <w:sz w:val="18"/>
          <w:szCs w:val="18"/>
        </w:rPr>
        <w:t>“</w:t>
      </w:r>
      <w:r>
        <w:rPr>
          <w:color w:val="000000"/>
          <w:spacing w:val="0"/>
          <w:w w:val="100"/>
          <w:position w:val="0"/>
        </w:rPr>
        <w:t>东旭集团</w:t>
      </w:r>
      <w:r>
        <w:rPr>
          <w:rFonts w:ascii="Arial Narrow" w:eastAsia="Arial Narrow" w:hAnsi="Arial Narrow" w:cs="Arial Narrow"/>
          <w:color w:val="000000"/>
          <w:spacing w:val="0"/>
          <w:w w:val="100"/>
          <w:position w:val="0"/>
          <w:sz w:val="18"/>
          <w:szCs w:val="18"/>
        </w:rPr>
        <w:t>"</w:t>
      </w:r>
      <w:r>
        <w:rPr>
          <w:color w:val="000000"/>
          <w:spacing w:val="0"/>
          <w:w w:val="100"/>
          <w:position w:val="0"/>
        </w:rPr>
        <w:t>）通过收购中国宝安集团控股有限公司所持有的本公司</w:t>
      </w:r>
      <w:r>
        <w:rPr>
          <w:rFonts w:ascii="Arial Narrow" w:eastAsia="Arial Narrow" w:hAnsi="Arial Narrow" w:cs="Arial Narrow"/>
          <w:color w:val="000000"/>
          <w:spacing w:val="0"/>
          <w:w w:val="100"/>
          <w:position w:val="0"/>
          <w:sz w:val="18"/>
          <w:szCs w:val="18"/>
        </w:rPr>
        <w:t>14.99%</w:t>
      </w:r>
      <w:r>
        <w:rPr>
          <w:color w:val="000000"/>
          <w:spacing w:val="0"/>
          <w:w w:val="100"/>
          <w:position w:val="0"/>
        </w:rPr>
        <w:t>股份， 成为本公司第一大股东，</w:t>
      </w:r>
      <w:r>
        <w:rPr>
          <w:rFonts w:ascii="Arial Narrow" w:eastAsia="Arial Narrow" w:hAnsi="Arial Narrow" w:cs="Arial Narrow"/>
          <w:color w:val="000000"/>
          <w:spacing w:val="0"/>
          <w:w w:val="100"/>
          <w:position w:val="0"/>
          <w:sz w:val="18"/>
          <w:szCs w:val="18"/>
        </w:rPr>
        <w:t>2015</w:t>
      </w:r>
      <w:r>
        <w:rPr>
          <w:color w:val="000000"/>
          <w:spacing w:val="0"/>
          <w:w w:val="100"/>
          <w:position w:val="0"/>
        </w:rPr>
        <w:t>年</w:t>
      </w:r>
      <w:r>
        <w:rPr>
          <w:rFonts w:ascii="Arial Narrow" w:eastAsia="Arial Narrow" w:hAnsi="Arial Narrow" w:cs="Arial Narrow"/>
          <w:color w:val="000000"/>
          <w:spacing w:val="0"/>
          <w:w w:val="100"/>
          <w:position w:val="0"/>
          <w:sz w:val="18"/>
          <w:szCs w:val="18"/>
        </w:rPr>
        <w:t>9</w:t>
      </w:r>
      <w:r>
        <w:rPr>
          <w:color w:val="000000"/>
          <w:spacing w:val="0"/>
          <w:w w:val="100"/>
          <w:position w:val="0"/>
        </w:rPr>
        <w:t>月，东旭集团通过收购深圳东鸿信投资发展有限公司所持有的本公司</w:t>
      </w:r>
      <w:r>
        <w:rPr>
          <w:rFonts w:ascii="Arial Narrow" w:eastAsia="Arial Narrow" w:hAnsi="Arial Narrow" w:cs="Arial Narrow"/>
          <w:color w:val="000000"/>
          <w:spacing w:val="0"/>
          <w:w w:val="100"/>
          <w:position w:val="0"/>
          <w:sz w:val="18"/>
          <w:szCs w:val="18"/>
        </w:rPr>
        <w:t>14.89%</w:t>
      </w:r>
      <w:r>
        <w:rPr>
          <w:color w:val="000000"/>
          <w:spacing w:val="0"/>
          <w:w w:val="100"/>
          <w:position w:val="0"/>
        </w:rPr>
        <w:t>股份，将其持股比 例增加至</w:t>
      </w:r>
      <w:r>
        <w:rPr>
          <w:rFonts w:ascii="Arial Narrow" w:eastAsia="Arial Narrow" w:hAnsi="Arial Narrow" w:cs="Arial Narrow"/>
          <w:color w:val="000000"/>
          <w:spacing w:val="0"/>
          <w:w w:val="100"/>
          <w:position w:val="0"/>
          <w:sz w:val="18"/>
          <w:szCs w:val="18"/>
        </w:rPr>
        <w:t>29.88%,</w:t>
      </w:r>
      <w:r>
        <w:rPr>
          <w:color w:val="000000"/>
          <w:spacing w:val="0"/>
          <w:w w:val="100"/>
          <w:position w:val="0"/>
        </w:rPr>
        <w:t>同时于</w:t>
      </w:r>
      <w:r>
        <w:rPr>
          <w:rFonts w:ascii="Arial Narrow" w:eastAsia="Arial Narrow" w:hAnsi="Arial Narrow" w:cs="Arial Narrow"/>
          <w:color w:val="000000"/>
          <w:spacing w:val="0"/>
          <w:w w:val="100"/>
          <w:position w:val="0"/>
          <w:sz w:val="18"/>
          <w:szCs w:val="18"/>
        </w:rPr>
        <w:t>2015</w:t>
      </w:r>
      <w:r>
        <w:rPr>
          <w:color w:val="000000"/>
          <w:spacing w:val="0"/>
          <w:w w:val="100"/>
          <w:position w:val="0"/>
        </w:rPr>
        <w:t>年</w:t>
      </w:r>
      <w:r>
        <w:rPr>
          <w:rFonts w:ascii="Arial Narrow" w:eastAsia="Arial Narrow" w:hAnsi="Arial Narrow" w:cs="Arial Narrow"/>
          <w:color w:val="000000"/>
          <w:spacing w:val="0"/>
          <w:w w:val="100"/>
          <w:position w:val="0"/>
          <w:sz w:val="18"/>
          <w:szCs w:val="18"/>
        </w:rPr>
        <w:t>10</w:t>
      </w:r>
      <w:r>
        <w:rPr>
          <w:color w:val="000000"/>
          <w:spacing w:val="0"/>
          <w:w w:val="100"/>
          <w:position w:val="0"/>
        </w:rPr>
        <w:t>月</w:t>
      </w:r>
      <w:r>
        <w:rPr>
          <w:rFonts w:ascii="Arial Narrow" w:eastAsia="Arial Narrow" w:hAnsi="Arial Narrow" w:cs="Arial Narrow"/>
          <w:color w:val="000000"/>
          <w:spacing w:val="0"/>
          <w:w w:val="100"/>
          <w:position w:val="0"/>
          <w:sz w:val="18"/>
          <w:szCs w:val="18"/>
        </w:rPr>
        <w:t>8</w:t>
      </w:r>
      <w:r>
        <w:rPr>
          <w:color w:val="000000"/>
          <w:spacing w:val="0"/>
          <w:w w:val="100"/>
          <w:position w:val="0"/>
        </w:rPr>
        <w:t>日公司第八届董事会第六次会议决议，因原董事辞职，公司补选的新董事中一半以上人 员及董事长均为东旭集团选派，东旭集团成为本公司控股股东.</w:t>
      </w:r>
    </w:p>
    <w:p>
      <w:pPr>
        <w:pStyle w:val="Style26"/>
        <w:keepNext w:val="0"/>
        <w:keepLines w:val="0"/>
        <w:widowControl w:val="0"/>
        <w:shd w:val="clear" w:color="auto" w:fill="auto"/>
        <w:bidi w:val="0"/>
        <w:spacing w:before="0" w:after="0" w:line="500" w:lineRule="exact"/>
        <w:ind w:left="0" w:right="0" w:firstLine="380"/>
        <w:jc w:val="both"/>
      </w:pPr>
      <w:r>
        <w:rPr>
          <w:rFonts w:ascii="Arial Narrow" w:eastAsia="Arial Narrow" w:hAnsi="Arial Narrow" w:cs="Arial Narrow"/>
          <w:color w:val="000000"/>
          <w:spacing w:val="0"/>
          <w:w w:val="100"/>
          <w:position w:val="0"/>
          <w:sz w:val="18"/>
          <w:szCs w:val="18"/>
        </w:rPr>
        <w:t>2016</w:t>
      </w:r>
      <w:r>
        <w:rPr>
          <w:color w:val="000000"/>
          <w:spacing w:val="0"/>
          <w:w w:val="100"/>
          <w:position w:val="0"/>
        </w:rPr>
        <w:t>年</w:t>
      </w:r>
      <w:r>
        <w:rPr>
          <w:rFonts w:ascii="Arial Narrow" w:eastAsia="Arial Narrow" w:hAnsi="Arial Narrow" w:cs="Arial Narrow"/>
          <w:color w:val="000000"/>
          <w:spacing w:val="0"/>
          <w:w w:val="100"/>
          <w:position w:val="0"/>
          <w:sz w:val="18"/>
          <w:szCs w:val="18"/>
        </w:rPr>
        <w:t>4</w:t>
      </w:r>
      <w:r>
        <w:rPr>
          <w:color w:val="000000"/>
          <w:spacing w:val="0"/>
          <w:w w:val="100"/>
          <w:position w:val="0"/>
        </w:rPr>
        <w:t>月</w:t>
      </w:r>
      <w:r>
        <w:rPr>
          <w:rFonts w:ascii="Arial Narrow" w:eastAsia="Arial Narrow" w:hAnsi="Arial Narrow" w:cs="Arial Narrow"/>
          <w:color w:val="000000"/>
          <w:spacing w:val="0"/>
          <w:w w:val="100"/>
          <w:position w:val="0"/>
          <w:sz w:val="18"/>
          <w:szCs w:val="18"/>
        </w:rPr>
        <w:t>18</w:t>
      </w:r>
      <w:r>
        <w:rPr>
          <w:color w:val="000000"/>
          <w:spacing w:val="0"/>
          <w:w w:val="100"/>
          <w:position w:val="0"/>
        </w:rPr>
        <w:t>日，公司</w:t>
      </w:r>
      <w:r>
        <w:rPr>
          <w:rFonts w:ascii="Arial Narrow" w:eastAsia="Arial Narrow" w:hAnsi="Arial Narrow" w:cs="Arial Narrow"/>
          <w:color w:val="000000"/>
          <w:spacing w:val="0"/>
          <w:w w:val="100"/>
          <w:position w:val="0"/>
          <w:sz w:val="18"/>
          <w:szCs w:val="18"/>
        </w:rPr>
        <w:t>2015</w:t>
      </w:r>
      <w:r>
        <w:rPr>
          <w:color w:val="000000"/>
          <w:spacing w:val="0"/>
          <w:w w:val="100"/>
          <w:position w:val="0"/>
        </w:rPr>
        <w:t>年度股东大会审议通过了《关于变更公司名称的议案》.公司名称由</w:t>
      </w:r>
      <w:r>
        <w:rPr>
          <w:rFonts w:ascii="Arial Narrow" w:eastAsia="Arial Narrow" w:hAnsi="Arial Narrow" w:cs="Arial Narrow"/>
          <w:color w:val="000000"/>
          <w:spacing w:val="0"/>
          <w:w w:val="100"/>
          <w:position w:val="0"/>
          <w:sz w:val="18"/>
          <w:szCs w:val="18"/>
        </w:rPr>
        <w:t>“</w:t>
      </w:r>
      <w:r>
        <w:rPr>
          <w:color w:val="000000"/>
          <w:spacing w:val="0"/>
          <w:w w:val="100"/>
          <w:position w:val="0"/>
        </w:rPr>
        <w:t>宝安鸿基地产集团股份有限 公司''变更为''东旭蓝天新能源股份有限公司''，自</w:t>
      </w:r>
      <w:r>
        <w:rPr>
          <w:rFonts w:ascii="Arial Narrow" w:eastAsia="Arial Narrow" w:hAnsi="Arial Narrow" w:cs="Arial Narrow"/>
          <w:color w:val="000000"/>
          <w:spacing w:val="0"/>
          <w:w w:val="100"/>
          <w:position w:val="0"/>
          <w:sz w:val="18"/>
          <w:szCs w:val="18"/>
        </w:rPr>
        <w:t>2016</w:t>
      </w:r>
      <w:r>
        <w:rPr>
          <w:color w:val="000000"/>
          <w:spacing w:val="0"/>
          <w:w w:val="100"/>
          <w:position w:val="0"/>
        </w:rPr>
        <w:t>年</w:t>
      </w:r>
      <w:r>
        <w:rPr>
          <w:rFonts w:ascii="Arial Narrow" w:eastAsia="Arial Narrow" w:hAnsi="Arial Narrow" w:cs="Arial Narrow"/>
          <w:color w:val="000000"/>
          <w:spacing w:val="0"/>
          <w:w w:val="100"/>
          <w:position w:val="0"/>
          <w:sz w:val="18"/>
          <w:szCs w:val="18"/>
        </w:rPr>
        <w:t>7</w:t>
      </w:r>
      <w:r>
        <w:rPr>
          <w:color w:val="000000"/>
          <w:spacing w:val="0"/>
          <w:w w:val="100"/>
          <w:position w:val="0"/>
        </w:rPr>
        <w:t>月</w:t>
      </w:r>
      <w:r>
        <w:rPr>
          <w:rFonts w:ascii="Arial Narrow" w:eastAsia="Arial Narrow" w:hAnsi="Arial Narrow" w:cs="Arial Narrow"/>
          <w:color w:val="000000"/>
          <w:spacing w:val="0"/>
          <w:w w:val="100"/>
          <w:position w:val="0"/>
          <w:sz w:val="18"/>
          <w:szCs w:val="18"/>
        </w:rPr>
        <w:t>15</w:t>
      </w:r>
      <w:r>
        <w:rPr>
          <w:color w:val="000000"/>
          <w:spacing w:val="0"/>
          <w:w w:val="100"/>
          <w:position w:val="0"/>
        </w:rPr>
        <w:t>日起，证券简称由</w:t>
      </w:r>
      <w:r>
        <w:rPr>
          <w:rFonts w:ascii="Arial Narrow" w:eastAsia="Arial Narrow" w:hAnsi="Arial Narrow" w:cs="Arial Narrow"/>
          <w:color w:val="000000"/>
          <w:spacing w:val="0"/>
          <w:w w:val="100"/>
          <w:position w:val="0"/>
          <w:sz w:val="18"/>
          <w:szCs w:val="18"/>
        </w:rPr>
        <w:t>“</w:t>
      </w:r>
      <w:r>
        <w:rPr>
          <w:color w:val="000000"/>
          <w:spacing w:val="0"/>
          <w:w w:val="100"/>
          <w:position w:val="0"/>
        </w:rPr>
        <w:t>宝安地产'变更为''东旭蓝天（股票代码:</w:t>
      </w:r>
      <w:r>
        <w:rPr>
          <w:rFonts w:ascii="Arial Narrow" w:eastAsia="Arial Narrow" w:hAnsi="Arial Narrow" w:cs="Arial Narrow"/>
          <w:color w:val="000000"/>
          <w:spacing w:val="0"/>
          <w:w w:val="100"/>
          <w:position w:val="0"/>
          <w:sz w:val="18"/>
          <w:szCs w:val="18"/>
        </w:rPr>
        <w:t xml:space="preserve">000040 </w:t>
      </w:r>
      <w:r>
        <w:rPr>
          <w:color w:val="000000"/>
          <w:spacing w:val="0"/>
          <w:w w:val="100"/>
          <w:position w:val="0"/>
        </w:rPr>
        <w:t>）</w:t>
      </w:r>
      <w:r>
        <w:rPr>
          <w:rFonts w:ascii="Arial Narrow" w:eastAsia="Arial Narrow" w:hAnsi="Arial Narrow" w:cs="Arial Narrow"/>
          <w:color w:val="000000"/>
          <w:spacing w:val="0"/>
          <w:w w:val="100"/>
          <w:position w:val="0"/>
          <w:sz w:val="18"/>
          <w:szCs w:val="18"/>
        </w:rPr>
        <w:t>”</w:t>
      </w:r>
      <w:r>
        <w:rPr>
          <w:color w:val="000000"/>
          <w:spacing w:val="0"/>
          <w:w w:val="100"/>
          <w:position w:val="0"/>
        </w:rPr>
        <w:t>.</w:t>
      </w:r>
    </w:p>
    <w:p>
      <w:pPr>
        <w:pStyle w:val="Style26"/>
        <w:keepNext w:val="0"/>
        <w:keepLines w:val="0"/>
        <w:widowControl w:val="0"/>
        <w:shd w:val="clear" w:color="auto" w:fill="auto"/>
        <w:bidi w:val="0"/>
        <w:spacing w:before="0" w:after="0" w:line="500" w:lineRule="exact"/>
        <w:ind w:left="0" w:right="0" w:firstLine="380"/>
        <w:jc w:val="both"/>
        <w:rPr>
          <w:sz w:val="18"/>
          <w:szCs w:val="18"/>
        </w:rPr>
      </w:pPr>
      <w:r>
        <w:rPr>
          <w:rFonts w:ascii="Arial Narrow" w:eastAsia="Arial Narrow" w:hAnsi="Arial Narrow" w:cs="Arial Narrow"/>
          <w:color w:val="000000"/>
          <w:spacing w:val="0"/>
          <w:w w:val="100"/>
          <w:position w:val="0"/>
          <w:sz w:val="18"/>
          <w:szCs w:val="18"/>
        </w:rPr>
        <w:t>2016</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6</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16</w:t>
      </w:r>
      <w:r>
        <w:rPr>
          <w:color w:val="000000"/>
          <w:spacing w:val="0"/>
          <w:w w:val="100"/>
          <w:position w:val="0"/>
          <w:sz w:val="17"/>
          <w:szCs w:val="17"/>
        </w:rPr>
        <w:t>日，根据公司第八届董事会第八次会议、第八届董事会第十三次会议、</w:t>
      </w:r>
      <w:r>
        <w:rPr>
          <w:rFonts w:ascii="Arial Narrow" w:eastAsia="Arial Narrow" w:hAnsi="Arial Narrow" w:cs="Arial Narrow"/>
          <w:color w:val="000000"/>
          <w:spacing w:val="0"/>
          <w:w w:val="100"/>
          <w:position w:val="0"/>
          <w:sz w:val="18"/>
          <w:szCs w:val="18"/>
        </w:rPr>
        <w:t>2015</w:t>
      </w:r>
      <w:r>
        <w:rPr>
          <w:color w:val="000000"/>
          <w:spacing w:val="0"/>
          <w:w w:val="100"/>
          <w:position w:val="0"/>
          <w:sz w:val="17"/>
          <w:szCs w:val="17"/>
        </w:rPr>
        <w:t>年第二次临时股东大会、</w:t>
      </w:r>
      <w:r>
        <w:rPr>
          <w:rFonts w:ascii="Arial Narrow" w:eastAsia="Arial Narrow" w:hAnsi="Arial Narrow" w:cs="Arial Narrow"/>
          <w:color w:val="000000"/>
          <w:spacing w:val="0"/>
          <w:w w:val="100"/>
          <w:position w:val="0"/>
          <w:sz w:val="18"/>
          <w:szCs w:val="18"/>
        </w:rPr>
        <w:t>2016</w:t>
      </w:r>
      <w:r>
        <w:rPr>
          <w:color w:val="000000"/>
          <w:spacing w:val="0"/>
          <w:w w:val="100"/>
          <w:position w:val="0"/>
          <w:sz w:val="17"/>
          <w:szCs w:val="17"/>
        </w:rPr>
        <w:t>年 第二次临时股东大会会议决议以及中国证券监督管理委员会证监许可</w:t>
      </w:r>
      <w:r>
        <w:rPr>
          <w:rFonts w:ascii="Arial Narrow" w:eastAsia="Arial Narrow" w:hAnsi="Arial Narrow" w:cs="Arial Narrow"/>
          <w:color w:val="000000"/>
          <w:spacing w:val="0"/>
          <w:w w:val="100"/>
          <w:position w:val="0"/>
          <w:sz w:val="18"/>
          <w:szCs w:val="18"/>
        </w:rPr>
        <w:t>[2016]808</w:t>
      </w:r>
      <w:r>
        <w:rPr>
          <w:color w:val="000000"/>
          <w:spacing w:val="0"/>
          <w:w w:val="100"/>
          <w:position w:val="0"/>
          <w:sz w:val="17"/>
          <w:szCs w:val="17"/>
        </w:rPr>
        <w:t>号文《关于核准宝安鸿基地产集团股份有限公司非 公开发行股票的批复》，公司通过非公开发行人民币普通股</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A</w:t>
      </w:r>
      <w:r>
        <w:rPr>
          <w:color w:val="000000"/>
          <w:spacing w:val="0"/>
          <w:w w:val="100"/>
          <w:position w:val="0"/>
          <w:sz w:val="17"/>
          <w:szCs w:val="17"/>
        </w:rPr>
        <w:t>股）</w:t>
      </w:r>
      <w:r>
        <w:rPr>
          <w:rFonts w:ascii="Arial Narrow" w:eastAsia="Arial Narrow" w:hAnsi="Arial Narrow" w:cs="Arial Narrow"/>
          <w:color w:val="000000"/>
          <w:spacing w:val="0"/>
          <w:w w:val="100"/>
          <w:position w:val="0"/>
          <w:sz w:val="18"/>
          <w:szCs w:val="18"/>
        </w:rPr>
        <w:t>867,579,908</w:t>
      </w:r>
      <w:r>
        <w:rPr>
          <w:color w:val="000000"/>
          <w:spacing w:val="0"/>
          <w:w w:val="100"/>
          <w:position w:val="0"/>
          <w:sz w:val="17"/>
          <w:szCs w:val="17"/>
        </w:rPr>
        <w:t>股，每股面值</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元，发行价格为</w:t>
      </w:r>
      <w:r>
        <w:rPr>
          <w:rFonts w:ascii="Arial Narrow" w:eastAsia="Arial Narrow" w:hAnsi="Arial Narrow" w:cs="Arial Narrow"/>
          <w:color w:val="000000"/>
          <w:spacing w:val="0"/>
          <w:w w:val="100"/>
          <w:position w:val="0"/>
          <w:sz w:val="18"/>
          <w:szCs w:val="18"/>
        </w:rPr>
        <w:t>10.95</w:t>
      </w:r>
      <w:r>
        <w:rPr>
          <w:color w:val="000000"/>
          <w:spacing w:val="0"/>
          <w:w w:val="100"/>
          <w:position w:val="0"/>
          <w:sz w:val="17"/>
          <w:szCs w:val="17"/>
        </w:rPr>
        <w:t>元</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股，募集 资金总额约人民币</w:t>
      </w:r>
      <w:r>
        <w:rPr>
          <w:rFonts w:ascii="Arial Narrow" w:eastAsia="Arial Narrow" w:hAnsi="Arial Narrow" w:cs="Arial Narrow"/>
          <w:color w:val="000000"/>
          <w:spacing w:val="0"/>
          <w:w w:val="100"/>
          <w:position w:val="0"/>
          <w:sz w:val="18"/>
          <w:szCs w:val="18"/>
        </w:rPr>
        <w:t>9,499,999,992.60</w:t>
      </w:r>
      <w:r>
        <w:rPr>
          <w:color w:val="000000"/>
          <w:spacing w:val="0"/>
          <w:w w:val="100"/>
          <w:position w:val="0"/>
          <w:sz w:val="17"/>
          <w:szCs w:val="17"/>
        </w:rPr>
        <w:t>元，用于投资公司全资子公司东旭新能源投资有限公司下属的</w:t>
      </w:r>
      <w:r>
        <w:rPr>
          <w:rFonts w:ascii="Arial Narrow" w:eastAsia="Arial Narrow" w:hAnsi="Arial Narrow" w:cs="Arial Narrow"/>
          <w:color w:val="000000"/>
          <w:spacing w:val="0"/>
          <w:w w:val="100"/>
          <w:position w:val="0"/>
          <w:sz w:val="18"/>
          <w:szCs w:val="18"/>
        </w:rPr>
        <w:t>17</w:t>
      </w:r>
      <w:r>
        <w:rPr>
          <w:color w:val="000000"/>
          <w:spacing w:val="0"/>
          <w:w w:val="100"/>
          <w:position w:val="0"/>
          <w:sz w:val="17"/>
          <w:szCs w:val="17"/>
        </w:rPr>
        <w:t>个光伏电站项目.本次增发 完成后，公司总股本为</w:t>
      </w:r>
      <w:r>
        <w:rPr>
          <w:rFonts w:ascii="Arial Narrow" w:eastAsia="Arial Narrow" w:hAnsi="Arial Narrow" w:cs="Arial Narrow"/>
          <w:color w:val="000000"/>
          <w:spacing w:val="0"/>
          <w:w w:val="100"/>
          <w:position w:val="0"/>
          <w:sz w:val="18"/>
          <w:szCs w:val="18"/>
        </w:rPr>
        <w:t>1,337,173,272.00</w:t>
      </w:r>
      <w:r>
        <w:rPr>
          <w:color w:val="000000"/>
          <w:spacing w:val="0"/>
          <w:w w:val="100"/>
          <w:position w:val="0"/>
          <w:sz w:val="17"/>
          <w:szCs w:val="17"/>
        </w:rPr>
        <w:t>元，东旭集团持股比例增加至</w:t>
      </w:r>
      <w:r>
        <w:rPr>
          <w:rFonts w:ascii="Arial Narrow" w:eastAsia="Arial Narrow" w:hAnsi="Arial Narrow" w:cs="Arial Narrow"/>
          <w:color w:val="000000"/>
          <w:spacing w:val="0"/>
          <w:w w:val="100"/>
          <w:position w:val="0"/>
          <w:sz w:val="18"/>
          <w:szCs w:val="18"/>
        </w:rPr>
        <w:t>30.98%.</w:t>
      </w:r>
    </w:p>
    <w:p>
      <w:pPr>
        <w:pStyle w:val="Style26"/>
        <w:keepNext w:val="0"/>
        <w:keepLines w:val="0"/>
        <w:widowControl w:val="0"/>
        <w:shd w:val="clear" w:color="auto" w:fill="auto"/>
        <w:bidi w:val="0"/>
        <w:spacing w:before="0" w:after="0" w:line="500" w:lineRule="exact"/>
        <w:ind w:left="0" w:right="0" w:firstLine="380"/>
        <w:jc w:val="both"/>
        <w:rPr>
          <w:sz w:val="18"/>
          <w:szCs w:val="18"/>
        </w:rPr>
      </w:pPr>
      <w:r>
        <w:rPr>
          <w:rFonts w:ascii="Arial Narrow" w:eastAsia="Arial Narrow" w:hAnsi="Arial Narrow" w:cs="Arial Narrow"/>
          <w:color w:val="000000"/>
          <w:spacing w:val="0"/>
          <w:w w:val="100"/>
          <w:position w:val="0"/>
          <w:sz w:val="18"/>
          <w:szCs w:val="18"/>
        </w:rPr>
        <w:t>2018</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11</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22</w:t>
      </w:r>
      <w:r>
        <w:rPr>
          <w:color w:val="000000"/>
          <w:spacing w:val="0"/>
          <w:w w:val="100"/>
          <w:position w:val="0"/>
          <w:sz w:val="17"/>
          <w:szCs w:val="17"/>
        </w:rPr>
        <w:t>日，根据公司第八届董事会第二十五次会议、第八届董事会第四十八次会议、第九届董事会第七次会议、</w:t>
      </w:r>
      <w:r>
        <w:rPr>
          <w:rFonts w:ascii="Arial Narrow" w:eastAsia="Arial Narrow" w:hAnsi="Arial Narrow" w:cs="Arial Narrow"/>
          <w:color w:val="000000"/>
          <w:spacing w:val="0"/>
          <w:w w:val="100"/>
          <w:position w:val="0"/>
          <w:sz w:val="18"/>
          <w:szCs w:val="18"/>
        </w:rPr>
        <w:t xml:space="preserve">2018 </w:t>
      </w:r>
      <w:r>
        <w:rPr>
          <w:color w:val="000000"/>
          <w:spacing w:val="0"/>
          <w:w w:val="100"/>
          <w:position w:val="0"/>
          <w:sz w:val="17"/>
          <w:szCs w:val="17"/>
        </w:rPr>
        <w:t>年第九次临时股东大会会议决议以及中国证券监督管理委员会证监许可</w:t>
      </w:r>
      <w:r>
        <w:rPr>
          <w:rFonts w:ascii="Arial Narrow" w:eastAsia="Arial Narrow" w:hAnsi="Arial Narrow" w:cs="Arial Narrow"/>
          <w:color w:val="000000"/>
          <w:spacing w:val="0"/>
          <w:w w:val="100"/>
          <w:position w:val="0"/>
          <w:sz w:val="18"/>
          <w:szCs w:val="18"/>
        </w:rPr>
        <w:t>[2018]877</w:t>
      </w:r>
      <w:r>
        <w:rPr>
          <w:color w:val="000000"/>
          <w:spacing w:val="0"/>
          <w:w w:val="100"/>
          <w:position w:val="0"/>
          <w:sz w:val="17"/>
          <w:szCs w:val="17"/>
        </w:rPr>
        <w:t>号文《关于核准东旭蓝天新能源股份有限公司非 公开发行股票的批复》，公司通过非公开发行人民币普通股</w:t>
      </w:r>
      <w:r>
        <w:rPr>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A</w:t>
      </w:r>
      <w:r>
        <w:rPr>
          <w:color w:val="000000"/>
          <w:spacing w:val="0"/>
          <w:w w:val="100"/>
          <w:position w:val="0"/>
          <w:sz w:val="17"/>
          <w:szCs w:val="17"/>
        </w:rPr>
        <w:t>股）</w:t>
      </w:r>
      <w:r>
        <w:rPr>
          <w:rFonts w:ascii="Arial Narrow" w:eastAsia="Arial Narrow" w:hAnsi="Arial Narrow" w:cs="Arial Narrow"/>
          <w:color w:val="000000"/>
          <w:spacing w:val="0"/>
          <w:w w:val="100"/>
          <w:position w:val="0"/>
          <w:sz w:val="18"/>
          <w:szCs w:val="18"/>
        </w:rPr>
        <w:t>149,700,598</w:t>
      </w:r>
      <w:r>
        <w:rPr>
          <w:color w:val="000000"/>
          <w:spacing w:val="0"/>
          <w:w w:val="100"/>
          <w:position w:val="0"/>
          <w:sz w:val="17"/>
          <w:szCs w:val="17"/>
        </w:rPr>
        <w:t>股，每股面值</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元，发行价格为</w:t>
      </w:r>
      <w:r>
        <w:rPr>
          <w:rFonts w:ascii="Arial Narrow" w:eastAsia="Arial Narrow" w:hAnsi="Arial Narrow" w:cs="Arial Narrow"/>
          <w:color w:val="000000"/>
          <w:spacing w:val="0"/>
          <w:w w:val="100"/>
          <w:position w:val="0"/>
          <w:sz w:val="18"/>
          <w:szCs w:val="18"/>
        </w:rPr>
        <w:t>13.36</w:t>
      </w:r>
      <w:r>
        <w:rPr>
          <w:color w:val="000000"/>
          <w:spacing w:val="0"/>
          <w:w w:val="100"/>
          <w:position w:val="0"/>
          <w:sz w:val="17"/>
          <w:szCs w:val="17"/>
        </w:rPr>
        <w:t>元</w:t>
      </w: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股，募集 资金总额约人民币为</w:t>
      </w:r>
      <w:r>
        <w:rPr>
          <w:rFonts w:ascii="Arial Narrow" w:eastAsia="Arial Narrow" w:hAnsi="Arial Narrow" w:cs="Arial Narrow"/>
          <w:color w:val="000000"/>
          <w:spacing w:val="0"/>
          <w:w w:val="100"/>
          <w:position w:val="0"/>
          <w:sz w:val="18"/>
          <w:szCs w:val="18"/>
        </w:rPr>
        <w:t>1,953,911,176.33</w:t>
      </w:r>
      <w:r>
        <w:rPr>
          <w:color w:val="000000"/>
          <w:spacing w:val="0"/>
          <w:w w:val="100"/>
          <w:position w:val="0"/>
          <w:sz w:val="17"/>
          <w:szCs w:val="17"/>
        </w:rPr>
        <w:t>元，用于投资公司全资子公司东旭新能源投资有限公司下属的</w:t>
      </w:r>
      <w:r>
        <w:rPr>
          <w:rFonts w:ascii="Arial Narrow" w:eastAsia="Arial Narrow" w:hAnsi="Arial Narrow" w:cs="Arial Narrow"/>
          <w:color w:val="000000"/>
          <w:spacing w:val="0"/>
          <w:w w:val="100"/>
          <w:position w:val="0"/>
          <w:sz w:val="18"/>
          <w:szCs w:val="18"/>
        </w:rPr>
        <w:t>11</w:t>
      </w:r>
      <w:r>
        <w:rPr>
          <w:color w:val="000000"/>
          <w:spacing w:val="0"/>
          <w:w w:val="100"/>
          <w:position w:val="0"/>
          <w:sz w:val="17"/>
          <w:szCs w:val="17"/>
        </w:rPr>
        <w:t>个光伏电站项目.本次增发 完成后，公司总股本为</w:t>
      </w:r>
      <w:r>
        <w:rPr>
          <w:rFonts w:ascii="Arial Narrow" w:eastAsia="Arial Narrow" w:hAnsi="Arial Narrow" w:cs="Arial Narrow"/>
          <w:color w:val="000000"/>
          <w:spacing w:val="0"/>
          <w:w w:val="100"/>
          <w:position w:val="0"/>
          <w:sz w:val="18"/>
          <w:szCs w:val="18"/>
        </w:rPr>
        <w:t>1,486,873,870.00</w:t>
      </w:r>
      <w:r>
        <w:rPr>
          <w:color w:val="000000"/>
          <w:spacing w:val="0"/>
          <w:w w:val="100"/>
          <w:position w:val="0"/>
          <w:sz w:val="17"/>
          <w:szCs w:val="17"/>
        </w:rPr>
        <w:t>元，东旭集团持股比例增加至</w:t>
      </w:r>
      <w:r>
        <w:rPr>
          <w:rFonts w:ascii="Arial Narrow" w:eastAsia="Arial Narrow" w:hAnsi="Arial Narrow" w:cs="Arial Narrow"/>
          <w:color w:val="000000"/>
          <w:spacing w:val="0"/>
          <w:w w:val="100"/>
          <w:position w:val="0"/>
          <w:sz w:val="18"/>
          <w:szCs w:val="18"/>
        </w:rPr>
        <w:t>38.99%.</w:t>
      </w:r>
    </w:p>
    <w:p>
      <w:pPr>
        <w:pStyle w:val="Style26"/>
        <w:keepNext w:val="0"/>
        <w:keepLines w:val="0"/>
        <w:widowControl w:val="0"/>
        <w:shd w:val="clear" w:color="auto" w:fill="auto"/>
        <w:bidi w:val="0"/>
        <w:spacing w:before="0" w:after="0" w:line="500" w:lineRule="exact"/>
        <w:ind w:left="0" w:right="0" w:firstLine="380"/>
        <w:jc w:val="both"/>
      </w:pPr>
      <w:r>
        <w:rPr>
          <w:color w:val="000000"/>
          <w:spacing w:val="0"/>
          <w:w w:val="100"/>
          <w:position w:val="0"/>
        </w:rPr>
        <w:t>截至</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 xml:space="preserve">31 </w:t>
      </w:r>
      <w:r>
        <w:rPr>
          <w:rFonts w:ascii="Arial" w:eastAsia="Arial" w:hAnsi="Arial" w:cs="Arial"/>
          <w:color w:val="000000"/>
          <w:spacing w:val="0"/>
          <w:w w:val="100"/>
          <w:position w:val="0"/>
          <w:sz w:val="18"/>
          <w:szCs w:val="18"/>
        </w:rPr>
        <w:t>0,</w:t>
      </w:r>
      <w:r>
        <w:rPr>
          <w:color w:val="000000"/>
          <w:spacing w:val="0"/>
          <w:w w:val="100"/>
          <w:position w:val="0"/>
        </w:rPr>
        <w:t>公司总股本为人民币</w:t>
      </w:r>
      <w:r>
        <w:rPr>
          <w:rFonts w:ascii="Arial Narrow" w:eastAsia="Arial Narrow" w:hAnsi="Arial Narrow" w:cs="Arial Narrow"/>
          <w:color w:val="000000"/>
          <w:spacing w:val="0"/>
          <w:w w:val="100"/>
          <w:position w:val="0"/>
          <w:sz w:val="18"/>
          <w:szCs w:val="18"/>
        </w:rPr>
        <w:t>1,486,873,870.00</w:t>
      </w:r>
      <w:r>
        <w:rPr>
          <w:color w:val="000000"/>
          <w:spacing w:val="0"/>
          <w:w w:val="100"/>
          <w:position w:val="0"/>
        </w:rPr>
        <w:t>元，东旭集团持股比例为</w:t>
      </w:r>
      <w:r>
        <w:rPr>
          <w:rFonts w:ascii="Arial Narrow" w:eastAsia="Arial Narrow" w:hAnsi="Arial Narrow" w:cs="Arial Narrow"/>
          <w:color w:val="000000"/>
          <w:spacing w:val="0"/>
          <w:w w:val="100"/>
          <w:position w:val="0"/>
          <w:sz w:val="18"/>
          <w:szCs w:val="18"/>
        </w:rPr>
        <w:t>39.04%,</w:t>
      </w:r>
      <w:r>
        <w:rPr>
          <w:color w:val="000000"/>
          <w:spacing w:val="0"/>
          <w:w w:val="100"/>
          <w:position w:val="0"/>
        </w:rPr>
        <w:t>法定代表人：卢召义；企业 统一社会信用代码：</w:t>
      </w:r>
      <w:r>
        <w:rPr>
          <w:rFonts w:ascii="Arial Narrow" w:eastAsia="Arial Narrow" w:hAnsi="Arial Narrow" w:cs="Arial Narrow"/>
          <w:color w:val="000000"/>
          <w:spacing w:val="0"/>
          <w:w w:val="100"/>
          <w:position w:val="0"/>
          <w:sz w:val="18"/>
          <w:szCs w:val="18"/>
        </w:rPr>
        <w:t>91440300192174418Y</w:t>
      </w:r>
      <w:r>
        <w:rPr>
          <w:color w:val="000000"/>
          <w:spacing w:val="0"/>
          <w:w w:val="100"/>
          <w:position w:val="0"/>
        </w:rPr>
        <w:t>;</w:t>
      </w:r>
      <w:r>
        <w:rPr>
          <w:color w:val="000000"/>
          <w:spacing w:val="0"/>
          <w:w w:val="100"/>
          <w:position w:val="0"/>
        </w:rPr>
        <w:t>注册地址：深圳市罗湖区东门中路</w:t>
      </w:r>
      <w:r>
        <w:rPr>
          <w:rFonts w:ascii="Arial Narrow" w:eastAsia="Arial Narrow" w:hAnsi="Arial Narrow" w:cs="Arial Narrow"/>
          <w:color w:val="000000"/>
          <w:spacing w:val="0"/>
          <w:w w:val="100"/>
          <w:position w:val="0"/>
          <w:sz w:val="18"/>
          <w:szCs w:val="18"/>
        </w:rPr>
        <w:t>1011</w:t>
      </w:r>
      <w:r>
        <w:rPr>
          <w:color w:val="000000"/>
          <w:spacing w:val="0"/>
          <w:w w:val="100"/>
          <w:position w:val="0"/>
        </w:rPr>
        <w:t>号鸿基大厦</w:t>
      </w:r>
      <w:r>
        <w:rPr>
          <w:rFonts w:ascii="Arial Narrow" w:eastAsia="Arial Narrow" w:hAnsi="Arial Narrow" w:cs="Arial Narrow"/>
          <w:color w:val="000000"/>
          <w:spacing w:val="0"/>
          <w:w w:val="100"/>
          <w:position w:val="0"/>
          <w:sz w:val="18"/>
          <w:szCs w:val="18"/>
        </w:rPr>
        <w:t>25</w:t>
      </w:r>
      <w:r>
        <w:rPr>
          <w:color w:val="000000"/>
          <w:spacing w:val="0"/>
          <w:w w:val="100"/>
          <w:position w:val="0"/>
        </w:rPr>
        <w:t>-</w:t>
      </w:r>
      <w:r>
        <w:rPr>
          <w:rFonts w:ascii="Arial Narrow" w:eastAsia="Arial Narrow" w:hAnsi="Arial Narrow" w:cs="Arial Narrow"/>
          <w:color w:val="000000"/>
          <w:spacing w:val="0"/>
          <w:w w:val="100"/>
          <w:position w:val="0"/>
          <w:sz w:val="18"/>
          <w:szCs w:val="18"/>
        </w:rPr>
        <w:t>27</w:t>
      </w:r>
      <w:r>
        <w:rPr>
          <w:color w:val="000000"/>
          <w:spacing w:val="0"/>
          <w:w w:val="100"/>
          <w:position w:val="0"/>
        </w:rPr>
        <w:t>楼.</w:t>
      </w:r>
    </w:p>
    <w:p>
      <w:pPr>
        <w:pStyle w:val="Style26"/>
        <w:keepNext w:val="0"/>
        <w:keepLines w:val="0"/>
        <w:widowControl w:val="0"/>
        <w:shd w:val="clear" w:color="auto" w:fill="auto"/>
        <w:bidi w:val="0"/>
        <w:spacing w:before="0" w:after="0" w:line="500" w:lineRule="exact"/>
        <w:ind w:left="0" w:right="0" w:firstLine="360"/>
        <w:jc w:val="both"/>
      </w:pPr>
      <w:r>
        <w:rPr>
          <w:color w:val="000000"/>
          <w:spacing w:val="0"/>
          <w:w w:val="100"/>
          <w:position w:val="0"/>
        </w:rPr>
        <w:t>东旭蓝天的母公司为东旭集团有限公司，最终控制人为李兆廷.</w:t>
      </w:r>
    </w:p>
    <w:p>
      <w:pPr>
        <w:pStyle w:val="Style26"/>
        <w:keepNext w:val="0"/>
        <w:keepLines w:val="0"/>
        <w:widowControl w:val="0"/>
        <w:shd w:val="clear" w:color="auto" w:fill="auto"/>
        <w:bidi w:val="0"/>
        <w:spacing w:before="0" w:after="0" w:line="500" w:lineRule="exact"/>
        <w:ind w:left="0" w:right="0" w:firstLine="360"/>
        <w:jc w:val="both"/>
      </w:pPr>
      <w:r>
        <w:rPr>
          <w:color w:val="000000"/>
          <w:spacing w:val="0"/>
          <w:w w:val="100"/>
          <w:position w:val="0"/>
        </w:rPr>
        <w:t xml:space="preserve">公司经营范围：一般经营项目是：环保技术的研发、推广及服务，生态环境治理、土壤修复、水处理；园林、城市绿化工程 </w:t>
      </w:r>
      <w:r>
        <w:rPr>
          <w:color w:val="000000"/>
          <w:spacing w:val="0"/>
          <w:w w:val="100"/>
          <w:position w:val="0"/>
        </w:rPr>
        <w:t>施工；园林及生态湿地的运营养护；风景园林规划设计、城乡规划设计；湖底淤泥处理；环保项目管理与咨询；光伏电站投资、 建设、运营、维护及管理服务；光伏发电技术及设备的研发；光伏发电项目技术咨询；电力工程总承包及国际工程总承包；经营 进出口业务；物业管理。，许可经营项目是：光伏发电设备的制造、批发零售；机电设备的设计、制造及销售，新能源设备设施的 设计、制造及销售。</w:t>
      </w:r>
    </w:p>
    <w:p>
      <w:pPr>
        <w:pStyle w:val="Style26"/>
        <w:keepNext w:val="0"/>
        <w:keepLines w:val="0"/>
        <w:widowControl w:val="0"/>
        <w:shd w:val="clear" w:color="auto" w:fill="auto"/>
        <w:bidi w:val="0"/>
        <w:spacing w:before="0" w:after="0" w:line="504" w:lineRule="exact"/>
        <w:ind w:left="0" w:right="0" w:firstLine="400"/>
        <w:jc w:val="both"/>
      </w:pPr>
      <w:r>
        <w:rPr>
          <w:color w:val="000000"/>
          <w:spacing w:val="0"/>
          <w:w w:val="100"/>
          <w:position w:val="0"/>
        </w:rPr>
        <w:t>本公司</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1-12</w:t>
      </w:r>
      <w:r>
        <w:rPr>
          <w:color w:val="000000"/>
          <w:spacing w:val="0"/>
          <w:w w:val="100"/>
          <w:position w:val="0"/>
        </w:rPr>
        <w:t>月纳入合并范围的子公司共</w:t>
      </w:r>
      <w:r>
        <w:rPr>
          <w:rFonts w:ascii="Arial Narrow" w:eastAsia="Arial Narrow" w:hAnsi="Arial Narrow" w:cs="Arial Narrow"/>
          <w:color w:val="000000"/>
          <w:spacing w:val="0"/>
          <w:w w:val="100"/>
          <w:position w:val="0"/>
          <w:sz w:val="18"/>
          <w:szCs w:val="18"/>
        </w:rPr>
        <w:t>195</w:t>
      </w:r>
      <w:r>
        <w:rPr>
          <w:color w:val="000000"/>
          <w:spacing w:val="0"/>
          <w:w w:val="100"/>
          <w:position w:val="0"/>
        </w:rPr>
        <w:t>户（含</w:t>
      </w:r>
      <w:r>
        <w:rPr>
          <w:rFonts w:ascii="Arial Narrow" w:eastAsia="Arial Narrow" w:hAnsi="Arial Narrow" w:cs="Arial Narrow"/>
          <w:color w:val="000000"/>
          <w:spacing w:val="0"/>
          <w:w w:val="100"/>
          <w:position w:val="0"/>
          <w:sz w:val="18"/>
          <w:szCs w:val="18"/>
        </w:rPr>
        <w:t>5</w:t>
      </w:r>
      <w:r>
        <w:rPr>
          <w:color w:val="000000"/>
          <w:spacing w:val="0"/>
          <w:w w:val="100"/>
          <w:position w:val="0"/>
        </w:rPr>
        <w:t>个结构化主体），详见本附注七</w:t>
      </w:r>
      <w:r>
        <w:rPr>
          <w:rFonts w:ascii="Arial Narrow" w:eastAsia="Arial Narrow" w:hAnsi="Arial Narrow" w:cs="Arial Narrow"/>
          <w:color w:val="000000"/>
          <w:spacing w:val="0"/>
          <w:w w:val="100"/>
          <w:position w:val="0"/>
          <w:sz w:val="18"/>
          <w:szCs w:val="18"/>
        </w:rPr>
        <w:t>"</w:t>
      </w:r>
      <w:r>
        <w:rPr>
          <w:color w:val="000000"/>
          <w:spacing w:val="0"/>
          <w:w w:val="100"/>
          <w:position w:val="0"/>
        </w:rPr>
        <w:t>在其他主体中的权益</w:t>
      </w:r>
      <w:r>
        <w:rPr>
          <w:rFonts w:ascii="Arial Narrow" w:eastAsia="Arial Narrow" w:hAnsi="Arial Narrow" w:cs="Arial Narrow"/>
          <w:color w:val="000000"/>
          <w:spacing w:val="0"/>
          <w:w w:val="100"/>
          <w:position w:val="0"/>
          <w:sz w:val="18"/>
          <w:szCs w:val="18"/>
        </w:rPr>
        <w:t>”</w:t>
      </w:r>
      <w:r>
        <w:rPr>
          <w:color w:val="000000"/>
          <w:spacing w:val="0"/>
          <w:w w:val="100"/>
          <w:position w:val="0"/>
        </w:rPr>
        <w:t>。本公司 本年度合并范围比上年度增加</w:t>
      </w:r>
      <w:r>
        <w:rPr>
          <w:rFonts w:ascii="Arial Narrow" w:eastAsia="Arial Narrow" w:hAnsi="Arial Narrow" w:cs="Arial Narrow"/>
          <w:color w:val="000000"/>
          <w:spacing w:val="0"/>
          <w:w w:val="100"/>
          <w:position w:val="0"/>
          <w:sz w:val="18"/>
          <w:szCs w:val="18"/>
        </w:rPr>
        <w:t>19</w:t>
      </w:r>
      <w:r>
        <w:rPr>
          <w:color w:val="000000"/>
          <w:spacing w:val="0"/>
          <w:w w:val="100"/>
          <w:position w:val="0"/>
        </w:rPr>
        <w:t>户，减少</w:t>
      </w:r>
      <w:r>
        <w:rPr>
          <w:rFonts w:ascii="Arial Narrow" w:eastAsia="Arial Narrow" w:hAnsi="Arial Narrow" w:cs="Arial Narrow"/>
          <w:color w:val="000000"/>
          <w:spacing w:val="0"/>
          <w:w w:val="100"/>
          <w:position w:val="0"/>
          <w:sz w:val="18"/>
          <w:szCs w:val="18"/>
        </w:rPr>
        <w:t>74</w:t>
      </w:r>
      <w:r>
        <w:rPr>
          <w:color w:val="000000"/>
          <w:spacing w:val="0"/>
          <w:w w:val="100"/>
          <w:position w:val="0"/>
        </w:rPr>
        <w:t>户，详见本附注六</w:t>
      </w:r>
      <w:r>
        <w:rPr>
          <w:rFonts w:ascii="Arial Narrow" w:eastAsia="Arial Narrow" w:hAnsi="Arial Narrow" w:cs="Arial Narrow"/>
          <w:color w:val="000000"/>
          <w:spacing w:val="0"/>
          <w:w w:val="100"/>
          <w:position w:val="0"/>
          <w:sz w:val="18"/>
          <w:szCs w:val="18"/>
        </w:rPr>
        <w:t>“</w:t>
      </w:r>
      <w:r>
        <w:rPr>
          <w:color w:val="000000"/>
          <w:spacing w:val="0"/>
          <w:w w:val="100"/>
          <w:position w:val="0"/>
        </w:rPr>
        <w:t>合并范围的变更七</w:t>
      </w:r>
    </w:p>
    <w:p>
      <w:pPr>
        <w:pStyle w:val="Style26"/>
        <w:keepNext w:val="0"/>
        <w:keepLines w:val="0"/>
        <w:widowControl w:val="0"/>
        <w:shd w:val="clear" w:color="auto" w:fill="auto"/>
        <w:bidi w:val="0"/>
        <w:spacing w:before="0" w:after="0" w:line="500" w:lineRule="exact"/>
        <w:ind w:left="0" w:right="0" w:firstLine="360"/>
        <w:jc w:val="left"/>
      </w:pPr>
      <w:r>
        <w:rPr>
          <w:color w:val="000000"/>
          <w:spacing w:val="0"/>
          <w:w w:val="100"/>
          <w:position w:val="0"/>
        </w:rPr>
        <w:t>本财务报表业经本公司第九届董事会第三十一次会议于</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5</w:t>
      </w:r>
      <w:r>
        <w:rPr>
          <w:color w:val="000000"/>
          <w:spacing w:val="0"/>
          <w:w w:val="100"/>
          <w:position w:val="0"/>
        </w:rPr>
        <w:t>月</w:t>
      </w:r>
      <w:r>
        <w:rPr>
          <w:rFonts w:ascii="Arial Narrow" w:eastAsia="Arial Narrow" w:hAnsi="Arial Narrow" w:cs="Arial Narrow"/>
          <w:color w:val="000000"/>
          <w:spacing w:val="0"/>
          <w:w w:val="100"/>
          <w:position w:val="0"/>
          <w:sz w:val="18"/>
          <w:szCs w:val="18"/>
        </w:rPr>
        <w:t>29</w:t>
      </w:r>
      <w:r>
        <w:rPr>
          <w:color w:val="000000"/>
          <w:spacing w:val="0"/>
          <w:w w:val="100"/>
          <w:position w:val="0"/>
        </w:rPr>
        <w:t>日决议批准报出。</w:t>
      </w:r>
    </w:p>
    <w:p>
      <w:pPr>
        <w:pStyle w:val="Style10"/>
        <w:keepNext/>
        <w:keepLines/>
        <w:widowControl w:val="0"/>
        <w:shd w:val="clear" w:color="auto" w:fill="auto"/>
        <w:tabs>
          <w:tab w:pos="814" w:val="left"/>
        </w:tabs>
        <w:bidi w:val="0"/>
        <w:spacing w:before="0" w:after="260" w:line="500" w:lineRule="exact"/>
        <w:ind w:left="0" w:right="0" w:firstLine="360"/>
        <w:jc w:val="left"/>
        <w:rPr>
          <w:sz w:val="20"/>
          <w:szCs w:val="20"/>
        </w:rPr>
      </w:pPr>
      <w:bookmarkStart w:id="766" w:name="bookmark766"/>
      <w:bookmarkStart w:id="767" w:name="bookmark767"/>
      <w:bookmarkStart w:id="768" w:name="bookmark768"/>
      <w:bookmarkStart w:id="769" w:name="bookmark769"/>
      <w:r>
        <w:rPr>
          <w:color w:val="000000"/>
          <w:spacing w:val="0"/>
          <w:w w:val="100"/>
          <w:position w:val="0"/>
          <w:sz w:val="20"/>
          <w:szCs w:val="20"/>
        </w:rPr>
        <w:t>二</w:t>
      </w:r>
      <w:bookmarkEnd w:id="768"/>
      <w:r>
        <w:rPr>
          <w:color w:val="000000"/>
          <w:spacing w:val="0"/>
          <w:w w:val="100"/>
          <w:position w:val="0"/>
          <w:sz w:val="20"/>
          <w:szCs w:val="20"/>
        </w:rPr>
        <w:t>、</w:t>
        <w:tab/>
        <w:t>财务报表的编制基础</w:t>
      </w:r>
      <w:bookmarkEnd w:id="766"/>
      <w:bookmarkEnd w:id="767"/>
      <w:bookmarkEnd w:id="769"/>
    </w:p>
    <w:p>
      <w:pPr>
        <w:pStyle w:val="Style10"/>
        <w:keepNext/>
        <w:keepLines/>
        <w:widowControl w:val="0"/>
        <w:shd w:val="clear" w:color="auto" w:fill="auto"/>
        <w:tabs>
          <w:tab w:pos="704" w:val="left"/>
        </w:tabs>
        <w:bidi w:val="0"/>
        <w:spacing w:before="0" w:after="0" w:line="523" w:lineRule="auto"/>
        <w:ind w:left="0" w:right="0" w:firstLine="360"/>
        <w:jc w:val="left"/>
        <w:rPr>
          <w:sz w:val="20"/>
          <w:szCs w:val="20"/>
        </w:rPr>
      </w:pPr>
      <w:bookmarkStart w:id="766" w:name="bookmark766"/>
      <w:bookmarkStart w:id="767" w:name="bookmark767"/>
      <w:bookmarkStart w:id="770" w:name="bookmark770"/>
      <w:r>
        <w:rPr>
          <w:rFonts w:ascii="Arial Narrow" w:eastAsia="Arial Narrow" w:hAnsi="Arial Narrow" w:cs="Arial Narrow"/>
          <w:color w:val="000000"/>
          <w:spacing w:val="0"/>
          <w:w w:val="100"/>
          <w:position w:val="0"/>
          <w:sz w:val="20"/>
          <w:szCs w:val="20"/>
        </w:rPr>
        <w:t>1</w:t>
      </w:r>
      <w:bookmarkEnd w:id="770"/>
      <w:r>
        <w:rPr>
          <w:color w:val="000000"/>
          <w:spacing w:val="0"/>
          <w:w w:val="100"/>
          <w:position w:val="0"/>
          <w:sz w:val="20"/>
          <w:szCs w:val="20"/>
        </w:rPr>
        <w:t>、</w:t>
        <w:tab/>
        <w:t>财务报表的编制基础</w:t>
      </w:r>
      <w:bookmarkEnd w:id="766"/>
      <w:bookmarkEnd w:id="767"/>
    </w:p>
    <w:p>
      <w:pPr>
        <w:pStyle w:val="Style26"/>
        <w:keepNext w:val="0"/>
        <w:keepLines w:val="0"/>
        <w:widowControl w:val="0"/>
        <w:shd w:val="clear" w:color="auto" w:fill="auto"/>
        <w:bidi w:val="0"/>
        <w:spacing w:before="0" w:after="0" w:line="500" w:lineRule="exact"/>
        <w:ind w:left="0" w:right="0" w:firstLine="400"/>
        <w:jc w:val="both"/>
      </w:pPr>
      <w:r>
        <w:rPr>
          <w:color w:val="000000"/>
          <w:spacing w:val="0"/>
          <w:w w:val="100"/>
          <w:position w:val="0"/>
        </w:rPr>
        <w:t>本公司财务报表以持续经营假设为基础，根据实际发生的交易和事项，按照财政部于</w:t>
      </w:r>
      <w:r>
        <w:rPr>
          <w:rFonts w:ascii="Arial Narrow" w:eastAsia="Arial Narrow" w:hAnsi="Arial Narrow" w:cs="Arial Narrow"/>
          <w:color w:val="000000"/>
          <w:spacing w:val="0"/>
          <w:w w:val="100"/>
          <w:position w:val="0"/>
          <w:sz w:val="18"/>
          <w:szCs w:val="18"/>
        </w:rPr>
        <w:t>2006</w:t>
      </w:r>
      <w:r>
        <w:rPr>
          <w:color w:val="000000"/>
          <w:spacing w:val="0"/>
          <w:w w:val="100"/>
          <w:position w:val="0"/>
        </w:rPr>
        <w:t>年</w:t>
      </w:r>
      <w:r>
        <w:rPr>
          <w:rFonts w:ascii="Arial Narrow" w:eastAsia="Arial Narrow" w:hAnsi="Arial Narrow" w:cs="Arial Narrow"/>
          <w:color w:val="000000"/>
          <w:spacing w:val="0"/>
          <w:w w:val="100"/>
          <w:position w:val="0"/>
          <w:sz w:val="18"/>
          <w:szCs w:val="18"/>
        </w:rPr>
        <w:t>2</w:t>
      </w:r>
      <w:r>
        <w:rPr>
          <w:color w:val="000000"/>
          <w:spacing w:val="0"/>
          <w:w w:val="100"/>
          <w:position w:val="0"/>
        </w:rPr>
        <w:t>月</w:t>
      </w:r>
      <w:r>
        <w:rPr>
          <w:rFonts w:ascii="Arial Narrow" w:eastAsia="Arial Narrow" w:hAnsi="Arial Narrow" w:cs="Arial Narrow"/>
          <w:color w:val="000000"/>
          <w:spacing w:val="0"/>
          <w:w w:val="100"/>
          <w:position w:val="0"/>
          <w:sz w:val="18"/>
          <w:szCs w:val="18"/>
        </w:rPr>
        <w:t>15</w:t>
      </w:r>
      <w:r>
        <w:rPr>
          <w:color w:val="000000"/>
          <w:spacing w:val="0"/>
          <w:w w:val="100"/>
          <w:position w:val="0"/>
        </w:rPr>
        <w:t>日及以后颁布的《企业 会计准则</w:t>
      </w:r>
      <w:r>
        <w:rPr>
          <w:color w:val="000000"/>
          <w:spacing w:val="0"/>
          <w:w w:val="100"/>
          <w:position w:val="0"/>
          <w:sz w:val="22"/>
          <w:szCs w:val="22"/>
        </w:rPr>
        <w:t>一一</w:t>
      </w:r>
      <w:r>
        <w:rPr>
          <w:color w:val="000000"/>
          <w:spacing w:val="0"/>
          <w:w w:val="100"/>
          <w:position w:val="0"/>
        </w:rPr>
        <w:t>基本准则》和各项具体会计准则、企业会计准则应用指南、企业会计准则解释及其他相关规定（以下合称''企业会计 准则</w:t>
      </w:r>
      <w:r>
        <w:rPr>
          <w:rFonts w:ascii="Arial Narrow" w:eastAsia="Arial Narrow" w:hAnsi="Arial Narrow" w:cs="Arial Narrow"/>
          <w:color w:val="000000"/>
          <w:spacing w:val="0"/>
          <w:w w:val="100"/>
          <w:position w:val="0"/>
          <w:sz w:val="18"/>
          <w:szCs w:val="18"/>
        </w:rPr>
        <w:t>”</w:t>
      </w:r>
      <w:r>
        <w:rPr>
          <w:color w:val="000000"/>
          <w:spacing w:val="0"/>
          <w:w w:val="100"/>
          <w:position w:val="0"/>
        </w:rPr>
        <w:t>），以及中国证券监督管理委员会《公开发行证券的公司信息披露编报规则第</w:t>
      </w:r>
      <w:r>
        <w:rPr>
          <w:rFonts w:ascii="Arial Narrow" w:eastAsia="Arial Narrow" w:hAnsi="Arial Narrow" w:cs="Arial Narrow"/>
          <w:color w:val="000000"/>
          <w:spacing w:val="0"/>
          <w:w w:val="100"/>
          <w:position w:val="0"/>
          <w:sz w:val="18"/>
          <w:szCs w:val="18"/>
        </w:rPr>
        <w:t>15</w:t>
      </w:r>
      <w:r>
        <w:rPr>
          <w:color w:val="000000"/>
          <w:spacing w:val="0"/>
          <w:w w:val="100"/>
          <w:position w:val="0"/>
        </w:rPr>
        <w:t>号一财务报告的一般规定》的披露规 定编制。</w:t>
      </w:r>
    </w:p>
    <w:p>
      <w:pPr>
        <w:pStyle w:val="Style26"/>
        <w:keepNext w:val="0"/>
        <w:keepLines w:val="0"/>
        <w:widowControl w:val="0"/>
        <w:shd w:val="clear" w:color="auto" w:fill="auto"/>
        <w:bidi w:val="0"/>
        <w:spacing w:before="0" w:after="260" w:line="500" w:lineRule="exact"/>
        <w:ind w:left="0" w:right="0" w:firstLine="400"/>
        <w:jc w:val="both"/>
      </w:pPr>
      <w:r>
        <w:rPr>
          <w:color w:val="000000"/>
          <w:spacing w:val="0"/>
          <w:w w:val="100"/>
          <w:position w:val="0"/>
        </w:rPr>
        <w:t>根据企业会计准则的相关规定，本公司会计核算以权责发生制为基础。除某些金融工具外，本财务报表均以历史成本为计量 基础。资产如果发生减值，则按照相关规定计提相应的减值准备。</w:t>
      </w:r>
    </w:p>
    <w:p>
      <w:pPr>
        <w:pStyle w:val="Style33"/>
        <w:keepNext w:val="0"/>
        <w:keepLines w:val="0"/>
        <w:widowControl w:val="0"/>
        <w:shd w:val="clear" w:color="auto" w:fill="auto"/>
        <w:tabs>
          <w:tab w:pos="714" w:val="left"/>
        </w:tabs>
        <w:bidi w:val="0"/>
        <w:spacing w:before="0" w:after="0" w:line="523" w:lineRule="auto"/>
        <w:ind w:left="0" w:right="0" w:firstLine="360"/>
        <w:jc w:val="both"/>
      </w:pPr>
      <w:bookmarkStart w:id="771" w:name="bookmark771"/>
      <w:r>
        <w:rPr>
          <w:rFonts w:ascii="Arial Narrow" w:eastAsia="Arial Narrow" w:hAnsi="Arial Narrow" w:cs="Arial Narrow"/>
          <w:b/>
          <w:bCs/>
          <w:color w:val="000000"/>
          <w:spacing w:val="0"/>
          <w:w w:val="100"/>
          <w:position w:val="0"/>
          <w:sz w:val="20"/>
          <w:szCs w:val="20"/>
        </w:rPr>
        <w:t>2</w:t>
      </w:r>
      <w:bookmarkEnd w:id="771"/>
      <w:r>
        <w:rPr>
          <w:b/>
          <w:bCs/>
          <w:color w:val="000000"/>
          <w:spacing w:val="0"/>
          <w:w w:val="100"/>
          <w:position w:val="0"/>
        </w:rPr>
        <w:t>、</w:t>
        <w:tab/>
        <w:t>持续经营</w:t>
      </w:r>
    </w:p>
    <w:p>
      <w:pPr>
        <w:pStyle w:val="Style26"/>
        <w:keepNext w:val="0"/>
        <w:keepLines w:val="0"/>
        <w:widowControl w:val="0"/>
        <w:shd w:val="clear" w:color="auto" w:fill="auto"/>
        <w:bidi w:val="0"/>
        <w:spacing w:before="0" w:after="0" w:line="500" w:lineRule="exact"/>
        <w:ind w:left="0" w:right="0" w:firstLine="360"/>
        <w:jc w:val="left"/>
      </w:pPr>
      <w:r>
        <w:rPr>
          <w:color w:val="000000"/>
          <w:spacing w:val="0"/>
          <w:w w:val="100"/>
          <w:position w:val="0"/>
        </w:rPr>
        <w:t>公司自本报告期末起至少</w:t>
      </w:r>
      <w:r>
        <w:rPr>
          <w:rFonts w:ascii="Arial Narrow" w:eastAsia="Arial Narrow" w:hAnsi="Arial Narrow" w:cs="Arial Narrow"/>
          <w:color w:val="000000"/>
          <w:spacing w:val="0"/>
          <w:w w:val="100"/>
          <w:position w:val="0"/>
          <w:sz w:val="18"/>
          <w:szCs w:val="18"/>
        </w:rPr>
        <w:t>12</w:t>
      </w:r>
      <w:r>
        <w:rPr>
          <w:color w:val="000000"/>
          <w:spacing w:val="0"/>
          <w:w w:val="100"/>
          <w:position w:val="0"/>
        </w:rPr>
        <w:t>个月具备持续经营能力，无影响持续经营能力的重大事项。</w:t>
      </w:r>
    </w:p>
    <w:p>
      <w:pPr>
        <w:pStyle w:val="Style10"/>
        <w:keepNext/>
        <w:keepLines/>
        <w:widowControl w:val="0"/>
        <w:shd w:val="clear" w:color="auto" w:fill="auto"/>
        <w:tabs>
          <w:tab w:pos="814" w:val="left"/>
        </w:tabs>
        <w:bidi w:val="0"/>
        <w:spacing w:before="0" w:after="260" w:line="500" w:lineRule="exact"/>
        <w:ind w:left="0" w:right="0" w:firstLine="360"/>
        <w:jc w:val="left"/>
        <w:rPr>
          <w:sz w:val="20"/>
          <w:szCs w:val="20"/>
        </w:rPr>
      </w:pPr>
      <w:bookmarkStart w:id="772" w:name="bookmark772"/>
      <w:bookmarkStart w:id="773" w:name="bookmark773"/>
      <w:bookmarkStart w:id="774" w:name="bookmark774"/>
      <w:bookmarkStart w:id="775" w:name="bookmark775"/>
      <w:r>
        <w:rPr>
          <w:color w:val="000000"/>
          <w:spacing w:val="0"/>
          <w:w w:val="100"/>
          <w:position w:val="0"/>
          <w:sz w:val="20"/>
          <w:szCs w:val="20"/>
        </w:rPr>
        <w:t>三</w:t>
      </w:r>
      <w:bookmarkEnd w:id="774"/>
      <w:r>
        <w:rPr>
          <w:color w:val="000000"/>
          <w:spacing w:val="0"/>
          <w:w w:val="100"/>
          <w:position w:val="0"/>
          <w:sz w:val="20"/>
          <w:szCs w:val="20"/>
        </w:rPr>
        <w:t>、</w:t>
        <w:tab/>
        <w:t>公司主要会计政策、会计估计</w:t>
      </w:r>
      <w:bookmarkEnd w:id="772"/>
      <w:bookmarkEnd w:id="773"/>
      <w:bookmarkEnd w:id="775"/>
    </w:p>
    <w:p>
      <w:pPr>
        <w:pStyle w:val="Style22"/>
        <w:keepNext/>
        <w:keepLines/>
        <w:widowControl w:val="0"/>
        <w:shd w:val="clear" w:color="auto" w:fill="auto"/>
        <w:tabs>
          <w:tab w:pos="704" w:val="left"/>
        </w:tabs>
        <w:bidi w:val="0"/>
        <w:spacing w:before="0" w:after="0" w:line="523" w:lineRule="auto"/>
        <w:ind w:left="0" w:right="0" w:firstLine="360"/>
        <w:jc w:val="left"/>
        <w:rPr>
          <w:sz w:val="20"/>
          <w:szCs w:val="20"/>
        </w:rPr>
      </w:pPr>
      <w:bookmarkStart w:id="776" w:name="bookmark776"/>
      <w:bookmarkStart w:id="777" w:name="bookmark777"/>
      <w:bookmarkStart w:id="778" w:name="bookmark778"/>
      <w:bookmarkStart w:id="779" w:name="bookmark779"/>
      <w:r>
        <w:rPr>
          <w:rFonts w:ascii="Arial Narrow" w:eastAsia="Arial Narrow" w:hAnsi="Arial Narrow" w:cs="Arial Narrow"/>
          <w:color w:val="000000"/>
          <w:spacing w:val="0"/>
          <w:w w:val="100"/>
          <w:position w:val="0"/>
          <w:sz w:val="20"/>
          <w:szCs w:val="20"/>
        </w:rPr>
        <w:t>1</w:t>
      </w:r>
      <w:bookmarkEnd w:id="778"/>
      <w:r>
        <w:rPr>
          <w:color w:val="000000"/>
          <w:spacing w:val="0"/>
          <w:w w:val="100"/>
          <w:position w:val="0"/>
          <w:sz w:val="20"/>
          <w:szCs w:val="20"/>
        </w:rPr>
        <w:t>、</w:t>
        <w:tab/>
        <w:t>遵循企业会计准则的声明</w:t>
      </w:r>
      <w:bookmarkEnd w:id="776"/>
      <w:bookmarkEnd w:id="777"/>
      <w:bookmarkEnd w:id="779"/>
    </w:p>
    <w:p>
      <w:pPr>
        <w:pStyle w:val="Style33"/>
        <w:keepNext w:val="0"/>
        <w:keepLines w:val="0"/>
        <w:widowControl w:val="0"/>
        <w:shd w:val="clear" w:color="auto" w:fill="auto"/>
        <w:bidi w:val="0"/>
        <w:spacing w:before="0" w:after="260" w:line="500" w:lineRule="exact"/>
        <w:ind w:left="0" w:right="0"/>
        <w:jc w:val="both"/>
      </w:pPr>
      <w:r>
        <w:rPr>
          <w:color w:val="000000"/>
          <w:spacing w:val="0"/>
          <w:w w:val="100"/>
          <w:position w:val="0"/>
        </w:rPr>
        <w:t>本财务报表符合企业会计准则的要求，真实、完整地反映了本公司</w:t>
      </w:r>
      <w:r>
        <w:rPr>
          <w:b/>
          <w:bCs/>
          <w:color w:val="000000"/>
          <w:spacing w:val="0"/>
          <w:w w:val="100"/>
          <w:position w:val="0"/>
        </w:rPr>
        <w:t>2019</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日合并及公司的财务状 况以及</w:t>
      </w:r>
      <w:r>
        <w:rPr>
          <w:b/>
          <w:bCs/>
          <w:color w:val="000000"/>
          <w:spacing w:val="0"/>
          <w:w w:val="100"/>
          <w:position w:val="0"/>
        </w:rPr>
        <w:t>2019</w:t>
      </w:r>
      <w:r>
        <w:rPr>
          <w:color w:val="000000"/>
          <w:spacing w:val="0"/>
          <w:w w:val="100"/>
          <w:position w:val="0"/>
        </w:rPr>
        <w:t>年度合并及公司的经营成果和现金流量。</w:t>
      </w:r>
    </w:p>
    <w:p>
      <w:pPr>
        <w:pStyle w:val="Style22"/>
        <w:keepNext/>
        <w:keepLines/>
        <w:widowControl w:val="0"/>
        <w:shd w:val="clear" w:color="auto" w:fill="auto"/>
        <w:tabs>
          <w:tab w:pos="754" w:val="left"/>
        </w:tabs>
        <w:bidi w:val="0"/>
        <w:spacing w:before="0" w:after="0" w:line="523" w:lineRule="auto"/>
        <w:ind w:left="0" w:right="0" w:firstLine="400"/>
        <w:jc w:val="both"/>
        <w:rPr>
          <w:sz w:val="20"/>
          <w:szCs w:val="20"/>
        </w:rPr>
      </w:pPr>
      <w:bookmarkStart w:id="780" w:name="bookmark780"/>
      <w:bookmarkStart w:id="781" w:name="bookmark781"/>
      <w:bookmarkStart w:id="782" w:name="bookmark782"/>
      <w:bookmarkStart w:id="783" w:name="bookmark783"/>
      <w:r>
        <w:rPr>
          <w:rFonts w:ascii="Arial Narrow" w:eastAsia="Arial Narrow" w:hAnsi="Arial Narrow" w:cs="Arial Narrow"/>
          <w:color w:val="000000"/>
          <w:spacing w:val="0"/>
          <w:w w:val="100"/>
          <w:position w:val="0"/>
          <w:sz w:val="20"/>
          <w:szCs w:val="20"/>
        </w:rPr>
        <w:t>2</w:t>
      </w:r>
      <w:bookmarkEnd w:id="782"/>
      <w:r>
        <w:rPr>
          <w:color w:val="000000"/>
          <w:spacing w:val="0"/>
          <w:w w:val="100"/>
          <w:position w:val="0"/>
          <w:sz w:val="20"/>
          <w:szCs w:val="20"/>
        </w:rPr>
        <w:t>、</w:t>
        <w:tab/>
        <w:t>会计期间</w:t>
      </w:r>
      <w:bookmarkEnd w:id="780"/>
      <w:bookmarkEnd w:id="781"/>
      <w:bookmarkEnd w:id="783"/>
    </w:p>
    <w:p>
      <w:pPr>
        <w:pStyle w:val="Style33"/>
        <w:keepNext w:val="0"/>
        <w:keepLines w:val="0"/>
        <w:widowControl w:val="0"/>
        <w:shd w:val="clear" w:color="auto" w:fill="auto"/>
        <w:bidi w:val="0"/>
        <w:spacing w:before="0" w:after="260" w:line="500" w:lineRule="exact"/>
        <w:ind w:left="0" w:right="0"/>
        <w:jc w:val="both"/>
      </w:pPr>
      <w:r>
        <w:rPr>
          <w:color w:val="000000"/>
          <w:spacing w:val="0"/>
          <w:w w:val="100"/>
          <w:position w:val="0"/>
        </w:rPr>
        <w:t>本公司的会计期间分为年度和中期，会计中期指短于一个完整的会计年度的报告期间。本公司会计年度采 用公历年度，即每年自</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日起至</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日止。</w:t>
      </w:r>
    </w:p>
    <w:p>
      <w:pPr>
        <w:pStyle w:val="Style22"/>
        <w:keepNext/>
        <w:keepLines/>
        <w:widowControl w:val="0"/>
        <w:shd w:val="clear" w:color="auto" w:fill="auto"/>
        <w:tabs>
          <w:tab w:pos="754" w:val="left"/>
        </w:tabs>
        <w:bidi w:val="0"/>
        <w:spacing w:before="0" w:after="0" w:line="523" w:lineRule="auto"/>
        <w:ind w:left="0" w:right="0" w:firstLine="400"/>
        <w:jc w:val="both"/>
        <w:rPr>
          <w:sz w:val="20"/>
          <w:szCs w:val="20"/>
        </w:rPr>
      </w:pPr>
      <w:bookmarkStart w:id="784" w:name="bookmark784"/>
      <w:bookmarkStart w:id="785" w:name="bookmark785"/>
      <w:bookmarkStart w:id="786" w:name="bookmark786"/>
      <w:bookmarkStart w:id="787" w:name="bookmark787"/>
      <w:r>
        <w:rPr>
          <w:rFonts w:ascii="Arial Narrow" w:eastAsia="Arial Narrow" w:hAnsi="Arial Narrow" w:cs="Arial Narrow"/>
          <w:color w:val="000000"/>
          <w:spacing w:val="0"/>
          <w:w w:val="100"/>
          <w:position w:val="0"/>
          <w:sz w:val="20"/>
          <w:szCs w:val="20"/>
        </w:rPr>
        <w:t>3</w:t>
      </w:r>
      <w:bookmarkEnd w:id="786"/>
      <w:r>
        <w:rPr>
          <w:color w:val="000000"/>
          <w:spacing w:val="0"/>
          <w:w w:val="100"/>
          <w:position w:val="0"/>
          <w:sz w:val="20"/>
          <w:szCs w:val="20"/>
        </w:rPr>
        <w:t>、</w:t>
        <w:tab/>
        <w:t>营业周期</w:t>
      </w:r>
      <w:bookmarkEnd w:id="784"/>
      <w:bookmarkEnd w:id="785"/>
      <w:bookmarkEnd w:id="787"/>
    </w:p>
    <w:p>
      <w:pPr>
        <w:pStyle w:val="Style33"/>
        <w:keepNext w:val="0"/>
        <w:keepLines w:val="0"/>
        <w:widowControl w:val="0"/>
        <w:shd w:val="clear" w:color="auto" w:fill="auto"/>
        <w:bidi w:val="0"/>
        <w:spacing w:before="0" w:after="260" w:line="500" w:lineRule="exact"/>
        <w:ind w:left="0" w:right="0"/>
        <w:jc w:val="both"/>
      </w:pPr>
      <w:r>
        <w:rPr>
          <w:color w:val="000000"/>
          <w:spacing w:val="0"/>
          <w:w w:val="100"/>
          <w:position w:val="0"/>
        </w:rPr>
        <w:t>正常营业周期是指本公司从购买用于加工的资产起至实现现金或现金等价物的期间。本公司以</w:t>
      </w:r>
      <w:r>
        <w:rPr>
          <w:b/>
          <w:bCs/>
          <w:color w:val="000000"/>
          <w:spacing w:val="0"/>
          <w:w w:val="100"/>
          <w:position w:val="0"/>
        </w:rPr>
        <w:t>12</w:t>
      </w:r>
      <w:r>
        <w:rPr>
          <w:color w:val="000000"/>
          <w:spacing w:val="0"/>
          <w:w w:val="100"/>
          <w:position w:val="0"/>
        </w:rPr>
        <w:t>个月作 为一个营业周期，并以其作为资产和负债的流动性划分标准。</w:t>
      </w:r>
    </w:p>
    <w:p>
      <w:pPr>
        <w:pStyle w:val="Style22"/>
        <w:keepNext/>
        <w:keepLines/>
        <w:widowControl w:val="0"/>
        <w:shd w:val="clear" w:color="auto" w:fill="auto"/>
        <w:tabs>
          <w:tab w:pos="714" w:val="left"/>
        </w:tabs>
        <w:bidi w:val="0"/>
        <w:spacing w:before="0" w:after="0" w:line="500" w:lineRule="exact"/>
        <w:ind w:left="0" w:right="0" w:firstLine="380"/>
        <w:jc w:val="both"/>
        <w:rPr>
          <w:sz w:val="20"/>
          <w:szCs w:val="20"/>
        </w:rPr>
      </w:pPr>
      <w:bookmarkStart w:id="788" w:name="bookmark788"/>
      <w:bookmarkStart w:id="789" w:name="bookmark789"/>
      <w:bookmarkStart w:id="790" w:name="bookmark790"/>
      <w:bookmarkStart w:id="791" w:name="bookmark791"/>
      <w:r>
        <w:rPr>
          <w:rFonts w:ascii="Arial Narrow" w:eastAsia="Arial Narrow" w:hAnsi="Arial Narrow" w:cs="Arial Narrow"/>
          <w:color w:val="000000"/>
          <w:spacing w:val="0"/>
          <w:w w:val="100"/>
          <w:position w:val="0"/>
          <w:sz w:val="20"/>
          <w:szCs w:val="20"/>
        </w:rPr>
        <w:t>4</w:t>
      </w:r>
      <w:bookmarkEnd w:id="790"/>
      <w:r>
        <w:rPr>
          <w:color w:val="000000"/>
          <w:spacing w:val="0"/>
          <w:w w:val="100"/>
          <w:position w:val="0"/>
          <w:sz w:val="20"/>
          <w:szCs w:val="20"/>
        </w:rPr>
        <w:t>、</w:t>
        <w:tab/>
        <w:t>记账本位币</w:t>
      </w:r>
      <w:bookmarkEnd w:id="788"/>
      <w:bookmarkEnd w:id="789"/>
      <w:bookmarkEnd w:id="791"/>
    </w:p>
    <w:p>
      <w:pPr>
        <w:pStyle w:val="Style33"/>
        <w:keepNext w:val="0"/>
        <w:keepLines w:val="0"/>
        <w:widowControl w:val="0"/>
        <w:shd w:val="clear" w:color="auto" w:fill="auto"/>
        <w:bidi w:val="0"/>
        <w:spacing w:before="0" w:after="0" w:line="500" w:lineRule="exact"/>
        <w:ind w:left="0" w:right="0" w:firstLine="380"/>
        <w:jc w:val="left"/>
      </w:pPr>
      <w:r>
        <w:rPr>
          <w:color w:val="000000"/>
          <w:spacing w:val="0"/>
          <w:w w:val="100"/>
          <w:position w:val="0"/>
        </w:rPr>
        <w:t>本公司以人民币为记账本位币。</w:t>
      </w:r>
    </w:p>
    <w:p>
      <w:pPr>
        <w:pStyle w:val="Style22"/>
        <w:keepNext/>
        <w:keepLines/>
        <w:widowControl w:val="0"/>
        <w:shd w:val="clear" w:color="auto" w:fill="auto"/>
        <w:tabs>
          <w:tab w:pos="714" w:val="left"/>
        </w:tabs>
        <w:bidi w:val="0"/>
        <w:spacing w:before="0" w:after="0" w:line="500" w:lineRule="exact"/>
        <w:ind w:left="0" w:right="0" w:firstLine="380"/>
        <w:jc w:val="left"/>
        <w:rPr>
          <w:sz w:val="20"/>
          <w:szCs w:val="20"/>
        </w:rPr>
      </w:pPr>
      <w:bookmarkStart w:id="792" w:name="bookmark792"/>
      <w:bookmarkStart w:id="793" w:name="bookmark793"/>
      <w:bookmarkStart w:id="794" w:name="bookmark794"/>
      <w:bookmarkStart w:id="795" w:name="bookmark795"/>
      <w:r>
        <w:rPr>
          <w:rFonts w:ascii="Arial Narrow" w:eastAsia="Arial Narrow" w:hAnsi="Arial Narrow" w:cs="Arial Narrow"/>
          <w:color w:val="000000"/>
          <w:spacing w:val="0"/>
          <w:w w:val="100"/>
          <w:position w:val="0"/>
          <w:sz w:val="20"/>
          <w:szCs w:val="20"/>
        </w:rPr>
        <w:t>5</w:t>
      </w:r>
      <w:bookmarkEnd w:id="794"/>
      <w:r>
        <w:rPr>
          <w:color w:val="000000"/>
          <w:spacing w:val="0"/>
          <w:w w:val="100"/>
          <w:position w:val="0"/>
          <w:sz w:val="20"/>
          <w:szCs w:val="20"/>
        </w:rPr>
        <w:t>、</w:t>
        <w:tab/>
        <w:t>同一控制下和非同一控制下企业合并的会计处理方法</w:t>
      </w:r>
      <w:bookmarkEnd w:id="792"/>
      <w:bookmarkEnd w:id="793"/>
      <w:bookmarkEnd w:id="795"/>
    </w:p>
    <w:p>
      <w:pPr>
        <w:pStyle w:val="Style26"/>
        <w:keepNext w:val="0"/>
        <w:keepLines w:val="0"/>
        <w:widowControl w:val="0"/>
        <w:shd w:val="clear" w:color="auto" w:fill="auto"/>
        <w:bidi w:val="0"/>
        <w:spacing w:before="0" w:after="0" w:line="500" w:lineRule="exact"/>
        <w:ind w:left="0" w:right="0" w:firstLine="38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26"/>
        <w:keepNext w:val="0"/>
        <w:keepLines w:val="0"/>
        <w:widowControl w:val="0"/>
        <w:shd w:val="clear" w:color="auto" w:fill="auto"/>
        <w:tabs>
          <w:tab w:pos="797" w:val="left"/>
        </w:tabs>
        <w:bidi w:val="0"/>
        <w:spacing w:before="0" w:after="0" w:line="500" w:lineRule="exact"/>
        <w:ind w:left="0" w:right="0" w:firstLine="380"/>
        <w:jc w:val="both"/>
      </w:pPr>
      <w:bookmarkStart w:id="796" w:name="bookmark796"/>
      <w:r>
        <w:rPr>
          <w:color w:val="000000"/>
          <w:spacing w:val="0"/>
          <w:w w:val="100"/>
          <w:position w:val="0"/>
        </w:rPr>
        <w:t>（</w:t>
      </w:r>
      <w:bookmarkEnd w:id="796"/>
      <w:r>
        <w:rPr>
          <w:rFonts w:ascii="Arial Narrow" w:eastAsia="Arial Narrow" w:hAnsi="Arial Narrow" w:cs="Arial Narrow"/>
          <w:color w:val="000000"/>
          <w:spacing w:val="0"/>
          <w:w w:val="100"/>
          <w:position w:val="0"/>
          <w:sz w:val="18"/>
          <w:szCs w:val="18"/>
        </w:rPr>
        <w:t>1</w:t>
      </w:r>
      <w:r>
        <w:rPr>
          <w:color w:val="000000"/>
          <w:spacing w:val="0"/>
          <w:w w:val="100"/>
          <w:position w:val="0"/>
        </w:rPr>
        <w:t>）</w:t>
        <w:tab/>
        <w:t>同一控制下企业合并</w:t>
      </w:r>
    </w:p>
    <w:p>
      <w:pPr>
        <w:pStyle w:val="Style26"/>
        <w:keepNext w:val="0"/>
        <w:keepLines w:val="0"/>
        <w:widowControl w:val="0"/>
        <w:shd w:val="clear" w:color="auto" w:fill="auto"/>
        <w:bidi w:val="0"/>
        <w:spacing w:before="0" w:after="0" w:line="500" w:lineRule="exact"/>
        <w:ind w:left="0" w:right="0" w:firstLine="380"/>
        <w:jc w:val="both"/>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26"/>
        <w:keepNext w:val="0"/>
        <w:keepLines w:val="0"/>
        <w:widowControl w:val="0"/>
        <w:shd w:val="clear" w:color="auto" w:fill="auto"/>
        <w:bidi w:val="0"/>
        <w:spacing w:before="0" w:after="0" w:line="500" w:lineRule="exact"/>
        <w:ind w:left="0" w:right="0" w:firstLine="380"/>
        <w:jc w:val="both"/>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26"/>
        <w:keepNext w:val="0"/>
        <w:keepLines w:val="0"/>
        <w:widowControl w:val="0"/>
        <w:shd w:val="clear" w:color="auto" w:fill="auto"/>
        <w:bidi w:val="0"/>
        <w:spacing w:before="0" w:after="0" w:line="500" w:lineRule="exact"/>
        <w:ind w:left="0" w:right="0" w:firstLine="380"/>
        <w:jc w:val="both"/>
      </w:pPr>
      <w:r>
        <w:rPr>
          <w:color w:val="000000"/>
          <w:spacing w:val="0"/>
          <w:w w:val="100"/>
          <w:position w:val="0"/>
        </w:rPr>
        <w:t>合并方为进行企业合并发生的各项直接费用，于发生时计入当期损益。</w:t>
      </w:r>
    </w:p>
    <w:p>
      <w:pPr>
        <w:pStyle w:val="Style26"/>
        <w:keepNext w:val="0"/>
        <w:keepLines w:val="0"/>
        <w:widowControl w:val="0"/>
        <w:shd w:val="clear" w:color="auto" w:fill="auto"/>
        <w:tabs>
          <w:tab w:pos="797" w:val="left"/>
        </w:tabs>
        <w:bidi w:val="0"/>
        <w:spacing w:before="0" w:after="0" w:line="501" w:lineRule="exact"/>
        <w:ind w:left="0" w:right="0" w:firstLine="380"/>
        <w:jc w:val="both"/>
      </w:pPr>
      <w:bookmarkStart w:id="797" w:name="bookmark797"/>
      <w:r>
        <w:rPr>
          <w:color w:val="000000"/>
          <w:spacing w:val="0"/>
          <w:w w:val="100"/>
          <w:position w:val="0"/>
        </w:rPr>
        <w:t>（</w:t>
      </w:r>
      <w:bookmarkEnd w:id="797"/>
      <w:r>
        <w:rPr>
          <w:rFonts w:ascii="Arial Narrow" w:eastAsia="Arial Narrow" w:hAnsi="Arial Narrow" w:cs="Arial Narrow"/>
          <w:color w:val="000000"/>
          <w:spacing w:val="0"/>
          <w:w w:val="100"/>
          <w:position w:val="0"/>
          <w:sz w:val="18"/>
          <w:szCs w:val="18"/>
        </w:rPr>
        <w:t>2</w:t>
      </w:r>
      <w:r>
        <w:rPr>
          <w:color w:val="000000"/>
          <w:spacing w:val="0"/>
          <w:w w:val="100"/>
          <w:position w:val="0"/>
        </w:rPr>
        <w:t>）</w:t>
        <w:tab/>
        <w:t>非同一控制下企业合并</w:t>
      </w:r>
    </w:p>
    <w:p>
      <w:pPr>
        <w:pStyle w:val="Style26"/>
        <w:keepNext w:val="0"/>
        <w:keepLines w:val="0"/>
        <w:widowControl w:val="0"/>
        <w:shd w:val="clear" w:color="auto" w:fill="auto"/>
        <w:bidi w:val="0"/>
        <w:spacing w:before="0" w:after="0" w:line="501" w:lineRule="exact"/>
        <w:ind w:left="0" w:right="0" w:firstLine="38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26"/>
        <w:keepNext w:val="0"/>
        <w:keepLines w:val="0"/>
        <w:widowControl w:val="0"/>
        <w:shd w:val="clear" w:color="auto" w:fill="auto"/>
        <w:bidi w:val="0"/>
        <w:spacing w:before="0" w:after="0" w:line="501" w:lineRule="exact"/>
        <w:ind w:left="0" w:right="0" w:firstLine="38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rFonts w:ascii="Arial Narrow" w:eastAsia="Arial Narrow" w:hAnsi="Arial Narrow" w:cs="Arial Narrow"/>
          <w:color w:val="000000"/>
          <w:spacing w:val="0"/>
          <w:w w:val="100"/>
          <w:position w:val="0"/>
          <w:sz w:val="18"/>
          <w:szCs w:val="18"/>
        </w:rPr>
        <w:t>12</w:t>
      </w:r>
      <w:r>
        <w:rPr>
          <w:color w:val="000000"/>
          <w:spacing w:val="0"/>
          <w:w w:val="100"/>
          <w:position w:val="0"/>
        </w:rPr>
        <w:t>个月内出现对购买日已存在情况的新的或进 一步证据而需要调整或有对价的，相应调整合并商誉。购买方发生的合并成本及在合并中取得的可辨认净资产按购买日的公 允价值计量。合并成本大于合并中取得的被购买方于购买日可辨认净资产公允价值份额的差额，确认为商誉。合并成本小于 合并中取得的被购买方可辨认净资产公允价值份额的，首先对取得的被购买方各项可辨认资产、负债及或有负债的公允价值 以及合并成本的计量进行复核，复核后合并成本仍小于合并中取得的被购买方可辨认净资产公允价值份额的，其差额计入当 期损益。</w:t>
      </w:r>
    </w:p>
    <w:p>
      <w:pPr>
        <w:pStyle w:val="Style26"/>
        <w:keepNext w:val="0"/>
        <w:keepLines w:val="0"/>
        <w:widowControl w:val="0"/>
        <w:shd w:val="clear" w:color="auto" w:fill="auto"/>
        <w:bidi w:val="0"/>
        <w:spacing w:before="0" w:after="0" w:line="501" w:lineRule="exact"/>
        <w:ind w:left="0" w:right="0" w:firstLine="380"/>
        <w:jc w:val="both"/>
      </w:pPr>
      <w:r>
        <w:rPr>
          <w:color w:val="000000"/>
          <w:spacing w:val="0"/>
          <w:w w:val="100"/>
          <w:position w:val="0"/>
        </w:rPr>
        <w:t>购买方取得被购买方的可抵扣暂时性差异，在购买日因不符合递延所得税资产确认条件而未予确认的，在购买日后</w:t>
      </w:r>
      <w:r>
        <w:rPr>
          <w:rFonts w:ascii="Arial Narrow" w:eastAsia="Arial Narrow" w:hAnsi="Arial Narrow" w:cs="Arial Narrow"/>
          <w:color w:val="000000"/>
          <w:spacing w:val="0"/>
          <w:w w:val="100"/>
          <w:position w:val="0"/>
          <w:sz w:val="18"/>
          <w:szCs w:val="18"/>
        </w:rPr>
        <w:t xml:space="preserve">12 </w:t>
      </w:r>
      <w:r>
        <w:rPr>
          <w:color w:val="000000"/>
          <w:spacing w:val="0"/>
          <w:w w:val="100"/>
          <w:position w:val="0"/>
        </w:rPr>
        <w:t xml:space="preserve">个月内，如取得新的或进一步的信息表明购买日的相关情况已经存在，预期被购买方在购买日可抵扣暂时性差异带来的经济 </w:t>
      </w:r>
      <w:r>
        <w:rPr>
          <w:color w:val="000000"/>
          <w:spacing w:val="0"/>
          <w:w w:val="100"/>
          <w:position w:val="0"/>
        </w:rPr>
        <w:t>利益能够实现的，则确认相关的递延所得税资产，同时减少商誉，商誉不足冲减的，差额部分确认为当期损益；除上述情况 以外，确认与企业合并相关的递延所得税资产的，计入当期损益。</w:t>
      </w:r>
    </w:p>
    <w:p>
      <w:pPr>
        <w:pStyle w:val="Style26"/>
        <w:keepNext w:val="0"/>
        <w:keepLines w:val="0"/>
        <w:widowControl w:val="0"/>
        <w:shd w:val="clear" w:color="auto" w:fill="auto"/>
        <w:bidi w:val="0"/>
        <w:spacing w:before="0" w:after="0" w:line="501" w:lineRule="exact"/>
        <w:ind w:left="0" w:right="0" w:firstLine="380"/>
        <w:jc w:val="both"/>
      </w:pPr>
      <w:r>
        <w:rPr>
          <w:color w:val="000000"/>
          <w:spacing w:val="0"/>
          <w:w w:val="100"/>
          <w:position w:val="0"/>
        </w:rPr>
        <w:t>通过多次交易分步实现的非同一控制下企业合并，根据《财政部关于印发企业会计准则解释第</w:t>
      </w:r>
      <w:r>
        <w:rPr>
          <w:rFonts w:ascii="Arial Narrow" w:eastAsia="Arial Narrow" w:hAnsi="Arial Narrow" w:cs="Arial Narrow"/>
          <w:color w:val="000000"/>
          <w:spacing w:val="0"/>
          <w:w w:val="100"/>
          <w:position w:val="0"/>
          <w:sz w:val="18"/>
          <w:szCs w:val="18"/>
        </w:rPr>
        <w:t>5</w:t>
      </w:r>
      <w:r>
        <w:rPr>
          <w:color w:val="000000"/>
          <w:spacing w:val="0"/>
          <w:w w:val="100"/>
          <w:position w:val="0"/>
        </w:rPr>
        <w:t>号的通知》（财会〔</w:t>
      </w:r>
      <w:r>
        <w:rPr>
          <w:rFonts w:ascii="Arial Narrow" w:eastAsia="Arial Narrow" w:hAnsi="Arial Narrow" w:cs="Arial Narrow"/>
          <w:color w:val="000000"/>
          <w:spacing w:val="0"/>
          <w:w w:val="100"/>
          <w:position w:val="0"/>
          <w:sz w:val="18"/>
          <w:szCs w:val="18"/>
        </w:rPr>
        <w:t>2012</w:t>
      </w:r>
      <w:r>
        <w:rPr>
          <w:color w:val="000000"/>
          <w:spacing w:val="0"/>
          <w:w w:val="100"/>
          <w:position w:val="0"/>
        </w:rPr>
        <w:t xml:space="preserve">〕 </w:t>
      </w:r>
      <w:r>
        <w:rPr>
          <w:rFonts w:ascii="Arial Narrow" w:eastAsia="Arial Narrow" w:hAnsi="Arial Narrow" w:cs="Arial Narrow"/>
          <w:color w:val="000000"/>
          <w:spacing w:val="0"/>
          <w:w w:val="100"/>
          <w:position w:val="0"/>
          <w:sz w:val="18"/>
          <w:szCs w:val="18"/>
        </w:rPr>
        <w:t>19</w:t>
      </w:r>
      <w:r>
        <w:rPr>
          <w:color w:val="000000"/>
          <w:spacing w:val="0"/>
          <w:w w:val="100"/>
          <w:position w:val="0"/>
        </w:rPr>
        <w:t>号）和《企业会计准则第</w:t>
      </w:r>
      <w:r>
        <w:rPr>
          <w:rFonts w:ascii="Arial Narrow" w:eastAsia="Arial Narrow" w:hAnsi="Arial Narrow" w:cs="Arial Narrow"/>
          <w:color w:val="000000"/>
          <w:spacing w:val="0"/>
          <w:w w:val="100"/>
          <w:position w:val="0"/>
          <w:sz w:val="18"/>
          <w:szCs w:val="18"/>
        </w:rPr>
        <w:t>33</w:t>
      </w:r>
      <w:r>
        <w:rPr>
          <w:color w:val="000000"/>
          <w:spacing w:val="0"/>
          <w:w w:val="100"/>
          <w:position w:val="0"/>
        </w:rPr>
        <w:t>号</w:t>
      </w:r>
      <w:r>
        <w:rPr>
          <w:color w:val="000000"/>
          <w:spacing w:val="0"/>
          <w:w w:val="100"/>
          <w:position w:val="0"/>
          <w:sz w:val="22"/>
          <w:szCs w:val="22"/>
        </w:rPr>
        <w:t>一一</w:t>
      </w:r>
      <w:r>
        <w:rPr>
          <w:color w:val="000000"/>
          <w:spacing w:val="0"/>
          <w:w w:val="100"/>
          <w:position w:val="0"/>
        </w:rPr>
        <w:t>合并财务报表》第五十一条关于</w:t>
      </w:r>
      <w:r>
        <w:rPr>
          <w:rFonts w:ascii="Arial Narrow" w:eastAsia="Arial Narrow" w:hAnsi="Arial Narrow" w:cs="Arial Narrow"/>
          <w:color w:val="000000"/>
          <w:spacing w:val="0"/>
          <w:w w:val="100"/>
          <w:position w:val="0"/>
          <w:sz w:val="18"/>
          <w:szCs w:val="18"/>
        </w:rPr>
        <w:t>“</w:t>
      </w:r>
      <w:r>
        <w:rPr>
          <w:color w:val="000000"/>
          <w:spacing w:val="0"/>
          <w:w w:val="100"/>
          <w:position w:val="0"/>
        </w:rPr>
        <w:t>一揽子交易</w:t>
      </w:r>
      <w:r>
        <w:rPr>
          <w:rFonts w:ascii="Arial Narrow" w:eastAsia="Arial Narrow" w:hAnsi="Arial Narrow" w:cs="Arial Narrow"/>
          <w:color w:val="000000"/>
          <w:spacing w:val="0"/>
          <w:w w:val="100"/>
          <w:position w:val="0"/>
          <w:sz w:val="18"/>
          <w:szCs w:val="18"/>
        </w:rPr>
        <w:t>"</w:t>
      </w:r>
      <w:r>
        <w:rPr>
          <w:color w:val="000000"/>
          <w:spacing w:val="0"/>
          <w:w w:val="100"/>
          <w:position w:val="0"/>
        </w:rPr>
        <w:t>的判断标准，判断该多次交易是否属于</w:t>
      </w:r>
      <w:r>
        <w:rPr>
          <w:rFonts w:ascii="Arial Narrow" w:eastAsia="Arial Narrow" w:hAnsi="Arial Narrow" w:cs="Arial Narrow"/>
          <w:color w:val="000000"/>
          <w:spacing w:val="0"/>
          <w:w w:val="100"/>
          <w:position w:val="0"/>
          <w:sz w:val="18"/>
          <w:szCs w:val="18"/>
        </w:rPr>
        <w:t>“</w:t>
      </w:r>
      <w:r>
        <w:rPr>
          <w:color w:val="000000"/>
          <w:spacing w:val="0"/>
          <w:w w:val="100"/>
          <w:position w:val="0"/>
        </w:rPr>
        <w:t>一 揽子交易</w:t>
      </w:r>
      <w:r>
        <w:rPr>
          <w:rFonts w:ascii="Arial Narrow" w:eastAsia="Arial Narrow" w:hAnsi="Arial Narrow" w:cs="Arial Narrow"/>
          <w:color w:val="000000"/>
          <w:spacing w:val="0"/>
          <w:w w:val="100"/>
          <w:position w:val="0"/>
          <w:sz w:val="18"/>
          <w:szCs w:val="18"/>
        </w:rPr>
        <w:t>"</w:t>
      </w:r>
      <w:r>
        <w:rPr>
          <w:color w:val="000000"/>
          <w:spacing w:val="0"/>
          <w:w w:val="100"/>
          <w:position w:val="0"/>
        </w:rPr>
        <w:t>。属于</w:t>
      </w:r>
      <w:r>
        <w:rPr>
          <w:rFonts w:ascii="Arial Narrow" w:eastAsia="Arial Narrow" w:hAnsi="Arial Narrow" w:cs="Arial Narrow"/>
          <w:color w:val="000000"/>
          <w:spacing w:val="0"/>
          <w:w w:val="100"/>
          <w:position w:val="0"/>
          <w:sz w:val="18"/>
          <w:szCs w:val="18"/>
        </w:rPr>
        <w:t>"</w:t>
      </w:r>
      <w:r>
        <w:rPr>
          <w:color w:val="000000"/>
          <w:spacing w:val="0"/>
          <w:w w:val="100"/>
          <w:position w:val="0"/>
        </w:rPr>
        <w:t>一揽子交易''的，参考本部分前面各段描述及本附注长期股权投资</w:t>
      </w:r>
      <w:r>
        <w:rPr>
          <w:rFonts w:ascii="Arial Narrow" w:eastAsia="Arial Narrow" w:hAnsi="Arial Narrow" w:cs="Arial Narrow"/>
          <w:color w:val="000000"/>
          <w:spacing w:val="0"/>
          <w:w w:val="100"/>
          <w:position w:val="0"/>
          <w:sz w:val="18"/>
          <w:szCs w:val="18"/>
        </w:rPr>
        <w:t>”</w:t>
      </w:r>
      <w:r>
        <w:rPr>
          <w:color w:val="000000"/>
          <w:spacing w:val="0"/>
          <w:w w:val="100"/>
          <w:position w:val="0"/>
        </w:rPr>
        <w:t>进行会计处理；不属于</w:t>
      </w:r>
      <w:r>
        <w:rPr>
          <w:rFonts w:ascii="Arial Narrow" w:eastAsia="Arial Narrow" w:hAnsi="Arial Narrow" w:cs="Arial Narrow"/>
          <w:color w:val="000000"/>
          <w:spacing w:val="0"/>
          <w:w w:val="100"/>
          <w:position w:val="0"/>
          <w:sz w:val="18"/>
          <w:szCs w:val="18"/>
        </w:rPr>
        <w:t>“</w:t>
      </w:r>
      <w:r>
        <w:rPr>
          <w:color w:val="000000"/>
          <w:spacing w:val="0"/>
          <w:w w:val="100"/>
          <w:position w:val="0"/>
        </w:rPr>
        <w:t>一揽子交易''的， 区分个别财务报表和合并财务报表进行相关会计处理：</w:t>
      </w:r>
    </w:p>
    <w:p>
      <w:pPr>
        <w:pStyle w:val="Style26"/>
        <w:keepNext w:val="0"/>
        <w:keepLines w:val="0"/>
        <w:widowControl w:val="0"/>
        <w:shd w:val="clear" w:color="auto" w:fill="auto"/>
        <w:bidi w:val="0"/>
        <w:spacing w:before="0" w:after="0" w:line="501" w:lineRule="exact"/>
        <w:ind w:left="0" w:right="0" w:firstLine="38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26"/>
        <w:keepNext w:val="0"/>
        <w:keepLines w:val="0"/>
        <w:widowControl w:val="0"/>
        <w:shd w:val="clear" w:color="auto" w:fill="auto"/>
        <w:bidi w:val="0"/>
        <w:spacing w:before="0" w:after="260" w:line="501" w:lineRule="exact"/>
        <w:ind w:left="0" w:right="0" w:firstLine="38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应当采用与被购买方直接处置相关资产或负债相同的基础进行会计处理（即，除了按照权益法核算的在被购买方重新计量设 定受益计划净负债或净资产导致的变动中的相应份额以外，其余转为购买日所属当期投资收益）。</w:t>
      </w:r>
    </w:p>
    <w:p>
      <w:pPr>
        <w:pStyle w:val="Style22"/>
        <w:keepNext/>
        <w:keepLines/>
        <w:widowControl w:val="0"/>
        <w:shd w:val="clear" w:color="auto" w:fill="auto"/>
        <w:bidi w:val="0"/>
        <w:spacing w:before="0" w:after="0" w:line="526" w:lineRule="auto"/>
        <w:ind w:left="0" w:right="0" w:firstLine="380"/>
        <w:jc w:val="both"/>
        <w:rPr>
          <w:sz w:val="20"/>
          <w:szCs w:val="20"/>
        </w:rPr>
      </w:pPr>
      <w:bookmarkStart w:id="798" w:name="bookmark798"/>
      <w:bookmarkStart w:id="799" w:name="bookmark799"/>
      <w:bookmarkStart w:id="800" w:name="bookmark800"/>
      <w:bookmarkStart w:id="801" w:name="bookmark801"/>
      <w:r>
        <w:rPr>
          <w:rFonts w:ascii="Arial Narrow" w:eastAsia="Arial Narrow" w:hAnsi="Arial Narrow" w:cs="Arial Narrow"/>
          <w:color w:val="000000"/>
          <w:spacing w:val="0"/>
          <w:w w:val="100"/>
          <w:position w:val="0"/>
          <w:sz w:val="20"/>
          <w:szCs w:val="20"/>
        </w:rPr>
        <w:t>6</w:t>
      </w:r>
      <w:bookmarkEnd w:id="800"/>
      <w:r>
        <w:rPr>
          <w:color w:val="000000"/>
          <w:spacing w:val="0"/>
          <w:w w:val="100"/>
          <w:position w:val="0"/>
          <w:sz w:val="20"/>
          <w:szCs w:val="20"/>
        </w:rPr>
        <w:t>、合并会计报表的编制方法</w:t>
      </w:r>
      <w:bookmarkEnd w:id="798"/>
      <w:bookmarkEnd w:id="799"/>
      <w:bookmarkEnd w:id="801"/>
    </w:p>
    <w:p>
      <w:pPr>
        <w:pStyle w:val="Style26"/>
        <w:keepNext w:val="0"/>
        <w:keepLines w:val="0"/>
        <w:widowControl w:val="0"/>
        <w:shd w:val="clear" w:color="auto" w:fill="auto"/>
        <w:tabs>
          <w:tab w:pos="784" w:val="left"/>
        </w:tabs>
        <w:bidi w:val="0"/>
        <w:spacing w:before="0" w:after="0" w:line="501" w:lineRule="exact"/>
        <w:ind w:left="0" w:right="0" w:firstLine="380"/>
        <w:jc w:val="both"/>
      </w:pPr>
      <w:bookmarkStart w:id="802" w:name="bookmark802"/>
      <w:r>
        <w:rPr>
          <w:color w:val="000000"/>
          <w:spacing w:val="0"/>
          <w:w w:val="100"/>
          <w:position w:val="0"/>
        </w:rPr>
        <w:t>（</w:t>
      </w:r>
      <w:bookmarkEnd w:id="802"/>
      <w:r>
        <w:rPr>
          <w:rFonts w:ascii="Arial Narrow" w:eastAsia="Arial Narrow" w:hAnsi="Arial Narrow" w:cs="Arial Narrow"/>
          <w:color w:val="000000"/>
          <w:spacing w:val="0"/>
          <w:w w:val="100"/>
          <w:position w:val="0"/>
          <w:sz w:val="18"/>
          <w:szCs w:val="18"/>
        </w:rPr>
        <w:t>1</w:t>
      </w:r>
      <w:r>
        <w:rPr>
          <w:color w:val="000000"/>
          <w:spacing w:val="0"/>
          <w:w w:val="100"/>
          <w:position w:val="0"/>
        </w:rPr>
        <w:t>）</w:t>
        <w:tab/>
        <w:t>合并财务报表范围的确定原则</w:t>
      </w:r>
    </w:p>
    <w:p>
      <w:pPr>
        <w:pStyle w:val="Style26"/>
        <w:keepNext w:val="0"/>
        <w:keepLines w:val="0"/>
        <w:widowControl w:val="0"/>
        <w:shd w:val="clear" w:color="auto" w:fill="auto"/>
        <w:bidi w:val="0"/>
        <w:spacing w:before="0" w:after="0" w:line="501" w:lineRule="exact"/>
        <w:ind w:left="0" w:right="0" w:firstLine="38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动而享有可变回报，并且有能力运用对被投资方的权力影响该回报金额。合并范围包括本公司及全部子孙公司。子孙公司， 是指被本公司控制的主体。</w:t>
      </w:r>
    </w:p>
    <w:p>
      <w:pPr>
        <w:pStyle w:val="Style26"/>
        <w:keepNext w:val="0"/>
        <w:keepLines w:val="0"/>
        <w:widowControl w:val="0"/>
        <w:shd w:val="clear" w:color="auto" w:fill="auto"/>
        <w:bidi w:val="0"/>
        <w:spacing w:before="0" w:after="0" w:line="501" w:lineRule="exact"/>
        <w:ind w:left="0" w:right="0" w:firstLine="380"/>
        <w:jc w:val="both"/>
      </w:pPr>
      <w:r>
        <w:rPr>
          <w:color w:val="000000"/>
          <w:spacing w:val="0"/>
          <w:w w:val="100"/>
          <w:position w:val="0"/>
        </w:rPr>
        <w:t>一旦相关事实和情况的变化导致上述控制定义涉及的相关要素发生了变化，本公司将进行重新评估。</w:t>
      </w:r>
    </w:p>
    <w:p>
      <w:pPr>
        <w:pStyle w:val="Style26"/>
        <w:keepNext w:val="0"/>
        <w:keepLines w:val="0"/>
        <w:widowControl w:val="0"/>
        <w:shd w:val="clear" w:color="auto" w:fill="auto"/>
        <w:tabs>
          <w:tab w:pos="784" w:val="left"/>
        </w:tabs>
        <w:bidi w:val="0"/>
        <w:spacing w:before="0" w:after="0" w:line="501" w:lineRule="exact"/>
        <w:ind w:left="0" w:right="0" w:firstLine="380"/>
        <w:jc w:val="both"/>
      </w:pPr>
      <w:bookmarkStart w:id="803" w:name="bookmark803"/>
      <w:r>
        <w:rPr>
          <w:color w:val="000000"/>
          <w:spacing w:val="0"/>
          <w:w w:val="100"/>
          <w:position w:val="0"/>
        </w:rPr>
        <w:t>（</w:t>
      </w:r>
      <w:bookmarkEnd w:id="803"/>
      <w:r>
        <w:rPr>
          <w:rFonts w:ascii="Arial Narrow" w:eastAsia="Arial Narrow" w:hAnsi="Arial Narrow" w:cs="Arial Narrow"/>
          <w:color w:val="000000"/>
          <w:spacing w:val="0"/>
          <w:w w:val="100"/>
          <w:position w:val="0"/>
          <w:sz w:val="18"/>
          <w:szCs w:val="18"/>
        </w:rPr>
        <w:t>2</w:t>
      </w:r>
      <w:r>
        <w:rPr>
          <w:color w:val="000000"/>
          <w:spacing w:val="0"/>
          <w:w w:val="100"/>
          <w:position w:val="0"/>
        </w:rPr>
        <w:t>）</w:t>
        <w:tab/>
        <w:t>合并财务报表编制的方法</w:t>
      </w:r>
    </w:p>
    <w:p>
      <w:pPr>
        <w:pStyle w:val="Style26"/>
        <w:keepNext w:val="0"/>
        <w:keepLines w:val="0"/>
        <w:widowControl w:val="0"/>
        <w:shd w:val="clear" w:color="auto" w:fill="auto"/>
        <w:bidi w:val="0"/>
        <w:spacing w:before="0" w:after="0" w:line="501" w:lineRule="exact"/>
        <w:ind w:left="0" w:right="0" w:firstLine="380"/>
        <w:jc w:val="both"/>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加的子公司，其自合并当期期初至合并日的经营成果和现金流量已经适当地包括在合并利润表和合并现金流量表中，并且同 时调整合并财务报表的对比数。</w:t>
      </w:r>
    </w:p>
    <w:p>
      <w:pPr>
        <w:pStyle w:val="Style26"/>
        <w:keepNext w:val="0"/>
        <w:keepLines w:val="0"/>
        <w:widowControl w:val="0"/>
        <w:shd w:val="clear" w:color="auto" w:fill="auto"/>
        <w:bidi w:val="0"/>
        <w:spacing w:before="0" w:after="0" w:line="500" w:lineRule="exact"/>
        <w:ind w:left="0" w:right="0" w:firstLine="38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26"/>
        <w:keepNext w:val="0"/>
        <w:keepLines w:val="0"/>
        <w:widowControl w:val="0"/>
        <w:shd w:val="clear" w:color="auto" w:fill="auto"/>
        <w:bidi w:val="0"/>
        <w:spacing w:before="0" w:after="0" w:line="500" w:lineRule="exact"/>
        <w:ind w:left="0" w:right="0" w:firstLine="380"/>
        <w:jc w:val="both"/>
      </w:pPr>
      <w:r>
        <w:rPr>
          <w:color w:val="000000"/>
          <w:spacing w:val="0"/>
          <w:w w:val="100"/>
          <w:position w:val="0"/>
        </w:rPr>
        <w:t>公司内所有重大往来余额、交易及未实现利润在合并财务报表编制时予以抵销。</w:t>
      </w:r>
    </w:p>
    <w:p>
      <w:pPr>
        <w:pStyle w:val="Style26"/>
        <w:keepNext w:val="0"/>
        <w:keepLines w:val="0"/>
        <w:widowControl w:val="0"/>
        <w:shd w:val="clear" w:color="auto" w:fill="auto"/>
        <w:bidi w:val="0"/>
        <w:spacing w:before="0" w:after="0" w:line="500" w:lineRule="exact"/>
        <w:ind w:left="0" w:right="0" w:firstLine="38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w:t>
      </w:r>
      <w:r>
        <w:rPr>
          <w:rFonts w:ascii="Arial Narrow" w:eastAsia="Arial Narrow" w:hAnsi="Arial Narrow" w:cs="Arial Narrow"/>
          <w:color w:val="000000"/>
          <w:spacing w:val="0"/>
          <w:w w:val="100"/>
          <w:position w:val="0"/>
          <w:sz w:val="18"/>
          <w:szCs w:val="18"/>
        </w:rPr>
        <w:t>“</w:t>
      </w:r>
      <w:r>
        <w:rPr>
          <w:color w:val="000000"/>
          <w:spacing w:val="0"/>
          <w:w w:val="100"/>
          <w:position w:val="0"/>
        </w:rPr>
        <w:t>少数 股东损益</w:t>
      </w:r>
      <w:r>
        <w:rPr>
          <w:rFonts w:ascii="Arial Narrow" w:eastAsia="Arial Narrow" w:hAnsi="Arial Narrow" w:cs="Arial Narrow"/>
          <w:color w:val="000000"/>
          <w:spacing w:val="0"/>
          <w:w w:val="100"/>
          <w:position w:val="0"/>
          <w:sz w:val="18"/>
          <w:szCs w:val="18"/>
        </w:rPr>
        <w:t>"</w:t>
      </w:r>
      <w:r>
        <w:rPr>
          <w:color w:val="000000"/>
          <w:spacing w:val="0"/>
          <w:w w:val="100"/>
          <w:position w:val="0"/>
        </w:rPr>
        <w:t>项目列示。少数股东分担的子公司的亏损超过了少数股东在该子公司期初股东权益中所享有的份额，仍冲减少数 股东权益。</w:t>
      </w:r>
    </w:p>
    <w:p>
      <w:pPr>
        <w:pStyle w:val="Style26"/>
        <w:keepNext w:val="0"/>
        <w:keepLines w:val="0"/>
        <w:widowControl w:val="0"/>
        <w:shd w:val="clear" w:color="auto" w:fill="auto"/>
        <w:bidi w:val="0"/>
        <w:spacing w:before="0" w:after="0" w:line="500" w:lineRule="exact"/>
        <w:ind w:left="0" w:right="0" w:firstLine="38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净负债或净资产导致的变动以外，其余一并转为当期投资收益）。其后，对该部分剩余股权按照《企业会计准则第</w:t>
      </w:r>
      <w:r>
        <w:rPr>
          <w:rFonts w:ascii="Arial Narrow" w:eastAsia="Arial Narrow" w:hAnsi="Arial Narrow" w:cs="Arial Narrow"/>
          <w:color w:val="000000"/>
          <w:spacing w:val="0"/>
          <w:w w:val="100"/>
          <w:position w:val="0"/>
          <w:sz w:val="18"/>
          <w:szCs w:val="18"/>
        </w:rPr>
        <w:t>2</w:t>
      </w:r>
      <w:r>
        <w:rPr>
          <w:color w:val="000000"/>
          <w:spacing w:val="0"/>
          <w:w w:val="100"/>
          <w:position w:val="0"/>
        </w:rPr>
        <w:t>号—— 长期股权投资》或《企业会计准则第</w:t>
      </w:r>
      <w:r>
        <w:rPr>
          <w:rFonts w:ascii="Arial Narrow" w:eastAsia="Arial Narrow" w:hAnsi="Arial Narrow" w:cs="Arial Narrow"/>
          <w:color w:val="000000"/>
          <w:spacing w:val="0"/>
          <w:w w:val="100"/>
          <w:position w:val="0"/>
          <w:sz w:val="18"/>
          <w:szCs w:val="18"/>
        </w:rPr>
        <w:t>22</w:t>
      </w:r>
      <w:r>
        <w:rPr>
          <w:color w:val="000000"/>
          <w:spacing w:val="0"/>
          <w:w w:val="100"/>
          <w:position w:val="0"/>
        </w:rPr>
        <w:t>号</w:t>
      </w:r>
      <w:r>
        <w:rPr>
          <w:color w:val="000000"/>
          <w:spacing w:val="0"/>
          <w:w w:val="100"/>
          <w:position w:val="0"/>
          <w:sz w:val="22"/>
          <w:szCs w:val="22"/>
        </w:rPr>
        <w:t>一一</w:t>
      </w:r>
      <w:r>
        <w:rPr>
          <w:color w:val="000000"/>
          <w:spacing w:val="0"/>
          <w:w w:val="100"/>
          <w:position w:val="0"/>
        </w:rPr>
        <w:t>金融工具确认和计量》等相关规定进行后续计量，详见本附注三、</w:t>
      </w:r>
      <w:r>
        <w:rPr>
          <w:rFonts w:ascii="Arial Narrow" w:eastAsia="Arial Narrow" w:hAnsi="Arial Narrow" w:cs="Arial Narrow"/>
          <w:color w:val="000000"/>
          <w:spacing w:val="0"/>
          <w:w w:val="100"/>
          <w:position w:val="0"/>
          <w:sz w:val="18"/>
          <w:szCs w:val="18"/>
        </w:rPr>
        <w:t>13“</w:t>
      </w:r>
      <w:r>
        <w:rPr>
          <w:color w:val="000000"/>
          <w:spacing w:val="0"/>
          <w:w w:val="100"/>
          <w:position w:val="0"/>
        </w:rPr>
        <w:t>长期股 权投资</w:t>
      </w:r>
      <w:r>
        <w:rPr>
          <w:rFonts w:ascii="Arial Narrow" w:eastAsia="Arial Narrow" w:hAnsi="Arial Narrow" w:cs="Arial Narrow"/>
          <w:color w:val="000000"/>
          <w:spacing w:val="0"/>
          <w:w w:val="100"/>
          <w:position w:val="0"/>
          <w:sz w:val="18"/>
          <w:szCs w:val="18"/>
        </w:rPr>
        <w:t>"</w:t>
      </w:r>
      <w:r>
        <w:rPr>
          <w:color w:val="000000"/>
          <w:spacing w:val="0"/>
          <w:w w:val="100"/>
          <w:position w:val="0"/>
        </w:rPr>
        <w:t>或本附注三、</w:t>
      </w:r>
      <w:r>
        <w:rPr>
          <w:rFonts w:ascii="Arial Narrow" w:eastAsia="Arial Narrow" w:hAnsi="Arial Narrow" w:cs="Arial Narrow"/>
          <w:color w:val="000000"/>
          <w:spacing w:val="0"/>
          <w:w w:val="100"/>
          <w:position w:val="0"/>
          <w:sz w:val="18"/>
          <w:szCs w:val="18"/>
        </w:rPr>
        <w:t>10“</w:t>
      </w:r>
      <w:r>
        <w:rPr>
          <w:color w:val="000000"/>
          <w:spacing w:val="0"/>
          <w:w w:val="100"/>
          <w:position w:val="0"/>
        </w:rPr>
        <w:t>金融工具</w:t>
      </w:r>
      <w:r>
        <w:rPr>
          <w:rFonts w:ascii="Arial Narrow" w:eastAsia="Arial Narrow" w:hAnsi="Arial Narrow" w:cs="Arial Narrow"/>
          <w:color w:val="000000"/>
          <w:spacing w:val="0"/>
          <w:w w:val="100"/>
          <w:position w:val="0"/>
          <w:sz w:val="18"/>
          <w:szCs w:val="18"/>
        </w:rPr>
        <w:t>"</w:t>
      </w:r>
      <w:r>
        <w:rPr>
          <w:color w:val="000000"/>
          <w:spacing w:val="0"/>
          <w:w w:val="100"/>
          <w:position w:val="0"/>
        </w:rPr>
        <w:t>。</w:t>
      </w:r>
    </w:p>
    <w:p>
      <w:pPr>
        <w:pStyle w:val="Style26"/>
        <w:keepNext w:val="0"/>
        <w:keepLines w:val="0"/>
        <w:widowControl w:val="0"/>
        <w:shd w:val="clear" w:color="auto" w:fill="auto"/>
        <w:bidi w:val="0"/>
        <w:spacing w:before="0" w:after="280" w:line="500" w:lineRule="exact"/>
        <w:ind w:left="0" w:right="0" w:firstLine="38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表明应将多次交易事项作为一揽子交易进行会计处理：①这些交易是同时或者在考虑了彼此影响的情况下订立的；②这些交 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Arial Narrow" w:eastAsia="Arial Narrow" w:hAnsi="Arial Narrow" w:cs="Arial Narrow"/>
          <w:color w:val="000000"/>
          <w:spacing w:val="0"/>
          <w:w w:val="100"/>
          <w:position w:val="0"/>
          <w:sz w:val="18"/>
          <w:szCs w:val="18"/>
        </w:rPr>
        <w:t>“</w:t>
      </w:r>
      <w:r>
        <w:rPr>
          <w:color w:val="000000"/>
          <w:spacing w:val="0"/>
          <w:w w:val="100"/>
          <w:position w:val="0"/>
        </w:rPr>
        <w:t>不丧失控制权的情况下 部分处置对子公司的长期股权投资</w:t>
      </w:r>
      <w:r>
        <w:rPr>
          <w:rFonts w:ascii="Arial Narrow" w:eastAsia="Arial Narrow" w:hAnsi="Arial Narrow" w:cs="Arial Narrow"/>
          <w:color w:val="000000"/>
          <w:spacing w:val="0"/>
          <w:w w:val="100"/>
          <w:position w:val="0"/>
          <w:sz w:val="18"/>
          <w:szCs w:val="18"/>
        </w:rPr>
        <w:t>”</w:t>
      </w:r>
      <w:r>
        <w:rPr>
          <w:color w:val="000000"/>
          <w:spacing w:val="0"/>
          <w:w w:val="100"/>
          <w:position w:val="0"/>
        </w:rPr>
        <w:t>和</w:t>
      </w:r>
      <w:r>
        <w:rPr>
          <w:rFonts w:ascii="Arial Narrow" w:eastAsia="Arial Narrow" w:hAnsi="Arial Narrow" w:cs="Arial Narrow"/>
          <w:color w:val="000000"/>
          <w:spacing w:val="0"/>
          <w:w w:val="100"/>
          <w:position w:val="0"/>
          <w:sz w:val="18"/>
          <w:szCs w:val="18"/>
        </w:rPr>
        <w:t>“</w:t>
      </w:r>
      <w:r>
        <w:rPr>
          <w:color w:val="000000"/>
          <w:spacing w:val="0"/>
          <w:w w:val="100"/>
          <w:position w:val="0"/>
        </w:rPr>
        <w:t>因处置部分股权投资或其他原因丧失了对原有子公司的控制权</w:t>
      </w:r>
      <w:r>
        <w:rPr>
          <w:rFonts w:ascii="Arial Narrow" w:eastAsia="Arial Narrow" w:hAnsi="Arial Narrow" w:cs="Arial Narrow"/>
          <w:color w:val="000000"/>
          <w:spacing w:val="0"/>
          <w:w w:val="100"/>
          <w:position w:val="0"/>
          <w:sz w:val="18"/>
          <w:szCs w:val="18"/>
        </w:rPr>
        <w:t>”</w:t>
      </w:r>
      <w:r>
        <w:rPr>
          <w:color w:val="000000"/>
          <w:spacing w:val="0"/>
          <w:w w:val="100"/>
          <w:position w:val="0"/>
        </w:rPr>
        <w:t>（详见前段）适用的原 则进行会计处理。处置对子公司股权投资直至丧失控制权的各项交易属于一揽子交易的，将各项交易作为一项处置子公司并 丧失控制权的交易进行会计处理；但是，在丧失控制权之前每一次处置价款与处置投资对应的享有该子公司净资产份额的差 额，在合并财务报表中确认为其他综合收益，在丧失控制权时一并转入丧失控制权当期的损益。</w:t>
      </w:r>
    </w:p>
    <w:p>
      <w:pPr>
        <w:pStyle w:val="Style22"/>
        <w:keepNext/>
        <w:keepLines/>
        <w:widowControl w:val="0"/>
        <w:shd w:val="clear" w:color="auto" w:fill="auto"/>
        <w:bidi w:val="0"/>
        <w:spacing w:before="0" w:after="0" w:line="523" w:lineRule="auto"/>
        <w:ind w:left="0" w:right="0" w:firstLine="380"/>
        <w:jc w:val="left"/>
        <w:rPr>
          <w:sz w:val="20"/>
          <w:szCs w:val="20"/>
        </w:rPr>
      </w:pPr>
      <w:bookmarkStart w:id="804" w:name="bookmark804"/>
      <w:bookmarkStart w:id="805" w:name="bookmark805"/>
      <w:bookmarkStart w:id="806" w:name="bookmark806"/>
      <w:bookmarkStart w:id="807" w:name="bookmark807"/>
      <w:r>
        <w:rPr>
          <w:rFonts w:ascii="Arial Narrow" w:eastAsia="Arial Narrow" w:hAnsi="Arial Narrow" w:cs="Arial Narrow"/>
          <w:color w:val="000000"/>
          <w:spacing w:val="0"/>
          <w:w w:val="100"/>
          <w:position w:val="0"/>
          <w:sz w:val="20"/>
          <w:szCs w:val="20"/>
        </w:rPr>
        <w:t>7</w:t>
      </w:r>
      <w:bookmarkEnd w:id="806"/>
      <w:r>
        <w:rPr>
          <w:color w:val="000000"/>
          <w:spacing w:val="0"/>
          <w:w w:val="100"/>
          <w:position w:val="0"/>
          <w:sz w:val="20"/>
          <w:szCs w:val="20"/>
        </w:rPr>
        <w:t>、合营安排分类及共同经营会计处理方法</w:t>
      </w:r>
      <w:bookmarkEnd w:id="804"/>
      <w:bookmarkEnd w:id="805"/>
      <w:bookmarkEnd w:id="807"/>
    </w:p>
    <w:p>
      <w:pPr>
        <w:pStyle w:val="Style26"/>
        <w:keepNext w:val="0"/>
        <w:keepLines w:val="0"/>
        <w:widowControl w:val="0"/>
        <w:shd w:val="clear" w:color="auto" w:fill="auto"/>
        <w:bidi w:val="0"/>
        <w:spacing w:before="0" w:after="0" w:line="500" w:lineRule="exact"/>
        <w:ind w:left="0" w:right="0" w:firstLine="380"/>
        <w:jc w:val="left"/>
      </w:pPr>
      <w:r>
        <w:rPr>
          <w:color w:val="000000"/>
          <w:spacing w:val="0"/>
          <w:w w:val="100"/>
          <w:position w:val="0"/>
        </w:rPr>
        <w:t xml:space="preserve">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w:t>
      </w:r>
      <w:r>
        <w:rPr>
          <w:color w:val="000000"/>
          <w:spacing w:val="0"/>
          <w:w w:val="100"/>
          <w:position w:val="0"/>
        </w:rPr>
        <w:t>企业，是指本公司仅对该安排的净资产享有权利的合营安排。</w:t>
      </w:r>
    </w:p>
    <w:p>
      <w:pPr>
        <w:pStyle w:val="Style26"/>
        <w:keepNext w:val="0"/>
        <w:keepLines w:val="0"/>
        <w:widowControl w:val="0"/>
        <w:shd w:val="clear" w:color="auto" w:fill="auto"/>
        <w:bidi w:val="0"/>
        <w:spacing w:before="0" w:after="0" w:line="514" w:lineRule="exact"/>
        <w:ind w:left="0" w:right="0" w:firstLine="380"/>
        <w:jc w:val="both"/>
      </w:pPr>
      <w:r>
        <w:rPr>
          <w:color w:val="000000"/>
          <w:spacing w:val="0"/>
          <w:w w:val="100"/>
          <w:position w:val="0"/>
        </w:rPr>
        <w:t>本公司对合营企业的投资采用权益法核算，按照本附注三、</w:t>
      </w:r>
      <w:r>
        <w:rPr>
          <w:rFonts w:ascii="Arial Narrow" w:eastAsia="Arial Narrow" w:hAnsi="Arial Narrow" w:cs="Arial Narrow"/>
          <w:color w:val="000000"/>
          <w:spacing w:val="0"/>
          <w:w w:val="100"/>
          <w:position w:val="0"/>
          <w:sz w:val="18"/>
          <w:szCs w:val="18"/>
        </w:rPr>
        <w:t>13</w:t>
      </w:r>
      <w:r>
        <w:rPr>
          <w:color w:val="000000"/>
          <w:spacing w:val="0"/>
          <w:w w:val="100"/>
          <w:position w:val="0"/>
        </w:rPr>
        <w:t>（</w:t>
      </w:r>
      <w:r>
        <w:rPr>
          <w:rFonts w:ascii="Arial Narrow" w:eastAsia="Arial Narrow" w:hAnsi="Arial Narrow" w:cs="Arial Narrow"/>
          <w:color w:val="000000"/>
          <w:spacing w:val="0"/>
          <w:w w:val="100"/>
          <w:position w:val="0"/>
          <w:sz w:val="18"/>
          <w:szCs w:val="18"/>
        </w:rPr>
        <w:t>2</w:t>
      </w:r>
      <w:r>
        <w:rPr>
          <w:color w:val="000000"/>
          <w:spacing w:val="0"/>
          <w:w w:val="100"/>
          <w:position w:val="0"/>
        </w:rPr>
        <w:t>）②</w:t>
      </w:r>
      <w:r>
        <w:rPr>
          <w:rFonts w:ascii="Arial Narrow" w:eastAsia="Arial Narrow" w:hAnsi="Arial Narrow" w:cs="Arial Narrow"/>
          <w:color w:val="000000"/>
          <w:spacing w:val="0"/>
          <w:w w:val="100"/>
          <w:position w:val="0"/>
          <w:sz w:val="18"/>
          <w:szCs w:val="18"/>
        </w:rPr>
        <w:t>“</w:t>
      </w:r>
      <w:r>
        <w:rPr>
          <w:color w:val="000000"/>
          <w:spacing w:val="0"/>
          <w:w w:val="100"/>
          <w:position w:val="0"/>
        </w:rPr>
        <w:t>权益法核算的长期股权投资</w:t>
      </w:r>
      <w:r>
        <w:rPr>
          <w:rFonts w:ascii="Arial Narrow" w:eastAsia="Arial Narrow" w:hAnsi="Arial Narrow" w:cs="Arial Narrow"/>
          <w:color w:val="000000"/>
          <w:spacing w:val="0"/>
          <w:w w:val="100"/>
          <w:position w:val="0"/>
          <w:sz w:val="18"/>
          <w:szCs w:val="18"/>
        </w:rPr>
        <w:t>”</w:t>
      </w:r>
      <w:r>
        <w:rPr>
          <w:color w:val="000000"/>
          <w:spacing w:val="0"/>
          <w:w w:val="100"/>
          <w:position w:val="0"/>
        </w:rPr>
        <w:t>中所述的会计政策处 理。</w:t>
      </w:r>
    </w:p>
    <w:p>
      <w:pPr>
        <w:pStyle w:val="Style26"/>
        <w:keepNext w:val="0"/>
        <w:keepLines w:val="0"/>
        <w:widowControl w:val="0"/>
        <w:shd w:val="clear" w:color="auto" w:fill="auto"/>
        <w:bidi w:val="0"/>
        <w:spacing w:before="0" w:after="0" w:line="506" w:lineRule="exact"/>
        <w:ind w:left="0" w:right="0" w:firstLine="380"/>
        <w:jc w:val="both"/>
      </w:pPr>
      <w:r>
        <w:rPr>
          <w:color w:val="000000"/>
          <w:spacing w:val="0"/>
          <w:w w:val="100"/>
          <w:position w:val="0"/>
        </w:rPr>
        <w:t>本公司作为合营方对共同经营，确认本公司单独持有的资产、单独所承担的负债，以及按本公司份额确认共同持有的资 产和共同承担的负债；确认出售本公司享有的共同经营产出份额所产生的收入；按本公司份额确认共同经营因出售产出所产 生的收入；确认本公司单独所发生的费用，以及按本公司份额确认共同经营发生的费用。</w:t>
      </w:r>
    </w:p>
    <w:p>
      <w:pPr>
        <w:pStyle w:val="Style26"/>
        <w:keepNext w:val="0"/>
        <w:keepLines w:val="0"/>
        <w:widowControl w:val="0"/>
        <w:shd w:val="clear" w:color="auto" w:fill="auto"/>
        <w:bidi w:val="0"/>
        <w:spacing w:before="0" w:after="260" w:line="509" w:lineRule="exact"/>
        <w:ind w:left="0" w:right="0" w:firstLine="380"/>
        <w:jc w:val="both"/>
      </w:pPr>
      <w:r>
        <w:rPr>
          <w:color w:val="000000"/>
          <w:spacing w:val="0"/>
          <w:w w:val="100"/>
          <w:position w:val="0"/>
        </w:rPr>
        <w:t>当本公司作为合营方向共同经营投出或出售资产（该资产不构成业务，下同）、或者自共同经营购买资产时，在该等资 产出售给第三方之前，本公司仅确认因该交易产生的损益中归属于共同经营其他参与方的部分。该等资产发生符合《企业会 计准则第</w:t>
      </w:r>
      <w:r>
        <w:rPr>
          <w:rFonts w:ascii="Arial Narrow" w:eastAsia="Arial Narrow" w:hAnsi="Arial Narrow" w:cs="Arial Narrow"/>
          <w:color w:val="000000"/>
          <w:spacing w:val="0"/>
          <w:w w:val="100"/>
          <w:position w:val="0"/>
          <w:sz w:val="18"/>
          <w:szCs w:val="18"/>
        </w:rPr>
        <w:t>8</w:t>
      </w:r>
      <w:r>
        <w:rPr>
          <w:color w:val="000000"/>
          <w:spacing w:val="0"/>
          <w:w w:val="100"/>
          <w:position w:val="0"/>
        </w:rPr>
        <w:t>号——资产减值》等规定的资产减值损失的，对于由本公司向共同经营投出或出售资产的情况，本公司全额确认 该损失；对于本公司自共同经营购买资产的情况，本公司按承担的份额确认该损失。</w:t>
      </w:r>
    </w:p>
    <w:p>
      <w:pPr>
        <w:pStyle w:val="Style22"/>
        <w:keepNext/>
        <w:keepLines/>
        <w:widowControl w:val="0"/>
        <w:shd w:val="clear" w:color="auto" w:fill="auto"/>
        <w:tabs>
          <w:tab w:pos="792" w:val="left"/>
        </w:tabs>
        <w:bidi w:val="0"/>
        <w:spacing w:before="0" w:after="0" w:line="533" w:lineRule="auto"/>
        <w:ind w:left="0" w:right="0" w:firstLine="420"/>
        <w:jc w:val="left"/>
        <w:rPr>
          <w:sz w:val="20"/>
          <w:szCs w:val="20"/>
        </w:rPr>
      </w:pPr>
      <w:bookmarkStart w:id="808" w:name="bookmark808"/>
      <w:bookmarkStart w:id="809" w:name="bookmark809"/>
      <w:bookmarkStart w:id="810" w:name="bookmark810"/>
      <w:bookmarkStart w:id="811" w:name="bookmark811"/>
      <w:r>
        <w:rPr>
          <w:rFonts w:ascii="Arial Narrow" w:eastAsia="Arial Narrow" w:hAnsi="Arial Narrow" w:cs="Arial Narrow"/>
          <w:color w:val="000000"/>
          <w:spacing w:val="0"/>
          <w:w w:val="100"/>
          <w:position w:val="0"/>
          <w:sz w:val="20"/>
          <w:szCs w:val="20"/>
        </w:rPr>
        <w:t>8</w:t>
      </w:r>
      <w:bookmarkEnd w:id="810"/>
      <w:r>
        <w:rPr>
          <w:color w:val="000000"/>
          <w:spacing w:val="0"/>
          <w:w w:val="100"/>
          <w:position w:val="0"/>
          <w:sz w:val="20"/>
          <w:szCs w:val="20"/>
        </w:rPr>
        <w:t>、</w:t>
        <w:tab/>
        <w:t>现金及现金等价物</w:t>
      </w:r>
      <w:bookmarkEnd w:id="808"/>
      <w:bookmarkEnd w:id="809"/>
      <w:bookmarkEnd w:id="811"/>
    </w:p>
    <w:p>
      <w:pPr>
        <w:pStyle w:val="Style26"/>
        <w:keepNext w:val="0"/>
        <w:keepLines w:val="0"/>
        <w:widowControl w:val="0"/>
        <w:shd w:val="clear" w:color="auto" w:fill="auto"/>
        <w:bidi w:val="0"/>
        <w:spacing w:before="0" w:after="260" w:line="509" w:lineRule="exact"/>
        <w:ind w:left="0" w:right="0" w:firstLine="380"/>
        <w:jc w:val="both"/>
      </w:pPr>
      <w:r>
        <w:rPr>
          <w:color w:val="000000"/>
          <w:spacing w:val="0"/>
          <w:w w:val="100"/>
          <w:position w:val="0"/>
        </w:rPr>
        <w:t>本公司现金及现金等价物包括库存现金、可以随时用于支付的存款以及本公司持有的期限短（一般为从购买日起，三个 月内到期）、流动性强、易于转换为已知金额的现金、价值变动风险很小的投资。</w:t>
      </w:r>
    </w:p>
    <w:p>
      <w:pPr>
        <w:pStyle w:val="Style22"/>
        <w:keepNext/>
        <w:keepLines/>
        <w:widowControl w:val="0"/>
        <w:shd w:val="clear" w:color="auto" w:fill="auto"/>
        <w:tabs>
          <w:tab w:pos="792" w:val="left"/>
        </w:tabs>
        <w:bidi w:val="0"/>
        <w:spacing w:before="0" w:after="0" w:line="523" w:lineRule="auto"/>
        <w:ind w:left="0" w:right="0" w:firstLine="420"/>
        <w:jc w:val="left"/>
        <w:rPr>
          <w:sz w:val="20"/>
          <w:szCs w:val="20"/>
        </w:rPr>
      </w:pPr>
      <w:bookmarkStart w:id="812" w:name="bookmark812"/>
      <w:bookmarkStart w:id="813" w:name="bookmark813"/>
      <w:bookmarkStart w:id="814" w:name="bookmark814"/>
      <w:bookmarkStart w:id="815" w:name="bookmark815"/>
      <w:r>
        <w:rPr>
          <w:rFonts w:ascii="Arial Narrow" w:eastAsia="Arial Narrow" w:hAnsi="Arial Narrow" w:cs="Arial Narrow"/>
          <w:color w:val="000000"/>
          <w:spacing w:val="0"/>
          <w:w w:val="100"/>
          <w:position w:val="0"/>
          <w:sz w:val="20"/>
          <w:szCs w:val="20"/>
        </w:rPr>
        <w:t>9</w:t>
      </w:r>
      <w:bookmarkEnd w:id="814"/>
      <w:r>
        <w:rPr>
          <w:color w:val="000000"/>
          <w:spacing w:val="0"/>
          <w:w w:val="100"/>
          <w:position w:val="0"/>
          <w:sz w:val="20"/>
          <w:szCs w:val="20"/>
        </w:rPr>
        <w:t>、</w:t>
        <w:tab/>
        <w:t>外币业务的核算和折算方法</w:t>
      </w:r>
      <w:bookmarkEnd w:id="812"/>
      <w:bookmarkEnd w:id="813"/>
      <w:bookmarkEnd w:id="815"/>
    </w:p>
    <w:p>
      <w:pPr>
        <w:pStyle w:val="Style33"/>
        <w:keepNext w:val="0"/>
        <w:keepLines w:val="0"/>
        <w:widowControl w:val="0"/>
        <w:shd w:val="clear" w:color="auto" w:fill="auto"/>
        <w:tabs>
          <w:tab w:pos="902" w:val="left"/>
        </w:tabs>
        <w:bidi w:val="0"/>
        <w:spacing w:before="0" w:after="0" w:line="499" w:lineRule="exact"/>
        <w:ind w:left="0" w:right="0" w:firstLine="420"/>
        <w:jc w:val="left"/>
      </w:pPr>
      <w:bookmarkStart w:id="816" w:name="bookmark816"/>
      <w:r>
        <w:rPr>
          <w:color w:val="000000"/>
          <w:spacing w:val="0"/>
          <w:w w:val="100"/>
          <w:position w:val="0"/>
        </w:rPr>
        <w:t>（</w:t>
      </w:r>
      <w:bookmarkEnd w:id="816"/>
      <w:r>
        <w:rPr>
          <w:b/>
          <w:bCs/>
          <w:color w:val="000000"/>
          <w:spacing w:val="0"/>
          <w:w w:val="100"/>
          <w:position w:val="0"/>
        </w:rPr>
        <w:t>1</w:t>
      </w:r>
      <w:r>
        <w:rPr>
          <w:color w:val="000000"/>
          <w:spacing w:val="0"/>
          <w:w w:val="100"/>
          <w:position w:val="0"/>
        </w:rPr>
        <w:t>）</w:t>
        <w:tab/>
        <w:t>外币交易的折算方法</w:t>
      </w:r>
    </w:p>
    <w:p>
      <w:pPr>
        <w:pStyle w:val="Style33"/>
        <w:keepNext w:val="0"/>
        <w:keepLines w:val="0"/>
        <w:widowControl w:val="0"/>
        <w:shd w:val="clear" w:color="auto" w:fill="auto"/>
        <w:bidi w:val="0"/>
        <w:spacing w:before="0" w:after="0" w:line="499" w:lineRule="exact"/>
        <w:ind w:left="0" w:right="0" w:firstLine="440"/>
        <w:jc w:val="both"/>
      </w:pPr>
      <w:r>
        <w:rPr>
          <w:color w:val="000000"/>
          <w:spacing w:val="0"/>
          <w:w w:val="100"/>
          <w:position w:val="0"/>
        </w:rPr>
        <w:t>本公司发生的外币交易在初始确认时，按交易日的即期汇率（通常指中国人民银行公布的当日外汇牌 价的中间价，下同）折算为记账本位币金额，但公司发生的外币兑换业务或涉及外币兑换的交易事项，按 照实际采用的汇率折算为记账本位币金额。</w:t>
      </w:r>
    </w:p>
    <w:p>
      <w:pPr>
        <w:pStyle w:val="Style33"/>
        <w:keepNext w:val="0"/>
        <w:keepLines w:val="0"/>
        <w:widowControl w:val="0"/>
        <w:shd w:val="clear" w:color="auto" w:fill="auto"/>
        <w:tabs>
          <w:tab w:pos="902" w:val="left"/>
        </w:tabs>
        <w:bidi w:val="0"/>
        <w:spacing w:before="0" w:after="0" w:line="499" w:lineRule="exact"/>
        <w:ind w:left="0" w:right="0" w:firstLine="420"/>
        <w:jc w:val="left"/>
      </w:pPr>
      <w:bookmarkStart w:id="817" w:name="bookmark817"/>
      <w:r>
        <w:rPr>
          <w:color w:val="000000"/>
          <w:spacing w:val="0"/>
          <w:w w:val="100"/>
          <w:position w:val="0"/>
        </w:rPr>
        <w:t>（</w:t>
      </w:r>
      <w:bookmarkEnd w:id="817"/>
      <w:r>
        <w:rPr>
          <w:b/>
          <w:bCs/>
          <w:color w:val="000000"/>
          <w:spacing w:val="0"/>
          <w:w w:val="100"/>
          <w:position w:val="0"/>
        </w:rPr>
        <w:t>2</w:t>
      </w:r>
      <w:r>
        <w:rPr>
          <w:color w:val="000000"/>
          <w:spacing w:val="0"/>
          <w:w w:val="100"/>
          <w:position w:val="0"/>
        </w:rPr>
        <w:t>）</w:t>
        <w:tab/>
        <w:t>对于外币货币性项目和外币非货币性项目的折算方法</w:t>
      </w:r>
    </w:p>
    <w:p>
      <w:pPr>
        <w:pStyle w:val="Style33"/>
        <w:keepNext w:val="0"/>
        <w:keepLines w:val="0"/>
        <w:widowControl w:val="0"/>
        <w:shd w:val="clear" w:color="auto" w:fill="auto"/>
        <w:bidi w:val="0"/>
        <w:spacing w:before="0" w:after="0" w:line="499" w:lineRule="exact"/>
        <w:ind w:left="0" w:right="0" w:firstLine="440"/>
        <w:jc w:val="both"/>
      </w:pPr>
      <w:r>
        <w:rPr>
          <w:color w:val="000000"/>
          <w:spacing w:val="0"/>
          <w:w w:val="100"/>
          <w:position w:val="0"/>
        </w:rPr>
        <w:t>资产负债表日，对于外币货币性项目采用资产负债表日即期汇率折算，由此产生的汇兑差额，除：① 属于与购建符合资本化条件的资产相关的外币专门借款产生的汇兑差额按照借款费用资本化的原则处理； ②可供出售的外币货币性项目除摊余成本之外的其他账面余额变动产生的汇兑差额计入其他综合收益之 外，均计入当期损益。</w:t>
      </w:r>
    </w:p>
    <w:p>
      <w:pPr>
        <w:pStyle w:val="Style33"/>
        <w:keepNext w:val="0"/>
        <w:keepLines w:val="0"/>
        <w:widowControl w:val="0"/>
        <w:shd w:val="clear" w:color="auto" w:fill="auto"/>
        <w:bidi w:val="0"/>
        <w:spacing w:before="0" w:after="260" w:line="499" w:lineRule="exact"/>
        <w:ind w:left="0" w:right="0" w:firstLine="440"/>
        <w:jc w:val="both"/>
      </w:pPr>
      <w:r>
        <w:rPr>
          <w:color w:val="000000"/>
          <w:spacing w:val="0"/>
          <w:w w:val="100"/>
          <w:position w:val="0"/>
        </w:rPr>
        <w:t>以历史成本计量的外币非货币性项目，仍采用交易发生日的即期汇率折算的记账本位币金额计量。以 公允价值计量的外币非货币性项目，采用公允价值确定日的即期汇率折算，折算后的记账本位币金额与原 记账本位币金额的差额，作为公允价值变动（含汇率变动）处理，计入当期损益或确认为其他综合收益。</w:t>
      </w:r>
    </w:p>
    <w:p>
      <w:pPr>
        <w:pStyle w:val="Style22"/>
        <w:keepNext/>
        <w:keepLines/>
        <w:widowControl w:val="0"/>
        <w:shd w:val="clear" w:color="auto" w:fill="auto"/>
        <w:tabs>
          <w:tab w:pos="830" w:val="left"/>
        </w:tabs>
        <w:bidi w:val="0"/>
        <w:spacing w:before="0" w:after="260" w:line="523" w:lineRule="auto"/>
        <w:ind w:left="0" w:right="0" w:firstLine="420"/>
        <w:jc w:val="both"/>
        <w:rPr>
          <w:sz w:val="20"/>
          <w:szCs w:val="20"/>
        </w:rPr>
      </w:pPr>
      <w:bookmarkStart w:id="818" w:name="bookmark818"/>
      <w:bookmarkStart w:id="819" w:name="bookmark819"/>
      <w:bookmarkStart w:id="820" w:name="bookmark820"/>
      <w:bookmarkStart w:id="821" w:name="bookmark821"/>
      <w:r>
        <w:rPr>
          <w:rFonts w:ascii="Arial Narrow" w:eastAsia="Arial Narrow" w:hAnsi="Arial Narrow" w:cs="Arial Narrow"/>
          <w:color w:val="000000"/>
          <w:spacing w:val="0"/>
          <w:w w:val="100"/>
          <w:position w:val="0"/>
          <w:sz w:val="20"/>
          <w:szCs w:val="20"/>
        </w:rPr>
        <w:t>1</w:t>
      </w:r>
      <w:bookmarkEnd w:id="820"/>
      <w:r>
        <w:rPr>
          <w:rFonts w:ascii="Arial Narrow" w:eastAsia="Arial Narrow" w:hAnsi="Arial Narrow" w:cs="Arial Narrow"/>
          <w:color w:val="000000"/>
          <w:spacing w:val="0"/>
          <w:w w:val="100"/>
          <w:position w:val="0"/>
          <w:sz w:val="20"/>
          <w:szCs w:val="20"/>
        </w:rPr>
        <w:t>0</w:t>
      </w:r>
      <w:r>
        <w:rPr>
          <w:color w:val="000000"/>
          <w:spacing w:val="0"/>
          <w:w w:val="100"/>
          <w:position w:val="0"/>
          <w:sz w:val="20"/>
          <w:szCs w:val="20"/>
        </w:rPr>
        <w:t>、</w:t>
        <w:tab/>
        <w:t>金融工具</w:t>
      </w:r>
      <w:bookmarkEnd w:id="818"/>
      <w:bookmarkEnd w:id="819"/>
      <w:bookmarkEnd w:id="821"/>
    </w:p>
    <w:p>
      <w:pPr>
        <w:pStyle w:val="Style26"/>
        <w:keepNext w:val="0"/>
        <w:keepLines w:val="0"/>
        <w:widowControl w:val="0"/>
        <w:shd w:val="clear" w:color="auto" w:fill="auto"/>
        <w:bidi w:val="0"/>
        <w:spacing w:before="0" w:after="0" w:line="494" w:lineRule="exact"/>
        <w:ind w:left="0" w:right="0" w:firstLine="380"/>
        <w:jc w:val="both"/>
      </w:pPr>
      <w:r>
        <w:rPr>
          <w:color w:val="000000"/>
          <w:spacing w:val="0"/>
          <w:w w:val="100"/>
          <w:position w:val="0"/>
        </w:rPr>
        <w:t>金融工具，是指形成一方的金融资产并形成其他方的金融负债或权益工具的合同。当本公司成为金融工具合同的一方时， 确认相关的金融资产或金融负债。</w:t>
      </w:r>
    </w:p>
    <w:p>
      <w:pPr>
        <w:pStyle w:val="Style26"/>
        <w:keepNext w:val="0"/>
        <w:keepLines w:val="0"/>
        <w:widowControl w:val="0"/>
        <w:shd w:val="clear" w:color="auto" w:fill="auto"/>
        <w:bidi w:val="0"/>
        <w:spacing w:before="0" w:after="0" w:line="502" w:lineRule="exact"/>
        <w:ind w:left="0" w:right="0" w:firstLine="380"/>
        <w:jc w:val="both"/>
      </w:pPr>
      <w:r>
        <w:rPr>
          <w:color w:val="000000"/>
          <w:spacing w:val="0"/>
          <w:w w:val="100"/>
          <w:position w:val="0"/>
        </w:rPr>
        <w:t>金融资产和金融负债在初始确认时以公允价值计量：①对于以公允价值计量且其变动计入当期损益的金融资产和金融负 债，相关交易费用直接计入当期损益；②对于其他类别的金融资产和金融负债，相关交易费用计入初始确认金额。金融资产 和金融负债的后续计量取决于其分类。</w:t>
      </w:r>
    </w:p>
    <w:p>
      <w:pPr>
        <w:pStyle w:val="Style26"/>
        <w:keepNext w:val="0"/>
        <w:keepLines w:val="0"/>
        <w:widowControl w:val="0"/>
        <w:shd w:val="clear" w:color="auto" w:fill="auto"/>
        <w:bidi w:val="0"/>
        <w:spacing w:before="0" w:after="0" w:line="504" w:lineRule="exact"/>
        <w:ind w:left="0" w:right="0" w:firstLine="380"/>
        <w:jc w:val="both"/>
      </w:pPr>
      <w:r>
        <w:rPr>
          <w:color w:val="000000"/>
          <w:spacing w:val="0"/>
          <w:w w:val="100"/>
          <w:position w:val="0"/>
        </w:rPr>
        <w:t>金融资产或金融负债满足下列条件之一的，表明持有目的是交易性的：①取得相关金融资产或承担相关金融负债的目的， 主要是为了近期内出售或回购；②初始确认时属于集中管理的可辨认金融工具组合的一部分，且有客观证据表明近期实际存 在短期获利模式；③属于衍生工具，但符合财务担保合同定义的衍生工具以及被指定为有效套期工具的衍生工具除外。</w:t>
      </w:r>
    </w:p>
    <w:p>
      <w:pPr>
        <w:pStyle w:val="Style26"/>
        <w:keepNext w:val="0"/>
        <w:keepLines w:val="0"/>
        <w:widowControl w:val="0"/>
        <w:shd w:val="clear" w:color="auto" w:fill="auto"/>
        <w:bidi w:val="0"/>
        <w:spacing w:before="0" w:after="0" w:line="501" w:lineRule="exact"/>
        <w:ind w:left="0" w:right="0" w:firstLine="380"/>
        <w:jc w:val="both"/>
      </w:pPr>
      <w:bookmarkStart w:id="822" w:name="bookmark822"/>
      <w:r>
        <w:rPr>
          <w:color w:val="000000"/>
          <w:spacing w:val="0"/>
          <w:w w:val="100"/>
          <w:position w:val="0"/>
        </w:rPr>
        <w:t>（</w:t>
      </w:r>
      <w:bookmarkEnd w:id="822"/>
      <w:r>
        <w:rPr>
          <w:rFonts w:ascii="Arial Narrow" w:eastAsia="Arial Narrow" w:hAnsi="Arial Narrow" w:cs="Arial Narrow"/>
          <w:color w:val="000000"/>
          <w:spacing w:val="0"/>
          <w:w w:val="100"/>
          <w:position w:val="0"/>
          <w:sz w:val="18"/>
          <w:szCs w:val="18"/>
        </w:rPr>
        <w:t>1</w:t>
      </w:r>
      <w:r>
        <w:rPr>
          <w:color w:val="000000"/>
          <w:spacing w:val="0"/>
          <w:w w:val="100"/>
          <w:position w:val="0"/>
        </w:rPr>
        <w:t>）债务工具</w:t>
      </w:r>
    </w:p>
    <w:p>
      <w:pPr>
        <w:pStyle w:val="Style26"/>
        <w:keepNext w:val="0"/>
        <w:keepLines w:val="0"/>
        <w:widowControl w:val="0"/>
        <w:shd w:val="clear" w:color="auto" w:fill="auto"/>
        <w:bidi w:val="0"/>
        <w:spacing w:before="0" w:after="0" w:line="499" w:lineRule="exact"/>
        <w:ind w:left="0" w:right="0" w:firstLine="380"/>
        <w:jc w:val="both"/>
      </w:pPr>
      <w:r>
        <w:rPr>
          <w:color w:val="000000"/>
          <w:spacing w:val="0"/>
          <w:w w:val="100"/>
          <w:position w:val="0"/>
        </w:rPr>
        <w:t>债务工具是指从发行方角度分析符合金融负债定义的工具。债务工具的分类和后续计量取决于本公司管理金融资产的业 务模式，以及金融资产的合同现金流量特征。不能通过现金流量特征测试的，直接分类为以公允价值计量且其变动计入当期 损益的金融资产；能够通过现金流量特征测试的，其分类取决于管理金融资产的业务模式，以及是否将其指定为以公允价值 计量且其变动计入当期损益的金融资产。</w:t>
      </w:r>
    </w:p>
    <w:p>
      <w:pPr>
        <w:pStyle w:val="Style26"/>
        <w:keepNext w:val="0"/>
        <w:keepLines w:val="0"/>
        <w:widowControl w:val="0"/>
        <w:numPr>
          <w:ilvl w:val="0"/>
          <w:numId w:val="19"/>
        </w:numPr>
        <w:shd w:val="clear" w:color="auto" w:fill="auto"/>
        <w:tabs>
          <w:tab w:pos="649" w:val="left"/>
        </w:tabs>
        <w:bidi w:val="0"/>
        <w:spacing w:before="0" w:after="0" w:line="501" w:lineRule="exact"/>
        <w:ind w:left="0" w:right="0" w:firstLine="380"/>
        <w:jc w:val="both"/>
      </w:pPr>
      <w:bookmarkStart w:id="823" w:name="bookmark823"/>
      <w:bookmarkEnd w:id="823"/>
      <w:r>
        <w:rPr>
          <w:color w:val="000000"/>
          <w:spacing w:val="0"/>
          <w:w w:val="100"/>
          <w:position w:val="0"/>
        </w:rPr>
        <w:t>以摊余成本计量。本公司管理此类金融资产的业务模式为以收取合同现金流量为目标，且此类金融资产的合同现金流 量特征与基本借贷安排相一致，即在特定日期产生的现金流量，仅为对本金和以未偿付本金金额为基础的利息的支付，同时 并未指定此类金融资产为以公允价值计量且其变动计入当期损益。本公司对于此类金融资产按照实际利率法确认利息收入。 此类金融资产因终止确认产生的利得或损失以及因减值导致的损失直接计入当期损益。</w:t>
      </w:r>
    </w:p>
    <w:p>
      <w:pPr>
        <w:pStyle w:val="Style26"/>
        <w:keepNext w:val="0"/>
        <w:keepLines w:val="0"/>
        <w:widowControl w:val="0"/>
        <w:numPr>
          <w:ilvl w:val="0"/>
          <w:numId w:val="19"/>
        </w:numPr>
        <w:shd w:val="clear" w:color="auto" w:fill="auto"/>
        <w:tabs>
          <w:tab w:pos="654" w:val="left"/>
        </w:tabs>
        <w:bidi w:val="0"/>
        <w:spacing w:before="0" w:after="0" w:line="500" w:lineRule="exact"/>
        <w:ind w:left="0" w:right="0" w:firstLine="380"/>
        <w:jc w:val="both"/>
      </w:pPr>
      <w:bookmarkStart w:id="824" w:name="bookmark824"/>
      <w:bookmarkEnd w:id="824"/>
      <w:r>
        <w:rPr>
          <w:color w:val="000000"/>
          <w:spacing w:val="0"/>
          <w:w w:val="100"/>
          <w:position w:val="0"/>
        </w:rPr>
        <w:t>以公允价值计量且其变动计入其他综合收益。本公司管理此类金融资产的业务模式为既以收取合同现金流量为目标又 以出售为目标，且此类金融资产的合同现金流量特征与基本借贷安排相一致，即在特定日期产生的现金流量，仅为对本金和 以未偿付本金金额为基础的利息的支付，同时并未指定此类金融资产为以公允价值计量且其变动计入当期损益。此类金融资 产按照公允价值计量且其变动计入其他综合收益，但减值损失或利得、汇兑损益和按照实际利率法计算的利息收入计入当期 损益。此类金融资产终止确认时，累计计入其他综合收益的公允价值变动将结转计入当期损益。此类金融资产列示为其他债 权投资。</w:t>
      </w:r>
    </w:p>
    <w:p>
      <w:pPr>
        <w:pStyle w:val="Style26"/>
        <w:keepNext w:val="0"/>
        <w:keepLines w:val="0"/>
        <w:widowControl w:val="0"/>
        <w:numPr>
          <w:ilvl w:val="0"/>
          <w:numId w:val="19"/>
        </w:numPr>
        <w:shd w:val="clear" w:color="auto" w:fill="auto"/>
        <w:tabs>
          <w:tab w:pos="658" w:val="left"/>
        </w:tabs>
        <w:bidi w:val="0"/>
        <w:spacing w:before="0" w:after="320" w:line="502" w:lineRule="exact"/>
        <w:ind w:left="0" w:right="0" w:firstLine="380"/>
        <w:jc w:val="both"/>
      </w:pPr>
      <w:bookmarkStart w:id="825" w:name="bookmark825"/>
      <w:bookmarkEnd w:id="825"/>
      <w:r>
        <w:rPr>
          <w:color w:val="000000"/>
          <w:spacing w:val="0"/>
          <w:w w:val="100"/>
          <w:position w:val="0"/>
        </w:rPr>
        <w:t>以公允价值计量且其变动计入当期损益。本公司将持有的未划分为以摊余成本计量和以公允价值计量且其变动计入其 他综合收益的债务工具，以公允价值计量且其变动计入当期损益，分类为以公允价值计量且其变动计入当期损益的金融资产， 列示为交易性金融资产。</w:t>
      </w:r>
    </w:p>
    <w:p>
      <w:pPr>
        <w:pStyle w:val="Style26"/>
        <w:keepNext w:val="0"/>
        <w:keepLines w:val="0"/>
        <w:widowControl w:val="0"/>
        <w:shd w:val="clear" w:color="auto" w:fill="auto"/>
        <w:bidi w:val="0"/>
        <w:spacing w:before="0" w:after="0" w:line="240" w:lineRule="auto"/>
        <w:ind w:left="0" w:right="0" w:firstLine="380"/>
        <w:jc w:val="both"/>
      </w:pPr>
      <w:bookmarkStart w:id="826" w:name="bookmark826"/>
      <w:r>
        <w:rPr>
          <w:color w:val="000000"/>
          <w:spacing w:val="0"/>
          <w:w w:val="100"/>
          <w:position w:val="0"/>
        </w:rPr>
        <w:t>（</w:t>
      </w:r>
      <w:bookmarkEnd w:id="826"/>
      <w:r>
        <w:rPr>
          <w:rFonts w:ascii="Arial Narrow" w:eastAsia="Arial Narrow" w:hAnsi="Arial Narrow" w:cs="Arial Narrow"/>
          <w:color w:val="000000"/>
          <w:spacing w:val="0"/>
          <w:w w:val="100"/>
          <w:position w:val="0"/>
          <w:sz w:val="18"/>
          <w:szCs w:val="18"/>
        </w:rPr>
        <w:t>2</w:t>
      </w:r>
      <w:r>
        <w:rPr>
          <w:color w:val="000000"/>
          <w:spacing w:val="0"/>
          <w:w w:val="100"/>
          <w:position w:val="0"/>
        </w:rPr>
        <w:t>）权益工具</w:t>
      </w:r>
    </w:p>
    <w:p>
      <w:pPr>
        <w:pStyle w:val="Style26"/>
        <w:keepNext w:val="0"/>
        <w:keepLines w:val="0"/>
        <w:widowControl w:val="0"/>
        <w:shd w:val="clear" w:color="auto" w:fill="auto"/>
        <w:bidi w:val="0"/>
        <w:spacing w:before="0" w:after="40" w:line="499" w:lineRule="exact"/>
        <w:ind w:left="0" w:right="0" w:firstLine="380"/>
        <w:jc w:val="both"/>
      </w:pPr>
      <w:r>
        <w:rPr>
          <w:color w:val="000000"/>
          <w:spacing w:val="0"/>
          <w:w w:val="100"/>
          <w:position w:val="0"/>
        </w:rPr>
        <w:t>权益工具是指从发行方角度分析符合权益工具定义的工具。权益工具投资以公允价值计量且其变动计入当期损益，列示 为交易性金融资产，但本公司管理层指定为以公允价值计量且其变动计入其他综合收益除外。指定为以公允价值计量且其变 动计入综合收益的，列示为其他权益工具投资，相关公允价值变动不得结转至当期损益，且该指定一经作出不得撤销。相关 股利收入计入当期损益。</w:t>
      </w:r>
    </w:p>
    <w:p>
      <w:pPr>
        <w:pStyle w:val="Style26"/>
        <w:keepNext w:val="0"/>
        <w:keepLines w:val="0"/>
        <w:widowControl w:val="0"/>
        <w:shd w:val="clear" w:color="auto" w:fill="auto"/>
        <w:tabs>
          <w:tab w:pos="821" w:val="left"/>
        </w:tabs>
        <w:bidi w:val="0"/>
        <w:spacing w:before="0" w:after="40" w:line="500" w:lineRule="exact"/>
        <w:ind w:left="0" w:right="0" w:firstLine="380"/>
        <w:jc w:val="left"/>
      </w:pPr>
      <w:bookmarkStart w:id="827" w:name="bookmark827"/>
      <w:r>
        <w:rPr>
          <w:color w:val="000000"/>
          <w:spacing w:val="0"/>
          <w:w w:val="100"/>
          <w:position w:val="0"/>
        </w:rPr>
        <w:t>（</w:t>
      </w:r>
      <w:bookmarkEnd w:id="827"/>
      <w:r>
        <w:rPr>
          <w:rFonts w:ascii="Arial Narrow" w:eastAsia="Arial Narrow" w:hAnsi="Arial Narrow" w:cs="Arial Narrow"/>
          <w:color w:val="000000"/>
          <w:spacing w:val="0"/>
          <w:w w:val="100"/>
          <w:position w:val="0"/>
          <w:sz w:val="18"/>
          <w:szCs w:val="18"/>
        </w:rPr>
        <w:t>3</w:t>
      </w:r>
      <w:r>
        <w:rPr>
          <w:color w:val="000000"/>
          <w:spacing w:val="0"/>
          <w:w w:val="100"/>
          <w:position w:val="0"/>
        </w:rPr>
        <w:t>）</w:t>
        <w:tab/>
        <w:t>金融负债</w:t>
      </w:r>
    </w:p>
    <w:p>
      <w:pPr>
        <w:pStyle w:val="Style26"/>
        <w:keepNext w:val="0"/>
        <w:keepLines w:val="0"/>
        <w:widowControl w:val="0"/>
        <w:shd w:val="clear" w:color="auto" w:fill="auto"/>
        <w:bidi w:val="0"/>
        <w:spacing w:before="0" w:after="40" w:line="500" w:lineRule="exact"/>
        <w:ind w:left="0" w:right="0" w:firstLine="380"/>
        <w:jc w:val="left"/>
      </w:pPr>
      <w:r>
        <w:rPr>
          <w:color w:val="000000"/>
          <w:spacing w:val="0"/>
          <w:w w:val="100"/>
          <w:position w:val="0"/>
        </w:rPr>
        <w:t>金融负债于初始确认时分类为以公允价值计量且其变动计入当期损益的金融负债及其他金融负债。</w:t>
      </w:r>
    </w:p>
    <w:p>
      <w:pPr>
        <w:pStyle w:val="Style26"/>
        <w:keepNext w:val="0"/>
        <w:keepLines w:val="0"/>
        <w:widowControl w:val="0"/>
        <w:shd w:val="clear" w:color="auto" w:fill="auto"/>
        <w:bidi w:val="0"/>
        <w:spacing w:before="0" w:after="40" w:line="500" w:lineRule="exact"/>
        <w:ind w:left="0" w:right="0" w:firstLine="380"/>
        <w:jc w:val="left"/>
      </w:pPr>
      <w:r>
        <w:rPr>
          <w:color w:val="000000"/>
          <w:spacing w:val="0"/>
          <w:w w:val="100"/>
          <w:position w:val="0"/>
        </w:rPr>
        <w:t>以公允价值计量且其变动计入当期损益的金融负债，包括交易性金融负债和指定为以公允价值计量且其变动计入当期损 益的金融负债。满足以下条件之一时，金融负债可在初始计量时指定为以公允价值计量且其变动计入当期损益的金融负债： ①该项指定能够消除或显著减少会计错配；②根据正式书面文件载明的风险管理或投资策略，以公允价值为基础对金融负债 组合或金融资产和金融负债组合进行管理和业绩评价，并在公司内部以此为基础向关键管理人员报告。该指定一经作出，不 得撤销。</w:t>
      </w:r>
    </w:p>
    <w:p>
      <w:pPr>
        <w:pStyle w:val="Style26"/>
        <w:keepNext w:val="0"/>
        <w:keepLines w:val="0"/>
        <w:widowControl w:val="0"/>
        <w:shd w:val="clear" w:color="auto" w:fill="auto"/>
        <w:bidi w:val="0"/>
        <w:spacing w:before="0" w:after="40" w:line="499" w:lineRule="exact"/>
        <w:ind w:left="0" w:right="0" w:firstLine="380"/>
        <w:jc w:val="left"/>
      </w:pPr>
      <w:r>
        <w:rPr>
          <w:color w:val="000000"/>
          <w:spacing w:val="0"/>
          <w:w w:val="100"/>
          <w:position w:val="0"/>
        </w:rPr>
        <w:t>指定为以公允价值计量且变动计入当期损益的金融负债，由公司自身信用风险变动引起的公允价值的变动金额，计入其 他综合收益；其他公允价值变动，计入当期损益。该金融负债终止确认时，之前计入其他综合收益的累计利得或损失从其他 综合收益转出，计入留存收益。</w:t>
      </w:r>
    </w:p>
    <w:p>
      <w:pPr>
        <w:pStyle w:val="Style26"/>
        <w:keepNext w:val="0"/>
        <w:keepLines w:val="0"/>
        <w:widowControl w:val="0"/>
        <w:shd w:val="clear" w:color="auto" w:fill="auto"/>
        <w:tabs>
          <w:tab w:pos="821" w:val="left"/>
        </w:tabs>
        <w:bidi w:val="0"/>
        <w:spacing w:before="0" w:after="40" w:line="500" w:lineRule="exact"/>
        <w:ind w:left="0" w:right="0" w:firstLine="380"/>
        <w:jc w:val="left"/>
      </w:pPr>
      <w:bookmarkStart w:id="828" w:name="bookmark828"/>
      <w:r>
        <w:rPr>
          <w:color w:val="000000"/>
          <w:spacing w:val="0"/>
          <w:w w:val="100"/>
          <w:position w:val="0"/>
        </w:rPr>
        <w:t>（</w:t>
      </w:r>
      <w:bookmarkEnd w:id="828"/>
      <w:r>
        <w:rPr>
          <w:rFonts w:ascii="Arial Narrow" w:eastAsia="Arial Narrow" w:hAnsi="Arial Narrow" w:cs="Arial Narrow"/>
          <w:color w:val="000000"/>
          <w:spacing w:val="0"/>
          <w:w w:val="100"/>
          <w:position w:val="0"/>
          <w:sz w:val="18"/>
          <w:szCs w:val="18"/>
        </w:rPr>
        <w:t>4</w:t>
      </w:r>
      <w:r>
        <w:rPr>
          <w:color w:val="000000"/>
          <w:spacing w:val="0"/>
          <w:w w:val="100"/>
          <w:position w:val="0"/>
        </w:rPr>
        <w:t>）</w:t>
        <w:tab/>
        <w:t>金融资产和金融负债的终止确认</w:t>
      </w:r>
    </w:p>
    <w:p>
      <w:pPr>
        <w:pStyle w:val="Style26"/>
        <w:keepNext w:val="0"/>
        <w:keepLines w:val="0"/>
        <w:widowControl w:val="0"/>
        <w:shd w:val="clear" w:color="auto" w:fill="auto"/>
        <w:bidi w:val="0"/>
        <w:spacing w:before="0" w:after="40" w:line="500" w:lineRule="exact"/>
        <w:ind w:left="0" w:right="0" w:firstLine="380"/>
        <w:jc w:val="left"/>
      </w:pPr>
      <w:r>
        <w:rPr>
          <w:color w:val="000000"/>
          <w:spacing w:val="0"/>
          <w:w w:val="100"/>
          <w:position w:val="0"/>
        </w:rPr>
        <w:t>金融资产满足下列条件之一的，予以终止确认：</w:t>
      </w:r>
    </w:p>
    <w:p>
      <w:pPr>
        <w:pStyle w:val="Style26"/>
        <w:keepNext w:val="0"/>
        <w:keepLines w:val="0"/>
        <w:widowControl w:val="0"/>
        <w:numPr>
          <w:ilvl w:val="0"/>
          <w:numId w:val="21"/>
        </w:numPr>
        <w:shd w:val="clear" w:color="auto" w:fill="auto"/>
        <w:tabs>
          <w:tab w:pos="701" w:val="left"/>
        </w:tabs>
        <w:bidi w:val="0"/>
        <w:spacing w:before="0" w:after="40" w:line="500" w:lineRule="exact"/>
        <w:ind w:left="0" w:right="0" w:firstLine="380"/>
        <w:jc w:val="left"/>
      </w:pPr>
      <w:bookmarkStart w:id="829" w:name="bookmark829"/>
      <w:bookmarkEnd w:id="829"/>
      <w:r>
        <w:rPr>
          <w:color w:val="000000"/>
          <w:spacing w:val="0"/>
          <w:w w:val="100"/>
          <w:position w:val="0"/>
        </w:rPr>
        <w:t>收取该金融资产现金流量的合同权利终止；</w:t>
      </w:r>
    </w:p>
    <w:p>
      <w:pPr>
        <w:pStyle w:val="Style26"/>
        <w:keepNext w:val="0"/>
        <w:keepLines w:val="0"/>
        <w:widowControl w:val="0"/>
        <w:numPr>
          <w:ilvl w:val="0"/>
          <w:numId w:val="21"/>
        </w:numPr>
        <w:shd w:val="clear" w:color="auto" w:fill="auto"/>
        <w:tabs>
          <w:tab w:pos="701" w:val="left"/>
        </w:tabs>
        <w:bidi w:val="0"/>
        <w:spacing w:before="0" w:after="40" w:line="500" w:lineRule="exact"/>
        <w:ind w:left="0" w:right="0" w:firstLine="380"/>
        <w:jc w:val="left"/>
      </w:pPr>
      <w:bookmarkStart w:id="830" w:name="bookmark830"/>
      <w:bookmarkEnd w:id="830"/>
      <w:r>
        <w:rPr>
          <w:color w:val="000000"/>
          <w:spacing w:val="0"/>
          <w:w w:val="100"/>
          <w:position w:val="0"/>
        </w:rPr>
        <w:t>该金融资产已转移，且本公司将金融资产所有权上几乎所有的风险和报酬转移给转入方；</w:t>
      </w:r>
    </w:p>
    <w:p>
      <w:pPr>
        <w:pStyle w:val="Style26"/>
        <w:keepNext w:val="0"/>
        <w:keepLines w:val="0"/>
        <w:widowControl w:val="0"/>
        <w:numPr>
          <w:ilvl w:val="0"/>
          <w:numId w:val="21"/>
        </w:numPr>
        <w:shd w:val="clear" w:color="auto" w:fill="auto"/>
        <w:tabs>
          <w:tab w:pos="681" w:val="left"/>
        </w:tabs>
        <w:bidi w:val="0"/>
        <w:spacing w:before="0" w:after="40" w:line="494" w:lineRule="exact"/>
        <w:ind w:left="0" w:right="0" w:firstLine="380"/>
        <w:jc w:val="left"/>
      </w:pPr>
      <w:bookmarkStart w:id="831" w:name="bookmark831"/>
      <w:bookmarkEnd w:id="831"/>
      <w:r>
        <w:rPr>
          <w:color w:val="000000"/>
          <w:spacing w:val="0"/>
          <w:w w:val="100"/>
          <w:position w:val="0"/>
        </w:rPr>
        <w:t>该金融资产已转移，虽然本公司既没有转移也没有保留金融资产所有权上几乎所有的风险和报酬，但是放弃了对该金 融资产的控制。</w:t>
      </w:r>
    </w:p>
    <w:p>
      <w:pPr>
        <w:pStyle w:val="Style26"/>
        <w:keepNext w:val="0"/>
        <w:keepLines w:val="0"/>
        <w:widowControl w:val="0"/>
        <w:shd w:val="clear" w:color="auto" w:fill="auto"/>
        <w:bidi w:val="0"/>
        <w:spacing w:before="0" w:after="40" w:line="500" w:lineRule="exact"/>
        <w:ind w:left="0" w:right="0" w:firstLine="380"/>
        <w:jc w:val="left"/>
      </w:pPr>
      <w:r>
        <w:rPr>
          <w:color w:val="000000"/>
          <w:spacing w:val="0"/>
          <w:w w:val="100"/>
          <w:position w:val="0"/>
        </w:rPr>
        <w:t>金融负债（或其一部分）的现时义务已经解除的，本公司终止确认该金融负债（或该部分金融负债）。</w:t>
      </w:r>
    </w:p>
    <w:p>
      <w:pPr>
        <w:pStyle w:val="Style26"/>
        <w:keepNext w:val="0"/>
        <w:keepLines w:val="0"/>
        <w:widowControl w:val="0"/>
        <w:shd w:val="clear" w:color="auto" w:fill="auto"/>
        <w:tabs>
          <w:tab w:pos="821" w:val="left"/>
        </w:tabs>
        <w:bidi w:val="0"/>
        <w:spacing w:before="0" w:after="40" w:line="500" w:lineRule="exact"/>
        <w:ind w:left="0" w:right="0" w:firstLine="380"/>
        <w:jc w:val="left"/>
      </w:pPr>
      <w:bookmarkStart w:id="832" w:name="bookmark832"/>
      <w:r>
        <w:rPr>
          <w:color w:val="000000"/>
          <w:spacing w:val="0"/>
          <w:w w:val="100"/>
          <w:position w:val="0"/>
        </w:rPr>
        <w:t>（</w:t>
      </w:r>
      <w:bookmarkEnd w:id="832"/>
      <w:r>
        <w:rPr>
          <w:rFonts w:ascii="Arial Narrow" w:eastAsia="Arial Narrow" w:hAnsi="Arial Narrow" w:cs="Arial Narrow"/>
          <w:color w:val="000000"/>
          <w:spacing w:val="0"/>
          <w:w w:val="100"/>
          <w:position w:val="0"/>
          <w:sz w:val="18"/>
          <w:szCs w:val="18"/>
        </w:rPr>
        <w:t>5</w:t>
      </w:r>
      <w:r>
        <w:rPr>
          <w:color w:val="000000"/>
          <w:spacing w:val="0"/>
          <w:w w:val="100"/>
          <w:position w:val="0"/>
        </w:rPr>
        <w:t>）</w:t>
        <w:tab/>
        <w:t>金融工具的减值</w:t>
      </w:r>
    </w:p>
    <w:p>
      <w:pPr>
        <w:pStyle w:val="Style26"/>
        <w:keepNext w:val="0"/>
        <w:keepLines w:val="0"/>
        <w:widowControl w:val="0"/>
        <w:shd w:val="clear" w:color="auto" w:fill="auto"/>
        <w:bidi w:val="0"/>
        <w:spacing w:before="0" w:after="40" w:line="502" w:lineRule="exact"/>
        <w:ind w:left="0" w:right="0" w:firstLine="380"/>
        <w:jc w:val="left"/>
      </w:pPr>
      <w:r>
        <w:rPr>
          <w:color w:val="000000"/>
          <w:spacing w:val="0"/>
          <w:w w:val="100"/>
          <w:position w:val="0"/>
        </w:rPr>
        <w:t>本公司以预期信用损失为基础进行金融工具减值会计处理并确认损失准备。预期信用损失，是指以发生违约的风险为权 重的金融工具信用损失的加权平均值。信用损失，是指按照原实际利率折现的、根据合同应收的所有合同现金流量与预期收 取的所有现金流量之间的差额，即全部现金短缺的现值。</w:t>
      </w:r>
    </w:p>
    <w:p>
      <w:pPr>
        <w:pStyle w:val="Style26"/>
        <w:keepNext w:val="0"/>
        <w:keepLines w:val="0"/>
        <w:widowControl w:val="0"/>
        <w:shd w:val="clear" w:color="auto" w:fill="auto"/>
        <w:bidi w:val="0"/>
        <w:spacing w:before="0" w:after="0" w:line="500" w:lineRule="exact"/>
        <w:ind w:left="0" w:right="0" w:firstLine="380"/>
        <w:jc w:val="left"/>
      </w:pPr>
      <w:r>
        <w:rPr>
          <w:color w:val="000000"/>
          <w:spacing w:val="0"/>
          <w:w w:val="100"/>
          <w:position w:val="0"/>
        </w:rPr>
        <w:t xml:space="preserve">本公司计量金融工具预期信用损失的方法反映的因素包括:通过评价一系列可能的结果而确定的无偏概率加权平均金额; </w:t>
      </w:r>
      <w:r>
        <w:rPr>
          <w:color w:val="000000"/>
          <w:spacing w:val="0"/>
          <w:w w:val="100"/>
          <w:position w:val="0"/>
        </w:rPr>
        <w:t>货币时间价值；在资产负债表日无须付出不必要的额外成本或努力即可获得的有关过去事项、当前状况以及未来经济状况预 测的合理且有依据的信息。本公司按照下列方法确定相关金融工具的预期信用损失：</w:t>
      </w:r>
    </w:p>
    <w:p>
      <w:pPr>
        <w:pStyle w:val="Style26"/>
        <w:keepNext w:val="0"/>
        <w:keepLines w:val="0"/>
        <w:widowControl w:val="0"/>
        <w:numPr>
          <w:ilvl w:val="0"/>
          <w:numId w:val="23"/>
        </w:numPr>
        <w:shd w:val="clear" w:color="auto" w:fill="auto"/>
        <w:tabs>
          <w:tab w:pos="696" w:val="left"/>
        </w:tabs>
        <w:bidi w:val="0"/>
        <w:spacing w:before="0" w:after="0" w:line="501" w:lineRule="exact"/>
        <w:ind w:left="0" w:right="0" w:firstLine="380"/>
        <w:jc w:val="both"/>
      </w:pPr>
      <w:bookmarkStart w:id="833" w:name="bookmark833"/>
      <w:bookmarkEnd w:id="833"/>
      <w:r>
        <w:rPr>
          <w:color w:val="000000"/>
          <w:spacing w:val="0"/>
          <w:w w:val="100"/>
          <w:position w:val="0"/>
        </w:rPr>
        <w:t>对于金融资产，信用损失为本公司应收取的合同现金流量与预期收取的现金流量之间差额的现值；</w:t>
      </w:r>
    </w:p>
    <w:p>
      <w:pPr>
        <w:pStyle w:val="Style26"/>
        <w:keepNext w:val="0"/>
        <w:keepLines w:val="0"/>
        <w:widowControl w:val="0"/>
        <w:numPr>
          <w:ilvl w:val="0"/>
          <w:numId w:val="23"/>
        </w:numPr>
        <w:shd w:val="clear" w:color="auto" w:fill="auto"/>
        <w:tabs>
          <w:tab w:pos="696" w:val="left"/>
        </w:tabs>
        <w:bidi w:val="0"/>
        <w:spacing w:before="0" w:after="0" w:line="501" w:lineRule="exact"/>
        <w:ind w:left="0" w:right="0" w:firstLine="380"/>
        <w:jc w:val="both"/>
      </w:pPr>
      <w:bookmarkStart w:id="834" w:name="bookmark834"/>
      <w:bookmarkEnd w:id="834"/>
      <w:r>
        <w:rPr>
          <w:color w:val="000000"/>
          <w:spacing w:val="0"/>
          <w:w w:val="100"/>
          <w:position w:val="0"/>
        </w:rPr>
        <w:t>对于租赁应收款项，信用损失为本公司应收取的合同现金流量与预期收取的现金流量之间差额的现值；</w:t>
      </w:r>
    </w:p>
    <w:p>
      <w:pPr>
        <w:pStyle w:val="Style26"/>
        <w:keepNext w:val="0"/>
        <w:keepLines w:val="0"/>
        <w:widowControl w:val="0"/>
        <w:numPr>
          <w:ilvl w:val="0"/>
          <w:numId w:val="23"/>
        </w:numPr>
        <w:shd w:val="clear" w:color="auto" w:fill="auto"/>
        <w:tabs>
          <w:tab w:pos="686" w:val="left"/>
        </w:tabs>
        <w:bidi w:val="0"/>
        <w:spacing w:before="0" w:after="0" w:line="499" w:lineRule="exact"/>
        <w:ind w:left="0" w:right="0" w:firstLine="380"/>
        <w:jc w:val="both"/>
      </w:pPr>
      <w:bookmarkStart w:id="835" w:name="bookmark835"/>
      <w:bookmarkEnd w:id="835"/>
      <w:r>
        <w:rPr>
          <w:color w:val="000000"/>
          <w:spacing w:val="0"/>
          <w:w w:val="100"/>
          <w:position w:val="0"/>
        </w:rPr>
        <w:t>对于资产负债表日已发生信用减值但并非购买或源生已发生信用减值的金融资产，信用损失为该金融资产账面余额与 按原实际利率折现的估计未来现金流量的现值之间的差额。</w:t>
      </w:r>
    </w:p>
    <w:p>
      <w:pPr>
        <w:pStyle w:val="Style26"/>
        <w:keepNext w:val="0"/>
        <w:keepLines w:val="0"/>
        <w:widowControl w:val="0"/>
        <w:shd w:val="clear" w:color="auto" w:fill="auto"/>
        <w:bidi w:val="0"/>
        <w:spacing w:before="0" w:after="0" w:line="501" w:lineRule="exact"/>
        <w:ind w:left="0" w:right="0" w:firstLine="380"/>
        <w:jc w:val="both"/>
      </w:pPr>
      <w:r>
        <w:rPr>
          <w:color w:val="000000"/>
          <w:spacing w:val="0"/>
          <w:w w:val="100"/>
          <w:position w:val="0"/>
        </w:rPr>
        <w:t>对于购买或源生的未发生信用减值的金融工具，每个资产负债表日，考虑合理且有依据的信息（包括前瞻性信息），评 估其信用风险自初始确认后是否显著增加，按照三阶段分别确认预期信用损失。信用风险自初始确认后未显著增加的，处于 第一阶段，按照该金融工具未来</w:t>
      </w:r>
      <w:r>
        <w:rPr>
          <w:rFonts w:ascii="Arial Narrow" w:eastAsia="Arial Narrow" w:hAnsi="Arial Narrow" w:cs="Arial Narrow"/>
          <w:color w:val="000000"/>
          <w:spacing w:val="0"/>
          <w:w w:val="100"/>
          <w:position w:val="0"/>
          <w:sz w:val="18"/>
          <w:szCs w:val="18"/>
        </w:rPr>
        <w:t>12</w:t>
      </w:r>
      <w:r>
        <w:rPr>
          <w:color w:val="000000"/>
          <w:spacing w:val="0"/>
          <w:w w:val="100"/>
          <w:position w:val="0"/>
        </w:rPr>
        <w:t>个月内的预期信用损失计量损失准备；信用风险自初始确认后已显著增加但尚未发生信 用减值的，处于第二阶段，按照该金融工具整个存续期的预期信用损失计量损失准备；自初始确认后已经发生信用减值的， 处于第三阶段，按照该金融工具整个存续期的预期信用损失计量损失准备。处于第一阶段和第二阶段的金融工具，按照其账 面余额和实际利率计算利息收入；处于第三阶段的金融工具，按照其摊余成本和实际利率计算确定利息收入。</w:t>
      </w:r>
    </w:p>
    <w:p>
      <w:pPr>
        <w:pStyle w:val="Style26"/>
        <w:keepNext w:val="0"/>
        <w:keepLines w:val="0"/>
        <w:widowControl w:val="0"/>
        <w:shd w:val="clear" w:color="auto" w:fill="auto"/>
        <w:bidi w:val="0"/>
        <w:spacing w:before="0" w:after="0" w:line="509" w:lineRule="exact"/>
        <w:ind w:left="0" w:right="0" w:firstLine="380"/>
        <w:jc w:val="both"/>
      </w:pPr>
      <w:r>
        <w:rPr>
          <w:color w:val="000000"/>
          <w:spacing w:val="0"/>
          <w:w w:val="100"/>
          <w:position w:val="0"/>
        </w:rPr>
        <w:t>对于购买或源生的已发生信用减值的金融资产，在资产负债表日仅将自初始确认后整个存续期内预期信用损失的累计变 动确认为损失准备，其利息收入按照金融资产的摊余成本和经信用调整的实际利率计算确定。</w:t>
      </w:r>
    </w:p>
    <w:p>
      <w:pPr>
        <w:pStyle w:val="Style26"/>
        <w:keepNext w:val="0"/>
        <w:keepLines w:val="0"/>
        <w:widowControl w:val="0"/>
        <w:shd w:val="clear" w:color="auto" w:fill="auto"/>
        <w:bidi w:val="0"/>
        <w:spacing w:before="0" w:after="320" w:line="504" w:lineRule="exact"/>
        <w:ind w:left="0" w:right="0" w:firstLine="380"/>
        <w:jc w:val="both"/>
      </w:pPr>
      <w:r>
        <w:rPr>
          <w:color w:val="000000"/>
          <w:spacing w:val="0"/>
          <w:w w:val="100"/>
          <w:position w:val="0"/>
        </w:rPr>
        <w:t>损失准备的增加或转回，作为减值损失或利得，计入当期损益。对于持有的以公允价值计量且其变动计入其他综合收益 的债务工具，减值损失或利得计入当期损益的同时调整其他综合收益。</w:t>
      </w:r>
    </w:p>
    <w:p>
      <w:pPr>
        <w:pStyle w:val="Style26"/>
        <w:keepNext w:val="0"/>
        <w:keepLines w:val="0"/>
        <w:widowControl w:val="0"/>
        <w:shd w:val="clear" w:color="auto" w:fill="auto"/>
        <w:bidi w:val="0"/>
        <w:spacing w:before="0" w:after="0" w:line="583" w:lineRule="auto"/>
        <w:ind w:left="0" w:right="0" w:firstLine="380"/>
        <w:jc w:val="both"/>
      </w:pPr>
      <w:r>
        <w:rPr>
          <w:rFonts w:ascii="Arial Narrow" w:eastAsia="Arial Narrow" w:hAnsi="Arial Narrow" w:cs="Arial Narrow"/>
          <w:color w:val="000000"/>
          <w:spacing w:val="0"/>
          <w:w w:val="100"/>
          <w:position w:val="0"/>
          <w:sz w:val="18"/>
          <w:szCs w:val="18"/>
        </w:rPr>
        <w:t>A.</w:t>
      </w:r>
      <w:r>
        <w:rPr>
          <w:color w:val="000000"/>
          <w:spacing w:val="0"/>
          <w:w w:val="100"/>
          <w:position w:val="0"/>
        </w:rPr>
        <w:t>对于应收票据和应收账款，无论是否存在重大融资成分，本公司均按照整个存续期的预期信用损失计量损失准备。</w:t>
      </w:r>
    </w:p>
    <w:p>
      <w:pPr>
        <w:pStyle w:val="Style26"/>
        <w:keepNext w:val="0"/>
        <w:keepLines w:val="0"/>
        <w:widowControl w:val="0"/>
        <w:shd w:val="clear" w:color="auto" w:fill="auto"/>
        <w:bidi w:val="0"/>
        <w:spacing w:before="0" w:after="0" w:line="504" w:lineRule="exact"/>
        <w:ind w:left="0" w:right="0" w:firstLine="380"/>
        <w:jc w:val="both"/>
      </w:pPr>
      <w:r>
        <w:rPr>
          <w:color w:val="000000"/>
          <w:spacing w:val="0"/>
          <w:w w:val="100"/>
          <w:position w:val="0"/>
        </w:rPr>
        <w:t>当单项应收票据和应收账款无法以合理成本取得评估预期信用损失的信息时，本公司依据信用风险特征，将应收票据和 应收账款划分为若干组合，在组合基础上计算预期信用损失。</w:t>
      </w:r>
    </w:p>
    <w:p>
      <w:pPr>
        <w:pStyle w:val="Style26"/>
        <w:keepNext w:val="0"/>
        <w:keepLines w:val="0"/>
        <w:widowControl w:val="0"/>
        <w:shd w:val="clear" w:color="auto" w:fill="auto"/>
        <w:bidi w:val="0"/>
        <w:spacing w:before="0" w:after="80" w:line="504" w:lineRule="exact"/>
        <w:ind w:left="0" w:right="0" w:firstLine="380"/>
        <w:jc w:val="both"/>
      </w:pPr>
      <w:r>
        <w:rPr>
          <w:color w:val="000000"/>
          <w:spacing w:val="0"/>
          <w:w w:val="100"/>
          <w:position w:val="0"/>
        </w:rPr>
        <w:t>对于划分为组合的应收账款，本公司参考历史信用损失经验，结合当前状况以及对未来经济状况的预测，编制应收账款 账龄与整个存续期预期信用损失率对照表，计算预期信用损失。确定应收账款组合的依据如下：</w:t>
      </w:r>
    </w:p>
    <w:tbl>
      <w:tblPr>
        <w:tblOverlap w:val="never"/>
        <w:jc w:val="center"/>
        <w:tblLayout w:type="fixed"/>
      </w:tblPr>
      <w:tblGrid>
        <w:gridCol w:w="4714"/>
        <w:gridCol w:w="4699"/>
      </w:tblGrid>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rFonts w:ascii="SimSun" w:eastAsia="SimSun" w:hAnsi="SimSun" w:cs="SimSun"/>
                <w:color w:val="000000"/>
                <w:spacing w:val="0"/>
                <w:w w:val="100"/>
                <w:position w:val="0"/>
                <w:sz w:val="17"/>
                <w:szCs w:val="17"/>
              </w:rPr>
              <w:t>组合</w:t>
            </w: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应收工程结算款</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rFonts w:ascii="SimSun" w:eastAsia="SimSun" w:hAnsi="SimSun" w:cs="SimSun"/>
                <w:color w:val="000000"/>
                <w:spacing w:val="0"/>
                <w:w w:val="100"/>
                <w:position w:val="0"/>
                <w:sz w:val="17"/>
                <w:szCs w:val="17"/>
              </w:rPr>
              <w:t>组合</w:t>
            </w:r>
            <w:r>
              <w:rPr>
                <w:rFonts w:ascii="Arial Narrow" w:eastAsia="Arial Narrow" w:hAnsi="Arial Narrow" w:cs="Arial Narrow"/>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应收国家电网电费及补贴款组合</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rFonts w:ascii="SimSun" w:eastAsia="SimSun" w:hAnsi="SimSun" w:cs="SimSun"/>
                <w:color w:val="000000"/>
                <w:spacing w:val="0"/>
                <w:w w:val="100"/>
                <w:position w:val="0"/>
                <w:sz w:val="17"/>
                <w:szCs w:val="17"/>
              </w:rPr>
              <w:t>组合</w:t>
            </w:r>
            <w:r>
              <w:rPr>
                <w:rFonts w:ascii="Arial Narrow" w:eastAsia="Arial Narrow" w:hAnsi="Arial Narrow" w:cs="Arial Narrow"/>
                <w:color w:val="000000"/>
                <w:spacing w:val="0"/>
                <w:w w:val="100"/>
                <w:position w:val="0"/>
                <w:sz w:val="18"/>
                <w:szCs w:val="18"/>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0" w:right="0" w:firstLine="0"/>
              <w:jc w:val="center"/>
              <w:rPr>
                <w:sz w:val="17"/>
                <w:szCs w:val="17"/>
              </w:rPr>
            </w:pPr>
            <w:r>
              <w:rPr>
                <w:rFonts w:ascii="SimSun" w:eastAsia="SimSun" w:hAnsi="SimSun" w:cs="SimSun"/>
                <w:color w:val="000000"/>
                <w:spacing w:val="0"/>
                <w:w w:val="100"/>
                <w:position w:val="0"/>
                <w:sz w:val="17"/>
                <w:szCs w:val="17"/>
              </w:rPr>
              <w:t>合并范围内关联方组合</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rFonts w:ascii="SimSun" w:eastAsia="SimSun" w:hAnsi="SimSun" w:cs="SimSun"/>
                <w:color w:val="000000"/>
                <w:spacing w:val="0"/>
                <w:w w:val="100"/>
                <w:position w:val="0"/>
                <w:sz w:val="17"/>
                <w:szCs w:val="17"/>
              </w:rPr>
              <w:t>组合</w:t>
            </w:r>
            <w:r>
              <w:rPr>
                <w:rFonts w:ascii="Arial Narrow" w:eastAsia="Arial Narrow" w:hAnsi="Arial Narrow" w:cs="Arial Narrow"/>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440" w:right="0" w:firstLine="0"/>
              <w:jc w:val="center"/>
              <w:rPr>
                <w:sz w:val="17"/>
                <w:szCs w:val="17"/>
              </w:rPr>
            </w:pPr>
            <w:r>
              <w:rPr>
                <w:rFonts w:ascii="SimSun" w:eastAsia="SimSun" w:hAnsi="SimSun" w:cs="SimSun"/>
                <w:color w:val="000000"/>
                <w:spacing w:val="0"/>
                <w:w w:val="100"/>
                <w:position w:val="0"/>
                <w:sz w:val="17"/>
                <w:szCs w:val="17"/>
              </w:rPr>
              <w:t>其他应收账款</w:t>
            </w:r>
          </w:p>
        </w:tc>
      </w:tr>
    </w:tbl>
    <w:p>
      <w:pPr>
        <w:widowControl w:val="0"/>
        <w:spacing w:after="259" w:line="1" w:lineRule="exact"/>
      </w:pPr>
    </w:p>
    <w:p>
      <w:pPr>
        <w:pStyle w:val="Style26"/>
        <w:keepNext w:val="0"/>
        <w:keepLines w:val="0"/>
        <w:widowControl w:val="0"/>
        <w:shd w:val="clear" w:color="auto" w:fill="auto"/>
        <w:bidi w:val="0"/>
        <w:spacing w:before="0" w:after="260" w:line="240" w:lineRule="auto"/>
        <w:ind w:left="0" w:right="0" w:firstLine="380"/>
        <w:jc w:val="both"/>
      </w:pPr>
      <w:r>
        <w:rPr>
          <w:color w:val="000000"/>
          <w:spacing w:val="0"/>
          <w:w w:val="100"/>
          <w:position w:val="0"/>
        </w:rPr>
        <w:t>对于划分为组合的应收票据，本公司参考历史信用损失经验，结合当前状况以及对未来经济状况的预测，通过违约风险</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敞口和整个存续期预期信用损失率，计算预期信用损失。确定组合的依据如下：</w:t>
      </w:r>
    </w:p>
    <w:tbl>
      <w:tblPr>
        <w:tblOverlap w:val="never"/>
        <w:jc w:val="center"/>
        <w:tblLayout w:type="fixed"/>
      </w:tblPr>
      <w:tblGrid>
        <w:gridCol w:w="4574"/>
        <w:gridCol w:w="4565"/>
      </w:tblGrid>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组合</w:t>
            </w: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7"/>
                <w:szCs w:val="17"/>
              </w:rPr>
            </w:pPr>
            <w:r>
              <w:rPr>
                <w:rFonts w:ascii="SimSun" w:eastAsia="SimSun" w:hAnsi="SimSun" w:cs="SimSun"/>
                <w:color w:val="000000"/>
                <w:spacing w:val="0"/>
                <w:w w:val="100"/>
                <w:position w:val="0"/>
                <w:sz w:val="17"/>
                <w:szCs w:val="17"/>
              </w:rPr>
              <w:t>商业承兑汇票</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组合</w:t>
            </w:r>
            <w:r>
              <w:rPr>
                <w:rFonts w:ascii="Arial Narrow" w:eastAsia="Arial Narrow" w:hAnsi="Arial Narrow" w:cs="Arial Narrow"/>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00" w:right="0" w:firstLine="0"/>
              <w:jc w:val="left"/>
              <w:rPr>
                <w:sz w:val="17"/>
                <w:szCs w:val="17"/>
              </w:rPr>
            </w:pPr>
            <w:r>
              <w:rPr>
                <w:rFonts w:ascii="SimSun" w:eastAsia="SimSun" w:hAnsi="SimSun" w:cs="SimSun"/>
                <w:color w:val="000000"/>
                <w:spacing w:val="0"/>
                <w:w w:val="100"/>
                <w:position w:val="0"/>
                <w:sz w:val="17"/>
                <w:szCs w:val="17"/>
              </w:rPr>
              <w:t>银行承兑汇票</w:t>
            </w:r>
          </w:p>
        </w:tc>
      </w:tr>
    </w:tbl>
    <w:p>
      <w:pPr>
        <w:widowControl w:val="0"/>
        <w:spacing w:after="259" w:line="1" w:lineRule="exact"/>
      </w:pPr>
    </w:p>
    <w:p>
      <w:pPr>
        <w:pStyle w:val="Style26"/>
        <w:keepNext w:val="0"/>
        <w:keepLines w:val="0"/>
        <w:widowControl w:val="0"/>
        <w:shd w:val="clear" w:color="auto" w:fill="auto"/>
        <w:bidi w:val="0"/>
        <w:spacing w:before="0" w:after="300" w:line="240" w:lineRule="auto"/>
        <w:ind w:left="0" w:right="0" w:firstLine="380"/>
        <w:jc w:val="both"/>
      </w:pPr>
      <w:r>
        <w:rPr>
          <w:rFonts w:ascii="Arial Narrow" w:eastAsia="Arial Narrow" w:hAnsi="Arial Narrow" w:cs="Arial Narrow"/>
          <w:color w:val="000000"/>
          <w:spacing w:val="0"/>
          <w:w w:val="100"/>
          <w:position w:val="0"/>
          <w:sz w:val="18"/>
          <w:szCs w:val="18"/>
        </w:rPr>
        <w:t>B.</w:t>
      </w:r>
      <w:r>
        <w:rPr>
          <w:color w:val="000000"/>
          <w:spacing w:val="0"/>
          <w:w w:val="100"/>
          <w:position w:val="0"/>
        </w:rPr>
        <w:t>当单项其他应收款、长期应收款无法以合理成本取得评估预期信用损失的信息时，本公司依据信用风险特征将其他应</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收款、长期应收款划分为若干组合，在组合基础上计算预期信用损失。确定组合的依据如下：</w:t>
      </w:r>
    </w:p>
    <w:tbl>
      <w:tblPr>
        <w:tblOverlap w:val="never"/>
        <w:jc w:val="center"/>
        <w:tblLayout w:type="fixed"/>
      </w:tblPr>
      <w:tblGrid>
        <w:gridCol w:w="3662"/>
        <w:gridCol w:w="5578"/>
      </w:tblGrid>
      <w:tr>
        <w:trPr>
          <w:trHeight w:val="73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sz w:val="17"/>
                <w:szCs w:val="17"/>
              </w:rPr>
              <w:t>其他应收款组合</w:t>
            </w: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出口退税款、员工公务借款、备用金、押金及保证金、关联方往来、代 扣代缴社保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sz w:val="17"/>
                <w:szCs w:val="17"/>
              </w:rPr>
              <w:t>其他应收款组合</w:t>
            </w:r>
            <w:r>
              <w:rPr>
                <w:rFonts w:ascii="Arial Narrow" w:eastAsia="Arial Narrow" w:hAnsi="Arial Narrow" w:cs="Arial Narrow"/>
                <w:color w:val="000000"/>
                <w:spacing w:val="0"/>
                <w:w w:val="100"/>
                <w:position w:val="0"/>
                <w:sz w:val="18"/>
                <w:szCs w:val="18"/>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应收其他款项</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sz w:val="17"/>
                <w:szCs w:val="17"/>
              </w:rPr>
              <w:t>长期应收款组合</w:t>
            </w:r>
            <w:r>
              <w:rPr>
                <w:rFonts w:ascii="Arial Narrow" w:eastAsia="Arial Narrow" w:hAnsi="Arial Narrow" w:cs="Arial Narrow"/>
                <w:color w:val="000000"/>
                <w:spacing w:val="0"/>
                <w:w w:val="100"/>
                <w:position w:val="0"/>
                <w:sz w:val="18"/>
                <w:szCs w:val="18"/>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应收租赁款</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sz w:val="17"/>
                <w:szCs w:val="17"/>
              </w:rPr>
              <w:t>长期应收款组合</w:t>
            </w:r>
            <w:r>
              <w:rPr>
                <w:rFonts w:ascii="Arial Narrow" w:eastAsia="Arial Narrow" w:hAnsi="Arial Narrow" w:cs="Arial Narrow"/>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应收其他款项</w:t>
            </w:r>
          </w:p>
        </w:tc>
      </w:tr>
    </w:tbl>
    <w:p>
      <w:pPr>
        <w:pStyle w:val="Style26"/>
        <w:keepNext w:val="0"/>
        <w:keepLines w:val="0"/>
        <w:widowControl w:val="0"/>
        <w:shd w:val="clear" w:color="auto" w:fill="auto"/>
        <w:bidi w:val="0"/>
        <w:spacing w:before="0" w:after="0" w:line="497" w:lineRule="exact"/>
        <w:ind w:left="0" w:right="0" w:firstLine="380"/>
        <w:jc w:val="both"/>
      </w:pPr>
      <w:r>
        <w:rPr>
          <w:color w:val="000000"/>
          <w:spacing w:val="0"/>
          <w:w w:val="100"/>
          <w:position w:val="0"/>
        </w:rPr>
        <w:t>对于应收租赁款，本公司参考历史信用损失经验，结合当前状况以及对未来经济状况的预测，通过违约风险敞口和整个 存续期预期信用损失率，计算预期信用损失。除应收租赁款之外的划分为组合的其他应收款和长期应收款，通过违约风险敞 口和未来</w:t>
      </w:r>
      <w:r>
        <w:rPr>
          <w:rFonts w:ascii="Arial Narrow" w:eastAsia="Arial Narrow" w:hAnsi="Arial Narrow" w:cs="Arial Narrow"/>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26"/>
        <w:keepNext w:val="0"/>
        <w:keepLines w:val="0"/>
        <w:widowControl w:val="0"/>
        <w:shd w:val="clear" w:color="auto" w:fill="auto"/>
        <w:tabs>
          <w:tab w:pos="843" w:val="left"/>
        </w:tabs>
        <w:bidi w:val="0"/>
        <w:spacing w:before="0" w:after="0" w:line="504" w:lineRule="exact"/>
        <w:ind w:left="0" w:right="0" w:firstLine="380"/>
        <w:jc w:val="both"/>
      </w:pPr>
      <w:bookmarkStart w:id="836" w:name="bookmark836"/>
      <w:r>
        <w:rPr>
          <w:color w:val="000000"/>
          <w:spacing w:val="0"/>
          <w:w w:val="100"/>
          <w:position w:val="0"/>
        </w:rPr>
        <w:t>（</w:t>
      </w:r>
      <w:bookmarkEnd w:id="836"/>
      <w:r>
        <w:rPr>
          <w:rFonts w:ascii="Arial Narrow" w:eastAsia="Arial Narrow" w:hAnsi="Arial Narrow" w:cs="Arial Narrow"/>
          <w:color w:val="000000"/>
          <w:spacing w:val="0"/>
          <w:w w:val="100"/>
          <w:position w:val="0"/>
          <w:sz w:val="18"/>
          <w:szCs w:val="18"/>
        </w:rPr>
        <w:t>6</w:t>
      </w:r>
      <w:r>
        <w:rPr>
          <w:color w:val="000000"/>
          <w:spacing w:val="0"/>
          <w:w w:val="100"/>
          <w:position w:val="0"/>
        </w:rPr>
        <w:t>）</w:t>
        <w:tab/>
        <w:t>衍生工具及嵌入衍生工具</w:t>
      </w:r>
    </w:p>
    <w:p>
      <w:pPr>
        <w:pStyle w:val="Style26"/>
        <w:keepNext w:val="0"/>
        <w:keepLines w:val="0"/>
        <w:widowControl w:val="0"/>
        <w:shd w:val="clear" w:color="auto" w:fill="auto"/>
        <w:bidi w:val="0"/>
        <w:spacing w:before="0" w:after="0" w:line="509" w:lineRule="exact"/>
        <w:ind w:left="0" w:right="0" w:firstLine="380"/>
        <w:jc w:val="both"/>
      </w:pPr>
      <w:r>
        <w:rPr>
          <w:color w:val="000000"/>
          <w:spacing w:val="0"/>
          <w:w w:val="100"/>
          <w:position w:val="0"/>
        </w:rPr>
        <w:t>本公司衍生工具主要包括远期合同、期货合同、互换合同。衍生工具初始以衍生交易合同签订当日的公允价值进行计量， 并以其公允价值进行后续计量。本公司衍生工具公允价值变动而产生的利得或损失，直接计入当期损益。</w:t>
      </w:r>
    </w:p>
    <w:p>
      <w:pPr>
        <w:pStyle w:val="Style26"/>
        <w:keepNext w:val="0"/>
        <w:keepLines w:val="0"/>
        <w:widowControl w:val="0"/>
        <w:shd w:val="clear" w:color="auto" w:fill="auto"/>
        <w:bidi w:val="0"/>
        <w:spacing w:before="0" w:after="0" w:line="504" w:lineRule="exact"/>
        <w:ind w:left="0" w:right="0" w:firstLine="380"/>
        <w:jc w:val="both"/>
      </w:pPr>
      <w:r>
        <w:rPr>
          <w:color w:val="000000"/>
          <w:spacing w:val="0"/>
          <w:w w:val="100"/>
          <w:position w:val="0"/>
        </w:rPr>
        <w:t>嵌入衍生工具是指嵌入到非衍生工具（即主合同）中的衍生工具，与主合同构成混合合同。混合合同包含的主合同属于 金融工具准则规范的资产的，本公司不从该混合合同中分拆嵌入衍生工具，而是将该混合合同作为一个整体适用金融工具准 则关于金融资产分类的相关规定。</w:t>
      </w:r>
    </w:p>
    <w:p>
      <w:pPr>
        <w:pStyle w:val="Style26"/>
        <w:keepNext w:val="0"/>
        <w:keepLines w:val="0"/>
        <w:widowControl w:val="0"/>
        <w:shd w:val="clear" w:color="auto" w:fill="auto"/>
        <w:bidi w:val="0"/>
        <w:spacing w:before="0" w:after="0" w:line="466" w:lineRule="exact"/>
        <w:ind w:left="0" w:right="0" w:firstLine="380"/>
        <w:jc w:val="both"/>
      </w:pPr>
      <w:r>
        <w:rPr>
          <w:color w:val="000000"/>
          <w:spacing w:val="0"/>
          <w:w w:val="100"/>
          <w:position w:val="0"/>
        </w:rPr>
        <w:t>混合合同包含的主合同不属于金融工具准则规范的资产，且同时符合下列条件的，本公司从主合同中分拆嵌入衍生工具， 将其作为单独存在的衍生工具进行处理：</w:t>
      </w:r>
    </w:p>
    <w:p>
      <w:pPr>
        <w:pStyle w:val="Style26"/>
        <w:keepNext w:val="0"/>
        <w:keepLines w:val="0"/>
        <w:widowControl w:val="0"/>
        <w:numPr>
          <w:ilvl w:val="0"/>
          <w:numId w:val="25"/>
        </w:numPr>
        <w:shd w:val="clear" w:color="auto" w:fill="auto"/>
        <w:tabs>
          <w:tab w:pos="723" w:val="left"/>
        </w:tabs>
        <w:bidi w:val="0"/>
        <w:spacing w:before="0" w:after="0" w:line="504" w:lineRule="exact"/>
        <w:ind w:left="0" w:right="0" w:firstLine="380"/>
        <w:jc w:val="both"/>
      </w:pPr>
      <w:bookmarkStart w:id="837" w:name="bookmark837"/>
      <w:bookmarkEnd w:id="837"/>
      <w:r>
        <w:rPr>
          <w:color w:val="000000"/>
          <w:spacing w:val="0"/>
          <w:w w:val="100"/>
          <w:position w:val="0"/>
        </w:rPr>
        <w:t>嵌入衍生工具的经济特征和风险与主合同的经济特征和风险不紧密相关；</w:t>
      </w:r>
    </w:p>
    <w:p>
      <w:pPr>
        <w:pStyle w:val="Style26"/>
        <w:keepNext w:val="0"/>
        <w:keepLines w:val="0"/>
        <w:widowControl w:val="0"/>
        <w:numPr>
          <w:ilvl w:val="0"/>
          <w:numId w:val="25"/>
        </w:numPr>
        <w:shd w:val="clear" w:color="auto" w:fill="auto"/>
        <w:tabs>
          <w:tab w:pos="723" w:val="left"/>
        </w:tabs>
        <w:bidi w:val="0"/>
        <w:spacing w:before="0" w:after="0" w:line="504" w:lineRule="exact"/>
        <w:ind w:left="0" w:right="0" w:firstLine="380"/>
        <w:jc w:val="both"/>
      </w:pPr>
      <w:bookmarkStart w:id="838" w:name="bookmark838"/>
      <w:bookmarkEnd w:id="838"/>
      <w:r>
        <w:rPr>
          <w:color w:val="000000"/>
          <w:spacing w:val="0"/>
          <w:w w:val="100"/>
          <w:position w:val="0"/>
        </w:rPr>
        <w:t>与嵌入衍生工具具有相关条款的单独工具符合衍生工具的定义；</w:t>
      </w:r>
    </w:p>
    <w:p>
      <w:pPr>
        <w:pStyle w:val="Style26"/>
        <w:keepNext w:val="0"/>
        <w:keepLines w:val="0"/>
        <w:widowControl w:val="0"/>
        <w:numPr>
          <w:ilvl w:val="0"/>
          <w:numId w:val="25"/>
        </w:numPr>
        <w:shd w:val="clear" w:color="auto" w:fill="auto"/>
        <w:tabs>
          <w:tab w:pos="723" w:val="left"/>
        </w:tabs>
        <w:bidi w:val="0"/>
        <w:spacing w:before="0" w:after="0" w:line="504" w:lineRule="exact"/>
        <w:ind w:left="0" w:right="0" w:firstLine="380"/>
        <w:jc w:val="both"/>
      </w:pPr>
      <w:bookmarkStart w:id="839" w:name="bookmark839"/>
      <w:bookmarkEnd w:id="839"/>
      <w:r>
        <w:rPr>
          <w:color w:val="000000"/>
          <w:spacing w:val="0"/>
          <w:w w:val="100"/>
          <w:position w:val="0"/>
        </w:rPr>
        <w:t>该混合合同不是以公允价值计量且其变动计入当期损益进行会计处理。</w:t>
      </w:r>
    </w:p>
    <w:p>
      <w:pPr>
        <w:pStyle w:val="Style26"/>
        <w:keepNext w:val="0"/>
        <w:keepLines w:val="0"/>
        <w:widowControl w:val="0"/>
        <w:shd w:val="clear" w:color="auto" w:fill="auto"/>
        <w:tabs>
          <w:tab w:pos="843" w:val="left"/>
        </w:tabs>
        <w:bidi w:val="0"/>
        <w:spacing w:before="0" w:after="0" w:line="504" w:lineRule="exact"/>
        <w:ind w:left="0" w:right="0" w:firstLine="380"/>
        <w:jc w:val="both"/>
      </w:pPr>
      <w:bookmarkStart w:id="840" w:name="bookmark840"/>
      <w:r>
        <w:rPr>
          <w:color w:val="000000"/>
          <w:spacing w:val="0"/>
          <w:w w:val="100"/>
          <w:position w:val="0"/>
        </w:rPr>
        <w:t>（</w:t>
      </w:r>
      <w:bookmarkEnd w:id="840"/>
      <w:r>
        <w:rPr>
          <w:rFonts w:ascii="Arial Narrow" w:eastAsia="Arial Narrow" w:hAnsi="Arial Narrow" w:cs="Arial Narrow"/>
          <w:color w:val="000000"/>
          <w:spacing w:val="0"/>
          <w:w w:val="100"/>
          <w:position w:val="0"/>
          <w:sz w:val="18"/>
          <w:szCs w:val="18"/>
        </w:rPr>
        <w:t>7</w:t>
      </w:r>
      <w:r>
        <w:rPr>
          <w:color w:val="000000"/>
          <w:spacing w:val="0"/>
          <w:w w:val="100"/>
          <w:position w:val="0"/>
        </w:rPr>
        <w:t>）</w:t>
        <w:tab/>
        <w:t>金融资产和金融负债的抵销</w:t>
      </w:r>
    </w:p>
    <w:p>
      <w:pPr>
        <w:pStyle w:val="Style26"/>
        <w:keepNext w:val="0"/>
        <w:keepLines w:val="0"/>
        <w:widowControl w:val="0"/>
        <w:shd w:val="clear" w:color="auto" w:fill="auto"/>
        <w:bidi w:val="0"/>
        <w:spacing w:before="0" w:after="0" w:line="504" w:lineRule="exact"/>
        <w:ind w:left="0" w:right="0" w:firstLine="380"/>
        <w:jc w:val="both"/>
      </w:pPr>
      <w:r>
        <w:rPr>
          <w:color w:val="000000"/>
          <w:spacing w:val="0"/>
          <w:w w:val="100"/>
          <w:position w:val="0"/>
        </w:rPr>
        <w:t>当本公司具有抵销已确认金融资产和金融负债的法定权利，且目前可执行该种法定权利，同时本公司计划以净额结算或 同时变现该金融资产和清偿该金融负债时，金融资产和金融负债以相互抵销后的金额在资产负债表内列示。除此以外，金融 资产和金融负债在资产负债表内分别列示，不予相互抵销。</w:t>
      </w:r>
    </w:p>
    <w:p>
      <w:pPr>
        <w:pStyle w:val="Style26"/>
        <w:keepNext w:val="0"/>
        <w:keepLines w:val="0"/>
        <w:widowControl w:val="0"/>
        <w:shd w:val="clear" w:color="auto" w:fill="auto"/>
        <w:tabs>
          <w:tab w:pos="843" w:val="left"/>
        </w:tabs>
        <w:bidi w:val="0"/>
        <w:spacing w:before="0" w:after="0" w:line="504" w:lineRule="exact"/>
        <w:ind w:left="0" w:right="0" w:firstLine="380"/>
        <w:jc w:val="both"/>
      </w:pPr>
      <w:bookmarkStart w:id="841" w:name="bookmark841"/>
      <w:r>
        <w:rPr>
          <w:color w:val="000000"/>
          <w:spacing w:val="0"/>
          <w:w w:val="100"/>
          <w:position w:val="0"/>
        </w:rPr>
        <w:t>（</w:t>
      </w:r>
      <w:bookmarkEnd w:id="841"/>
      <w:r>
        <w:rPr>
          <w:rFonts w:ascii="Arial Narrow" w:eastAsia="Arial Narrow" w:hAnsi="Arial Narrow" w:cs="Arial Narrow"/>
          <w:color w:val="000000"/>
          <w:spacing w:val="0"/>
          <w:w w:val="100"/>
          <w:position w:val="0"/>
          <w:sz w:val="18"/>
          <w:szCs w:val="18"/>
        </w:rPr>
        <w:t>8</w:t>
      </w:r>
      <w:r>
        <w:rPr>
          <w:color w:val="000000"/>
          <w:spacing w:val="0"/>
          <w:w w:val="100"/>
          <w:position w:val="0"/>
        </w:rPr>
        <w:t>）</w:t>
        <w:tab/>
        <w:t>金融工具的公允价值确定</w:t>
      </w:r>
    </w:p>
    <w:p>
      <w:pPr>
        <w:pStyle w:val="Style26"/>
        <w:keepNext w:val="0"/>
        <w:keepLines w:val="0"/>
        <w:widowControl w:val="0"/>
        <w:shd w:val="clear" w:color="auto" w:fill="auto"/>
        <w:bidi w:val="0"/>
        <w:spacing w:before="0" w:after="300" w:line="500" w:lineRule="exact"/>
        <w:ind w:left="0" w:right="0" w:firstLine="380"/>
        <w:jc w:val="both"/>
      </w:pPr>
      <w:r>
        <w:rPr>
          <w:color w:val="000000"/>
          <w:spacing w:val="0"/>
          <w:w w:val="100"/>
          <w:position w:val="0"/>
        </w:rPr>
        <w:t>存在活跃市场的金融工具，以市场参与者在计量日发生的有序交易中，出售一项资产所能收到或者转移一项负债所需支 付的价格确定其公允价值。不存在活跃市场的金融工具，采用估值技术确定其公允价值。在估值时，本公司采用在当前情况 下适用并且有足够可利用数据和其他信息支持的估值技术，选择与市场参与者在相关资产或负债的交易中所考虑的资产或负 债特征相一致的输入值，并尽可能优先使用相关可观察输入值。在相关可观察输入值无法取得或取得不切实可行时，使用不 可观察输入值。</w:t>
      </w:r>
    </w:p>
    <w:p>
      <w:pPr>
        <w:pStyle w:val="Style22"/>
        <w:keepNext/>
        <w:keepLines/>
        <w:widowControl w:val="0"/>
        <w:shd w:val="clear" w:color="auto" w:fill="auto"/>
        <w:tabs>
          <w:tab w:pos="791" w:val="left"/>
        </w:tabs>
        <w:bidi w:val="0"/>
        <w:spacing w:before="0" w:after="0" w:line="523" w:lineRule="auto"/>
        <w:ind w:left="0" w:right="0" w:firstLine="380"/>
        <w:jc w:val="left"/>
        <w:rPr>
          <w:sz w:val="20"/>
          <w:szCs w:val="20"/>
        </w:rPr>
      </w:pPr>
      <w:bookmarkStart w:id="842" w:name="bookmark842"/>
      <w:bookmarkStart w:id="843" w:name="bookmark843"/>
      <w:bookmarkStart w:id="844" w:name="bookmark844"/>
      <w:bookmarkStart w:id="845" w:name="bookmark845"/>
      <w:r>
        <w:rPr>
          <w:rFonts w:ascii="Arial Narrow" w:eastAsia="Arial Narrow" w:hAnsi="Arial Narrow" w:cs="Arial Narrow"/>
          <w:color w:val="000000"/>
          <w:spacing w:val="0"/>
          <w:w w:val="100"/>
          <w:position w:val="0"/>
          <w:sz w:val="20"/>
          <w:szCs w:val="20"/>
        </w:rPr>
        <w:t>1</w:t>
      </w:r>
      <w:bookmarkEnd w:id="844"/>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w:t>
        <w:tab/>
        <w:t>存货</w:t>
      </w:r>
      <w:bookmarkEnd w:id="842"/>
      <w:bookmarkEnd w:id="843"/>
      <w:bookmarkEnd w:id="845"/>
    </w:p>
    <w:p>
      <w:pPr>
        <w:pStyle w:val="Style26"/>
        <w:keepNext w:val="0"/>
        <w:keepLines w:val="0"/>
        <w:widowControl w:val="0"/>
        <w:shd w:val="clear" w:color="auto" w:fill="auto"/>
        <w:tabs>
          <w:tab w:pos="819" w:val="left"/>
        </w:tabs>
        <w:bidi w:val="0"/>
        <w:spacing w:before="0" w:after="0" w:line="500" w:lineRule="exact"/>
        <w:ind w:left="0" w:right="0" w:firstLine="380"/>
        <w:jc w:val="both"/>
      </w:pPr>
      <w:bookmarkStart w:id="846" w:name="bookmark846"/>
      <w:r>
        <w:rPr>
          <w:color w:val="000000"/>
          <w:spacing w:val="0"/>
          <w:w w:val="100"/>
          <w:position w:val="0"/>
        </w:rPr>
        <w:t>（</w:t>
      </w:r>
      <w:bookmarkEnd w:id="846"/>
      <w:r>
        <w:rPr>
          <w:rFonts w:ascii="Arial Narrow" w:eastAsia="Arial Narrow" w:hAnsi="Arial Narrow" w:cs="Arial Narrow"/>
          <w:color w:val="000000"/>
          <w:spacing w:val="0"/>
          <w:w w:val="100"/>
          <w:position w:val="0"/>
          <w:sz w:val="18"/>
          <w:szCs w:val="18"/>
        </w:rPr>
        <w:t>1</w:t>
      </w:r>
      <w:r>
        <w:rPr>
          <w:color w:val="000000"/>
          <w:spacing w:val="0"/>
          <w:w w:val="100"/>
          <w:position w:val="0"/>
        </w:rPr>
        <w:t>）</w:t>
        <w:tab/>
        <w:t>存货的分类</w:t>
      </w:r>
    </w:p>
    <w:p>
      <w:pPr>
        <w:pStyle w:val="Style26"/>
        <w:keepNext w:val="0"/>
        <w:keepLines w:val="0"/>
        <w:widowControl w:val="0"/>
        <w:shd w:val="clear" w:color="auto" w:fill="auto"/>
        <w:bidi w:val="0"/>
        <w:spacing w:before="0" w:after="0" w:line="500" w:lineRule="exact"/>
        <w:ind w:left="0" w:right="0" w:firstLine="380"/>
        <w:jc w:val="both"/>
      </w:pPr>
      <w:r>
        <w:rPr>
          <w:color w:val="000000"/>
          <w:spacing w:val="0"/>
          <w:w w:val="100"/>
          <w:position w:val="0"/>
        </w:rPr>
        <w:t>存货主要包括库存商品、原材料、在产品、工程施工、消耗性生物资产、低值易耗品等。</w:t>
      </w:r>
    </w:p>
    <w:p>
      <w:pPr>
        <w:pStyle w:val="Style26"/>
        <w:keepNext w:val="0"/>
        <w:keepLines w:val="0"/>
        <w:widowControl w:val="0"/>
        <w:shd w:val="clear" w:color="auto" w:fill="auto"/>
        <w:tabs>
          <w:tab w:pos="819" w:val="left"/>
        </w:tabs>
        <w:bidi w:val="0"/>
        <w:spacing w:before="0" w:after="0" w:line="500" w:lineRule="exact"/>
        <w:ind w:left="0" w:right="0" w:firstLine="380"/>
        <w:jc w:val="both"/>
      </w:pPr>
      <w:bookmarkStart w:id="847" w:name="bookmark847"/>
      <w:r>
        <w:rPr>
          <w:color w:val="000000"/>
          <w:spacing w:val="0"/>
          <w:w w:val="100"/>
          <w:position w:val="0"/>
        </w:rPr>
        <w:t>（</w:t>
      </w:r>
      <w:bookmarkEnd w:id="847"/>
      <w:r>
        <w:rPr>
          <w:rFonts w:ascii="Arial Narrow" w:eastAsia="Arial Narrow" w:hAnsi="Arial Narrow" w:cs="Arial Narrow"/>
          <w:color w:val="000000"/>
          <w:spacing w:val="0"/>
          <w:w w:val="100"/>
          <w:position w:val="0"/>
          <w:sz w:val="18"/>
          <w:szCs w:val="18"/>
        </w:rPr>
        <w:t>2</w:t>
      </w:r>
      <w:r>
        <w:rPr>
          <w:color w:val="000000"/>
          <w:spacing w:val="0"/>
          <w:w w:val="100"/>
          <w:position w:val="0"/>
        </w:rPr>
        <w:t>）</w:t>
        <w:tab/>
        <w:t>存货取得和发出的计价方法</w:t>
      </w:r>
    </w:p>
    <w:p>
      <w:pPr>
        <w:pStyle w:val="Style26"/>
        <w:keepNext w:val="0"/>
        <w:keepLines w:val="0"/>
        <w:widowControl w:val="0"/>
        <w:shd w:val="clear" w:color="auto" w:fill="auto"/>
        <w:bidi w:val="0"/>
        <w:spacing w:before="0" w:after="0" w:line="500" w:lineRule="exact"/>
        <w:ind w:left="0" w:right="0" w:firstLine="380"/>
        <w:jc w:val="both"/>
      </w:pPr>
      <w:r>
        <w:rPr>
          <w:color w:val="000000"/>
          <w:spacing w:val="0"/>
          <w:w w:val="100"/>
          <w:position w:val="0"/>
        </w:rPr>
        <w:t>存货按成本进行初始计量，在取得时按实际成本计价，发出时按加权平均法计价。资产负债表日，存货按照成本与可变 现净值孰低计量。</w:t>
      </w:r>
    </w:p>
    <w:p>
      <w:pPr>
        <w:pStyle w:val="Style26"/>
        <w:keepNext w:val="0"/>
        <w:keepLines w:val="0"/>
        <w:widowControl w:val="0"/>
        <w:shd w:val="clear" w:color="auto" w:fill="auto"/>
        <w:tabs>
          <w:tab w:pos="819" w:val="left"/>
        </w:tabs>
        <w:bidi w:val="0"/>
        <w:spacing w:before="0" w:after="0" w:line="500" w:lineRule="exact"/>
        <w:ind w:left="0" w:right="0" w:firstLine="380"/>
        <w:jc w:val="both"/>
      </w:pPr>
      <w:bookmarkStart w:id="848" w:name="bookmark848"/>
      <w:r>
        <w:rPr>
          <w:color w:val="000000"/>
          <w:spacing w:val="0"/>
          <w:w w:val="100"/>
          <w:position w:val="0"/>
        </w:rPr>
        <w:t>（</w:t>
      </w:r>
      <w:bookmarkEnd w:id="848"/>
      <w:r>
        <w:rPr>
          <w:rFonts w:ascii="Arial Narrow" w:eastAsia="Arial Narrow" w:hAnsi="Arial Narrow" w:cs="Arial Narrow"/>
          <w:color w:val="000000"/>
          <w:spacing w:val="0"/>
          <w:w w:val="100"/>
          <w:position w:val="0"/>
          <w:sz w:val="18"/>
          <w:szCs w:val="18"/>
        </w:rPr>
        <w:t>3</w:t>
      </w:r>
      <w:r>
        <w:rPr>
          <w:color w:val="000000"/>
          <w:spacing w:val="0"/>
          <w:w w:val="100"/>
          <w:position w:val="0"/>
        </w:rPr>
        <w:t>）</w:t>
        <w:tab/>
        <w:t>存货可变现净值的确认和跌价准备的计提方法</w:t>
      </w:r>
    </w:p>
    <w:p>
      <w:pPr>
        <w:pStyle w:val="Style26"/>
        <w:keepNext w:val="0"/>
        <w:keepLines w:val="0"/>
        <w:widowControl w:val="0"/>
        <w:shd w:val="clear" w:color="auto" w:fill="auto"/>
        <w:bidi w:val="0"/>
        <w:spacing w:before="0" w:after="0" w:line="500" w:lineRule="exact"/>
        <w:ind w:left="0" w:right="0" w:firstLine="380"/>
        <w:jc w:val="both"/>
      </w:pPr>
      <w:r>
        <w:rPr>
          <w:color w:val="000000"/>
          <w:spacing w:val="0"/>
          <w:w w:val="100"/>
          <w:position w:val="0"/>
        </w:rPr>
        <w:t>存货可变现净值是指在正常经营过程中，存货的估计售价减去至完工时估计将要发生的成本、估计的销售费用以及相关 税费后的金额。在确定存货的可变现净值时，以取得的确凿证据为基础，同时考虑持有存货的目的以及资产负债表日后事项 的影响。</w:t>
      </w:r>
    </w:p>
    <w:p>
      <w:pPr>
        <w:pStyle w:val="Style26"/>
        <w:keepNext w:val="0"/>
        <w:keepLines w:val="0"/>
        <w:widowControl w:val="0"/>
        <w:shd w:val="clear" w:color="auto" w:fill="auto"/>
        <w:bidi w:val="0"/>
        <w:spacing w:before="0" w:after="0" w:line="500" w:lineRule="exact"/>
        <w:ind w:left="0" w:right="0" w:firstLine="380"/>
        <w:jc w:val="both"/>
      </w:pPr>
      <w:r>
        <w:rPr>
          <w:color w:val="000000"/>
          <w:spacing w:val="0"/>
          <w:w w:val="100"/>
          <w:position w:val="0"/>
        </w:rPr>
        <w:t>存货跌价准备的计提方法：本公司于每年中期期末及年度终了在对存货进行全面盘点的基础上，对遭受损失，全部或部 分陈旧过时或销售价格低于成本的存货，根据存货成本与可变现净值孰低计量，按单个存货项目对同类存货项目的可变现净 值低于存货成本的差额计提存货跌价准备，并计入当期损益。确定可变现净值时，除考虑持有目的和资产负债表日该存货的 价格与成本波动外，还需要考虑未来事项的影响。</w:t>
      </w:r>
    </w:p>
    <w:p>
      <w:pPr>
        <w:pStyle w:val="Style26"/>
        <w:keepNext w:val="0"/>
        <w:keepLines w:val="0"/>
        <w:widowControl w:val="0"/>
        <w:shd w:val="clear" w:color="auto" w:fill="auto"/>
        <w:bidi w:val="0"/>
        <w:spacing w:before="0" w:after="0" w:line="500" w:lineRule="exact"/>
        <w:ind w:left="0" w:right="0" w:firstLine="380"/>
        <w:jc w:val="both"/>
      </w:pPr>
      <w:r>
        <w:rPr>
          <w:color w:val="000000"/>
          <w:spacing w:val="0"/>
          <w:w w:val="100"/>
          <w:position w:val="0"/>
        </w:rPr>
        <w:t>若以前减记存货价值的影响因素已经消失，减记的金额予以恢复，并在原已计提的存货跌价准备金额内转回，转回的金 额计入当期损益。</w:t>
      </w:r>
    </w:p>
    <w:p>
      <w:pPr>
        <w:pStyle w:val="Style26"/>
        <w:keepNext w:val="0"/>
        <w:keepLines w:val="0"/>
        <w:widowControl w:val="0"/>
        <w:shd w:val="clear" w:color="auto" w:fill="auto"/>
        <w:tabs>
          <w:tab w:pos="819" w:val="left"/>
        </w:tabs>
        <w:bidi w:val="0"/>
        <w:spacing w:before="0" w:after="0" w:line="500" w:lineRule="exact"/>
        <w:ind w:left="0" w:right="0" w:firstLine="380"/>
        <w:jc w:val="both"/>
      </w:pPr>
      <w:bookmarkStart w:id="849" w:name="bookmark849"/>
      <w:r>
        <w:rPr>
          <w:color w:val="000000"/>
          <w:spacing w:val="0"/>
          <w:w w:val="100"/>
          <w:position w:val="0"/>
        </w:rPr>
        <w:t>（</w:t>
      </w:r>
      <w:bookmarkEnd w:id="849"/>
      <w:r>
        <w:rPr>
          <w:rFonts w:ascii="Arial Narrow" w:eastAsia="Arial Narrow" w:hAnsi="Arial Narrow" w:cs="Arial Narrow"/>
          <w:color w:val="000000"/>
          <w:spacing w:val="0"/>
          <w:w w:val="100"/>
          <w:position w:val="0"/>
          <w:sz w:val="18"/>
          <w:szCs w:val="18"/>
        </w:rPr>
        <w:t>4</w:t>
      </w:r>
      <w:r>
        <w:rPr>
          <w:color w:val="000000"/>
          <w:spacing w:val="0"/>
          <w:w w:val="100"/>
          <w:position w:val="0"/>
        </w:rPr>
        <w:t>）</w:t>
        <w:tab/>
        <w:t>存货的盘存制度为永续盘存制。</w:t>
      </w:r>
    </w:p>
    <w:p>
      <w:pPr>
        <w:pStyle w:val="Style26"/>
        <w:keepNext w:val="0"/>
        <w:keepLines w:val="0"/>
        <w:widowControl w:val="0"/>
        <w:shd w:val="clear" w:color="auto" w:fill="auto"/>
        <w:tabs>
          <w:tab w:pos="819" w:val="left"/>
        </w:tabs>
        <w:bidi w:val="0"/>
        <w:spacing w:before="0" w:after="300" w:line="500" w:lineRule="exact"/>
        <w:ind w:left="0" w:right="0" w:firstLine="380"/>
        <w:jc w:val="both"/>
      </w:pPr>
      <w:bookmarkStart w:id="850" w:name="bookmark850"/>
      <w:r>
        <w:rPr>
          <w:color w:val="000000"/>
          <w:spacing w:val="0"/>
          <w:w w:val="100"/>
          <w:position w:val="0"/>
        </w:rPr>
        <w:t>（</w:t>
      </w:r>
      <w:bookmarkEnd w:id="850"/>
      <w:r>
        <w:rPr>
          <w:rFonts w:ascii="Arial Narrow" w:eastAsia="Arial Narrow" w:hAnsi="Arial Narrow" w:cs="Arial Narrow"/>
          <w:color w:val="000000"/>
          <w:spacing w:val="0"/>
          <w:w w:val="100"/>
          <w:position w:val="0"/>
          <w:sz w:val="18"/>
          <w:szCs w:val="18"/>
        </w:rPr>
        <w:t>5</w:t>
      </w:r>
      <w:r>
        <w:rPr>
          <w:color w:val="000000"/>
          <w:spacing w:val="0"/>
          <w:w w:val="100"/>
          <w:position w:val="0"/>
        </w:rPr>
        <w:t>）</w:t>
        <w:tab/>
        <w:t>低值易耗品的摊销方法：于领用时按一次摊销法摊销。</w:t>
      </w:r>
    </w:p>
    <w:p>
      <w:pPr>
        <w:pStyle w:val="Style22"/>
        <w:keepNext/>
        <w:keepLines/>
        <w:widowControl w:val="0"/>
        <w:shd w:val="clear" w:color="auto" w:fill="auto"/>
        <w:tabs>
          <w:tab w:pos="791" w:val="left"/>
        </w:tabs>
        <w:bidi w:val="0"/>
        <w:spacing w:before="0" w:after="0" w:line="523" w:lineRule="auto"/>
        <w:ind w:left="0" w:right="0" w:firstLine="380"/>
        <w:jc w:val="both"/>
        <w:rPr>
          <w:sz w:val="20"/>
          <w:szCs w:val="20"/>
        </w:rPr>
      </w:pPr>
      <w:bookmarkStart w:id="851" w:name="bookmark851"/>
      <w:bookmarkStart w:id="852" w:name="bookmark852"/>
      <w:bookmarkStart w:id="853" w:name="bookmark853"/>
      <w:bookmarkStart w:id="854" w:name="bookmark854"/>
      <w:r>
        <w:rPr>
          <w:rFonts w:ascii="Arial Narrow" w:eastAsia="Arial Narrow" w:hAnsi="Arial Narrow" w:cs="Arial Narrow"/>
          <w:color w:val="000000"/>
          <w:spacing w:val="0"/>
          <w:w w:val="100"/>
          <w:position w:val="0"/>
          <w:sz w:val="20"/>
          <w:szCs w:val="20"/>
        </w:rPr>
        <w:t>1</w:t>
      </w:r>
      <w:bookmarkEnd w:id="853"/>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w:t>
        <w:tab/>
        <w:t>持有待售资产</w:t>
      </w:r>
      <w:bookmarkEnd w:id="851"/>
      <w:bookmarkEnd w:id="852"/>
      <w:bookmarkEnd w:id="854"/>
    </w:p>
    <w:p>
      <w:pPr>
        <w:pStyle w:val="Style26"/>
        <w:keepNext w:val="0"/>
        <w:keepLines w:val="0"/>
        <w:widowControl w:val="0"/>
        <w:shd w:val="clear" w:color="auto" w:fill="auto"/>
        <w:bidi w:val="0"/>
        <w:spacing w:before="0" w:after="40" w:line="499" w:lineRule="exact"/>
        <w:ind w:left="0" w:right="0" w:firstLine="380"/>
        <w:jc w:val="both"/>
      </w:pPr>
      <w:r>
        <w:rPr>
          <w:color w:val="000000"/>
          <w:spacing w:val="0"/>
          <w:w w:val="100"/>
          <w:position w:val="0"/>
        </w:rPr>
        <w:t xml:space="preserve">本公司将通过出售（包括具有商业实质的非货币性资产交换，下同）而非持续使用一项非流动资产或处置组收回其账 面价值，并同时满足以下两个条件的，划分为持有待售类别：⑴某项非流动资产或处置组根据类似交易中出售此类资产或处 置组的惯例，在当前状况下即可立即出售；⑵本公司已经就出售计划作出决议且获得确定的购买承诺，预计出售将在一年 </w:t>
      </w:r>
      <w:r>
        <w:rPr>
          <w:color w:val="000000"/>
          <w:spacing w:val="0"/>
          <w:w w:val="100"/>
          <w:position w:val="0"/>
        </w:rPr>
        <w:t>内完成。（有关规定要求相关权力机构或者监管部门批准后方可出售的，已经获得批准。）</w:t>
      </w:r>
    </w:p>
    <w:p>
      <w:pPr>
        <w:pStyle w:val="Style26"/>
        <w:keepNext w:val="0"/>
        <w:keepLines w:val="0"/>
        <w:widowControl w:val="0"/>
        <w:shd w:val="clear" w:color="auto" w:fill="auto"/>
        <w:bidi w:val="0"/>
        <w:spacing w:before="0" w:after="40" w:line="490" w:lineRule="exact"/>
        <w:ind w:left="0" w:right="0" w:firstLine="420"/>
        <w:jc w:val="both"/>
      </w:pPr>
      <w:r>
        <w:rPr>
          <w:color w:val="000000"/>
          <w:spacing w:val="0"/>
          <w:w w:val="100"/>
          <w:position w:val="0"/>
        </w:rPr>
        <w:t>本公司将专为转售而取得的非流动资产或处置组，在取得日满足</w:t>
      </w:r>
      <w:r>
        <w:rPr>
          <w:rFonts w:ascii="Arial Narrow" w:eastAsia="Arial Narrow" w:hAnsi="Arial Narrow" w:cs="Arial Narrow"/>
          <w:color w:val="000000"/>
          <w:spacing w:val="0"/>
          <w:w w:val="100"/>
          <w:position w:val="0"/>
          <w:sz w:val="18"/>
          <w:szCs w:val="18"/>
        </w:rPr>
        <w:t>“</w:t>
      </w:r>
      <w:r>
        <w:rPr>
          <w:color w:val="000000"/>
          <w:spacing w:val="0"/>
          <w:w w:val="100"/>
          <w:position w:val="0"/>
        </w:rPr>
        <w:t>预计出售将在一年内完成</w:t>
      </w:r>
      <w:r>
        <w:rPr>
          <w:rFonts w:ascii="Arial Narrow" w:eastAsia="Arial Narrow" w:hAnsi="Arial Narrow" w:cs="Arial Narrow"/>
          <w:color w:val="000000"/>
          <w:spacing w:val="0"/>
          <w:w w:val="100"/>
          <w:position w:val="0"/>
          <w:sz w:val="18"/>
          <w:szCs w:val="18"/>
        </w:rPr>
        <w:t>”</w:t>
      </w:r>
      <w:r>
        <w:rPr>
          <w:color w:val="000000"/>
          <w:spacing w:val="0"/>
          <w:w w:val="100"/>
          <w:position w:val="0"/>
        </w:rPr>
        <w:t>的规定条件，且短期（通常 为</w:t>
      </w:r>
      <w:r>
        <w:rPr>
          <w:rFonts w:ascii="Arial Narrow" w:eastAsia="Arial Narrow" w:hAnsi="Arial Narrow" w:cs="Arial Narrow"/>
          <w:color w:val="000000"/>
          <w:spacing w:val="0"/>
          <w:w w:val="100"/>
          <w:position w:val="0"/>
          <w:sz w:val="18"/>
          <w:szCs w:val="18"/>
        </w:rPr>
        <w:t>3</w:t>
      </w:r>
      <w:r>
        <w:rPr>
          <w:color w:val="000000"/>
          <w:spacing w:val="0"/>
          <w:w w:val="100"/>
          <w:position w:val="0"/>
        </w:rPr>
        <w:t>个月）内很可能满足持有待售类别的其他划分条件的，在取得日划分为持有待售类别。</w:t>
      </w:r>
    </w:p>
    <w:p>
      <w:pPr>
        <w:pStyle w:val="Style26"/>
        <w:keepNext w:val="0"/>
        <w:keepLines w:val="0"/>
        <w:widowControl w:val="0"/>
        <w:shd w:val="clear" w:color="auto" w:fill="auto"/>
        <w:bidi w:val="0"/>
        <w:spacing w:before="0" w:after="40" w:line="503" w:lineRule="exact"/>
        <w:ind w:left="0" w:right="0" w:firstLine="420"/>
        <w:jc w:val="both"/>
      </w:pPr>
      <w:r>
        <w:rPr>
          <w:color w:val="000000"/>
          <w:spacing w:val="0"/>
          <w:w w:val="100"/>
          <w:position w:val="0"/>
        </w:rPr>
        <w:t>本公司初始计量或在资产负债表日重新计量划分为持有待售的非流动资产和处置组时，其账面价值高于公允价值减去 出售费用后的净额的，将账面价值减记至公允价值减去出售费用后的净额，减记的金额确认为资产减值损失，计入当期损益， 同时计提持有待售资产减值准备。对于持有待售的处置组确认的资产减值损失金额，先抵减处置组中商誉的账面价值，再根 据处置组中适用《企业会计准则第</w:t>
      </w:r>
      <w:r>
        <w:rPr>
          <w:rFonts w:ascii="Arial Narrow" w:eastAsia="Arial Narrow" w:hAnsi="Arial Narrow" w:cs="Arial Narrow"/>
          <w:color w:val="000000"/>
          <w:spacing w:val="0"/>
          <w:w w:val="100"/>
          <w:position w:val="0"/>
          <w:sz w:val="18"/>
          <w:szCs w:val="18"/>
        </w:rPr>
        <w:t>42</w:t>
      </w:r>
      <w:r>
        <w:rPr>
          <w:color w:val="000000"/>
          <w:spacing w:val="0"/>
          <w:w w:val="100"/>
          <w:position w:val="0"/>
        </w:rPr>
        <w:t>号</w:t>
      </w:r>
      <w:r>
        <w:rPr>
          <w:color w:val="000000"/>
          <w:spacing w:val="0"/>
          <w:w w:val="100"/>
          <w:position w:val="0"/>
          <w:sz w:val="22"/>
          <w:szCs w:val="22"/>
        </w:rPr>
        <w:t>一一</w:t>
      </w:r>
      <w:r>
        <w:rPr>
          <w:color w:val="000000"/>
          <w:spacing w:val="0"/>
          <w:w w:val="100"/>
          <w:position w:val="0"/>
        </w:rPr>
        <w:t>持有待售的非流动资产、处置组和终止经营》计量规定的各项非流动资产账面 价值所占比重，按比例抵减其账面价值。</w:t>
      </w:r>
    </w:p>
    <w:p>
      <w:pPr>
        <w:pStyle w:val="Style26"/>
        <w:keepNext w:val="0"/>
        <w:keepLines w:val="0"/>
        <w:widowControl w:val="0"/>
        <w:shd w:val="clear" w:color="auto" w:fill="auto"/>
        <w:bidi w:val="0"/>
        <w:spacing w:before="0" w:after="40" w:line="499" w:lineRule="exact"/>
        <w:ind w:left="0" w:right="0" w:firstLine="420"/>
        <w:jc w:val="both"/>
      </w:pPr>
      <w:r>
        <w:rPr>
          <w:color w:val="000000"/>
          <w:spacing w:val="0"/>
          <w:w w:val="100"/>
          <w:position w:val="0"/>
        </w:rPr>
        <w:t>后续资产负债表日持有待售的非流动资产公允价值减去出售费用后的净额增加的，以前减记的金额予以恢复，并在划 分为持有待售类别后确认的资产减值损失金额内转回，转回金额计入当期损益。划分为持有待售类别前确认的资产减值损失 不转回。持有待售的处置组以前减记的金额应当予以恢复，并在划分为持有待售类别后适用《企业会计准则第</w:t>
      </w:r>
      <w:r>
        <w:rPr>
          <w:rFonts w:ascii="Arial Narrow" w:eastAsia="Arial Narrow" w:hAnsi="Arial Narrow" w:cs="Arial Narrow"/>
          <w:color w:val="000000"/>
          <w:spacing w:val="0"/>
          <w:w w:val="100"/>
          <w:position w:val="0"/>
          <w:sz w:val="18"/>
          <w:szCs w:val="18"/>
        </w:rPr>
        <w:t>42</w:t>
      </w:r>
      <w:r>
        <w:rPr>
          <w:color w:val="000000"/>
          <w:spacing w:val="0"/>
          <w:w w:val="100"/>
          <w:position w:val="0"/>
        </w:rPr>
        <w:t>号——持 有待售的非流动资产、处置组和终止经营》计量规定的非流动资产确认的资产减值损失金额内转回，转回金额计入当期损益。 已抵减的商誉账面价值，以及适用《企业会计准则第</w:t>
      </w:r>
      <w:r>
        <w:rPr>
          <w:rFonts w:ascii="Arial Narrow" w:eastAsia="Arial Narrow" w:hAnsi="Arial Narrow" w:cs="Arial Narrow"/>
          <w:color w:val="000000"/>
          <w:spacing w:val="0"/>
          <w:w w:val="100"/>
          <w:position w:val="0"/>
          <w:sz w:val="18"/>
          <w:szCs w:val="18"/>
        </w:rPr>
        <w:t>42</w:t>
      </w:r>
      <w:r>
        <w:rPr>
          <w:color w:val="000000"/>
          <w:spacing w:val="0"/>
          <w:w w:val="100"/>
          <w:position w:val="0"/>
        </w:rPr>
        <w:t>号——持有待售的非流动资产、处置组和终止经营》计量规定的非 流动资产在划分为持有待售类别前确认的资产减值损失不得转回。</w:t>
      </w:r>
    </w:p>
    <w:p>
      <w:pPr>
        <w:pStyle w:val="Style26"/>
        <w:keepNext w:val="0"/>
        <w:keepLines w:val="0"/>
        <w:widowControl w:val="0"/>
        <w:shd w:val="clear" w:color="auto" w:fill="auto"/>
        <w:bidi w:val="0"/>
        <w:spacing w:before="0" w:after="40" w:line="494" w:lineRule="exact"/>
        <w:ind w:left="0" w:right="0" w:firstLine="420"/>
        <w:jc w:val="both"/>
      </w:pPr>
      <w:r>
        <w:rPr>
          <w:color w:val="000000"/>
          <w:spacing w:val="0"/>
          <w:w w:val="100"/>
          <w:position w:val="0"/>
        </w:rPr>
        <w:t>持有待售的非流动资产或处置组中的非流动资产不计提折旧或摊销，持有待售的处置组中负债的利息和其他费用继续 予以确认。</w:t>
      </w:r>
    </w:p>
    <w:p>
      <w:pPr>
        <w:pStyle w:val="Style26"/>
        <w:keepNext w:val="0"/>
        <w:keepLines w:val="0"/>
        <w:widowControl w:val="0"/>
        <w:shd w:val="clear" w:color="auto" w:fill="auto"/>
        <w:bidi w:val="0"/>
        <w:spacing w:before="0" w:after="160" w:line="497" w:lineRule="exact"/>
        <w:ind w:left="0" w:right="0" w:firstLine="420"/>
        <w:jc w:val="both"/>
      </w:pPr>
      <w:r>
        <w:rPr>
          <w:color w:val="000000"/>
          <w:spacing w:val="0"/>
          <w:w w:val="100"/>
          <w:position w:val="0"/>
        </w:rPr>
        <w:t>非流动资产或处置组因不再满足持有待售类别的划分条件时，本公司不再将其继续划分为持有待售类别或非流动资产 从持有待售的处置组中移除，并按照以下两者孰低计量：（</w:t>
      </w:r>
      <w:r>
        <w:rPr>
          <w:rFonts w:ascii="Arial Narrow" w:eastAsia="Arial Narrow" w:hAnsi="Arial Narrow" w:cs="Arial Narrow"/>
          <w:color w:val="000000"/>
          <w:spacing w:val="0"/>
          <w:w w:val="100"/>
          <w:position w:val="0"/>
          <w:sz w:val="18"/>
          <w:szCs w:val="18"/>
        </w:rPr>
        <w:t>1</w:t>
      </w:r>
      <w:r>
        <w:rPr>
          <w:color w:val="000000"/>
          <w:spacing w:val="0"/>
          <w:w w:val="100"/>
          <w:position w:val="0"/>
        </w:rPr>
        <w:t>）划分为持有待售类别前的账面价值，按照假定不划分为持有待 售类别情况下本应确认的折旧、摊销或减值等进行调整后的金额；（</w:t>
      </w:r>
      <w:r>
        <w:rPr>
          <w:rFonts w:ascii="Arial Narrow" w:eastAsia="Arial Narrow" w:hAnsi="Arial Narrow" w:cs="Arial Narrow"/>
          <w:color w:val="000000"/>
          <w:spacing w:val="0"/>
          <w:w w:val="100"/>
          <w:position w:val="0"/>
          <w:sz w:val="18"/>
          <w:szCs w:val="18"/>
        </w:rPr>
        <w:t>2</w:t>
      </w:r>
      <w:r>
        <w:rPr>
          <w:color w:val="000000"/>
          <w:spacing w:val="0"/>
          <w:w w:val="100"/>
          <w:position w:val="0"/>
        </w:rPr>
        <w:t>）可收回金额。</w:t>
      </w:r>
    </w:p>
    <w:p>
      <w:pPr>
        <w:pStyle w:val="Style26"/>
        <w:keepNext w:val="0"/>
        <w:keepLines w:val="0"/>
        <w:widowControl w:val="0"/>
        <w:shd w:val="clear" w:color="auto" w:fill="auto"/>
        <w:bidi w:val="0"/>
        <w:spacing w:before="0" w:after="300" w:line="240" w:lineRule="auto"/>
        <w:ind w:left="0" w:right="0" w:firstLine="420"/>
        <w:jc w:val="both"/>
      </w:pPr>
      <w:r>
        <w:rPr>
          <w:color w:val="000000"/>
          <w:spacing w:val="0"/>
          <w:w w:val="100"/>
          <w:position w:val="0"/>
        </w:rPr>
        <w:t>终止确认持有待售的非流动资产或处置组时，本公司将尚未确认的利得或损失计入当期损益。</w:t>
      </w:r>
    </w:p>
    <w:p>
      <w:pPr>
        <w:pStyle w:val="Style22"/>
        <w:keepNext/>
        <w:keepLines/>
        <w:widowControl w:val="0"/>
        <w:shd w:val="clear" w:color="auto" w:fill="auto"/>
        <w:bidi w:val="0"/>
        <w:spacing w:before="0" w:after="40" w:line="240" w:lineRule="auto"/>
        <w:ind w:left="0" w:right="0" w:firstLine="420"/>
        <w:jc w:val="both"/>
        <w:rPr>
          <w:sz w:val="20"/>
          <w:szCs w:val="20"/>
        </w:rPr>
      </w:pPr>
      <w:bookmarkStart w:id="855" w:name="bookmark855"/>
      <w:bookmarkStart w:id="856" w:name="bookmark856"/>
      <w:bookmarkStart w:id="857" w:name="bookmark857"/>
      <w:bookmarkStart w:id="858" w:name="bookmark858"/>
      <w:r>
        <w:rPr>
          <w:rFonts w:ascii="Arial Narrow" w:eastAsia="Arial Narrow" w:hAnsi="Arial Narrow" w:cs="Arial Narrow"/>
          <w:color w:val="000000"/>
          <w:spacing w:val="0"/>
          <w:w w:val="100"/>
          <w:position w:val="0"/>
          <w:sz w:val="20"/>
          <w:szCs w:val="20"/>
        </w:rPr>
        <w:t>1</w:t>
      </w:r>
      <w:bookmarkEnd w:id="857"/>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、长期股权投资</w:t>
      </w:r>
      <w:bookmarkEnd w:id="855"/>
      <w:bookmarkEnd w:id="856"/>
      <w:bookmarkEnd w:id="858"/>
    </w:p>
    <w:p>
      <w:pPr>
        <w:pStyle w:val="Style26"/>
        <w:keepNext w:val="0"/>
        <w:keepLines w:val="0"/>
        <w:widowControl w:val="0"/>
        <w:shd w:val="clear" w:color="auto" w:fill="auto"/>
        <w:bidi w:val="0"/>
        <w:spacing w:before="0" w:after="40" w:line="494" w:lineRule="exact"/>
        <w:ind w:left="0" w:right="0" w:firstLine="360"/>
        <w:jc w:val="both"/>
      </w:pPr>
      <w:r>
        <w:rPr>
          <w:color w:val="000000"/>
          <w:spacing w:val="0"/>
          <w:w w:val="100"/>
          <w:position w:val="0"/>
        </w:rPr>
        <w:t>本部分所指的长期股权投资是指本公司对被投资单位具有控制、共同控制或重大影响的长期股权投资。本公司对被投资 单位不具有控制、共同控制或重大影响的长期股权投资，作为交易性金融资产或其他权益工具投资核算，其会计政策详见附 注三、</w:t>
      </w:r>
      <w:r>
        <w:rPr>
          <w:rFonts w:ascii="Arial Narrow" w:eastAsia="Arial Narrow" w:hAnsi="Arial Narrow" w:cs="Arial Narrow"/>
          <w:color w:val="000000"/>
          <w:spacing w:val="0"/>
          <w:w w:val="100"/>
          <w:position w:val="0"/>
          <w:sz w:val="18"/>
          <w:szCs w:val="18"/>
        </w:rPr>
        <w:t>10“</w:t>
      </w:r>
      <w:r>
        <w:rPr>
          <w:color w:val="000000"/>
          <w:spacing w:val="0"/>
          <w:w w:val="100"/>
          <w:position w:val="0"/>
        </w:rPr>
        <w:t>金融工具</w:t>
      </w:r>
      <w:r>
        <w:rPr>
          <w:rFonts w:ascii="Arial Narrow" w:eastAsia="Arial Narrow" w:hAnsi="Arial Narrow" w:cs="Arial Narrow"/>
          <w:color w:val="000000"/>
          <w:spacing w:val="0"/>
          <w:w w:val="100"/>
          <w:position w:val="0"/>
          <w:sz w:val="18"/>
          <w:szCs w:val="18"/>
        </w:rPr>
        <w:t>”</w:t>
      </w:r>
      <w:r>
        <w:rPr>
          <w:color w:val="000000"/>
          <w:spacing w:val="0"/>
          <w:w w:val="100"/>
          <w:position w:val="0"/>
        </w:rPr>
        <w:t>。</w:t>
      </w:r>
    </w:p>
    <w:p>
      <w:pPr>
        <w:pStyle w:val="Style26"/>
        <w:keepNext w:val="0"/>
        <w:keepLines w:val="0"/>
        <w:widowControl w:val="0"/>
        <w:shd w:val="clear" w:color="auto" w:fill="auto"/>
        <w:bidi w:val="0"/>
        <w:spacing w:before="0" w:after="40" w:line="499" w:lineRule="exact"/>
        <w:ind w:left="0" w:right="0" w:firstLine="360"/>
        <w:jc w:val="both"/>
      </w:pPr>
      <w:r>
        <w:rPr>
          <w:color w:val="000000"/>
          <w:spacing w:val="0"/>
          <w:w w:val="100"/>
          <w:position w:val="0"/>
        </w:rPr>
        <w:t>共同控制，是指本公司按照相关约定对某项安排所共有的控制，并且该安排的相关活动必须经过分享控制权的参与方一 致同意后才能决策。重大影响，是指本公司对被投资单位的财务和经营政策有参与决策的权力，但并不能够控制或者与其他 方一起共同控制这些政策的制定。</w:t>
      </w:r>
    </w:p>
    <w:p>
      <w:pPr>
        <w:pStyle w:val="Style26"/>
        <w:keepNext w:val="0"/>
        <w:keepLines w:val="0"/>
        <w:widowControl w:val="0"/>
        <w:shd w:val="clear" w:color="auto" w:fill="auto"/>
        <w:tabs>
          <w:tab w:pos="764" w:val="left"/>
        </w:tabs>
        <w:bidi w:val="0"/>
        <w:spacing w:before="0" w:after="0" w:line="501" w:lineRule="exact"/>
        <w:ind w:left="0" w:right="0" w:firstLine="360"/>
        <w:jc w:val="both"/>
      </w:pPr>
      <w:bookmarkStart w:id="859" w:name="bookmark859"/>
      <w:r>
        <w:rPr>
          <w:color w:val="000000"/>
          <w:spacing w:val="0"/>
          <w:w w:val="100"/>
          <w:position w:val="0"/>
        </w:rPr>
        <w:t>（</w:t>
      </w:r>
      <w:bookmarkEnd w:id="859"/>
      <w:r>
        <w:rPr>
          <w:rFonts w:ascii="Arial Narrow" w:eastAsia="Arial Narrow" w:hAnsi="Arial Narrow" w:cs="Arial Narrow"/>
          <w:color w:val="000000"/>
          <w:spacing w:val="0"/>
          <w:w w:val="100"/>
          <w:position w:val="0"/>
          <w:sz w:val="18"/>
          <w:szCs w:val="18"/>
        </w:rPr>
        <w:t>1</w:t>
      </w:r>
      <w:r>
        <w:rPr>
          <w:color w:val="000000"/>
          <w:spacing w:val="0"/>
          <w:w w:val="100"/>
          <w:position w:val="0"/>
        </w:rPr>
        <w:t>）</w:t>
        <w:tab/>
        <w:t>投资成本的确定</w:t>
      </w:r>
    </w:p>
    <w:p>
      <w:pPr>
        <w:pStyle w:val="Style26"/>
        <w:keepNext w:val="0"/>
        <w:keepLines w:val="0"/>
        <w:widowControl w:val="0"/>
        <w:shd w:val="clear" w:color="auto" w:fill="auto"/>
        <w:bidi w:val="0"/>
        <w:spacing w:before="0" w:after="0" w:line="500" w:lineRule="exact"/>
        <w:ind w:left="0" w:right="0" w:firstLine="360"/>
        <w:jc w:val="both"/>
      </w:pPr>
      <w:r>
        <w:rPr>
          <w:color w:val="000000"/>
          <w:spacing w:val="0"/>
          <w:w w:val="100"/>
          <w:position w:val="0"/>
        </w:rPr>
        <w:t>对于同一控制下的企业合并取得的长期股权投资，在合并日按照被合并方股东权益在最终控制方合并财务报表中的账面 价值的份额作为长期股权投资的初始投资成本。长期股权投资初始投资成本与支付的现金、转让的非现金资产以及所承担债 务账面价值之间的差额，调整资本公积；资本公积不足冲减的，调整留存收益。以发行权益性证券作为合并对价的，在合并 日按照被合并方股东权益在最终控制方合并财务报表中的账面价值的份额作为长期股权投资的初始投资成本，按照发行股份 的面值总额作为股本，长期股权投资初始投资成本与所发行股份面值总额之间的差额，调整资本公积;资本公积不足冲减的， 调整留存收益。通过多次交易分步取得同一控制下被合并方的股权，最终形成同一控制下企业合并的，应分别是否属于''一 揽子交易''进行处理：属于</w:t>
      </w:r>
      <w:r>
        <w:rPr>
          <w:rFonts w:ascii="Arial Narrow" w:eastAsia="Arial Narrow" w:hAnsi="Arial Narrow" w:cs="Arial Narrow"/>
          <w:color w:val="000000"/>
          <w:spacing w:val="0"/>
          <w:w w:val="100"/>
          <w:position w:val="0"/>
          <w:sz w:val="18"/>
          <w:szCs w:val="18"/>
        </w:rPr>
        <w:t>“</w:t>
      </w:r>
      <w:r>
        <w:rPr>
          <w:color w:val="000000"/>
          <w:spacing w:val="0"/>
          <w:w w:val="100"/>
          <w:position w:val="0"/>
        </w:rPr>
        <w:t>一揽子交易''的，将各项交易作为一项取得控制权的交易进行会计处理。不属于</w:t>
      </w:r>
      <w:r>
        <w:rPr>
          <w:rFonts w:ascii="Arial Narrow" w:eastAsia="Arial Narrow" w:hAnsi="Arial Narrow" w:cs="Arial Narrow"/>
          <w:color w:val="000000"/>
          <w:spacing w:val="0"/>
          <w:w w:val="100"/>
          <w:position w:val="0"/>
          <w:sz w:val="18"/>
          <w:szCs w:val="18"/>
        </w:rPr>
        <w:t>"</w:t>
      </w:r>
      <w:r>
        <w:rPr>
          <w:color w:val="000000"/>
          <w:spacing w:val="0"/>
          <w:w w:val="100"/>
          <w:position w:val="0"/>
        </w:rPr>
        <w:t>一揽子交易''的， 在合并日按照应享有被合并方股东权益</w:t>
      </w:r>
      <w:r>
        <w:rPr>
          <w:rFonts w:ascii="Arial Narrow" w:eastAsia="Arial Narrow" w:hAnsi="Arial Narrow" w:cs="Arial Narrow"/>
          <w:color w:val="000000"/>
          <w:spacing w:val="0"/>
          <w:w w:val="100"/>
          <w:position w:val="0"/>
          <w:sz w:val="18"/>
          <w:szCs w:val="18"/>
        </w:rPr>
        <w:t>/</w:t>
      </w:r>
      <w:r>
        <w:rPr>
          <w:color w:val="000000"/>
          <w:spacing w:val="0"/>
          <w:w w:val="100"/>
          <w:position w:val="0"/>
        </w:rPr>
        <w:t>所有者权益在最终控制方合并财务报表中的账面价值的份额作为长期股权投资的初 始投资成本，长期股权投资初始投资成本与达到合并前的长期股权投资账面价值加上合并日进一步取得股份新支付对价的账 面价值之和的差额，调整资本公积；资本公积不足冲减的，调整留存收益。</w:t>
      </w:r>
    </w:p>
    <w:p>
      <w:pPr>
        <w:pStyle w:val="Style26"/>
        <w:keepNext w:val="0"/>
        <w:keepLines w:val="0"/>
        <w:widowControl w:val="0"/>
        <w:shd w:val="clear" w:color="auto" w:fill="auto"/>
        <w:bidi w:val="0"/>
        <w:spacing w:before="0" w:after="0" w:line="501" w:lineRule="exact"/>
        <w:ind w:left="0" w:right="0" w:firstLine="360"/>
        <w:jc w:val="both"/>
      </w:pPr>
      <w:r>
        <w:rPr>
          <w:color w:val="000000"/>
          <w:spacing w:val="0"/>
          <w:w w:val="100"/>
          <w:position w:val="0"/>
        </w:rPr>
        <w:t>对于非同一控制下的企业合并取得的长期股权投资，在购买日按照合并成本作为长期股权投资的初始投资成本，合并成 本包括包括购买方付出的资产、发生或承担的负债、发行的权益性证券的公允价值之和。通过多次交易分步取得被购买方的 股权，最终形成非同一控制下的企业合并的，应分别是否属于</w:t>
      </w:r>
      <w:r>
        <w:rPr>
          <w:rFonts w:ascii="Arial Narrow" w:eastAsia="Arial Narrow" w:hAnsi="Arial Narrow" w:cs="Arial Narrow"/>
          <w:color w:val="000000"/>
          <w:spacing w:val="0"/>
          <w:w w:val="100"/>
          <w:position w:val="0"/>
          <w:sz w:val="18"/>
          <w:szCs w:val="18"/>
        </w:rPr>
        <w:t>“</w:t>
      </w:r>
      <w:r>
        <w:rPr>
          <w:color w:val="000000"/>
          <w:spacing w:val="0"/>
          <w:w w:val="100"/>
          <w:position w:val="0"/>
        </w:rPr>
        <w:t>一揽子交易''进行处理：属于</w:t>
      </w:r>
      <w:r>
        <w:rPr>
          <w:rFonts w:ascii="Arial Narrow" w:eastAsia="Arial Narrow" w:hAnsi="Arial Narrow" w:cs="Arial Narrow"/>
          <w:color w:val="000000"/>
          <w:spacing w:val="0"/>
          <w:w w:val="100"/>
          <w:position w:val="0"/>
          <w:sz w:val="18"/>
          <w:szCs w:val="18"/>
        </w:rPr>
        <w:t>“</w:t>
      </w:r>
      <w:r>
        <w:rPr>
          <w:color w:val="000000"/>
          <w:spacing w:val="0"/>
          <w:w w:val="100"/>
          <w:position w:val="0"/>
        </w:rPr>
        <w:t>一揽子交易''的，将各项交易作 为一项取得控制权的交易进行会计处理。不属于</w:t>
      </w:r>
      <w:r>
        <w:rPr>
          <w:rFonts w:ascii="Arial Narrow" w:eastAsia="Arial Narrow" w:hAnsi="Arial Narrow" w:cs="Arial Narrow"/>
          <w:color w:val="000000"/>
          <w:spacing w:val="0"/>
          <w:w w:val="100"/>
          <w:position w:val="0"/>
          <w:sz w:val="18"/>
          <w:szCs w:val="18"/>
        </w:rPr>
        <w:t xml:space="preserve">“ </w:t>
      </w:r>
      <w:r>
        <w:rPr>
          <w:color w:val="000000"/>
          <w:spacing w:val="0"/>
          <w:w w:val="100"/>
          <w:position w:val="0"/>
        </w:rPr>
        <w:t>一揽子交易''的，按照原持有被购买方的股权投资账面价值加上新增投资成 本之和，作为改按成本法核算的长期股权投资的初始投资成本。原持有的股权采用权益法核算的，相关其他综合收益暂不进 行会计处理。</w:t>
      </w:r>
    </w:p>
    <w:p>
      <w:pPr>
        <w:pStyle w:val="Style26"/>
        <w:keepNext w:val="0"/>
        <w:keepLines w:val="0"/>
        <w:widowControl w:val="0"/>
        <w:shd w:val="clear" w:color="auto" w:fill="auto"/>
        <w:bidi w:val="0"/>
        <w:spacing w:before="0" w:after="0" w:line="501" w:lineRule="exact"/>
        <w:ind w:left="0" w:right="0" w:firstLine="360"/>
        <w:jc w:val="both"/>
      </w:pPr>
      <w:r>
        <w:rPr>
          <w:color w:val="000000"/>
          <w:spacing w:val="0"/>
          <w:w w:val="100"/>
          <w:position w:val="0"/>
        </w:rPr>
        <w:t>合并方或购买方为企业合并发生的审计、法律服务、评估咨询等中介费用以及其他相关管理费用，于发生时计入当期损 益。</w:t>
      </w:r>
    </w:p>
    <w:p>
      <w:pPr>
        <w:pStyle w:val="Style26"/>
        <w:keepNext w:val="0"/>
        <w:keepLines w:val="0"/>
        <w:widowControl w:val="0"/>
        <w:shd w:val="clear" w:color="auto" w:fill="auto"/>
        <w:bidi w:val="0"/>
        <w:spacing w:before="0" w:after="0" w:line="501" w:lineRule="exact"/>
        <w:ind w:left="0" w:right="0" w:firstLine="360"/>
        <w:jc w:val="both"/>
      </w:pPr>
      <w:r>
        <w:rPr>
          <w:color w:val="000000"/>
          <w:spacing w:val="0"/>
          <w:w w:val="100"/>
          <w:position w:val="0"/>
        </w:rPr>
        <w:t>除企业合并形成的长期股权投资外的其他股权投资，按成本进行初始计量，该成本视长期股权投资取得方式的不同，分 别按照本公司实际支付的现金购买价款、本公司发行的权益性证券的公允价值、投资合同或协议约定的价值、非货币性资产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关的费用、税金及其他必要支出也计入投资成本。对于因追加投资能够对被投资单位实施重大影响或实施共同控制但不构成 控制的，长期股权投资成本为按照《企业会计准则第</w:t>
      </w:r>
      <w:r>
        <w:rPr>
          <w:rFonts w:ascii="Arial Narrow" w:eastAsia="Arial Narrow" w:hAnsi="Arial Narrow" w:cs="Arial Narrow"/>
          <w:color w:val="000000"/>
          <w:spacing w:val="0"/>
          <w:w w:val="100"/>
          <w:position w:val="0"/>
          <w:sz w:val="18"/>
          <w:szCs w:val="18"/>
        </w:rPr>
        <w:t>22</w:t>
      </w:r>
      <w:r>
        <w:rPr>
          <w:color w:val="000000"/>
          <w:spacing w:val="0"/>
          <w:w w:val="100"/>
          <w:position w:val="0"/>
        </w:rPr>
        <w:t>号</w:t>
      </w:r>
      <w:r>
        <w:rPr>
          <w:color w:val="000000"/>
          <w:spacing w:val="0"/>
          <w:w w:val="100"/>
          <w:position w:val="0"/>
          <w:sz w:val="22"/>
          <w:szCs w:val="22"/>
        </w:rPr>
        <w:t>一一</w:t>
      </w:r>
      <w:r>
        <w:rPr>
          <w:color w:val="000000"/>
          <w:spacing w:val="0"/>
          <w:w w:val="100"/>
          <w:position w:val="0"/>
        </w:rPr>
        <w:t>金融工具确认和计量》确定的原持有股权投资的公允价值加 上新增投资成本之和。</w:t>
      </w:r>
    </w:p>
    <w:p>
      <w:pPr>
        <w:pStyle w:val="Style26"/>
        <w:keepNext w:val="0"/>
        <w:keepLines w:val="0"/>
        <w:widowControl w:val="0"/>
        <w:shd w:val="clear" w:color="auto" w:fill="auto"/>
        <w:tabs>
          <w:tab w:pos="764" w:val="left"/>
        </w:tabs>
        <w:bidi w:val="0"/>
        <w:spacing w:before="0" w:after="0" w:line="501" w:lineRule="exact"/>
        <w:ind w:left="0" w:right="0" w:firstLine="360"/>
        <w:jc w:val="both"/>
      </w:pPr>
      <w:bookmarkStart w:id="860" w:name="bookmark860"/>
      <w:r>
        <w:rPr>
          <w:color w:val="000000"/>
          <w:spacing w:val="0"/>
          <w:w w:val="100"/>
          <w:position w:val="0"/>
        </w:rPr>
        <w:t>（</w:t>
      </w:r>
      <w:bookmarkEnd w:id="860"/>
      <w:r>
        <w:rPr>
          <w:rFonts w:ascii="Arial Narrow" w:eastAsia="Arial Narrow" w:hAnsi="Arial Narrow" w:cs="Arial Narrow"/>
          <w:color w:val="000000"/>
          <w:spacing w:val="0"/>
          <w:w w:val="100"/>
          <w:position w:val="0"/>
          <w:sz w:val="18"/>
          <w:szCs w:val="18"/>
        </w:rPr>
        <w:t>2</w:t>
      </w:r>
      <w:r>
        <w:rPr>
          <w:color w:val="000000"/>
          <w:spacing w:val="0"/>
          <w:w w:val="100"/>
          <w:position w:val="0"/>
        </w:rPr>
        <w:t>）</w:t>
        <w:tab/>
        <w:t>后续计量及损益确认方法</w:t>
      </w:r>
    </w:p>
    <w:p>
      <w:pPr>
        <w:pStyle w:val="Style26"/>
        <w:keepNext w:val="0"/>
        <w:keepLines w:val="0"/>
        <w:widowControl w:val="0"/>
        <w:shd w:val="clear" w:color="auto" w:fill="auto"/>
        <w:bidi w:val="0"/>
        <w:spacing w:before="0" w:after="0" w:line="501" w:lineRule="exact"/>
        <w:ind w:left="0" w:right="0" w:firstLine="360"/>
        <w:jc w:val="both"/>
      </w:pPr>
      <w:r>
        <w:rPr>
          <w:color w:val="000000"/>
          <w:spacing w:val="0"/>
          <w:w w:val="100"/>
          <w:position w:val="0"/>
        </w:rPr>
        <w:t xml:space="preserve">对被投资单位具有共同控制（构成共同经营者除外）或重大影响的长期股权投资，采用权益法核算。此外，公司财务报 </w:t>
      </w:r>
      <w:r>
        <w:rPr>
          <w:color w:val="000000"/>
          <w:spacing w:val="0"/>
          <w:w w:val="100"/>
          <w:position w:val="0"/>
        </w:rPr>
        <w:t>表采用成本法核算能够对被投资单位实施控制的长期股权投资。</w:t>
      </w:r>
    </w:p>
    <w:p>
      <w:pPr>
        <w:pStyle w:val="Style26"/>
        <w:keepNext w:val="0"/>
        <w:keepLines w:val="0"/>
        <w:widowControl w:val="0"/>
        <w:numPr>
          <w:ilvl w:val="0"/>
          <w:numId w:val="27"/>
        </w:numPr>
        <w:shd w:val="clear" w:color="auto" w:fill="auto"/>
        <w:tabs>
          <w:tab w:pos="693" w:val="left"/>
        </w:tabs>
        <w:bidi w:val="0"/>
        <w:spacing w:before="0" w:after="0" w:line="497" w:lineRule="exact"/>
        <w:ind w:left="0" w:right="0" w:firstLine="380"/>
        <w:jc w:val="both"/>
      </w:pPr>
      <w:bookmarkStart w:id="861" w:name="bookmark861"/>
      <w:bookmarkEnd w:id="861"/>
      <w:r>
        <w:rPr>
          <w:color w:val="000000"/>
          <w:spacing w:val="0"/>
          <w:w w:val="100"/>
          <w:position w:val="0"/>
        </w:rPr>
        <w:t>成本法核算的长期股权投资</w:t>
      </w:r>
    </w:p>
    <w:p>
      <w:pPr>
        <w:pStyle w:val="Style26"/>
        <w:keepNext w:val="0"/>
        <w:keepLines w:val="0"/>
        <w:widowControl w:val="0"/>
        <w:shd w:val="clear" w:color="auto" w:fill="auto"/>
        <w:bidi w:val="0"/>
        <w:spacing w:before="0" w:after="0" w:line="497" w:lineRule="exact"/>
        <w:ind w:left="0" w:right="0" w:firstLine="38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26"/>
        <w:keepNext w:val="0"/>
        <w:keepLines w:val="0"/>
        <w:widowControl w:val="0"/>
        <w:numPr>
          <w:ilvl w:val="0"/>
          <w:numId w:val="27"/>
        </w:numPr>
        <w:shd w:val="clear" w:color="auto" w:fill="auto"/>
        <w:tabs>
          <w:tab w:pos="693" w:val="left"/>
        </w:tabs>
        <w:bidi w:val="0"/>
        <w:spacing w:before="0" w:after="0" w:line="497" w:lineRule="exact"/>
        <w:ind w:left="0" w:right="0" w:firstLine="380"/>
        <w:jc w:val="both"/>
      </w:pPr>
      <w:bookmarkStart w:id="862" w:name="bookmark862"/>
      <w:bookmarkEnd w:id="862"/>
      <w:r>
        <w:rPr>
          <w:color w:val="000000"/>
          <w:spacing w:val="0"/>
          <w:w w:val="100"/>
          <w:position w:val="0"/>
        </w:rPr>
        <w:t>权益法核算的长期股权投资</w:t>
      </w:r>
    </w:p>
    <w:p>
      <w:pPr>
        <w:pStyle w:val="Style26"/>
        <w:keepNext w:val="0"/>
        <w:keepLines w:val="0"/>
        <w:widowControl w:val="0"/>
        <w:shd w:val="clear" w:color="auto" w:fill="auto"/>
        <w:bidi w:val="0"/>
        <w:spacing w:before="0" w:after="0" w:line="497" w:lineRule="exact"/>
        <w:ind w:left="0" w:right="0" w:firstLine="38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26"/>
        <w:keepNext w:val="0"/>
        <w:keepLines w:val="0"/>
        <w:widowControl w:val="0"/>
        <w:shd w:val="clear" w:color="auto" w:fill="auto"/>
        <w:bidi w:val="0"/>
        <w:spacing w:before="0" w:after="0" w:line="500" w:lineRule="exact"/>
        <w:ind w:left="0" w:right="0" w:firstLine="0"/>
        <w:jc w:val="both"/>
      </w:pPr>
      <w:r>
        <w:rPr>
          <w:color w:val="000000"/>
          <w:spacing w:val="0"/>
          <w:w w:val="100"/>
          <w:position w:val="0"/>
        </w:rPr>
        <w:t>采用权益法核算时，按照应享有或应分担的被投资单位实现的净损益和其他综合收益的份额，分别确认投资收益和其他综合 收益，同时调整长期股权投资的账面价值；按照被投资单位宣告分派的利润或现金股利计算应享有的部分，相应减少长期股 权投资的账面价值；对于被投资单位除净损益、其他综合收益和利润分配以外所有者权益的其他变动，调整长期股权投资的 账面价值并计入资本公积。在确认应享有被投资单位净损益的份额时，以取得投资时被投资单位各项可辨认资产等的公允价 值为基础，对被投资单位的净利润进行调整后确认。被投资单位采用的会计政策及会计期间与本公司不一致的，按照本公司 的会计政策及会计期间对被投资单位的财务报表进行调整，并据以确认投资收益和其他综合收益。对于本公司与联营企业及 合营企业之间发生的交易，投出或出售的资产不构成业务的，未实现内部交易损益按照享有的比例计算归属于本公司的部分 予以抵销，在此基础上确认投资损益。但本公司与被投资单位发生的未实现内部交易损失，属于所转让资产减值损失的，不 予以抵销。本公司向合营企业或联营企业投出的资产构成业务的，投资方因此取得长期股权投资但未取得控制权的，以投出 业务的公允价值作为新增长期股权投资的初始投资成本，初始投资成本与投出业务的账面价值之差，全额计入当期损益。本 公司向合营企业或联营企业出售的资产构成业务的，取得的对价与业务的账面价值之差，全额计入当期损益。本公司自联营 企业及合营企业购入的资产构成业务的，按《企业会计准则第</w:t>
      </w:r>
      <w:r>
        <w:rPr>
          <w:rFonts w:ascii="Arial Narrow" w:eastAsia="Arial Narrow" w:hAnsi="Arial Narrow" w:cs="Arial Narrow"/>
          <w:color w:val="000000"/>
          <w:spacing w:val="0"/>
          <w:w w:val="100"/>
          <w:position w:val="0"/>
          <w:sz w:val="18"/>
          <w:szCs w:val="18"/>
        </w:rPr>
        <w:t>20</w:t>
      </w:r>
      <w:r>
        <w:rPr>
          <w:color w:val="000000"/>
          <w:spacing w:val="0"/>
          <w:w w:val="100"/>
          <w:position w:val="0"/>
        </w:rPr>
        <w:t>号——企业合并》的规定进行会计处理，全额确认与交易 相关的利得或损失。</w:t>
      </w:r>
    </w:p>
    <w:p>
      <w:pPr>
        <w:pStyle w:val="Style26"/>
        <w:keepNext w:val="0"/>
        <w:keepLines w:val="0"/>
        <w:widowControl w:val="0"/>
        <w:shd w:val="clear" w:color="auto" w:fill="auto"/>
        <w:bidi w:val="0"/>
        <w:spacing w:before="0" w:after="0" w:line="501" w:lineRule="exact"/>
        <w:ind w:left="0" w:right="0" w:firstLine="38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w:t>
      </w:r>
    </w:p>
    <w:p>
      <w:pPr>
        <w:pStyle w:val="Style26"/>
        <w:keepNext w:val="0"/>
        <w:keepLines w:val="0"/>
        <w:widowControl w:val="0"/>
        <w:shd w:val="clear" w:color="auto" w:fill="auto"/>
        <w:bidi w:val="0"/>
        <w:spacing w:before="0" w:after="0" w:line="501" w:lineRule="exact"/>
        <w:ind w:left="0" w:right="0" w:firstLine="380"/>
        <w:jc w:val="both"/>
      </w:pPr>
      <w:r>
        <w:rPr>
          <w:color w:val="000000"/>
          <w:spacing w:val="0"/>
          <w:w w:val="100"/>
          <w:position w:val="0"/>
        </w:rPr>
        <w:t>对于本公司首次执行新会计准则之前已经持有的对联营企业和合营企业的长期股权投资，如存在与该投资相关的股权投 资借方差额，按原剩余期限直线摊销的金额计入当期损益。</w:t>
      </w:r>
    </w:p>
    <w:p>
      <w:pPr>
        <w:pStyle w:val="Style26"/>
        <w:keepNext w:val="0"/>
        <w:keepLines w:val="0"/>
        <w:widowControl w:val="0"/>
        <w:numPr>
          <w:ilvl w:val="0"/>
          <w:numId w:val="27"/>
        </w:numPr>
        <w:shd w:val="clear" w:color="auto" w:fill="auto"/>
        <w:tabs>
          <w:tab w:pos="693" w:val="left"/>
        </w:tabs>
        <w:bidi w:val="0"/>
        <w:spacing w:before="0" w:after="0" w:line="499" w:lineRule="exact"/>
        <w:ind w:left="0" w:right="0" w:firstLine="380"/>
        <w:jc w:val="both"/>
      </w:pPr>
      <w:bookmarkStart w:id="863" w:name="bookmark863"/>
      <w:bookmarkEnd w:id="863"/>
      <w:r>
        <w:rPr>
          <w:color w:val="000000"/>
          <w:spacing w:val="0"/>
          <w:w w:val="100"/>
          <w:position w:val="0"/>
        </w:rPr>
        <w:t>收购少数股权</w:t>
      </w:r>
    </w:p>
    <w:p>
      <w:pPr>
        <w:pStyle w:val="Style26"/>
        <w:keepNext w:val="0"/>
        <w:keepLines w:val="0"/>
        <w:widowControl w:val="0"/>
        <w:shd w:val="clear" w:color="auto" w:fill="auto"/>
        <w:bidi w:val="0"/>
        <w:spacing w:before="0" w:after="0" w:line="499" w:lineRule="exact"/>
        <w:ind w:left="0" w:right="0" w:firstLine="380"/>
        <w:jc w:val="both"/>
      </w:pP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日）开始持续计算的净资产份额之间的差额，调整资本公积，资本公积不足冲减的，调整留存收益。</w:t>
      </w:r>
    </w:p>
    <w:p>
      <w:pPr>
        <w:pStyle w:val="Style26"/>
        <w:keepNext w:val="0"/>
        <w:keepLines w:val="0"/>
        <w:widowControl w:val="0"/>
        <w:numPr>
          <w:ilvl w:val="0"/>
          <w:numId w:val="27"/>
        </w:numPr>
        <w:shd w:val="clear" w:color="auto" w:fill="auto"/>
        <w:tabs>
          <w:tab w:pos="693" w:val="left"/>
        </w:tabs>
        <w:bidi w:val="0"/>
        <w:spacing w:before="0" w:after="0" w:line="499" w:lineRule="exact"/>
        <w:ind w:left="0" w:right="0" w:firstLine="380"/>
        <w:jc w:val="both"/>
      </w:pPr>
      <w:bookmarkStart w:id="864" w:name="bookmark864"/>
      <w:bookmarkEnd w:id="864"/>
      <w:r>
        <w:rPr>
          <w:color w:val="000000"/>
          <w:spacing w:val="0"/>
          <w:w w:val="100"/>
          <w:position w:val="0"/>
        </w:rPr>
        <w:t>处置长期股权投资</w:t>
      </w:r>
    </w:p>
    <w:p>
      <w:pPr>
        <w:pStyle w:val="Style26"/>
        <w:keepNext w:val="0"/>
        <w:keepLines w:val="0"/>
        <w:widowControl w:val="0"/>
        <w:shd w:val="clear" w:color="auto" w:fill="auto"/>
        <w:bidi w:val="0"/>
        <w:spacing w:before="0" w:after="0" w:line="499" w:lineRule="exact"/>
        <w:ind w:left="0" w:right="0" w:firstLine="38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附注三、</w:t>
      </w:r>
      <w:r>
        <w:rPr>
          <w:rFonts w:ascii="Arial Narrow" w:eastAsia="Arial Narrow" w:hAnsi="Arial Narrow" w:cs="Arial Narrow"/>
          <w:color w:val="000000"/>
          <w:spacing w:val="0"/>
          <w:w w:val="100"/>
          <w:position w:val="0"/>
          <w:sz w:val="18"/>
          <w:szCs w:val="18"/>
        </w:rPr>
        <w:t>6</w:t>
      </w:r>
      <w:r>
        <w:rPr>
          <w:color w:val="000000"/>
          <w:spacing w:val="0"/>
          <w:w w:val="100"/>
          <w:position w:val="0"/>
        </w:rPr>
        <w:t>、（</w:t>
      </w:r>
      <w:r>
        <w:rPr>
          <w:rFonts w:ascii="Arial Narrow" w:eastAsia="Arial Narrow" w:hAnsi="Arial Narrow" w:cs="Arial Narrow"/>
          <w:color w:val="000000"/>
          <w:spacing w:val="0"/>
          <w:w w:val="100"/>
          <w:position w:val="0"/>
          <w:sz w:val="18"/>
          <w:szCs w:val="18"/>
        </w:rPr>
        <w:t>2</w:t>
      </w:r>
      <w:r>
        <w:rPr>
          <w:color w:val="000000"/>
          <w:spacing w:val="0"/>
          <w:w w:val="100"/>
          <w:position w:val="0"/>
        </w:rPr>
        <w:t>）</w:t>
      </w:r>
      <w:r>
        <w:rPr>
          <w:rFonts w:ascii="Arial Narrow" w:eastAsia="Arial Narrow" w:hAnsi="Arial Narrow" w:cs="Arial Narrow"/>
          <w:color w:val="000000"/>
          <w:spacing w:val="0"/>
          <w:w w:val="100"/>
          <w:position w:val="0"/>
          <w:sz w:val="18"/>
          <w:szCs w:val="18"/>
        </w:rPr>
        <w:t>“</w:t>
      </w:r>
      <w:r>
        <w:rPr>
          <w:color w:val="000000"/>
          <w:spacing w:val="0"/>
          <w:w w:val="100"/>
          <w:position w:val="0"/>
        </w:rPr>
        <w:t>合并财务报表编制的方法”中所述的相关会计政策处理。</w:t>
      </w:r>
    </w:p>
    <w:p>
      <w:pPr>
        <w:pStyle w:val="Style26"/>
        <w:keepNext w:val="0"/>
        <w:keepLines w:val="0"/>
        <w:widowControl w:val="0"/>
        <w:shd w:val="clear" w:color="auto" w:fill="auto"/>
        <w:bidi w:val="0"/>
        <w:spacing w:before="0" w:after="0" w:line="499" w:lineRule="exact"/>
        <w:ind w:left="0" w:right="0" w:firstLine="380"/>
        <w:jc w:val="both"/>
      </w:pPr>
      <w:r>
        <w:rPr>
          <w:color w:val="000000"/>
          <w:spacing w:val="0"/>
          <w:w w:val="100"/>
          <w:position w:val="0"/>
        </w:rPr>
        <w:t>其他情形下的长期股权投资处置，对于处置的股权，其账面价值与实际取得价款的差额，计入当期损益。</w:t>
      </w:r>
    </w:p>
    <w:p>
      <w:pPr>
        <w:pStyle w:val="Style26"/>
        <w:keepNext w:val="0"/>
        <w:keepLines w:val="0"/>
        <w:widowControl w:val="0"/>
        <w:shd w:val="clear" w:color="auto" w:fill="auto"/>
        <w:bidi w:val="0"/>
        <w:spacing w:before="0" w:after="0" w:line="499" w:lineRule="exact"/>
        <w:ind w:left="0" w:right="0" w:firstLine="380"/>
        <w:jc w:val="both"/>
      </w:pPr>
      <w:r>
        <w:rPr>
          <w:color w:val="000000"/>
          <w:spacing w:val="0"/>
          <w:w w:val="100"/>
          <w:position w:val="0"/>
        </w:rPr>
        <w:t>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益和利润分配以外的其他所有者权益变动而确认的所有者权益，按比例结转入当期损益。</w:t>
      </w:r>
    </w:p>
    <w:p>
      <w:pPr>
        <w:pStyle w:val="Style26"/>
        <w:keepNext w:val="0"/>
        <w:keepLines w:val="0"/>
        <w:widowControl w:val="0"/>
        <w:shd w:val="clear" w:color="auto" w:fill="auto"/>
        <w:bidi w:val="0"/>
        <w:spacing w:before="0" w:after="0" w:line="499" w:lineRule="exact"/>
        <w:ind w:left="0" w:right="0" w:firstLine="380"/>
        <w:jc w:val="both"/>
      </w:pPr>
      <w:r>
        <w:rPr>
          <w:color w:val="000000"/>
          <w:spacing w:val="0"/>
          <w:w w:val="100"/>
          <w:position w:val="0"/>
        </w:rPr>
        <w:t>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会计处理，并按比例结转当期损益；因采用权益法核算而确认的被投资单位净资产中除净损益、其他综合收益和利润分配以 外的其他所有者权益变动按比例结转当期损益。</w:t>
      </w:r>
    </w:p>
    <w:p>
      <w:pPr>
        <w:pStyle w:val="Style26"/>
        <w:keepNext w:val="0"/>
        <w:keepLines w:val="0"/>
        <w:widowControl w:val="0"/>
        <w:shd w:val="clear" w:color="auto" w:fill="auto"/>
        <w:bidi w:val="0"/>
        <w:spacing w:before="0" w:after="0" w:line="500" w:lineRule="exact"/>
        <w:ind w:left="0" w:right="0" w:firstLine="380"/>
        <w:jc w:val="both"/>
      </w:pPr>
      <w:r>
        <w:rPr>
          <w:color w:val="000000"/>
          <w:spacing w:val="0"/>
          <w:w w:val="100"/>
          <w:position w:val="0"/>
        </w:rPr>
        <w:t>本公司因处置部分股权投资丧失了对被投资单位的控制的，在编制个别财务报表时，处置后的剩余股权能够对被投资单 位实施共同控制或施加重大影响的，改按权益法核算，并对该剩余股权视同自取得时即采用权益法核算进行调整；处置后的 剩余股权不能对被投资单位实施共同控制或施加重大影响的，改按金融工具确认和计量准则的有关规定进行会计处理，其在 丧失控制之日的公允价值与账面价值之间的差额计入当期损益。对于本公司取得对被投资单位的控制之前，因采用权益法核 算或金融工具确认和计量准则核算而确认的其他综合收益，在丧失对被投资单位控制时采用与被投资单位直接处置相关资产 或负债相同的基础进行会计处理，因采用权益法核算而确认的被投资单位净资产中除净损益、其他综合收益和利润分配以外 的其他所有者权益变动在丧失对被投资单位控制时结转入当期损益。其中，处置后的剩余股权采用权益法核算的，其他综合 收益和其他所有者权益按比例结转；处置后的剩余股权改按金融工具确认和计量准则进行会计处理的，其他综合收益和其他 所有者权益全部结转。</w:t>
      </w:r>
    </w:p>
    <w:p>
      <w:pPr>
        <w:pStyle w:val="Style26"/>
        <w:keepNext w:val="0"/>
        <w:keepLines w:val="0"/>
        <w:widowControl w:val="0"/>
        <w:shd w:val="clear" w:color="auto" w:fill="auto"/>
        <w:bidi w:val="0"/>
        <w:spacing w:before="0" w:after="0" w:line="499" w:lineRule="exact"/>
        <w:ind w:left="0" w:right="0" w:firstLine="380"/>
        <w:jc w:val="both"/>
      </w:pPr>
      <w:r>
        <w:rPr>
          <w:color w:val="000000"/>
          <w:spacing w:val="0"/>
          <w:w w:val="100"/>
          <w:position w:val="0"/>
        </w:rPr>
        <w:t xml:space="preserve">本公司因处置部分股权投资丧失了对被投资单位的共同控制或重大影响的，处置后的剩余股权改按金融工具确认和计量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w:t>
      </w:r>
      <w:r>
        <w:rPr>
          <w:color w:val="000000"/>
          <w:spacing w:val="0"/>
          <w:w w:val="100"/>
          <w:position w:val="0"/>
        </w:rPr>
        <w:t>因被投资方除净损益、其他综合收益和利润分配以外的其他所有者权益变动而确认的所有者权益，在终止采用权益法时全部 转入当期投资收益。</w:t>
      </w:r>
    </w:p>
    <w:p>
      <w:pPr>
        <w:pStyle w:val="Style26"/>
        <w:keepNext w:val="0"/>
        <w:keepLines w:val="0"/>
        <w:widowControl w:val="0"/>
        <w:shd w:val="clear" w:color="auto" w:fill="auto"/>
        <w:bidi w:val="0"/>
        <w:spacing w:before="0" w:after="280" w:line="501" w:lineRule="exact"/>
        <w:ind w:left="140" w:right="0" w:firstLine="360"/>
        <w:jc w:val="both"/>
      </w:pPr>
      <w:r>
        <w:rPr>
          <w:color w:val="000000"/>
          <w:spacing w:val="0"/>
          <w:w w:val="100"/>
          <w:position w:val="0"/>
        </w:rPr>
        <w:t>本公司通过多次交易分步处置对子公司股权投资直至丧失控制权，如果上述交易属于一揽子交易的，将各项交易作为一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22"/>
        <w:keepNext/>
        <w:keepLines/>
        <w:widowControl w:val="0"/>
        <w:shd w:val="clear" w:color="auto" w:fill="auto"/>
        <w:tabs>
          <w:tab w:pos="994" w:val="left"/>
        </w:tabs>
        <w:bidi w:val="0"/>
        <w:spacing w:before="0" w:after="0" w:line="523" w:lineRule="auto"/>
        <w:ind w:left="0" w:right="0" w:firstLine="560"/>
        <w:jc w:val="both"/>
        <w:rPr>
          <w:sz w:val="20"/>
          <w:szCs w:val="20"/>
        </w:rPr>
      </w:pPr>
      <w:bookmarkStart w:id="865" w:name="bookmark865"/>
      <w:bookmarkStart w:id="866" w:name="bookmark866"/>
      <w:bookmarkStart w:id="867" w:name="bookmark867"/>
      <w:bookmarkStart w:id="868" w:name="bookmark868"/>
      <w:r>
        <w:rPr>
          <w:rFonts w:ascii="Arial Narrow" w:eastAsia="Arial Narrow" w:hAnsi="Arial Narrow" w:cs="Arial Narrow"/>
          <w:color w:val="000000"/>
          <w:spacing w:val="0"/>
          <w:w w:val="100"/>
          <w:position w:val="0"/>
          <w:sz w:val="20"/>
          <w:szCs w:val="20"/>
        </w:rPr>
        <w:t>1</w:t>
      </w:r>
      <w:bookmarkEnd w:id="867"/>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w:t>
        <w:tab/>
        <w:t>投资性房地产</w:t>
      </w:r>
      <w:bookmarkEnd w:id="865"/>
      <w:bookmarkEnd w:id="866"/>
      <w:bookmarkEnd w:id="868"/>
    </w:p>
    <w:p>
      <w:pPr>
        <w:pStyle w:val="Style26"/>
        <w:keepNext w:val="0"/>
        <w:keepLines w:val="0"/>
        <w:widowControl w:val="0"/>
        <w:shd w:val="clear" w:color="auto" w:fill="auto"/>
        <w:bidi w:val="0"/>
        <w:spacing w:before="0" w:after="0" w:line="501" w:lineRule="exact"/>
        <w:ind w:left="140" w:right="0" w:firstLine="36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转让的土地使用权、已出租的建筑物等。</w:t>
      </w:r>
    </w:p>
    <w:p>
      <w:pPr>
        <w:pStyle w:val="Style26"/>
        <w:keepNext w:val="0"/>
        <w:keepLines w:val="0"/>
        <w:widowControl w:val="0"/>
        <w:shd w:val="clear" w:color="auto" w:fill="auto"/>
        <w:bidi w:val="0"/>
        <w:spacing w:before="0" w:after="0" w:line="501" w:lineRule="exact"/>
        <w:ind w:left="140" w:right="0" w:firstLine="360"/>
        <w:jc w:val="both"/>
      </w:pPr>
      <w:r>
        <w:rPr>
          <w:color w:val="000000"/>
          <w:spacing w:val="0"/>
          <w:w w:val="100"/>
          <w:position w:val="0"/>
        </w:rPr>
        <w:t>投资性房地产按成本进行初始计量。与投资性房地产有关的后续支出，如果与该资产有关的经济利益很可能流入且其成 本能可靠地计量，则计入投资性房地产成本。其他后续支出，在发生时计入当期损益。</w:t>
      </w:r>
    </w:p>
    <w:p>
      <w:pPr>
        <w:pStyle w:val="Style26"/>
        <w:keepNext w:val="0"/>
        <w:keepLines w:val="0"/>
        <w:widowControl w:val="0"/>
        <w:shd w:val="clear" w:color="auto" w:fill="auto"/>
        <w:bidi w:val="0"/>
        <w:spacing w:before="0" w:after="0" w:line="501" w:lineRule="exact"/>
        <w:ind w:left="140" w:right="0" w:firstLine="360"/>
        <w:jc w:val="both"/>
      </w:pPr>
      <w:r>
        <w:rPr>
          <w:color w:val="000000"/>
          <w:spacing w:val="0"/>
          <w:w w:val="100"/>
          <w:position w:val="0"/>
        </w:rPr>
        <w:t>本公司投资性房地产采用成本模式对投资性房地产进行后续计量，并按照与房屋建筑物或土地使用权一致的政策进行折 旧或摊销。</w:t>
      </w:r>
    </w:p>
    <w:p>
      <w:pPr>
        <w:pStyle w:val="Style26"/>
        <w:keepNext w:val="0"/>
        <w:keepLines w:val="0"/>
        <w:widowControl w:val="0"/>
        <w:shd w:val="clear" w:color="auto" w:fill="auto"/>
        <w:bidi w:val="0"/>
        <w:spacing w:before="0" w:after="0" w:line="501" w:lineRule="exact"/>
        <w:ind w:left="0" w:right="0" w:firstLine="500"/>
        <w:jc w:val="both"/>
      </w:pPr>
      <w:r>
        <w:rPr>
          <w:color w:val="000000"/>
          <w:spacing w:val="0"/>
          <w:w w:val="100"/>
          <w:position w:val="0"/>
        </w:rPr>
        <w:t>投资性房地产的减值测试方法和减值准备计提方法详见本附注、</w:t>
      </w:r>
      <w:r>
        <w:rPr>
          <w:rFonts w:ascii="Arial Narrow" w:eastAsia="Arial Narrow" w:hAnsi="Arial Narrow" w:cs="Arial Narrow"/>
          <w:color w:val="000000"/>
          <w:spacing w:val="0"/>
          <w:w w:val="100"/>
          <w:position w:val="0"/>
          <w:sz w:val="18"/>
          <w:szCs w:val="18"/>
        </w:rPr>
        <w:t>22“</w:t>
      </w:r>
      <w:r>
        <w:rPr>
          <w:color w:val="000000"/>
          <w:spacing w:val="0"/>
          <w:w w:val="100"/>
          <w:position w:val="0"/>
        </w:rPr>
        <w:t>长期资产减值</w:t>
      </w:r>
      <w:r>
        <w:rPr>
          <w:rFonts w:ascii="Arial Narrow" w:eastAsia="Arial Narrow" w:hAnsi="Arial Narrow" w:cs="Arial Narrow"/>
          <w:color w:val="000000"/>
          <w:spacing w:val="0"/>
          <w:w w:val="100"/>
          <w:position w:val="0"/>
          <w:sz w:val="18"/>
          <w:szCs w:val="18"/>
        </w:rPr>
        <w:t>”</w:t>
      </w:r>
      <w:r>
        <w:rPr>
          <w:color w:val="000000"/>
          <w:spacing w:val="0"/>
          <w:w w:val="100"/>
          <w:position w:val="0"/>
        </w:rPr>
        <w:t>。</w:t>
      </w:r>
    </w:p>
    <w:p>
      <w:pPr>
        <w:pStyle w:val="Style26"/>
        <w:keepNext w:val="0"/>
        <w:keepLines w:val="0"/>
        <w:widowControl w:val="0"/>
        <w:shd w:val="clear" w:color="auto" w:fill="auto"/>
        <w:bidi w:val="0"/>
        <w:spacing w:before="0" w:after="0" w:line="501" w:lineRule="exact"/>
        <w:ind w:left="140" w:right="0" w:firstLine="360"/>
        <w:jc w:val="both"/>
      </w:pPr>
      <w:r>
        <w:rPr>
          <w:color w:val="000000"/>
          <w:spacing w:val="0"/>
          <w:w w:val="100"/>
          <w:position w:val="0"/>
        </w:rPr>
        <w:t>自用房地产或存货转换为投资性房地产或投资性房地产转换为自用房地产时，按转换前的账面价值作为转换后的入账价 值。</w:t>
      </w:r>
    </w:p>
    <w:p>
      <w:pPr>
        <w:pStyle w:val="Style26"/>
        <w:keepNext w:val="0"/>
        <w:keepLines w:val="0"/>
        <w:widowControl w:val="0"/>
        <w:shd w:val="clear" w:color="auto" w:fill="auto"/>
        <w:bidi w:val="0"/>
        <w:spacing w:before="0" w:after="0" w:line="501" w:lineRule="exact"/>
        <w:ind w:left="140" w:right="0" w:firstLine="360"/>
        <w:jc w:val="both"/>
      </w:pPr>
      <w:r>
        <w:rPr>
          <w:color w:val="000000"/>
          <w:spacing w:val="0"/>
          <w:w w:val="100"/>
          <w:position w:val="0"/>
        </w:rPr>
        <w:t>投资性房地产的用途改变为自用时，自改变之日起，将该投资性房地产转换为固定资产或无形资产。自用房地产的用途 改变为赚取租金或资本增值时，自改变之日起，将固定资产或无形资产转换为投资性房地产。以转换前的账面价值作为转换 后的入账价值。</w:t>
      </w:r>
    </w:p>
    <w:p>
      <w:pPr>
        <w:pStyle w:val="Style26"/>
        <w:keepNext w:val="0"/>
        <w:keepLines w:val="0"/>
        <w:widowControl w:val="0"/>
        <w:shd w:val="clear" w:color="auto" w:fill="auto"/>
        <w:bidi w:val="0"/>
        <w:spacing w:before="0" w:after="280" w:line="501" w:lineRule="exact"/>
        <w:ind w:left="140" w:right="0" w:firstLine="360"/>
        <w:jc w:val="both"/>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性房地产出售、转让、报废或毁损的处置收入扣除其账面价值和相关税费后计入当期损益。</w:t>
      </w:r>
    </w:p>
    <w:p>
      <w:pPr>
        <w:pStyle w:val="Style22"/>
        <w:keepNext/>
        <w:keepLines/>
        <w:widowControl w:val="0"/>
        <w:shd w:val="clear" w:color="auto" w:fill="auto"/>
        <w:tabs>
          <w:tab w:pos="994" w:val="left"/>
        </w:tabs>
        <w:bidi w:val="0"/>
        <w:spacing w:before="0" w:after="0" w:line="523" w:lineRule="auto"/>
        <w:ind w:left="0" w:right="0" w:firstLine="560"/>
        <w:jc w:val="both"/>
        <w:rPr>
          <w:sz w:val="20"/>
          <w:szCs w:val="20"/>
        </w:rPr>
      </w:pPr>
      <w:bookmarkStart w:id="869" w:name="bookmark869"/>
      <w:bookmarkStart w:id="870" w:name="bookmark870"/>
      <w:bookmarkStart w:id="871" w:name="bookmark871"/>
      <w:bookmarkStart w:id="872" w:name="bookmark872"/>
      <w:r>
        <w:rPr>
          <w:rFonts w:ascii="Arial Narrow" w:eastAsia="Arial Narrow" w:hAnsi="Arial Narrow" w:cs="Arial Narrow"/>
          <w:color w:val="000000"/>
          <w:spacing w:val="0"/>
          <w:w w:val="100"/>
          <w:position w:val="0"/>
          <w:sz w:val="20"/>
          <w:szCs w:val="20"/>
        </w:rPr>
        <w:t>1</w:t>
      </w:r>
      <w:bookmarkEnd w:id="871"/>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w:t>
        <w:tab/>
        <w:t>固定资产计价和折旧方法</w:t>
      </w:r>
      <w:bookmarkEnd w:id="869"/>
      <w:bookmarkEnd w:id="870"/>
      <w:bookmarkEnd w:id="872"/>
    </w:p>
    <w:p>
      <w:pPr>
        <w:pStyle w:val="Style26"/>
        <w:keepNext w:val="0"/>
        <w:keepLines w:val="0"/>
        <w:widowControl w:val="0"/>
        <w:shd w:val="clear" w:color="auto" w:fill="auto"/>
        <w:tabs>
          <w:tab w:pos="954" w:val="left"/>
        </w:tabs>
        <w:bidi w:val="0"/>
        <w:spacing w:before="0" w:after="0" w:line="501" w:lineRule="exact"/>
        <w:ind w:left="0" w:right="0" w:firstLine="500"/>
        <w:jc w:val="both"/>
      </w:pPr>
      <w:bookmarkStart w:id="873" w:name="bookmark873"/>
      <w:r>
        <w:rPr>
          <w:color w:val="000000"/>
          <w:spacing w:val="0"/>
          <w:w w:val="100"/>
          <w:position w:val="0"/>
        </w:rPr>
        <w:t>（</w:t>
      </w:r>
      <w:bookmarkEnd w:id="873"/>
      <w:r>
        <w:rPr>
          <w:rFonts w:ascii="Arial Narrow" w:eastAsia="Arial Narrow" w:hAnsi="Arial Narrow" w:cs="Arial Narrow"/>
          <w:color w:val="000000"/>
          <w:spacing w:val="0"/>
          <w:w w:val="100"/>
          <w:position w:val="0"/>
          <w:sz w:val="18"/>
          <w:szCs w:val="18"/>
        </w:rPr>
        <w:t>1</w:t>
      </w:r>
      <w:r>
        <w:rPr>
          <w:color w:val="000000"/>
          <w:spacing w:val="0"/>
          <w:w w:val="100"/>
          <w:position w:val="0"/>
        </w:rPr>
        <w:t>）</w:t>
        <w:tab/>
        <w:t>固定资产确认条件</w:t>
      </w:r>
    </w:p>
    <w:p>
      <w:pPr>
        <w:pStyle w:val="Style26"/>
        <w:keepNext w:val="0"/>
        <w:keepLines w:val="0"/>
        <w:widowControl w:val="0"/>
        <w:shd w:val="clear" w:color="auto" w:fill="auto"/>
        <w:bidi w:val="0"/>
        <w:spacing w:before="0" w:after="0" w:line="501" w:lineRule="exact"/>
        <w:ind w:left="140" w:right="0" w:firstLine="360"/>
        <w:jc w:val="both"/>
      </w:pPr>
      <w:r>
        <w:rPr>
          <w:color w:val="000000"/>
          <w:spacing w:val="0"/>
          <w:w w:val="100"/>
          <w:position w:val="0"/>
        </w:rPr>
        <w:t>固定资产是指为生产商品、提供劳务、出租或经营管理而持有的，使用寿命超过一个会计年度的有形资产。固定资产仅 在与其有关的经济利益很可能流入本公司，且其成本能够可靠地计量时才予以确认。固定资产按成本并考虑预计弃置费用因 素的影响进行初始计量。</w:t>
      </w:r>
    </w:p>
    <w:p>
      <w:pPr>
        <w:pStyle w:val="Style26"/>
        <w:keepNext w:val="0"/>
        <w:keepLines w:val="0"/>
        <w:widowControl w:val="0"/>
        <w:shd w:val="clear" w:color="auto" w:fill="auto"/>
        <w:tabs>
          <w:tab w:pos="954" w:val="left"/>
        </w:tabs>
        <w:bidi w:val="0"/>
        <w:spacing w:before="0" w:after="0" w:line="501" w:lineRule="exact"/>
        <w:ind w:left="0" w:right="0" w:firstLine="500"/>
        <w:jc w:val="both"/>
      </w:pPr>
      <w:bookmarkStart w:id="874" w:name="bookmark874"/>
      <w:r>
        <w:rPr>
          <w:color w:val="000000"/>
          <w:spacing w:val="0"/>
          <w:w w:val="100"/>
          <w:position w:val="0"/>
        </w:rPr>
        <w:t>（</w:t>
      </w:r>
      <w:bookmarkEnd w:id="874"/>
      <w:r>
        <w:rPr>
          <w:rFonts w:ascii="Arial Narrow" w:eastAsia="Arial Narrow" w:hAnsi="Arial Narrow" w:cs="Arial Narrow"/>
          <w:color w:val="000000"/>
          <w:spacing w:val="0"/>
          <w:w w:val="100"/>
          <w:position w:val="0"/>
          <w:sz w:val="18"/>
          <w:szCs w:val="18"/>
        </w:rPr>
        <w:t>2</w:t>
      </w:r>
      <w:r>
        <w:rPr>
          <w:color w:val="000000"/>
          <w:spacing w:val="0"/>
          <w:w w:val="100"/>
          <w:position w:val="0"/>
        </w:rPr>
        <w:t>）</w:t>
        <w:tab/>
        <w:t>各类固定资产的折旧方法</w:t>
      </w:r>
    </w:p>
    <w:p>
      <w:pPr>
        <w:pStyle w:val="Style26"/>
        <w:keepNext w:val="0"/>
        <w:keepLines w:val="0"/>
        <w:widowControl w:val="0"/>
        <w:shd w:val="clear" w:color="auto" w:fill="auto"/>
        <w:bidi w:val="0"/>
        <w:spacing w:before="0" w:after="0" w:line="501" w:lineRule="exact"/>
        <w:ind w:left="0" w:right="0" w:firstLine="500"/>
        <w:jc w:val="both"/>
      </w:pPr>
      <w:r>
        <w:rPr>
          <w:color w:val="000000"/>
          <w:spacing w:val="0"/>
          <w:w w:val="100"/>
          <w:position w:val="0"/>
        </w:rPr>
        <w:t>固定资产从达到预定可使用状态的次月起，采用年限平均法在使用寿命内计提折旧。各类固定资产的使用寿命、预计净</w:t>
      </w:r>
    </w:p>
    <w:p>
      <w:pPr>
        <w:pStyle w:val="Style24"/>
        <w:keepNext w:val="0"/>
        <w:keepLines w:val="0"/>
        <w:widowControl w:val="0"/>
        <w:shd w:val="clear" w:color="auto" w:fill="auto"/>
        <w:bidi w:val="0"/>
        <w:spacing w:before="0" w:after="0" w:line="240" w:lineRule="auto"/>
        <w:ind w:left="139" w:right="0" w:firstLine="0"/>
        <w:jc w:val="left"/>
      </w:pPr>
      <w:r>
        <w:rPr>
          <w:color w:val="000000"/>
          <w:spacing w:val="0"/>
          <w:w w:val="100"/>
          <w:position w:val="0"/>
        </w:rPr>
        <w:t>残值和年折旧率如下:</w:t>
      </w:r>
    </w:p>
    <w:tbl>
      <w:tblPr>
        <w:tblOverlap w:val="never"/>
        <w:jc w:val="left"/>
        <w:tblLayout w:type="fixed"/>
      </w:tblPr>
      <w:tblGrid>
        <w:gridCol w:w="1248"/>
        <w:gridCol w:w="2170"/>
        <w:gridCol w:w="2736"/>
        <w:gridCol w:w="1464"/>
        <w:gridCol w:w="1502"/>
      </w:tblGrid>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类别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明细类别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折旧年限（年）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残值率（</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年折旧率（</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17"/>
                <w:szCs w:val="17"/>
              </w:rPr>
              <w:t>）</w:t>
            </w:r>
          </w:p>
        </w:tc>
      </w:tr>
      <w:tr>
        <w:trPr>
          <w:trHeight w:val="946"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房屋及</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有权属年限（房产证或土地证上 规定的期限）按权属年限，无权 属年限按</w:t>
            </w:r>
            <w:r>
              <w:rPr>
                <w:rFonts w:ascii="Arial Narrow" w:eastAsia="Arial Narrow" w:hAnsi="Arial Narrow" w:cs="Arial Narrow"/>
                <w:color w:val="000000"/>
                <w:spacing w:val="0"/>
                <w:w w:val="100"/>
                <w:position w:val="0"/>
                <w:sz w:val="18"/>
                <w:szCs w:val="18"/>
              </w:rPr>
              <w:t>30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3.17</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简易房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19.00</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9.50</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4.75</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9.50</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19.00</w:t>
            </w:r>
          </w:p>
        </w:tc>
      </w:tr>
      <w:tr>
        <w:trPr>
          <w:trHeight w:val="979"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实验、质检、办公设备、</w:t>
            </w:r>
          </w:p>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电子设备、工具器具及其 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19.00</w:t>
            </w:r>
          </w:p>
        </w:tc>
      </w:tr>
    </w:tbl>
    <w:p>
      <w:pPr>
        <w:pStyle w:val="Style26"/>
        <w:keepNext w:val="0"/>
        <w:keepLines w:val="0"/>
        <w:widowControl w:val="0"/>
        <w:shd w:val="clear" w:color="auto" w:fill="auto"/>
        <w:bidi w:val="0"/>
        <w:spacing w:before="0" w:after="0" w:line="504" w:lineRule="exact"/>
        <w:ind w:left="140" w:right="0" w:firstLine="360"/>
        <w:jc w:val="left"/>
      </w:pPr>
      <w:r>
        <w:rPr>
          <w:color w:val="000000"/>
          <w:spacing w:val="0"/>
          <w:w w:val="100"/>
          <w:position w:val="0"/>
        </w:rPr>
        <w:t>预计净残值是指假定固定资产预计使用寿命已满并处于使用寿命终了时的预期状态，本公司目前从该项资产处置中获得 的扣除预计处置费用后的金额。</w:t>
      </w:r>
    </w:p>
    <w:p>
      <w:pPr>
        <w:pStyle w:val="Style26"/>
        <w:keepNext w:val="0"/>
        <w:keepLines w:val="0"/>
        <w:widowControl w:val="0"/>
        <w:shd w:val="clear" w:color="auto" w:fill="auto"/>
        <w:tabs>
          <w:tab w:pos="964" w:val="left"/>
        </w:tabs>
        <w:bidi w:val="0"/>
        <w:spacing w:before="0" w:after="0" w:line="504" w:lineRule="exact"/>
        <w:ind w:left="0" w:right="0" w:firstLine="500"/>
        <w:jc w:val="left"/>
      </w:pPr>
      <w:bookmarkStart w:id="875" w:name="bookmark875"/>
      <w:r>
        <w:rPr>
          <w:color w:val="000000"/>
          <w:spacing w:val="0"/>
          <w:w w:val="100"/>
          <w:position w:val="0"/>
        </w:rPr>
        <w:t>（</w:t>
      </w:r>
      <w:bookmarkEnd w:id="875"/>
      <w:r>
        <w:rPr>
          <w:rFonts w:ascii="Arial Narrow" w:eastAsia="Arial Narrow" w:hAnsi="Arial Narrow" w:cs="Arial Narrow"/>
          <w:color w:val="000000"/>
          <w:spacing w:val="0"/>
          <w:w w:val="100"/>
          <w:position w:val="0"/>
          <w:sz w:val="18"/>
          <w:szCs w:val="18"/>
        </w:rPr>
        <w:t>3</w:t>
      </w:r>
      <w:r>
        <w:rPr>
          <w:color w:val="000000"/>
          <w:spacing w:val="0"/>
          <w:w w:val="100"/>
          <w:position w:val="0"/>
        </w:rPr>
        <w:t>）</w:t>
        <w:tab/>
        <w:t>固定资产的减值测试方法及减值准备计提方法</w:t>
      </w:r>
    </w:p>
    <w:p>
      <w:pPr>
        <w:pStyle w:val="Style26"/>
        <w:keepNext w:val="0"/>
        <w:keepLines w:val="0"/>
        <w:widowControl w:val="0"/>
        <w:shd w:val="clear" w:color="auto" w:fill="auto"/>
        <w:bidi w:val="0"/>
        <w:spacing w:before="0" w:after="0" w:line="504" w:lineRule="exact"/>
        <w:ind w:left="0" w:right="0" w:firstLine="500"/>
        <w:jc w:val="left"/>
      </w:pPr>
      <w:r>
        <w:rPr>
          <w:color w:val="000000"/>
          <w:spacing w:val="0"/>
          <w:w w:val="100"/>
          <w:position w:val="0"/>
        </w:rPr>
        <w:t>固定资产的减值测试方法和减值准备计提方法详见本附注三、</w:t>
      </w:r>
      <w:r>
        <w:rPr>
          <w:rFonts w:ascii="Arial Narrow" w:eastAsia="Arial Narrow" w:hAnsi="Arial Narrow" w:cs="Arial Narrow"/>
          <w:color w:val="000000"/>
          <w:spacing w:val="0"/>
          <w:w w:val="100"/>
          <w:position w:val="0"/>
          <w:sz w:val="18"/>
          <w:szCs w:val="18"/>
        </w:rPr>
        <w:t>22“</w:t>
      </w:r>
      <w:r>
        <w:rPr>
          <w:color w:val="000000"/>
          <w:spacing w:val="0"/>
          <w:w w:val="100"/>
          <w:position w:val="0"/>
        </w:rPr>
        <w:t>长期资产减值</w:t>
      </w:r>
      <w:r>
        <w:rPr>
          <w:rFonts w:ascii="Arial Narrow" w:eastAsia="Arial Narrow" w:hAnsi="Arial Narrow" w:cs="Arial Narrow"/>
          <w:color w:val="000000"/>
          <w:spacing w:val="0"/>
          <w:w w:val="100"/>
          <w:position w:val="0"/>
          <w:sz w:val="18"/>
          <w:szCs w:val="18"/>
        </w:rPr>
        <w:t>”</w:t>
      </w:r>
      <w:r>
        <w:rPr>
          <w:color w:val="000000"/>
          <w:spacing w:val="0"/>
          <w:w w:val="100"/>
          <w:position w:val="0"/>
        </w:rPr>
        <w:t>。</w:t>
      </w:r>
    </w:p>
    <w:p>
      <w:pPr>
        <w:pStyle w:val="Style26"/>
        <w:keepNext w:val="0"/>
        <w:keepLines w:val="0"/>
        <w:widowControl w:val="0"/>
        <w:shd w:val="clear" w:color="auto" w:fill="auto"/>
        <w:tabs>
          <w:tab w:pos="964" w:val="left"/>
        </w:tabs>
        <w:bidi w:val="0"/>
        <w:spacing w:before="0" w:after="0" w:line="504" w:lineRule="exact"/>
        <w:ind w:left="0" w:right="0" w:firstLine="500"/>
        <w:jc w:val="left"/>
      </w:pPr>
      <w:bookmarkStart w:id="876" w:name="bookmark876"/>
      <w:r>
        <w:rPr>
          <w:color w:val="000000"/>
          <w:spacing w:val="0"/>
          <w:w w:val="100"/>
          <w:position w:val="0"/>
        </w:rPr>
        <w:t>（</w:t>
      </w:r>
      <w:bookmarkEnd w:id="876"/>
      <w:r>
        <w:rPr>
          <w:rFonts w:ascii="Arial Narrow" w:eastAsia="Arial Narrow" w:hAnsi="Arial Narrow" w:cs="Arial Narrow"/>
          <w:color w:val="000000"/>
          <w:spacing w:val="0"/>
          <w:w w:val="100"/>
          <w:position w:val="0"/>
          <w:sz w:val="18"/>
          <w:szCs w:val="18"/>
        </w:rPr>
        <w:t>4</w:t>
      </w:r>
      <w:r>
        <w:rPr>
          <w:color w:val="000000"/>
          <w:spacing w:val="0"/>
          <w:w w:val="100"/>
          <w:position w:val="0"/>
        </w:rPr>
        <w:t>）</w:t>
        <w:tab/>
        <w:t>融资租入固定资产的认定依据及计价方法</w:t>
      </w:r>
    </w:p>
    <w:p>
      <w:pPr>
        <w:pStyle w:val="Style26"/>
        <w:keepNext w:val="0"/>
        <w:keepLines w:val="0"/>
        <w:widowControl w:val="0"/>
        <w:shd w:val="clear" w:color="auto" w:fill="auto"/>
        <w:bidi w:val="0"/>
        <w:spacing w:before="0" w:after="0" w:line="504" w:lineRule="exact"/>
        <w:ind w:left="0" w:right="0" w:firstLine="500"/>
        <w:jc w:val="left"/>
      </w:pPr>
      <w:r>
        <w:rPr>
          <w:color w:val="000000"/>
          <w:spacing w:val="0"/>
          <w:w w:val="100"/>
          <w:position w:val="0"/>
        </w:rPr>
        <w:t>本公司租入的固定资产符合下列一项或数项标准时，确认为融资租入固定资产：</w:t>
      </w:r>
    </w:p>
    <w:p>
      <w:pPr>
        <w:pStyle w:val="Style26"/>
        <w:keepNext w:val="0"/>
        <w:keepLines w:val="0"/>
        <w:widowControl w:val="0"/>
        <w:numPr>
          <w:ilvl w:val="0"/>
          <w:numId w:val="29"/>
        </w:numPr>
        <w:shd w:val="clear" w:color="auto" w:fill="auto"/>
        <w:tabs>
          <w:tab w:pos="844" w:val="left"/>
        </w:tabs>
        <w:bidi w:val="0"/>
        <w:spacing w:before="0" w:after="0" w:line="504" w:lineRule="exact"/>
        <w:ind w:left="0" w:right="0" w:firstLine="500"/>
        <w:jc w:val="left"/>
      </w:pPr>
      <w:bookmarkStart w:id="877" w:name="bookmark877"/>
      <w:bookmarkEnd w:id="877"/>
      <w:r>
        <w:rPr>
          <w:color w:val="000000"/>
          <w:spacing w:val="0"/>
          <w:w w:val="100"/>
          <w:position w:val="0"/>
        </w:rPr>
        <w:t>在租赁期届满时，租赁资产的所有权转移给本公司。</w:t>
      </w:r>
    </w:p>
    <w:p>
      <w:pPr>
        <w:pStyle w:val="Style26"/>
        <w:keepNext w:val="0"/>
        <w:keepLines w:val="0"/>
        <w:widowControl w:val="0"/>
        <w:numPr>
          <w:ilvl w:val="0"/>
          <w:numId w:val="29"/>
        </w:numPr>
        <w:shd w:val="clear" w:color="auto" w:fill="auto"/>
        <w:tabs>
          <w:tab w:pos="854" w:val="left"/>
        </w:tabs>
        <w:bidi w:val="0"/>
        <w:spacing w:before="0" w:after="0" w:line="504" w:lineRule="exact"/>
        <w:ind w:left="140" w:right="0" w:firstLine="360"/>
        <w:jc w:val="left"/>
      </w:pPr>
      <w:bookmarkStart w:id="878" w:name="bookmark878"/>
      <w:bookmarkEnd w:id="878"/>
      <w:r>
        <w:rPr>
          <w:color w:val="000000"/>
          <w:spacing w:val="0"/>
          <w:w w:val="100"/>
          <w:position w:val="0"/>
        </w:rPr>
        <w:t>本公司有购买租赁资产的选择权，所订立的购买价款预计将远低于行使选择权时租赁资产的公允价值，因而在租赁开 始日就可以合理确定本公司将会行使这种选择权。</w:t>
      </w:r>
    </w:p>
    <w:p>
      <w:pPr>
        <w:pStyle w:val="Style26"/>
        <w:keepNext w:val="0"/>
        <w:keepLines w:val="0"/>
        <w:widowControl w:val="0"/>
        <w:numPr>
          <w:ilvl w:val="0"/>
          <w:numId w:val="29"/>
        </w:numPr>
        <w:shd w:val="clear" w:color="auto" w:fill="auto"/>
        <w:tabs>
          <w:tab w:pos="844" w:val="left"/>
        </w:tabs>
        <w:bidi w:val="0"/>
        <w:spacing w:before="0" w:after="0" w:line="504" w:lineRule="exact"/>
        <w:ind w:left="0" w:right="0" w:firstLine="500"/>
        <w:jc w:val="left"/>
      </w:pPr>
      <w:bookmarkStart w:id="879" w:name="bookmark879"/>
      <w:bookmarkEnd w:id="879"/>
      <w:r>
        <w:rPr>
          <w:color w:val="000000"/>
          <w:spacing w:val="0"/>
          <w:w w:val="100"/>
          <w:position w:val="0"/>
        </w:rPr>
        <w:t>即使资产的所有权不转移，但租赁期占租赁资产使用寿命的大部分。</w:t>
      </w:r>
    </w:p>
    <w:p>
      <w:pPr>
        <w:pStyle w:val="Style26"/>
        <w:keepNext w:val="0"/>
        <w:keepLines w:val="0"/>
        <w:widowControl w:val="0"/>
        <w:numPr>
          <w:ilvl w:val="0"/>
          <w:numId w:val="29"/>
        </w:numPr>
        <w:shd w:val="clear" w:color="auto" w:fill="auto"/>
        <w:tabs>
          <w:tab w:pos="844" w:val="left"/>
        </w:tabs>
        <w:bidi w:val="0"/>
        <w:spacing w:before="0" w:after="0" w:line="504" w:lineRule="exact"/>
        <w:ind w:left="0" w:right="0" w:firstLine="500"/>
        <w:jc w:val="left"/>
      </w:pPr>
      <w:bookmarkStart w:id="880" w:name="bookmark880"/>
      <w:bookmarkEnd w:id="880"/>
      <w:r>
        <w:rPr>
          <w:color w:val="000000"/>
          <w:spacing w:val="0"/>
          <w:w w:val="100"/>
          <w:position w:val="0"/>
        </w:rPr>
        <w:t>本公司在租赁开始日的最低租赁付款额现值，几乎相当于租赁开始日租赁资产公允价值。</w:t>
      </w:r>
    </w:p>
    <w:p>
      <w:pPr>
        <w:pStyle w:val="Style26"/>
        <w:keepNext w:val="0"/>
        <w:keepLines w:val="0"/>
        <w:widowControl w:val="0"/>
        <w:numPr>
          <w:ilvl w:val="0"/>
          <w:numId w:val="29"/>
        </w:numPr>
        <w:shd w:val="clear" w:color="auto" w:fill="auto"/>
        <w:tabs>
          <w:tab w:pos="844" w:val="left"/>
        </w:tabs>
        <w:bidi w:val="0"/>
        <w:spacing w:before="0" w:after="0" w:line="504" w:lineRule="exact"/>
        <w:ind w:left="0" w:right="0" w:firstLine="500"/>
        <w:jc w:val="left"/>
      </w:pPr>
      <w:bookmarkStart w:id="881" w:name="bookmark881"/>
      <w:bookmarkEnd w:id="881"/>
      <w:r>
        <w:rPr>
          <w:color w:val="000000"/>
          <w:spacing w:val="0"/>
          <w:w w:val="100"/>
          <w:position w:val="0"/>
        </w:rPr>
        <w:t>租赁资产性质特殊，如果不作较大改造，只有本公司才能使用。</w:t>
      </w:r>
    </w:p>
    <w:p>
      <w:pPr>
        <w:pStyle w:val="Style26"/>
        <w:keepNext w:val="0"/>
        <w:keepLines w:val="0"/>
        <w:widowControl w:val="0"/>
        <w:shd w:val="clear" w:color="auto" w:fill="auto"/>
        <w:bidi w:val="0"/>
        <w:spacing w:before="0" w:after="0" w:line="504" w:lineRule="exact"/>
        <w:ind w:left="140" w:right="0" w:firstLine="360"/>
        <w:jc w:val="both"/>
      </w:pPr>
      <w:r>
        <w:rPr>
          <w:color w:val="000000"/>
          <w:spacing w:val="0"/>
          <w:w w:val="100"/>
          <w:position w:val="0"/>
        </w:rPr>
        <w:t>融资租入的固定资产，能够合理确定租赁期届满时将会取得租赁资产所有权的，在租赁资产尚可使用年限内计提折旧； 无法合理确定租赁期届满时能够取得租赁资产所有权的，在租赁期与租赁资产尚可使用年限两者中较短的期间内计提折旧。</w:t>
      </w:r>
    </w:p>
    <w:p>
      <w:pPr>
        <w:pStyle w:val="Style26"/>
        <w:keepNext w:val="0"/>
        <w:keepLines w:val="0"/>
        <w:widowControl w:val="0"/>
        <w:shd w:val="clear" w:color="auto" w:fill="auto"/>
        <w:tabs>
          <w:tab w:pos="964" w:val="left"/>
        </w:tabs>
        <w:bidi w:val="0"/>
        <w:spacing w:before="0" w:after="0" w:line="504" w:lineRule="exact"/>
        <w:ind w:left="0" w:right="0" w:firstLine="500"/>
        <w:jc w:val="both"/>
      </w:pPr>
      <w:bookmarkStart w:id="882" w:name="bookmark882"/>
      <w:r>
        <w:rPr>
          <w:color w:val="000000"/>
          <w:spacing w:val="0"/>
          <w:w w:val="100"/>
          <w:position w:val="0"/>
        </w:rPr>
        <w:t>（</w:t>
      </w:r>
      <w:bookmarkEnd w:id="882"/>
      <w:r>
        <w:rPr>
          <w:rFonts w:ascii="Arial Narrow" w:eastAsia="Arial Narrow" w:hAnsi="Arial Narrow" w:cs="Arial Narrow"/>
          <w:color w:val="000000"/>
          <w:spacing w:val="0"/>
          <w:w w:val="100"/>
          <w:position w:val="0"/>
          <w:sz w:val="18"/>
          <w:szCs w:val="18"/>
        </w:rPr>
        <w:t>5</w:t>
      </w:r>
      <w:r>
        <w:rPr>
          <w:color w:val="000000"/>
          <w:spacing w:val="0"/>
          <w:w w:val="100"/>
          <w:position w:val="0"/>
        </w:rPr>
        <w:t>）</w:t>
        <w:tab/>
        <w:t>其他说明</w:t>
      </w:r>
    </w:p>
    <w:p>
      <w:pPr>
        <w:pStyle w:val="Style26"/>
        <w:keepNext w:val="0"/>
        <w:keepLines w:val="0"/>
        <w:widowControl w:val="0"/>
        <w:shd w:val="clear" w:color="auto" w:fill="auto"/>
        <w:bidi w:val="0"/>
        <w:spacing w:before="0" w:after="0" w:line="504" w:lineRule="exact"/>
        <w:ind w:left="140" w:right="0" w:firstLine="360"/>
        <w:jc w:val="both"/>
      </w:pPr>
      <w:r>
        <w:rPr>
          <w:color w:val="000000"/>
          <w:spacing w:val="0"/>
          <w:w w:val="100"/>
          <w:position w:val="0"/>
        </w:rPr>
        <w:t>与固定资产有关的后续支出，如果与该固定资产有关的经济利益很可能流入且其成本能可靠地计量，则计入固定资产成 本，并终止确认被替换部分的账面价值。除此以外的其他后续支出，在发生时计入当期损益。</w:t>
      </w:r>
    </w:p>
    <w:p>
      <w:pPr>
        <w:pStyle w:val="Style26"/>
        <w:keepNext w:val="0"/>
        <w:keepLines w:val="0"/>
        <w:widowControl w:val="0"/>
        <w:shd w:val="clear" w:color="auto" w:fill="auto"/>
        <w:bidi w:val="0"/>
        <w:spacing w:before="0" w:after="0" w:line="504" w:lineRule="exact"/>
        <w:ind w:left="140" w:right="0" w:firstLine="360"/>
        <w:jc w:val="both"/>
      </w:pPr>
      <w:r>
        <w:rPr>
          <w:color w:val="000000"/>
          <w:spacing w:val="0"/>
          <w:w w:val="100"/>
          <w:position w:val="0"/>
        </w:rPr>
        <w:t>当固定资产处于处置状态或预期通过使用或处置不能产生经济利益时，终止确认该固定资产。固定资产出售、转让、报 废或毁损的处置收入扣除其账面价值和相关税费后的差额计入当期损益。</w:t>
      </w:r>
    </w:p>
    <w:p>
      <w:pPr>
        <w:pStyle w:val="Style26"/>
        <w:keepNext w:val="0"/>
        <w:keepLines w:val="0"/>
        <w:widowControl w:val="0"/>
        <w:shd w:val="clear" w:color="auto" w:fill="auto"/>
        <w:bidi w:val="0"/>
        <w:spacing w:before="0" w:after="280" w:line="502" w:lineRule="exact"/>
        <w:ind w:left="0" w:right="0" w:firstLine="380"/>
        <w:jc w:val="both"/>
      </w:pPr>
      <w:r>
        <w:rPr>
          <w:color w:val="000000"/>
          <w:spacing w:val="0"/>
          <w:w w:val="100"/>
          <w:position w:val="0"/>
        </w:rPr>
        <w:t>本公司至少于年度终了对固定资产的使用寿命、预计净残值和折旧方法进行复核，如发生改变则作为会计估计变更处理。</w:t>
      </w:r>
    </w:p>
    <w:p>
      <w:pPr>
        <w:pStyle w:val="Style22"/>
        <w:keepNext/>
        <w:keepLines/>
        <w:widowControl w:val="0"/>
        <w:shd w:val="clear" w:color="auto" w:fill="auto"/>
        <w:tabs>
          <w:tab w:pos="819" w:val="left"/>
        </w:tabs>
        <w:bidi w:val="0"/>
        <w:spacing w:before="0" w:after="0" w:line="526" w:lineRule="auto"/>
        <w:ind w:left="0" w:right="0" w:firstLine="380"/>
        <w:jc w:val="both"/>
        <w:rPr>
          <w:sz w:val="20"/>
          <w:szCs w:val="20"/>
        </w:rPr>
      </w:pPr>
      <w:bookmarkStart w:id="883" w:name="bookmark883"/>
      <w:bookmarkStart w:id="884" w:name="bookmark884"/>
      <w:bookmarkStart w:id="885" w:name="bookmark885"/>
      <w:bookmarkStart w:id="886" w:name="bookmark886"/>
      <w:r>
        <w:rPr>
          <w:rFonts w:ascii="Arial Narrow" w:eastAsia="Arial Narrow" w:hAnsi="Arial Narrow" w:cs="Arial Narrow"/>
          <w:color w:val="000000"/>
          <w:spacing w:val="0"/>
          <w:w w:val="100"/>
          <w:position w:val="0"/>
          <w:sz w:val="20"/>
          <w:szCs w:val="20"/>
        </w:rPr>
        <w:t>1</w:t>
      </w:r>
      <w:bookmarkEnd w:id="885"/>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w:t>
        <w:tab/>
        <w:t>在建工程</w:t>
      </w:r>
      <w:bookmarkEnd w:id="883"/>
      <w:bookmarkEnd w:id="884"/>
      <w:bookmarkEnd w:id="886"/>
    </w:p>
    <w:p>
      <w:pPr>
        <w:pStyle w:val="Style26"/>
        <w:keepNext w:val="0"/>
        <w:keepLines w:val="0"/>
        <w:widowControl w:val="0"/>
        <w:shd w:val="clear" w:color="auto" w:fill="auto"/>
        <w:bidi w:val="0"/>
        <w:spacing w:before="0" w:after="0" w:line="502" w:lineRule="exact"/>
        <w:ind w:left="0" w:right="0" w:firstLine="420"/>
        <w:jc w:val="both"/>
      </w:pPr>
      <w:r>
        <w:rPr>
          <w:color w:val="000000"/>
          <w:spacing w:val="0"/>
          <w:w w:val="100"/>
          <w:position w:val="0"/>
        </w:rPr>
        <w:t>本公司在建工程成本按实际工程支出确定，包括在建期间发生的各项必要工程支出、工程达到预定可使用状态前的应予 资本化的借款费用以及其他相关费用等。</w:t>
      </w:r>
    </w:p>
    <w:p>
      <w:pPr>
        <w:pStyle w:val="Style26"/>
        <w:keepNext w:val="0"/>
        <w:keepLines w:val="0"/>
        <w:widowControl w:val="0"/>
        <w:shd w:val="clear" w:color="auto" w:fill="auto"/>
        <w:bidi w:val="0"/>
        <w:spacing w:before="0" w:after="280" w:line="502" w:lineRule="exact"/>
        <w:ind w:left="0" w:right="0" w:firstLine="420"/>
        <w:jc w:val="both"/>
      </w:pPr>
      <w:r>
        <w:rPr>
          <w:color w:val="000000"/>
          <w:spacing w:val="0"/>
          <w:w w:val="100"/>
          <w:position w:val="0"/>
        </w:rPr>
        <w:t>在建工程在达到预定可使用状态时转入固定资产。</w:t>
      </w:r>
    </w:p>
    <w:p>
      <w:pPr>
        <w:pStyle w:val="Style22"/>
        <w:keepNext/>
        <w:keepLines/>
        <w:widowControl w:val="0"/>
        <w:shd w:val="clear" w:color="auto" w:fill="auto"/>
        <w:tabs>
          <w:tab w:pos="819" w:val="left"/>
        </w:tabs>
        <w:bidi w:val="0"/>
        <w:spacing w:before="0" w:after="0" w:line="526" w:lineRule="auto"/>
        <w:ind w:left="0" w:right="0" w:firstLine="380"/>
        <w:jc w:val="both"/>
        <w:rPr>
          <w:sz w:val="20"/>
          <w:szCs w:val="20"/>
        </w:rPr>
      </w:pPr>
      <w:bookmarkStart w:id="887" w:name="bookmark887"/>
      <w:bookmarkStart w:id="888" w:name="bookmark888"/>
      <w:bookmarkStart w:id="889" w:name="bookmark889"/>
      <w:bookmarkStart w:id="890" w:name="bookmark890"/>
      <w:r>
        <w:rPr>
          <w:rFonts w:ascii="Arial Narrow" w:eastAsia="Arial Narrow" w:hAnsi="Arial Narrow" w:cs="Arial Narrow"/>
          <w:color w:val="000000"/>
          <w:spacing w:val="0"/>
          <w:w w:val="100"/>
          <w:position w:val="0"/>
          <w:sz w:val="20"/>
          <w:szCs w:val="20"/>
        </w:rPr>
        <w:t>1</w:t>
      </w:r>
      <w:bookmarkEnd w:id="889"/>
      <w:r>
        <w:rPr>
          <w:rFonts w:ascii="Arial Narrow" w:eastAsia="Arial Narrow" w:hAnsi="Arial Narrow" w:cs="Arial Narrow"/>
          <w:color w:val="000000"/>
          <w:spacing w:val="0"/>
          <w:w w:val="100"/>
          <w:position w:val="0"/>
          <w:sz w:val="20"/>
          <w:szCs w:val="20"/>
        </w:rPr>
        <w:t>7</w:t>
      </w:r>
      <w:r>
        <w:rPr>
          <w:color w:val="000000"/>
          <w:spacing w:val="0"/>
          <w:w w:val="100"/>
          <w:position w:val="0"/>
          <w:sz w:val="20"/>
          <w:szCs w:val="20"/>
        </w:rPr>
        <w:t>、</w:t>
        <w:tab/>
        <w:t>借款费用</w:t>
      </w:r>
      <w:bookmarkEnd w:id="887"/>
      <w:bookmarkEnd w:id="888"/>
      <w:bookmarkEnd w:id="890"/>
    </w:p>
    <w:p>
      <w:pPr>
        <w:pStyle w:val="Style33"/>
        <w:keepNext w:val="0"/>
        <w:keepLines w:val="0"/>
        <w:widowControl w:val="0"/>
        <w:shd w:val="clear" w:color="auto" w:fill="auto"/>
        <w:bidi w:val="0"/>
        <w:spacing w:before="0" w:after="0" w:line="502" w:lineRule="exact"/>
        <w:ind w:left="0" w:right="0" w:firstLine="420"/>
        <w:jc w:val="both"/>
      </w:pPr>
      <w:r>
        <w:rPr>
          <w:color w:val="000000"/>
          <w:spacing w:val="0"/>
          <w:w w:val="100"/>
          <w:position w:val="0"/>
        </w:rPr>
        <w:t>借款费用包括借款利息、折价或溢价的摊销、辅助费用以及因外币借款而发生的汇兑差额等。可直接 归属于符合资本化条件的资产的购建或者生产的借款费用，在资产支出已经发生、借款费用已经发生、为 使资产达到预定可使用或可销售状态所必要的购建或生产活动已经开始时，开始资本化；构建或者生产的 符合资本化条件的资产达到预定可使用状态或者可销售状态时，停止资本化。其余借款费用在发生当期确 认为费用。</w:t>
      </w:r>
    </w:p>
    <w:p>
      <w:pPr>
        <w:pStyle w:val="Style33"/>
        <w:keepNext w:val="0"/>
        <w:keepLines w:val="0"/>
        <w:widowControl w:val="0"/>
        <w:shd w:val="clear" w:color="auto" w:fill="auto"/>
        <w:bidi w:val="0"/>
        <w:spacing w:before="0" w:after="0" w:line="502" w:lineRule="exact"/>
        <w:ind w:left="0" w:right="0" w:firstLine="420"/>
        <w:jc w:val="both"/>
      </w:pPr>
      <w:r>
        <w:rPr>
          <w:color w:val="000000"/>
          <w:spacing w:val="0"/>
          <w:w w:val="100"/>
          <w:position w:val="0"/>
        </w:rPr>
        <w:t>专门借款当期实际发生的利息费用，减去尚未动用的借款资金存入银行取得的利息收入或进行暂时性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平均数乘以所占用一般借款的资本化率，确定资本化金额。资本化率根据一般借款的加权平均利率计算确 定。</w:t>
      </w:r>
    </w:p>
    <w:p>
      <w:pPr>
        <w:pStyle w:val="Style33"/>
        <w:keepNext w:val="0"/>
        <w:keepLines w:val="0"/>
        <w:widowControl w:val="0"/>
        <w:shd w:val="clear" w:color="auto" w:fill="auto"/>
        <w:bidi w:val="0"/>
        <w:spacing w:before="0" w:after="0" w:line="502" w:lineRule="exact"/>
        <w:ind w:left="0" w:right="0" w:firstLine="380"/>
        <w:jc w:val="both"/>
      </w:pPr>
      <w:r>
        <w:rPr>
          <w:color w:val="000000"/>
          <w:spacing w:val="0"/>
          <w:w w:val="100"/>
          <w:position w:val="0"/>
        </w:rPr>
        <w:t>资本化期间内，外币专门借款的汇兑差额全部予以资本化；外币一般借款的汇兑差额计入当期损益。</w:t>
      </w:r>
    </w:p>
    <w:p>
      <w:pPr>
        <w:pStyle w:val="Style33"/>
        <w:keepNext w:val="0"/>
        <w:keepLines w:val="0"/>
        <w:widowControl w:val="0"/>
        <w:shd w:val="clear" w:color="auto" w:fill="auto"/>
        <w:bidi w:val="0"/>
        <w:spacing w:before="0" w:after="0" w:line="502" w:lineRule="exact"/>
        <w:ind w:left="0" w:right="0" w:firstLine="420"/>
        <w:jc w:val="both"/>
      </w:pPr>
      <w:r>
        <w:rPr>
          <w:color w:val="000000"/>
          <w:spacing w:val="0"/>
          <w:w w:val="100"/>
          <w:position w:val="0"/>
        </w:rPr>
        <w:t>符合资本化条件的资产指需要经过相当长时间的购建或者生产活动才能达到预定可使用或可销售状 态的固定资产、投资性房地产和存货等资产。</w:t>
      </w:r>
    </w:p>
    <w:p>
      <w:pPr>
        <w:pStyle w:val="Style33"/>
        <w:keepNext w:val="0"/>
        <w:keepLines w:val="0"/>
        <w:widowControl w:val="0"/>
        <w:shd w:val="clear" w:color="auto" w:fill="auto"/>
        <w:bidi w:val="0"/>
        <w:spacing w:before="0" w:after="0" w:line="502" w:lineRule="exact"/>
        <w:ind w:left="0" w:right="0" w:firstLine="420"/>
        <w:jc w:val="both"/>
      </w:pPr>
      <w:r>
        <w:rPr>
          <w:color w:val="000000"/>
          <w:spacing w:val="0"/>
          <w:w w:val="100"/>
          <w:position w:val="0"/>
        </w:rPr>
        <w:t>如果符合资本化条件的资产在购建或生产过程中发生非正常中断、并且中断时间连续超过</w:t>
      </w:r>
      <w:r>
        <w:rPr>
          <w:b/>
          <w:bCs/>
          <w:color w:val="000000"/>
          <w:spacing w:val="0"/>
          <w:w w:val="100"/>
          <w:position w:val="0"/>
        </w:rPr>
        <w:t>3</w:t>
      </w:r>
      <w:r>
        <w:rPr>
          <w:color w:val="000000"/>
          <w:spacing w:val="0"/>
          <w:w w:val="100"/>
          <w:position w:val="0"/>
        </w:rPr>
        <w:t>个月的， 暂停借款费用的资本化，直至资产的购建或生产活动重新开始。</w:t>
      </w:r>
    </w:p>
    <w:p>
      <w:pPr>
        <w:pStyle w:val="Style33"/>
        <w:keepNext w:val="0"/>
        <w:keepLines w:val="0"/>
        <w:widowControl w:val="0"/>
        <w:shd w:val="clear" w:color="auto" w:fill="auto"/>
        <w:bidi w:val="0"/>
        <w:spacing w:before="0" w:after="280" w:line="502" w:lineRule="exact"/>
        <w:ind w:left="0" w:right="0" w:firstLine="420"/>
        <w:jc w:val="both"/>
      </w:pPr>
      <w:r>
        <w:rPr>
          <w:color w:val="000000"/>
          <w:spacing w:val="0"/>
          <w:w w:val="100"/>
          <w:position w:val="0"/>
        </w:rPr>
        <w:t>为购建或者生产符合资本化条件的资产而占用了一般借款的，根据累计资产支出超过专门借款部分的 资产支出加权平均数乘以所占用一般借款的资本化率，计算确定一般借款应予资本化的利息金额。资本化 率根据一般借款加权平均利率计算确定。</w:t>
      </w:r>
    </w:p>
    <w:p>
      <w:pPr>
        <w:pStyle w:val="Style22"/>
        <w:keepNext/>
        <w:keepLines/>
        <w:widowControl w:val="0"/>
        <w:shd w:val="clear" w:color="auto" w:fill="auto"/>
        <w:tabs>
          <w:tab w:pos="859" w:val="left"/>
        </w:tabs>
        <w:bidi w:val="0"/>
        <w:spacing w:before="0" w:after="0" w:line="526" w:lineRule="auto"/>
        <w:ind w:left="0" w:right="0" w:firstLine="420"/>
        <w:jc w:val="both"/>
        <w:rPr>
          <w:sz w:val="20"/>
          <w:szCs w:val="20"/>
        </w:rPr>
      </w:pPr>
      <w:bookmarkStart w:id="891" w:name="bookmark891"/>
      <w:bookmarkStart w:id="892" w:name="bookmark892"/>
      <w:bookmarkStart w:id="893" w:name="bookmark893"/>
      <w:bookmarkStart w:id="894" w:name="bookmark894"/>
      <w:r>
        <w:rPr>
          <w:rFonts w:ascii="Arial Narrow" w:eastAsia="Arial Narrow" w:hAnsi="Arial Narrow" w:cs="Arial Narrow"/>
          <w:color w:val="000000"/>
          <w:spacing w:val="0"/>
          <w:w w:val="100"/>
          <w:position w:val="0"/>
          <w:sz w:val="20"/>
          <w:szCs w:val="20"/>
        </w:rPr>
        <w:t>1</w:t>
      </w:r>
      <w:bookmarkEnd w:id="893"/>
      <w:r>
        <w:rPr>
          <w:rFonts w:ascii="Arial Narrow" w:eastAsia="Arial Narrow" w:hAnsi="Arial Narrow" w:cs="Arial Narrow"/>
          <w:color w:val="000000"/>
          <w:spacing w:val="0"/>
          <w:w w:val="100"/>
          <w:position w:val="0"/>
          <w:sz w:val="20"/>
          <w:szCs w:val="20"/>
        </w:rPr>
        <w:t>8</w:t>
      </w:r>
      <w:r>
        <w:rPr>
          <w:color w:val="000000"/>
          <w:spacing w:val="0"/>
          <w:w w:val="100"/>
          <w:position w:val="0"/>
          <w:sz w:val="20"/>
          <w:szCs w:val="20"/>
        </w:rPr>
        <w:t>、</w:t>
        <w:tab/>
        <w:t>生物资产</w:t>
      </w:r>
      <w:bookmarkEnd w:id="891"/>
      <w:bookmarkEnd w:id="892"/>
      <w:bookmarkEnd w:id="894"/>
    </w:p>
    <w:p>
      <w:pPr>
        <w:pStyle w:val="Style33"/>
        <w:keepNext w:val="0"/>
        <w:keepLines w:val="0"/>
        <w:widowControl w:val="0"/>
        <w:shd w:val="clear" w:color="auto" w:fill="auto"/>
        <w:bidi w:val="0"/>
        <w:spacing w:before="0" w:after="0" w:line="502" w:lineRule="exact"/>
        <w:ind w:left="0" w:right="0" w:firstLine="420"/>
        <w:jc w:val="both"/>
      </w:pPr>
      <w:r>
        <w:rPr>
          <w:color w:val="000000"/>
          <w:spacing w:val="0"/>
          <w:w w:val="100"/>
          <w:position w:val="0"/>
        </w:rPr>
        <w:t>（</w:t>
      </w:r>
      <w:r>
        <w:rPr>
          <w:b/>
          <w:bCs/>
          <w:color w:val="000000"/>
          <w:spacing w:val="0"/>
          <w:w w:val="100"/>
          <w:position w:val="0"/>
        </w:rPr>
        <w:t>1</w:t>
      </w:r>
      <w:r>
        <w:rPr>
          <w:color w:val="000000"/>
          <w:spacing w:val="0"/>
          <w:w w:val="100"/>
          <w:position w:val="0"/>
        </w:rPr>
        <w:t>）生物资产的确定标准</w:t>
      </w:r>
    </w:p>
    <w:p>
      <w:pPr>
        <w:pStyle w:val="Style33"/>
        <w:keepNext w:val="0"/>
        <w:keepLines w:val="0"/>
        <w:widowControl w:val="0"/>
        <w:shd w:val="clear" w:color="auto" w:fill="auto"/>
        <w:bidi w:val="0"/>
        <w:spacing w:before="0" w:after="0" w:line="502" w:lineRule="exact"/>
        <w:ind w:left="0" w:right="0" w:firstLine="420"/>
        <w:jc w:val="both"/>
      </w:pPr>
      <w:r>
        <w:rPr>
          <w:color w:val="000000"/>
          <w:spacing w:val="0"/>
          <w:w w:val="100"/>
          <w:position w:val="0"/>
        </w:rPr>
        <w:t xml:space="preserve">生物资产，是指有生命的动物和植物构成的资产。生物资产的确认需要同时满足下列条件：公司因过 去的交易或事项而拥有或控制该生物资产；与该资产有关的经济利益或服务潜能很可能流入公司；该生物 </w:t>
      </w:r>
      <w:r>
        <w:rPr>
          <w:color w:val="000000"/>
          <w:spacing w:val="0"/>
          <w:w w:val="100"/>
          <w:position w:val="0"/>
        </w:rPr>
        <w:t>资产的成本能够可靠地计量。</w:t>
      </w:r>
    </w:p>
    <w:p>
      <w:pPr>
        <w:pStyle w:val="Style33"/>
        <w:keepNext w:val="0"/>
        <w:keepLines w:val="0"/>
        <w:widowControl w:val="0"/>
        <w:shd w:val="clear" w:color="auto" w:fill="auto"/>
        <w:tabs>
          <w:tab w:pos="887" w:val="left"/>
        </w:tabs>
        <w:bidi w:val="0"/>
        <w:spacing w:before="0" w:after="0" w:line="504" w:lineRule="exact"/>
        <w:ind w:left="0" w:right="0" w:firstLine="380"/>
        <w:jc w:val="both"/>
      </w:pPr>
      <w:bookmarkStart w:id="895" w:name="bookmark895"/>
      <w:r>
        <w:rPr>
          <w:color w:val="000000"/>
          <w:spacing w:val="0"/>
          <w:w w:val="100"/>
          <w:position w:val="0"/>
        </w:rPr>
        <w:t>（</w:t>
      </w:r>
      <w:bookmarkEnd w:id="895"/>
      <w:r>
        <w:rPr>
          <w:b/>
          <w:bCs/>
          <w:color w:val="000000"/>
          <w:spacing w:val="0"/>
          <w:w w:val="100"/>
          <w:position w:val="0"/>
        </w:rPr>
        <w:t>2</w:t>
      </w:r>
      <w:r>
        <w:rPr>
          <w:color w:val="000000"/>
          <w:spacing w:val="0"/>
          <w:w w:val="100"/>
          <w:position w:val="0"/>
        </w:rPr>
        <w:t>）</w:t>
        <w:tab/>
        <w:t>本公司生物资产包括消耗性生物资产、生产性生物资产。</w:t>
      </w:r>
    </w:p>
    <w:p>
      <w:pPr>
        <w:pStyle w:val="Style33"/>
        <w:keepNext w:val="0"/>
        <w:keepLines w:val="0"/>
        <w:widowControl w:val="0"/>
        <w:shd w:val="clear" w:color="auto" w:fill="auto"/>
        <w:tabs>
          <w:tab w:pos="1035" w:val="left"/>
        </w:tabs>
        <w:bidi w:val="0"/>
        <w:spacing w:before="0" w:after="0" w:line="504" w:lineRule="exact"/>
        <w:ind w:left="0" w:right="0" w:firstLine="420"/>
        <w:jc w:val="both"/>
      </w:pPr>
      <w:bookmarkStart w:id="896" w:name="bookmark896"/>
      <w:r>
        <w:rPr>
          <w:color w:val="000000"/>
          <w:spacing w:val="0"/>
          <w:w w:val="100"/>
          <w:position w:val="0"/>
        </w:rPr>
        <w:t>（</w:t>
      </w:r>
      <w:bookmarkEnd w:id="896"/>
      <w:r>
        <w:rPr>
          <w:b/>
          <w:bCs/>
          <w:color w:val="000000"/>
          <w:spacing w:val="0"/>
          <w:w w:val="100"/>
          <w:position w:val="0"/>
        </w:rPr>
        <w:t>3</w:t>
      </w:r>
      <w:r>
        <w:rPr>
          <w:color w:val="000000"/>
          <w:spacing w:val="0"/>
          <w:w w:val="100"/>
          <w:position w:val="0"/>
        </w:rPr>
        <w:t>）</w:t>
        <w:tab/>
        <w:t>生物资产按照成本进行初始计量：外购生物资产的成本，包括购买价款、相关税费、运输费、 保险费以及可直接归属于购买该资产的其他支出；计入生物资产成本的借款费用，按照借款费用的相关规 定处理；投资者投入生物资产的成本，按照投资合同或协议约定的价值确定，但合同或协议约定价值不公 允的除外。</w:t>
      </w:r>
    </w:p>
    <w:p>
      <w:pPr>
        <w:pStyle w:val="Style33"/>
        <w:keepNext w:val="0"/>
        <w:keepLines w:val="0"/>
        <w:widowControl w:val="0"/>
        <w:shd w:val="clear" w:color="auto" w:fill="auto"/>
        <w:tabs>
          <w:tab w:pos="932" w:val="left"/>
        </w:tabs>
        <w:bidi w:val="0"/>
        <w:spacing w:before="0" w:after="0" w:line="504" w:lineRule="exact"/>
        <w:ind w:left="0" w:right="0" w:firstLine="420"/>
        <w:jc w:val="both"/>
      </w:pPr>
      <w:bookmarkStart w:id="897" w:name="bookmark897"/>
      <w:r>
        <w:rPr>
          <w:color w:val="000000"/>
          <w:spacing w:val="0"/>
          <w:w w:val="100"/>
          <w:position w:val="0"/>
        </w:rPr>
        <w:t>（</w:t>
      </w:r>
      <w:bookmarkEnd w:id="897"/>
      <w:r>
        <w:rPr>
          <w:b/>
          <w:bCs/>
          <w:color w:val="000000"/>
          <w:spacing w:val="0"/>
          <w:w w:val="100"/>
          <w:position w:val="0"/>
        </w:rPr>
        <w:t>4</w:t>
      </w:r>
      <w:r>
        <w:rPr>
          <w:color w:val="000000"/>
          <w:spacing w:val="0"/>
          <w:w w:val="100"/>
          <w:position w:val="0"/>
        </w:rPr>
        <w:t>）</w:t>
        <w:tab/>
        <w:t>生物资产的后续计量：</w:t>
      </w:r>
    </w:p>
    <w:p>
      <w:pPr>
        <w:pStyle w:val="Style33"/>
        <w:keepNext w:val="0"/>
        <w:keepLines w:val="0"/>
        <w:widowControl w:val="0"/>
        <w:numPr>
          <w:ilvl w:val="0"/>
          <w:numId w:val="31"/>
        </w:numPr>
        <w:shd w:val="clear" w:color="auto" w:fill="auto"/>
        <w:tabs>
          <w:tab w:pos="805" w:val="left"/>
        </w:tabs>
        <w:bidi w:val="0"/>
        <w:spacing w:before="0" w:after="0" w:line="504" w:lineRule="exact"/>
        <w:ind w:left="0" w:right="0" w:firstLine="420"/>
        <w:jc w:val="both"/>
      </w:pPr>
      <w:bookmarkStart w:id="898" w:name="bookmark898"/>
      <w:bookmarkEnd w:id="898"/>
      <w:r>
        <w:rPr>
          <w:color w:val="000000"/>
          <w:spacing w:val="0"/>
          <w:w w:val="100"/>
          <w:position w:val="0"/>
        </w:rPr>
        <w:t>消耗性生物资产出售或入库前耗用的苗种、饲料、肥料等材料费、人工费和应分摊的间接费用等必 要支出构成消耗性生物资产的成本；</w:t>
      </w:r>
    </w:p>
    <w:p>
      <w:pPr>
        <w:pStyle w:val="Style33"/>
        <w:keepNext w:val="0"/>
        <w:keepLines w:val="0"/>
        <w:widowControl w:val="0"/>
        <w:numPr>
          <w:ilvl w:val="0"/>
          <w:numId w:val="31"/>
        </w:numPr>
        <w:shd w:val="clear" w:color="auto" w:fill="auto"/>
        <w:tabs>
          <w:tab w:pos="814" w:val="left"/>
        </w:tabs>
        <w:bidi w:val="0"/>
        <w:spacing w:before="0" w:after="40" w:line="504" w:lineRule="exact"/>
        <w:ind w:left="0" w:right="0" w:firstLine="420"/>
        <w:jc w:val="both"/>
      </w:pPr>
      <w:bookmarkStart w:id="899" w:name="bookmark899"/>
      <w:bookmarkEnd w:id="899"/>
      <w:r>
        <w:rPr>
          <w:color w:val="000000"/>
          <w:spacing w:val="0"/>
          <w:w w:val="100"/>
          <w:position w:val="0"/>
        </w:rPr>
        <w:t>生产性生物资产达到预定生产经营目的后，根据其性质、使用情况和有关经济利益的预期实现方式 确定其使用寿命、预计净残值按照年限平均法计提折旧，并根据用途分别计入相关资产的成本或当期损益。 本公司的成熟生产性生物资产使用寿命、预计净残值如下：</w:t>
      </w:r>
    </w:p>
    <w:tbl>
      <w:tblPr>
        <w:tblOverlap w:val="never"/>
        <w:jc w:val="center"/>
        <w:tblLayout w:type="fixed"/>
      </w:tblPr>
      <w:tblGrid>
        <w:gridCol w:w="3288"/>
        <w:gridCol w:w="3254"/>
        <w:gridCol w:w="2822"/>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类别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预计使用寿命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预计净残值</w:t>
            </w: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油茶树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30</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w:t>
            </w:r>
          </w:p>
        </w:tc>
      </w:tr>
    </w:tbl>
    <w:p>
      <w:pPr>
        <w:widowControl w:val="0"/>
        <w:spacing w:after="199" w:line="1" w:lineRule="exact"/>
      </w:pPr>
    </w:p>
    <w:p>
      <w:pPr>
        <w:pStyle w:val="Style33"/>
        <w:keepNext w:val="0"/>
        <w:keepLines w:val="0"/>
        <w:widowControl w:val="0"/>
        <w:shd w:val="clear" w:color="auto" w:fill="auto"/>
        <w:tabs>
          <w:tab w:pos="927" w:val="left"/>
        </w:tabs>
        <w:bidi w:val="0"/>
        <w:spacing w:before="0" w:after="260" w:line="240" w:lineRule="auto"/>
        <w:ind w:left="0" w:right="0" w:firstLine="420"/>
        <w:jc w:val="both"/>
      </w:pPr>
      <w:bookmarkStart w:id="900" w:name="bookmark900"/>
      <w:r>
        <w:rPr>
          <w:color w:val="000000"/>
          <w:spacing w:val="0"/>
          <w:w w:val="100"/>
          <w:position w:val="0"/>
        </w:rPr>
        <w:t>（</w:t>
      </w:r>
      <w:bookmarkEnd w:id="900"/>
      <w:r>
        <w:rPr>
          <w:b/>
          <w:bCs/>
          <w:color w:val="000000"/>
          <w:spacing w:val="0"/>
          <w:w w:val="100"/>
          <w:position w:val="0"/>
        </w:rPr>
        <w:t>5</w:t>
      </w:r>
      <w:r>
        <w:rPr>
          <w:color w:val="000000"/>
          <w:spacing w:val="0"/>
          <w:w w:val="100"/>
          <w:position w:val="0"/>
        </w:rPr>
        <w:t>）</w:t>
        <w:tab/>
        <w:t>消耗性生物资产按加权平均法结转成本。</w:t>
      </w:r>
    </w:p>
    <w:p>
      <w:pPr>
        <w:pStyle w:val="Style33"/>
        <w:keepNext w:val="0"/>
        <w:keepLines w:val="0"/>
        <w:widowControl w:val="0"/>
        <w:shd w:val="clear" w:color="auto" w:fill="auto"/>
        <w:bidi w:val="0"/>
        <w:spacing w:before="0" w:after="0" w:line="240" w:lineRule="auto"/>
        <w:ind w:left="0" w:right="0" w:firstLine="420"/>
        <w:jc w:val="both"/>
      </w:pPr>
      <w:bookmarkStart w:id="901" w:name="bookmark901"/>
      <w:r>
        <w:rPr>
          <w:color w:val="000000"/>
          <w:spacing w:val="0"/>
          <w:w w:val="100"/>
          <w:position w:val="0"/>
        </w:rPr>
        <w:t>（</w:t>
      </w:r>
      <w:bookmarkEnd w:id="901"/>
      <w:r>
        <w:rPr>
          <w:b/>
          <w:bCs/>
          <w:color w:val="000000"/>
          <w:spacing w:val="0"/>
          <w:w w:val="100"/>
          <w:position w:val="0"/>
        </w:rPr>
        <w:t>6</w:t>
      </w:r>
      <w:r>
        <w:rPr>
          <w:color w:val="000000"/>
          <w:spacing w:val="0"/>
          <w:w w:val="100"/>
          <w:position w:val="0"/>
        </w:rPr>
        <w:t>） 每年度终了，对生物资产进行检查。</w:t>
      </w:r>
    </w:p>
    <w:p>
      <w:pPr>
        <w:pStyle w:val="Style33"/>
        <w:keepNext w:val="0"/>
        <w:keepLines w:val="0"/>
        <w:widowControl w:val="0"/>
        <w:numPr>
          <w:ilvl w:val="0"/>
          <w:numId w:val="33"/>
        </w:numPr>
        <w:shd w:val="clear" w:color="auto" w:fill="auto"/>
        <w:tabs>
          <w:tab w:pos="805" w:val="left"/>
        </w:tabs>
        <w:bidi w:val="0"/>
        <w:spacing w:before="0" w:after="0" w:line="505" w:lineRule="exact"/>
        <w:ind w:left="0" w:right="0" w:firstLine="420"/>
        <w:jc w:val="both"/>
      </w:pPr>
      <w:bookmarkStart w:id="902" w:name="bookmark902"/>
      <w:bookmarkEnd w:id="902"/>
      <w:r>
        <w:rPr>
          <w:color w:val="000000"/>
          <w:spacing w:val="0"/>
          <w:w w:val="100"/>
          <w:position w:val="0"/>
        </w:rPr>
        <w:t>有证据表明消耗性生物资产的可变现净值低于其账面价值的，按照可变现净值或可收回金额低于账 面价值的差额计提消耗性生物资产跌价准备，计入当期损益；消耗性生物资产跌价因素消失的，原已计提 的跌价准备转回，转回金额计入当期损益；</w:t>
      </w:r>
    </w:p>
    <w:p>
      <w:pPr>
        <w:pStyle w:val="Style33"/>
        <w:keepNext w:val="0"/>
        <w:keepLines w:val="0"/>
        <w:widowControl w:val="0"/>
        <w:numPr>
          <w:ilvl w:val="0"/>
          <w:numId w:val="33"/>
        </w:numPr>
        <w:shd w:val="clear" w:color="auto" w:fill="auto"/>
        <w:tabs>
          <w:tab w:pos="814" w:val="left"/>
        </w:tabs>
        <w:bidi w:val="0"/>
        <w:spacing w:before="0" w:after="0" w:line="505" w:lineRule="exact"/>
        <w:ind w:left="0" w:right="0" w:firstLine="420"/>
        <w:jc w:val="both"/>
      </w:pPr>
      <w:bookmarkStart w:id="903" w:name="bookmark903"/>
      <w:bookmarkEnd w:id="903"/>
      <w:r>
        <w:rPr>
          <w:color w:val="000000"/>
          <w:spacing w:val="0"/>
          <w:w w:val="100"/>
          <w:position w:val="0"/>
        </w:rPr>
        <w:t>有证据表明生产性生物资产的可收回金额低于其账面价值的，按照可变现净值或可收回金额低于账 面价值的差额计提生产性生物资产减值准备，并计入当期损益，生产性生物资产减值准备一经计提，在资 产存续期内不予转回。</w:t>
      </w:r>
    </w:p>
    <w:p>
      <w:pPr>
        <w:pStyle w:val="Style22"/>
        <w:keepNext/>
        <w:keepLines/>
        <w:widowControl w:val="0"/>
        <w:shd w:val="clear" w:color="auto" w:fill="auto"/>
        <w:bidi w:val="0"/>
        <w:spacing w:before="0" w:after="0" w:line="502" w:lineRule="exact"/>
        <w:ind w:left="0" w:right="0" w:firstLine="380"/>
        <w:jc w:val="both"/>
        <w:rPr>
          <w:sz w:val="20"/>
          <w:szCs w:val="20"/>
        </w:rPr>
      </w:pPr>
      <w:bookmarkStart w:id="904" w:name="bookmark904"/>
      <w:bookmarkStart w:id="905" w:name="bookmark905"/>
      <w:bookmarkStart w:id="906" w:name="bookmark906"/>
      <w:bookmarkStart w:id="907" w:name="bookmark907"/>
      <w:r>
        <w:rPr>
          <w:rFonts w:ascii="Arial Narrow" w:eastAsia="Arial Narrow" w:hAnsi="Arial Narrow" w:cs="Arial Narrow"/>
          <w:color w:val="000000"/>
          <w:spacing w:val="0"/>
          <w:w w:val="100"/>
          <w:position w:val="0"/>
          <w:sz w:val="20"/>
          <w:szCs w:val="20"/>
        </w:rPr>
        <w:t>1</w:t>
      </w:r>
      <w:bookmarkEnd w:id="906"/>
      <w:r>
        <w:rPr>
          <w:rFonts w:ascii="Arial Narrow" w:eastAsia="Arial Narrow" w:hAnsi="Arial Narrow" w:cs="Arial Narrow"/>
          <w:color w:val="000000"/>
          <w:spacing w:val="0"/>
          <w:w w:val="100"/>
          <w:position w:val="0"/>
          <w:sz w:val="20"/>
          <w:szCs w:val="20"/>
        </w:rPr>
        <w:t>9</w:t>
      </w:r>
      <w:r>
        <w:rPr>
          <w:color w:val="000000"/>
          <w:spacing w:val="0"/>
          <w:w w:val="100"/>
          <w:position w:val="0"/>
          <w:sz w:val="20"/>
          <w:szCs w:val="20"/>
        </w:rPr>
        <w:t>、无形资产</w:t>
      </w:r>
      <w:bookmarkEnd w:id="904"/>
      <w:bookmarkEnd w:id="905"/>
      <w:bookmarkEnd w:id="907"/>
    </w:p>
    <w:p>
      <w:pPr>
        <w:pStyle w:val="Style26"/>
        <w:keepNext w:val="0"/>
        <w:keepLines w:val="0"/>
        <w:widowControl w:val="0"/>
        <w:shd w:val="clear" w:color="auto" w:fill="auto"/>
        <w:bidi w:val="0"/>
        <w:spacing w:before="0" w:after="0" w:line="502" w:lineRule="exact"/>
        <w:ind w:left="0" w:right="0" w:firstLine="420"/>
        <w:jc w:val="both"/>
      </w:pPr>
      <w:r>
        <w:rPr>
          <w:color w:val="000000"/>
          <w:spacing w:val="0"/>
          <w:w w:val="100"/>
          <w:position w:val="0"/>
        </w:rPr>
        <w:t>本公司无形资产按照成本进行初始计量，并于取得无形资产时分析判断其使用寿命。使用寿命为有限的，自无形资产可 供使用时起，采用能反映与该资产有关的经济利益的预期实现方式的摊销方法，在预计使用年限内摊销；无法可靠确定预期 实现方式的，采用直线法摊销；使用寿命不确定的无形资产，不作摊销。</w:t>
      </w:r>
    </w:p>
    <w:p>
      <w:pPr>
        <w:pStyle w:val="Style26"/>
        <w:keepNext w:val="0"/>
        <w:keepLines w:val="0"/>
        <w:widowControl w:val="0"/>
        <w:shd w:val="clear" w:color="auto" w:fill="auto"/>
        <w:bidi w:val="0"/>
        <w:spacing w:before="0" w:after="120" w:line="502" w:lineRule="exact"/>
        <w:ind w:left="0" w:right="0" w:firstLine="420"/>
        <w:jc w:val="both"/>
      </w:pPr>
      <w:r>
        <w:rPr>
          <w:color w:val="000000"/>
          <w:spacing w:val="0"/>
          <w:w w:val="100"/>
          <w:position w:val="0"/>
        </w:rPr>
        <w:t xml:space="preserve">本公司于每年年度终了，对使用寿命有限的无形资产的使用寿命及摊销方法进行复核，与以前估计不同的，调整原先估 </w:t>
      </w:r>
      <w:r>
        <w:rPr>
          <w:color w:val="000000"/>
          <w:spacing w:val="0"/>
          <w:w w:val="100"/>
          <w:position w:val="0"/>
        </w:rPr>
        <w:t>计数，并按会计估计变更处理。</w:t>
      </w:r>
    </w:p>
    <w:p>
      <w:pPr>
        <w:pStyle w:val="Style26"/>
        <w:keepNext w:val="0"/>
        <w:keepLines w:val="0"/>
        <w:widowControl w:val="0"/>
        <w:shd w:val="clear" w:color="auto" w:fill="auto"/>
        <w:bidi w:val="0"/>
        <w:spacing w:before="0" w:after="280" w:line="502" w:lineRule="exact"/>
        <w:ind w:left="0" w:right="0" w:firstLine="380"/>
        <w:jc w:val="left"/>
      </w:pPr>
      <w:r>
        <w:rPr>
          <w:color w:val="000000"/>
          <w:spacing w:val="0"/>
          <w:w w:val="100"/>
          <w:position w:val="0"/>
        </w:rPr>
        <w:t>本公司期末预计某项无形资产已经不能给企业带来未来经济利益的，将该项无形资产的账面价值全部转入当期损益。</w:t>
      </w:r>
    </w:p>
    <w:p>
      <w:pPr>
        <w:pStyle w:val="Style22"/>
        <w:keepNext/>
        <w:keepLines/>
        <w:widowControl w:val="0"/>
        <w:shd w:val="clear" w:color="auto" w:fill="auto"/>
        <w:bidi w:val="0"/>
        <w:spacing w:before="0" w:after="0" w:line="240" w:lineRule="auto"/>
        <w:ind w:left="0" w:right="0" w:firstLine="380"/>
        <w:jc w:val="left"/>
        <w:rPr>
          <w:sz w:val="17"/>
          <w:szCs w:val="17"/>
        </w:rPr>
      </w:pPr>
      <w:bookmarkStart w:id="908" w:name="bookmark908"/>
      <w:bookmarkStart w:id="909" w:name="bookmark909"/>
      <w:bookmarkStart w:id="910" w:name="bookmark910"/>
      <w:r>
        <w:rPr>
          <w:rFonts w:ascii="Arial Narrow" w:eastAsia="Arial Narrow" w:hAnsi="Arial Narrow" w:cs="Arial Narrow"/>
          <w:color w:val="000000"/>
          <w:spacing w:val="0"/>
          <w:w w:val="100"/>
          <w:position w:val="0"/>
          <w:sz w:val="18"/>
          <w:szCs w:val="18"/>
        </w:rPr>
        <w:t>20</w:t>
      </w:r>
      <w:r>
        <w:rPr>
          <w:color w:val="000000"/>
          <w:spacing w:val="0"/>
          <w:w w:val="100"/>
          <w:position w:val="0"/>
          <w:sz w:val="17"/>
          <w:szCs w:val="17"/>
        </w:rPr>
        <w:t>、研发支出</w:t>
      </w:r>
      <w:bookmarkEnd w:id="908"/>
      <w:bookmarkEnd w:id="909"/>
      <w:bookmarkEnd w:id="910"/>
    </w:p>
    <w:p>
      <w:pPr>
        <w:pStyle w:val="Style26"/>
        <w:keepNext w:val="0"/>
        <w:keepLines w:val="0"/>
        <w:widowControl w:val="0"/>
        <w:shd w:val="clear" w:color="auto" w:fill="auto"/>
        <w:bidi w:val="0"/>
        <w:spacing w:before="0" w:after="0" w:line="496" w:lineRule="exact"/>
        <w:ind w:left="0" w:right="0" w:firstLine="380"/>
        <w:jc w:val="left"/>
      </w:pPr>
      <w:r>
        <w:rPr>
          <w:color w:val="000000"/>
          <w:spacing w:val="0"/>
          <w:w w:val="100"/>
          <w:position w:val="0"/>
        </w:rPr>
        <w:t>本公司将内部研究开发项目的支出，区分为研究阶段支出和开发阶段支出。</w:t>
      </w:r>
    </w:p>
    <w:p>
      <w:pPr>
        <w:pStyle w:val="Style26"/>
        <w:keepNext w:val="0"/>
        <w:keepLines w:val="0"/>
        <w:widowControl w:val="0"/>
        <w:shd w:val="clear" w:color="auto" w:fill="auto"/>
        <w:bidi w:val="0"/>
        <w:spacing w:before="0" w:after="0" w:line="496" w:lineRule="exact"/>
        <w:ind w:left="0" w:right="0" w:firstLine="380"/>
        <w:jc w:val="left"/>
      </w:pPr>
      <w:r>
        <w:rPr>
          <w:color w:val="000000"/>
          <w:spacing w:val="0"/>
          <w:w w:val="100"/>
          <w:position w:val="0"/>
        </w:rPr>
        <w:t>研究阶段的支出，于发生时计入当期损益。</w:t>
      </w:r>
    </w:p>
    <w:p>
      <w:pPr>
        <w:pStyle w:val="Style26"/>
        <w:keepNext w:val="0"/>
        <w:keepLines w:val="0"/>
        <w:widowControl w:val="0"/>
        <w:shd w:val="clear" w:color="auto" w:fill="auto"/>
        <w:bidi w:val="0"/>
        <w:spacing w:before="0" w:after="0" w:line="496" w:lineRule="exact"/>
        <w:ind w:left="0" w:right="0" w:firstLine="380"/>
        <w:jc w:val="both"/>
      </w:pPr>
      <w:r>
        <w:rPr>
          <w:color w:val="000000"/>
          <w:spacing w:val="0"/>
          <w:w w:val="100"/>
          <w:position w:val="0"/>
        </w:rPr>
        <w:t>开发阶段的支出，同时满足下列条件的，才能予以资本化，即：完成该无形资产以使其能够使用或出售在技术上具有可 行性；具有完成该无形资产并使用或出售的意图；无形资产产生经济利益的方式，包括能够证明运用该无形资产生产的产品 存在市场或无形资产自身存在市场，无形资产将在内部使用的，能够证明其有用性；有足够的技术、财务资源和其他资源支 持，以完成该无形资产的开发，并有能力使用或出售该无形资产；归属于该无形资产开发阶段的支出能够可靠地计量。不满 足上述条件的开发支出计入当期损益。</w:t>
      </w:r>
    </w:p>
    <w:p>
      <w:pPr>
        <w:pStyle w:val="Style26"/>
        <w:keepNext w:val="0"/>
        <w:keepLines w:val="0"/>
        <w:widowControl w:val="0"/>
        <w:shd w:val="clear" w:color="auto" w:fill="auto"/>
        <w:bidi w:val="0"/>
        <w:spacing w:before="0" w:after="280" w:line="496" w:lineRule="exact"/>
        <w:ind w:left="0" w:right="0" w:firstLine="380"/>
        <w:jc w:val="both"/>
      </w:pPr>
      <w:r>
        <w:rPr>
          <w:color w:val="000000"/>
          <w:spacing w:val="0"/>
          <w:w w:val="100"/>
          <w:position w:val="0"/>
        </w:rPr>
        <w:t>本公司相应项目在满足上述条件，通过技术可行性及经济可行性研究，形成项目立项后，进入开发阶段。</w:t>
      </w:r>
    </w:p>
    <w:p>
      <w:pPr>
        <w:pStyle w:val="Style22"/>
        <w:keepNext/>
        <w:keepLines/>
        <w:widowControl w:val="0"/>
        <w:shd w:val="clear" w:color="auto" w:fill="auto"/>
        <w:bidi w:val="0"/>
        <w:spacing w:before="0" w:after="0" w:line="518" w:lineRule="auto"/>
        <w:ind w:left="0" w:right="0" w:firstLine="440"/>
        <w:jc w:val="left"/>
        <w:rPr>
          <w:sz w:val="20"/>
          <w:szCs w:val="20"/>
        </w:rPr>
      </w:pPr>
      <w:bookmarkStart w:id="911" w:name="bookmark911"/>
      <w:bookmarkStart w:id="912" w:name="bookmark912"/>
      <w:bookmarkStart w:id="913" w:name="bookmark913"/>
      <w:r>
        <w:rPr>
          <w:rFonts w:ascii="Arial Narrow" w:eastAsia="Arial Narrow" w:hAnsi="Arial Narrow" w:cs="Arial Narrow"/>
          <w:color w:val="000000"/>
          <w:spacing w:val="0"/>
          <w:w w:val="100"/>
          <w:position w:val="0"/>
          <w:sz w:val="20"/>
          <w:szCs w:val="20"/>
        </w:rPr>
        <w:t>21</w:t>
      </w:r>
      <w:r>
        <w:rPr>
          <w:color w:val="000000"/>
          <w:spacing w:val="0"/>
          <w:w w:val="100"/>
          <w:position w:val="0"/>
          <w:sz w:val="20"/>
          <w:szCs w:val="20"/>
        </w:rPr>
        <w:t>、长期待摊费用摊销方法</w:t>
      </w:r>
      <w:bookmarkEnd w:id="911"/>
      <w:bookmarkEnd w:id="912"/>
      <w:bookmarkEnd w:id="913"/>
    </w:p>
    <w:p>
      <w:pPr>
        <w:pStyle w:val="Style26"/>
        <w:keepNext w:val="0"/>
        <w:keepLines w:val="0"/>
        <w:widowControl w:val="0"/>
        <w:shd w:val="clear" w:color="auto" w:fill="auto"/>
        <w:bidi w:val="0"/>
        <w:spacing w:before="0" w:after="280" w:line="496" w:lineRule="exact"/>
        <w:ind w:left="0" w:right="0" w:firstLine="380"/>
        <w:jc w:val="both"/>
      </w:pPr>
      <w:r>
        <w:rPr>
          <w:color w:val="000000"/>
          <w:spacing w:val="0"/>
          <w:w w:val="100"/>
          <w:position w:val="0"/>
        </w:rPr>
        <w:t>本公司发生的长期待摊费用按实际成本计价，并按预计受益期限平均摊销。对不能使以后会计期间受益的长期待摊费用 项目，其摊余价值全部计入当期损益。</w:t>
      </w:r>
    </w:p>
    <w:p>
      <w:pPr>
        <w:pStyle w:val="Style22"/>
        <w:keepNext/>
        <w:keepLines/>
        <w:widowControl w:val="0"/>
        <w:shd w:val="clear" w:color="auto" w:fill="auto"/>
        <w:bidi w:val="0"/>
        <w:spacing w:before="0" w:after="0" w:line="240" w:lineRule="auto"/>
        <w:ind w:left="0" w:right="0" w:firstLine="380"/>
        <w:jc w:val="both"/>
        <w:rPr>
          <w:sz w:val="17"/>
          <w:szCs w:val="17"/>
        </w:rPr>
      </w:pPr>
      <w:bookmarkStart w:id="914" w:name="bookmark914"/>
      <w:bookmarkStart w:id="915" w:name="bookmark915"/>
      <w:bookmarkStart w:id="916" w:name="bookmark916"/>
      <w:r>
        <w:rPr>
          <w:rFonts w:ascii="Arial Narrow" w:eastAsia="Arial Narrow" w:hAnsi="Arial Narrow" w:cs="Arial Narrow"/>
          <w:color w:val="000000"/>
          <w:spacing w:val="0"/>
          <w:w w:val="100"/>
          <w:position w:val="0"/>
          <w:sz w:val="18"/>
          <w:szCs w:val="18"/>
        </w:rPr>
        <w:t>22</w:t>
      </w:r>
      <w:r>
        <w:rPr>
          <w:color w:val="000000"/>
          <w:spacing w:val="0"/>
          <w:w w:val="100"/>
          <w:position w:val="0"/>
          <w:sz w:val="17"/>
          <w:szCs w:val="17"/>
        </w:rPr>
        <w:t>、长期资产减值</w:t>
      </w:r>
      <w:bookmarkEnd w:id="914"/>
      <w:bookmarkEnd w:id="915"/>
      <w:bookmarkEnd w:id="916"/>
    </w:p>
    <w:p>
      <w:pPr>
        <w:pStyle w:val="Style26"/>
        <w:keepNext w:val="0"/>
        <w:keepLines w:val="0"/>
        <w:widowControl w:val="0"/>
        <w:shd w:val="clear" w:color="auto" w:fill="auto"/>
        <w:bidi w:val="0"/>
        <w:spacing w:before="0" w:after="0" w:line="502" w:lineRule="exact"/>
        <w:ind w:left="0" w:right="0" w:firstLine="380"/>
        <w:jc w:val="both"/>
      </w:pPr>
      <w:r>
        <w:rPr>
          <w:color w:val="000000"/>
          <w:spacing w:val="0"/>
          <w:w w:val="100"/>
          <w:position w:val="0"/>
        </w:rPr>
        <w:t>对于固定资产、在建工程、使用寿命有限的无形资产、以成本模式计量的投资性房地产及对子公司、合营企业、联营企 业的长期股权投资等非流动非金融资产，本公司于资产负债表日判断是否存在减值迹象。如存在减值迹象的，则估计其可收 回金额，进行减值测试。商誉、使用寿命不确定的无形资产和尚未达到可使用状态的无形资产，无论是否存在减值迹象，每 年均进行减值测试。</w:t>
      </w:r>
    </w:p>
    <w:p>
      <w:pPr>
        <w:pStyle w:val="Style26"/>
        <w:keepNext w:val="0"/>
        <w:keepLines w:val="0"/>
        <w:widowControl w:val="0"/>
        <w:shd w:val="clear" w:color="auto" w:fill="auto"/>
        <w:bidi w:val="0"/>
        <w:spacing w:before="0" w:after="0" w:line="502" w:lineRule="exact"/>
        <w:ind w:left="0" w:right="0" w:firstLine="38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26"/>
        <w:keepNext w:val="0"/>
        <w:keepLines w:val="0"/>
        <w:widowControl w:val="0"/>
        <w:shd w:val="clear" w:color="auto" w:fill="auto"/>
        <w:bidi w:val="0"/>
        <w:spacing w:before="0" w:after="0" w:line="502" w:lineRule="exact"/>
        <w:ind w:left="0" w:right="0" w:firstLine="380"/>
        <w:jc w:val="both"/>
      </w:pPr>
      <w:r>
        <w:rPr>
          <w:color w:val="000000"/>
          <w:spacing w:val="0"/>
          <w:w w:val="100"/>
          <w:position w:val="0"/>
        </w:rPr>
        <w:t xml:space="preserve">在财务报表中单独列示的商誉，在进行减值测试时，将商誉的账面价值分摊至预期从企业合并的协同效应中受益的资产 </w:t>
      </w:r>
      <w:r>
        <w:rPr>
          <w:color w:val="000000"/>
          <w:spacing w:val="0"/>
          <w:w w:val="100"/>
          <w:position w:val="0"/>
        </w:rPr>
        <w:t>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26"/>
        <w:keepNext w:val="0"/>
        <w:keepLines w:val="0"/>
        <w:widowControl w:val="0"/>
        <w:shd w:val="clear" w:color="auto" w:fill="auto"/>
        <w:bidi w:val="0"/>
        <w:spacing w:before="0" w:after="260" w:line="502" w:lineRule="exact"/>
        <w:ind w:left="0" w:right="0" w:firstLine="360"/>
        <w:jc w:val="left"/>
      </w:pPr>
      <w:r>
        <w:rPr>
          <w:color w:val="000000"/>
          <w:spacing w:val="0"/>
          <w:w w:val="100"/>
          <w:position w:val="0"/>
        </w:rPr>
        <w:t>上述资产减值损失一经确认，以后期间不予转回价值得以恢复的部分。</w:t>
      </w:r>
    </w:p>
    <w:p>
      <w:pPr>
        <w:pStyle w:val="Style22"/>
        <w:keepNext/>
        <w:keepLines/>
        <w:widowControl w:val="0"/>
        <w:shd w:val="clear" w:color="auto" w:fill="auto"/>
        <w:tabs>
          <w:tab w:pos="811" w:val="left"/>
        </w:tabs>
        <w:bidi w:val="0"/>
        <w:spacing w:before="0" w:after="0" w:line="526" w:lineRule="auto"/>
        <w:ind w:left="0" w:right="0" w:firstLine="360"/>
        <w:jc w:val="both"/>
        <w:rPr>
          <w:sz w:val="20"/>
          <w:szCs w:val="20"/>
        </w:rPr>
      </w:pPr>
      <w:bookmarkStart w:id="917" w:name="bookmark917"/>
      <w:bookmarkStart w:id="918" w:name="bookmark918"/>
      <w:bookmarkStart w:id="919" w:name="bookmark919"/>
      <w:bookmarkStart w:id="920" w:name="bookmark920"/>
      <w:r>
        <w:rPr>
          <w:rFonts w:ascii="Arial Narrow" w:eastAsia="Arial Narrow" w:hAnsi="Arial Narrow" w:cs="Arial Narrow"/>
          <w:color w:val="000000"/>
          <w:spacing w:val="0"/>
          <w:w w:val="100"/>
          <w:position w:val="0"/>
          <w:sz w:val="20"/>
          <w:szCs w:val="20"/>
        </w:rPr>
        <w:t>2</w:t>
      </w:r>
      <w:bookmarkEnd w:id="919"/>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w:t>
        <w:tab/>
        <w:t>职工薪酬</w:t>
      </w:r>
      <w:bookmarkEnd w:id="917"/>
      <w:bookmarkEnd w:id="918"/>
      <w:bookmarkEnd w:id="920"/>
    </w:p>
    <w:p>
      <w:pPr>
        <w:pStyle w:val="Style33"/>
        <w:keepNext w:val="0"/>
        <w:keepLines w:val="0"/>
        <w:widowControl w:val="0"/>
        <w:shd w:val="clear" w:color="auto" w:fill="auto"/>
        <w:bidi w:val="0"/>
        <w:spacing w:before="0" w:after="0" w:line="503" w:lineRule="exact"/>
        <w:ind w:left="0" w:right="0" w:firstLine="420"/>
        <w:jc w:val="both"/>
      </w:pPr>
      <w:r>
        <w:rPr>
          <w:color w:val="000000"/>
          <w:spacing w:val="0"/>
          <w:w w:val="100"/>
          <w:position w:val="0"/>
        </w:rPr>
        <w:t>职工薪酬，是指本公司为获得职工提供的服务或解除劳动关系而给予的各种形式的报酬或补偿。职工 薪酬包括短期薪酬、离职后福利、辞退福利和其他长期职工福利。本公司提供给职工配偶、子女、受赡养 人、已故员工遗属及其他受益人等的福利，也属于职工薪酬。</w:t>
      </w:r>
    </w:p>
    <w:p>
      <w:pPr>
        <w:pStyle w:val="Style33"/>
        <w:keepNext w:val="0"/>
        <w:keepLines w:val="0"/>
        <w:widowControl w:val="0"/>
        <w:shd w:val="clear" w:color="auto" w:fill="auto"/>
        <w:bidi w:val="0"/>
        <w:spacing w:before="0" w:after="0" w:line="503" w:lineRule="exact"/>
        <w:ind w:left="0" w:right="0" w:firstLine="420"/>
        <w:jc w:val="both"/>
      </w:pPr>
      <w:r>
        <w:rPr>
          <w:color w:val="000000"/>
          <w:spacing w:val="0"/>
          <w:w w:val="100"/>
          <w:position w:val="0"/>
        </w:rPr>
        <w:t>本公司将职工提供相关服务的年度报告期间结束后十二个月内需要全部予以支付的职工薪酬划分为 短期薪酬</w:t>
      </w:r>
      <w:r>
        <w:rPr>
          <w:b/>
          <w:bCs/>
          <w:color w:val="000000"/>
          <w:spacing w:val="0"/>
          <w:w w:val="100"/>
          <w:position w:val="0"/>
        </w:rPr>
        <w:t>,</w:t>
      </w:r>
      <w:r>
        <w:rPr>
          <w:color w:val="000000"/>
          <w:spacing w:val="0"/>
          <w:w w:val="100"/>
          <w:position w:val="0"/>
        </w:rPr>
        <w:t>，因解除与职工的劳动关系给予的补偿除外。短期薪酬具体包括：职工工资、奖金、津贴和补贴， 职工福利费，医疗保险费、工伤保险费和生育保险费等社会保险费、住房公积金、工会经费和职工教育经 费、短期带薪缺勤、短期利润分享计划、非货币性福利以及其他短期薪酬。本公司在职工为本公司提供服 务的会计期间将实际发生的短期职工薪酬确认为负债，并计入当期损益或相关资产成本。其中非货币性福 利按公允价值计量。</w:t>
      </w:r>
    </w:p>
    <w:p>
      <w:pPr>
        <w:pStyle w:val="Style33"/>
        <w:keepNext w:val="0"/>
        <w:keepLines w:val="0"/>
        <w:widowControl w:val="0"/>
        <w:shd w:val="clear" w:color="auto" w:fill="auto"/>
        <w:bidi w:val="0"/>
        <w:spacing w:before="0" w:after="0" w:line="503" w:lineRule="exact"/>
        <w:ind w:left="0" w:right="0" w:firstLine="420"/>
        <w:jc w:val="both"/>
      </w:pPr>
      <w:r>
        <w:rPr>
          <w:color w:val="000000"/>
          <w:spacing w:val="0"/>
          <w:w w:val="100"/>
          <w:position w:val="0"/>
        </w:rPr>
        <w:t>辞退福利：指企业在职工劳动合同到期之前解除与职工的劳动关系，或者为鼓励职工自愿接受裁减而 给予职工的补偿。</w:t>
      </w:r>
    </w:p>
    <w:p>
      <w:pPr>
        <w:pStyle w:val="Style33"/>
        <w:keepNext w:val="0"/>
        <w:keepLines w:val="0"/>
        <w:widowControl w:val="0"/>
        <w:shd w:val="clear" w:color="auto" w:fill="auto"/>
        <w:bidi w:val="0"/>
        <w:spacing w:before="0" w:after="0" w:line="503" w:lineRule="exact"/>
        <w:ind w:left="0" w:right="0" w:firstLine="420"/>
        <w:jc w:val="both"/>
      </w:pPr>
      <w:r>
        <w:rPr>
          <w:color w:val="000000"/>
          <w:spacing w:val="0"/>
          <w:w w:val="100"/>
          <w:position w:val="0"/>
        </w:rPr>
        <w:t>离职后福利主要包括设定提存计划。其中设定提存计划主要包括基本养老保险、失业保险等，相应的 应缴存金额于发生时计入相关资产成本或当期损益。</w:t>
      </w:r>
    </w:p>
    <w:p>
      <w:pPr>
        <w:pStyle w:val="Style33"/>
        <w:keepNext w:val="0"/>
        <w:keepLines w:val="0"/>
        <w:widowControl w:val="0"/>
        <w:shd w:val="clear" w:color="auto" w:fill="auto"/>
        <w:bidi w:val="0"/>
        <w:spacing w:before="0" w:after="260" w:line="503" w:lineRule="exact"/>
        <w:ind w:left="0" w:right="0" w:firstLine="420"/>
        <w:jc w:val="both"/>
      </w:pPr>
      <w:r>
        <w:rPr>
          <w:color w:val="000000"/>
          <w:spacing w:val="0"/>
          <w:w w:val="100"/>
          <w:position w:val="0"/>
        </w:rPr>
        <w:t>其他长期职工福利，是指除短期薪酬、离职后福利、辞退福利之外所有的职工薪酬，包括长期带薪缺 勤、长期残疾福利、长期利润分享计划等。符合设定提存计划的，按照设定提存计划进行会计处理，除此 之外按照设定受益计划进行会计处理。</w:t>
      </w:r>
    </w:p>
    <w:p>
      <w:pPr>
        <w:pStyle w:val="Style22"/>
        <w:keepNext/>
        <w:keepLines/>
        <w:widowControl w:val="0"/>
        <w:shd w:val="clear" w:color="auto" w:fill="auto"/>
        <w:tabs>
          <w:tab w:pos="811" w:val="left"/>
        </w:tabs>
        <w:bidi w:val="0"/>
        <w:spacing w:before="0" w:after="0" w:line="526" w:lineRule="auto"/>
        <w:ind w:left="0" w:right="0" w:firstLine="360"/>
        <w:jc w:val="left"/>
        <w:rPr>
          <w:sz w:val="20"/>
          <w:szCs w:val="20"/>
        </w:rPr>
      </w:pPr>
      <w:bookmarkStart w:id="921" w:name="bookmark921"/>
      <w:bookmarkStart w:id="922" w:name="bookmark922"/>
      <w:bookmarkStart w:id="923" w:name="bookmark923"/>
      <w:bookmarkStart w:id="924" w:name="bookmark924"/>
      <w:r>
        <w:rPr>
          <w:rFonts w:ascii="Arial Narrow" w:eastAsia="Arial Narrow" w:hAnsi="Arial Narrow" w:cs="Arial Narrow"/>
          <w:color w:val="000000"/>
          <w:spacing w:val="0"/>
          <w:w w:val="100"/>
          <w:position w:val="0"/>
          <w:sz w:val="20"/>
          <w:szCs w:val="20"/>
        </w:rPr>
        <w:t>2</w:t>
      </w:r>
      <w:bookmarkEnd w:id="923"/>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w:t>
        <w:tab/>
        <w:t>预计负债</w:t>
      </w:r>
      <w:bookmarkEnd w:id="921"/>
      <w:bookmarkEnd w:id="922"/>
      <w:bookmarkEnd w:id="924"/>
    </w:p>
    <w:p>
      <w:pPr>
        <w:pStyle w:val="Style33"/>
        <w:keepNext w:val="0"/>
        <w:keepLines w:val="0"/>
        <w:widowControl w:val="0"/>
        <w:shd w:val="clear" w:color="auto" w:fill="auto"/>
        <w:bidi w:val="0"/>
        <w:spacing w:before="0" w:after="0" w:line="503" w:lineRule="exact"/>
        <w:ind w:left="0" w:right="0" w:firstLine="360"/>
        <w:jc w:val="left"/>
      </w:pPr>
      <w:r>
        <w:rPr>
          <w:color w:val="000000"/>
          <w:spacing w:val="0"/>
          <w:w w:val="100"/>
          <w:position w:val="0"/>
        </w:rPr>
        <w:t>如果与或有事项相关的义务同时符合以下条件，本公司将其确认为预计负债：</w:t>
      </w:r>
    </w:p>
    <w:p>
      <w:pPr>
        <w:pStyle w:val="Style33"/>
        <w:keepNext w:val="0"/>
        <w:keepLines w:val="0"/>
        <w:widowControl w:val="0"/>
        <w:shd w:val="clear" w:color="auto" w:fill="auto"/>
        <w:tabs>
          <w:tab w:pos="739" w:val="left"/>
        </w:tabs>
        <w:bidi w:val="0"/>
        <w:spacing w:before="0" w:after="0" w:line="503" w:lineRule="exact"/>
        <w:ind w:left="0" w:right="0" w:firstLine="360"/>
        <w:jc w:val="left"/>
      </w:pPr>
      <w:bookmarkStart w:id="925" w:name="bookmark925"/>
      <w:r>
        <w:rPr>
          <w:b/>
          <w:bCs/>
          <w:color w:val="000000"/>
          <w:spacing w:val="0"/>
          <w:w w:val="100"/>
          <w:position w:val="0"/>
        </w:rPr>
        <w:t>A</w:t>
      </w:r>
      <w:bookmarkEnd w:id="925"/>
      <w:r>
        <w:rPr>
          <w:color w:val="000000"/>
          <w:spacing w:val="0"/>
          <w:w w:val="100"/>
          <w:position w:val="0"/>
        </w:rPr>
        <w:t>、</w:t>
        <w:tab/>
      </w:r>
      <w:r>
        <w:rPr>
          <w:color w:val="000000"/>
          <w:spacing w:val="0"/>
          <w:w w:val="100"/>
          <w:position w:val="0"/>
        </w:rPr>
        <w:t>该义务是本公司承担的现时义务；</w:t>
      </w:r>
    </w:p>
    <w:p>
      <w:pPr>
        <w:pStyle w:val="Style33"/>
        <w:keepNext w:val="0"/>
        <w:keepLines w:val="0"/>
        <w:widowControl w:val="0"/>
        <w:shd w:val="clear" w:color="auto" w:fill="auto"/>
        <w:tabs>
          <w:tab w:pos="739" w:val="left"/>
        </w:tabs>
        <w:bidi w:val="0"/>
        <w:spacing w:before="0" w:after="0" w:line="503" w:lineRule="exact"/>
        <w:ind w:left="0" w:right="0" w:firstLine="360"/>
        <w:jc w:val="left"/>
      </w:pPr>
      <w:bookmarkStart w:id="926" w:name="bookmark926"/>
      <w:r>
        <w:rPr>
          <w:b/>
          <w:bCs/>
          <w:color w:val="000000"/>
          <w:spacing w:val="0"/>
          <w:w w:val="100"/>
          <w:position w:val="0"/>
        </w:rPr>
        <w:t>B</w:t>
      </w:r>
      <w:bookmarkEnd w:id="926"/>
      <w:r>
        <w:rPr>
          <w:color w:val="000000"/>
          <w:spacing w:val="0"/>
          <w:w w:val="100"/>
          <w:position w:val="0"/>
        </w:rPr>
        <w:t>、</w:t>
        <w:tab/>
      </w:r>
      <w:r>
        <w:rPr>
          <w:color w:val="000000"/>
          <w:spacing w:val="0"/>
          <w:w w:val="100"/>
          <w:position w:val="0"/>
        </w:rPr>
        <w:t>该义务的履行很可能导致经济利益流出本公司；</w:t>
      </w:r>
    </w:p>
    <w:p>
      <w:pPr>
        <w:pStyle w:val="Style33"/>
        <w:keepNext w:val="0"/>
        <w:keepLines w:val="0"/>
        <w:widowControl w:val="0"/>
        <w:shd w:val="clear" w:color="auto" w:fill="auto"/>
        <w:tabs>
          <w:tab w:pos="744" w:val="left"/>
        </w:tabs>
        <w:bidi w:val="0"/>
        <w:spacing w:before="0" w:after="0" w:line="503" w:lineRule="exact"/>
        <w:ind w:left="0" w:right="0" w:firstLine="360"/>
        <w:jc w:val="left"/>
      </w:pPr>
      <w:bookmarkStart w:id="927" w:name="bookmark927"/>
      <w:r>
        <w:rPr>
          <w:b/>
          <w:bCs/>
          <w:color w:val="000000"/>
          <w:spacing w:val="0"/>
          <w:w w:val="100"/>
          <w:position w:val="0"/>
        </w:rPr>
        <w:t>C</w:t>
      </w:r>
      <w:bookmarkEnd w:id="927"/>
      <w:r>
        <w:rPr>
          <w:color w:val="000000"/>
          <w:spacing w:val="0"/>
          <w:w w:val="100"/>
          <w:position w:val="0"/>
        </w:rPr>
        <w:t>、</w:t>
        <w:tab/>
      </w:r>
      <w:r>
        <w:rPr>
          <w:color w:val="000000"/>
          <w:spacing w:val="0"/>
          <w:w w:val="100"/>
          <w:position w:val="0"/>
        </w:rPr>
        <w:t>该义务的金额能够可靠地计量。</w:t>
      </w:r>
    </w:p>
    <w:p>
      <w:pPr>
        <w:pStyle w:val="Style33"/>
        <w:keepNext w:val="0"/>
        <w:keepLines w:val="0"/>
        <w:widowControl w:val="0"/>
        <w:shd w:val="clear" w:color="auto" w:fill="auto"/>
        <w:bidi w:val="0"/>
        <w:spacing w:before="0" w:after="0" w:line="503" w:lineRule="exact"/>
        <w:ind w:left="0" w:right="0" w:firstLine="360"/>
        <w:jc w:val="left"/>
      </w:pPr>
      <w:r>
        <w:rPr>
          <w:color w:val="000000"/>
          <w:spacing w:val="0"/>
          <w:w w:val="100"/>
          <w:position w:val="0"/>
        </w:rPr>
        <w:t xml:space="preserve">预计负债按照履行相关现时义务所需支出的最佳估计数进行初始计量，综合考虑与或有事项有关的风 </w:t>
      </w:r>
      <w:r>
        <w:rPr>
          <w:color w:val="000000"/>
          <w:spacing w:val="0"/>
          <w:w w:val="100"/>
          <w:position w:val="0"/>
        </w:rPr>
        <w:t>险、不确定性和货币时间价值等因素。货币时间价值影响重大的，通过对相关未来现金流出进行折现后确 定最佳估计数。</w:t>
      </w:r>
    </w:p>
    <w:p>
      <w:pPr>
        <w:pStyle w:val="Style33"/>
        <w:keepNext w:val="0"/>
        <w:keepLines w:val="0"/>
        <w:widowControl w:val="0"/>
        <w:shd w:val="clear" w:color="auto" w:fill="auto"/>
        <w:bidi w:val="0"/>
        <w:spacing w:before="0" w:after="280" w:line="499" w:lineRule="exact"/>
        <w:ind w:left="0" w:right="0" w:firstLine="440"/>
        <w:jc w:val="both"/>
      </w:pPr>
      <w:r>
        <w:rPr>
          <w:color w:val="000000"/>
          <w:spacing w:val="0"/>
          <w:w w:val="100"/>
          <w:position w:val="0"/>
        </w:rPr>
        <w:t>如果清偿已确认预计负债所需支出全部或部分预期由第三方或其他方补偿，则补偿金额只能在基本确 定能收到时，作为资产单独确认。确认的补偿金额不超过所确认负债的账面价值。</w:t>
      </w:r>
    </w:p>
    <w:p>
      <w:pPr>
        <w:pStyle w:val="Style22"/>
        <w:keepNext/>
        <w:keepLines/>
        <w:widowControl w:val="0"/>
        <w:shd w:val="clear" w:color="auto" w:fill="auto"/>
        <w:tabs>
          <w:tab w:pos="801" w:val="left"/>
        </w:tabs>
        <w:bidi w:val="0"/>
        <w:spacing w:before="0" w:after="0" w:line="240" w:lineRule="auto"/>
        <w:ind w:left="0" w:right="0" w:firstLine="380"/>
        <w:jc w:val="both"/>
        <w:rPr>
          <w:sz w:val="17"/>
          <w:szCs w:val="17"/>
        </w:rPr>
      </w:pPr>
      <w:bookmarkStart w:id="928" w:name="bookmark928"/>
      <w:bookmarkStart w:id="929" w:name="bookmark929"/>
      <w:bookmarkStart w:id="930" w:name="bookmark930"/>
      <w:bookmarkStart w:id="931" w:name="bookmark931"/>
      <w:r>
        <w:rPr>
          <w:rFonts w:ascii="Arial Narrow" w:eastAsia="Arial Narrow" w:hAnsi="Arial Narrow" w:cs="Arial Narrow"/>
          <w:color w:val="000000"/>
          <w:spacing w:val="0"/>
          <w:w w:val="100"/>
          <w:position w:val="0"/>
          <w:sz w:val="18"/>
          <w:szCs w:val="18"/>
        </w:rPr>
        <w:t>2</w:t>
      </w:r>
      <w:bookmarkEnd w:id="930"/>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w:t>
        <w:tab/>
        <w:t>维修基金</w:t>
      </w:r>
      <w:bookmarkEnd w:id="928"/>
      <w:bookmarkEnd w:id="929"/>
      <w:bookmarkEnd w:id="931"/>
    </w:p>
    <w:p>
      <w:pPr>
        <w:pStyle w:val="Style26"/>
        <w:keepNext w:val="0"/>
        <w:keepLines w:val="0"/>
        <w:widowControl w:val="0"/>
        <w:shd w:val="clear" w:color="auto" w:fill="auto"/>
        <w:bidi w:val="0"/>
        <w:spacing w:before="0" w:after="280" w:line="509" w:lineRule="exact"/>
        <w:ind w:left="0" w:right="0" w:firstLine="380"/>
        <w:jc w:val="both"/>
      </w:pPr>
      <w:r>
        <w:rPr>
          <w:color w:val="000000"/>
          <w:spacing w:val="0"/>
          <w:w w:val="100"/>
          <w:position w:val="0"/>
        </w:rPr>
        <w:t>本公司物业管理公司收到业主委托代为管理的公共维修基金时，计入</w:t>
      </w:r>
      <w:r>
        <w:rPr>
          <w:rFonts w:ascii="Arial Narrow" w:eastAsia="Arial Narrow" w:hAnsi="Arial Narrow" w:cs="Arial Narrow"/>
          <w:color w:val="000000"/>
          <w:spacing w:val="0"/>
          <w:w w:val="100"/>
          <w:position w:val="0"/>
          <w:sz w:val="18"/>
          <w:szCs w:val="18"/>
        </w:rPr>
        <w:t>“</w:t>
      </w:r>
      <w:r>
        <w:rPr>
          <w:color w:val="000000"/>
          <w:spacing w:val="0"/>
          <w:w w:val="100"/>
          <w:position w:val="0"/>
        </w:rPr>
        <w:t>其他非流动负债</w:t>
      </w:r>
      <w:r>
        <w:rPr>
          <w:rFonts w:ascii="Arial Narrow" w:eastAsia="Arial Narrow" w:hAnsi="Arial Narrow" w:cs="Arial Narrow"/>
          <w:color w:val="000000"/>
          <w:spacing w:val="0"/>
          <w:w w:val="100"/>
          <w:position w:val="0"/>
          <w:sz w:val="18"/>
          <w:szCs w:val="18"/>
        </w:rPr>
        <w:t>"</w:t>
      </w:r>
      <w:r>
        <w:rPr>
          <w:color w:val="000000"/>
          <w:spacing w:val="0"/>
          <w:w w:val="100"/>
          <w:position w:val="0"/>
        </w:rPr>
        <w:t>，专项用于住宅共同部位、共同 设备和物业管理区域公共设施的维修、更新。</w:t>
      </w:r>
    </w:p>
    <w:p>
      <w:pPr>
        <w:pStyle w:val="Style22"/>
        <w:keepNext/>
        <w:keepLines/>
        <w:widowControl w:val="0"/>
        <w:shd w:val="clear" w:color="auto" w:fill="auto"/>
        <w:tabs>
          <w:tab w:pos="801" w:val="left"/>
        </w:tabs>
        <w:bidi w:val="0"/>
        <w:spacing w:before="0" w:after="0" w:line="240" w:lineRule="auto"/>
        <w:ind w:left="0" w:right="0" w:firstLine="380"/>
        <w:jc w:val="both"/>
        <w:rPr>
          <w:sz w:val="17"/>
          <w:szCs w:val="17"/>
        </w:rPr>
      </w:pPr>
      <w:bookmarkStart w:id="932" w:name="bookmark932"/>
      <w:bookmarkStart w:id="933" w:name="bookmark933"/>
      <w:bookmarkStart w:id="934" w:name="bookmark934"/>
      <w:bookmarkStart w:id="935" w:name="bookmark935"/>
      <w:r>
        <w:rPr>
          <w:rFonts w:ascii="Arial Narrow" w:eastAsia="Arial Narrow" w:hAnsi="Arial Narrow" w:cs="Arial Narrow"/>
          <w:color w:val="000000"/>
          <w:spacing w:val="0"/>
          <w:w w:val="100"/>
          <w:position w:val="0"/>
          <w:sz w:val="18"/>
          <w:szCs w:val="18"/>
        </w:rPr>
        <w:t>2</w:t>
      </w:r>
      <w:bookmarkEnd w:id="934"/>
      <w:r>
        <w:rPr>
          <w:rFonts w:ascii="Arial Narrow" w:eastAsia="Arial Narrow" w:hAnsi="Arial Narrow" w:cs="Arial Narrow"/>
          <w:color w:val="000000"/>
          <w:spacing w:val="0"/>
          <w:w w:val="100"/>
          <w:position w:val="0"/>
          <w:sz w:val="18"/>
          <w:szCs w:val="18"/>
        </w:rPr>
        <w:t>6</w:t>
      </w:r>
      <w:r>
        <w:rPr>
          <w:color w:val="000000"/>
          <w:spacing w:val="0"/>
          <w:w w:val="100"/>
          <w:position w:val="0"/>
          <w:sz w:val="17"/>
          <w:szCs w:val="17"/>
        </w:rPr>
        <w:t>、</w:t>
        <w:tab/>
        <w:t>质量保证金</w:t>
      </w:r>
      <w:bookmarkEnd w:id="932"/>
      <w:bookmarkEnd w:id="933"/>
      <w:bookmarkEnd w:id="935"/>
    </w:p>
    <w:p>
      <w:pPr>
        <w:pStyle w:val="Style26"/>
        <w:keepNext w:val="0"/>
        <w:keepLines w:val="0"/>
        <w:widowControl w:val="0"/>
        <w:shd w:val="clear" w:color="auto" w:fill="auto"/>
        <w:bidi w:val="0"/>
        <w:spacing w:before="0" w:after="280" w:line="501" w:lineRule="exact"/>
        <w:ind w:left="0" w:right="0" w:firstLine="380"/>
        <w:jc w:val="both"/>
      </w:pPr>
      <w:r>
        <w:rPr>
          <w:color w:val="000000"/>
          <w:spacing w:val="0"/>
          <w:w w:val="100"/>
          <w:position w:val="0"/>
        </w:rPr>
        <w:t>施工单位应留置的质量保证金，根据施工合同规定之金额分单位核算。待保证期过后根据实际情况和合同约定支付。</w:t>
      </w:r>
    </w:p>
    <w:p>
      <w:pPr>
        <w:pStyle w:val="Style22"/>
        <w:keepNext/>
        <w:keepLines/>
        <w:widowControl w:val="0"/>
        <w:shd w:val="clear" w:color="auto" w:fill="auto"/>
        <w:tabs>
          <w:tab w:pos="801" w:val="left"/>
        </w:tabs>
        <w:bidi w:val="0"/>
        <w:spacing w:before="0" w:after="0" w:line="240" w:lineRule="auto"/>
        <w:ind w:left="0" w:right="0" w:firstLine="380"/>
        <w:jc w:val="both"/>
        <w:rPr>
          <w:sz w:val="17"/>
          <w:szCs w:val="17"/>
        </w:rPr>
      </w:pPr>
      <w:bookmarkStart w:id="936" w:name="bookmark936"/>
      <w:bookmarkStart w:id="937" w:name="bookmark937"/>
      <w:bookmarkStart w:id="938" w:name="bookmark938"/>
      <w:bookmarkStart w:id="939" w:name="bookmark939"/>
      <w:r>
        <w:rPr>
          <w:rFonts w:ascii="Arial Narrow" w:eastAsia="Arial Narrow" w:hAnsi="Arial Narrow" w:cs="Arial Narrow"/>
          <w:color w:val="000000"/>
          <w:spacing w:val="0"/>
          <w:w w:val="100"/>
          <w:position w:val="0"/>
          <w:sz w:val="18"/>
          <w:szCs w:val="18"/>
        </w:rPr>
        <w:t>2</w:t>
      </w:r>
      <w:bookmarkEnd w:id="938"/>
      <w:r>
        <w:rPr>
          <w:rFonts w:ascii="Arial Narrow" w:eastAsia="Arial Narrow" w:hAnsi="Arial Narrow" w:cs="Arial Narrow"/>
          <w:color w:val="000000"/>
          <w:spacing w:val="0"/>
          <w:w w:val="100"/>
          <w:position w:val="0"/>
          <w:sz w:val="18"/>
          <w:szCs w:val="18"/>
        </w:rPr>
        <w:t>7</w:t>
      </w:r>
      <w:r>
        <w:rPr>
          <w:color w:val="000000"/>
          <w:spacing w:val="0"/>
          <w:w w:val="100"/>
          <w:position w:val="0"/>
          <w:sz w:val="17"/>
          <w:szCs w:val="17"/>
        </w:rPr>
        <w:t>、</w:t>
        <w:tab/>
        <w:t>股份支付</w:t>
      </w:r>
      <w:bookmarkEnd w:id="936"/>
      <w:bookmarkEnd w:id="937"/>
      <w:bookmarkEnd w:id="939"/>
    </w:p>
    <w:p>
      <w:pPr>
        <w:pStyle w:val="Style33"/>
        <w:keepNext w:val="0"/>
        <w:keepLines w:val="0"/>
        <w:widowControl w:val="0"/>
        <w:shd w:val="clear" w:color="auto" w:fill="auto"/>
        <w:tabs>
          <w:tab w:pos="947" w:val="left"/>
        </w:tabs>
        <w:bidi w:val="0"/>
        <w:spacing w:before="0" w:after="0" w:line="499" w:lineRule="exact"/>
        <w:ind w:left="0" w:right="0" w:firstLine="440"/>
        <w:jc w:val="left"/>
      </w:pPr>
      <w:bookmarkStart w:id="940" w:name="bookmark940"/>
      <w:r>
        <w:rPr>
          <w:color w:val="000000"/>
          <w:spacing w:val="0"/>
          <w:w w:val="100"/>
          <w:position w:val="0"/>
        </w:rPr>
        <w:t>（</w:t>
      </w:r>
      <w:bookmarkEnd w:id="940"/>
      <w:r>
        <w:rPr>
          <w:b/>
          <w:bCs/>
          <w:color w:val="000000"/>
          <w:spacing w:val="0"/>
          <w:w w:val="100"/>
          <w:position w:val="0"/>
        </w:rPr>
        <w:t>1</w:t>
      </w:r>
      <w:r>
        <w:rPr>
          <w:color w:val="000000"/>
          <w:spacing w:val="0"/>
          <w:w w:val="100"/>
          <w:position w:val="0"/>
        </w:rPr>
        <w:t>）</w:t>
        <w:tab/>
        <w:t>股份支付的种类</w:t>
      </w:r>
    </w:p>
    <w:p>
      <w:pPr>
        <w:pStyle w:val="Style26"/>
        <w:keepNext w:val="0"/>
        <w:keepLines w:val="0"/>
        <w:widowControl w:val="0"/>
        <w:shd w:val="clear" w:color="auto" w:fill="auto"/>
        <w:bidi w:val="0"/>
        <w:spacing w:before="0" w:after="0" w:line="501" w:lineRule="exact"/>
        <w:ind w:left="0" w:right="0" w:firstLine="380"/>
        <w:jc w:val="left"/>
      </w:pPr>
      <w:r>
        <w:rPr>
          <w:color w:val="000000"/>
          <w:spacing w:val="0"/>
          <w:w w:val="100"/>
          <w:position w:val="0"/>
        </w:rPr>
        <w:t>本公司股份支付分为以权益结算的股份支付和以现金结算的股份支付。</w:t>
      </w:r>
    </w:p>
    <w:p>
      <w:pPr>
        <w:pStyle w:val="Style33"/>
        <w:keepNext w:val="0"/>
        <w:keepLines w:val="0"/>
        <w:widowControl w:val="0"/>
        <w:shd w:val="clear" w:color="auto" w:fill="auto"/>
        <w:tabs>
          <w:tab w:pos="947" w:val="left"/>
        </w:tabs>
        <w:bidi w:val="0"/>
        <w:spacing w:before="0" w:after="0" w:line="499" w:lineRule="exact"/>
        <w:ind w:left="0" w:right="0" w:firstLine="440"/>
        <w:jc w:val="left"/>
      </w:pPr>
      <w:bookmarkStart w:id="941" w:name="bookmark941"/>
      <w:r>
        <w:rPr>
          <w:color w:val="000000"/>
          <w:spacing w:val="0"/>
          <w:w w:val="100"/>
          <w:position w:val="0"/>
        </w:rPr>
        <w:t>（</w:t>
      </w:r>
      <w:bookmarkEnd w:id="941"/>
      <w:r>
        <w:rPr>
          <w:b/>
          <w:bCs/>
          <w:color w:val="000000"/>
          <w:spacing w:val="0"/>
          <w:w w:val="100"/>
          <w:position w:val="0"/>
        </w:rPr>
        <w:t>2</w:t>
      </w:r>
      <w:r>
        <w:rPr>
          <w:color w:val="000000"/>
          <w:spacing w:val="0"/>
          <w:w w:val="100"/>
          <w:position w:val="0"/>
        </w:rPr>
        <w:t>）</w:t>
        <w:tab/>
        <w:t>权益工具公允价值的确定方法</w:t>
      </w:r>
    </w:p>
    <w:p>
      <w:pPr>
        <w:pStyle w:val="Style33"/>
        <w:keepNext w:val="0"/>
        <w:keepLines w:val="0"/>
        <w:widowControl w:val="0"/>
        <w:shd w:val="clear" w:color="auto" w:fill="auto"/>
        <w:bidi w:val="0"/>
        <w:spacing w:before="0" w:after="0" w:line="490" w:lineRule="exact"/>
        <w:ind w:left="0" w:right="0" w:firstLine="440"/>
        <w:jc w:val="both"/>
      </w:pPr>
      <w:r>
        <w:rPr>
          <w:color w:val="000000"/>
          <w:spacing w:val="0"/>
          <w:w w:val="100"/>
          <w:position w:val="0"/>
        </w:rPr>
        <w:t>本公司对于授予的存在活跃市场的期权等权益工具，按照活跃市场中的报价确定其公允价值。对于授 予的不存在活跃市场的期权等权益工具，采用期权定价模型等确定其公允价值。</w:t>
      </w:r>
    </w:p>
    <w:p>
      <w:pPr>
        <w:pStyle w:val="Style33"/>
        <w:keepNext w:val="0"/>
        <w:keepLines w:val="0"/>
        <w:widowControl w:val="0"/>
        <w:shd w:val="clear" w:color="auto" w:fill="auto"/>
        <w:tabs>
          <w:tab w:pos="947" w:val="left"/>
        </w:tabs>
        <w:bidi w:val="0"/>
        <w:spacing w:before="0" w:after="0" w:line="490" w:lineRule="exact"/>
        <w:ind w:left="0" w:right="0" w:firstLine="440"/>
        <w:jc w:val="both"/>
      </w:pPr>
      <w:bookmarkStart w:id="942" w:name="bookmark942"/>
      <w:r>
        <w:rPr>
          <w:color w:val="000000"/>
          <w:spacing w:val="0"/>
          <w:w w:val="100"/>
          <w:position w:val="0"/>
        </w:rPr>
        <w:t>（</w:t>
      </w:r>
      <w:bookmarkEnd w:id="942"/>
      <w:r>
        <w:rPr>
          <w:b/>
          <w:bCs/>
          <w:color w:val="000000"/>
          <w:spacing w:val="0"/>
          <w:w w:val="100"/>
          <w:position w:val="0"/>
        </w:rPr>
        <w:t>3</w:t>
      </w:r>
      <w:r>
        <w:rPr>
          <w:color w:val="000000"/>
          <w:spacing w:val="0"/>
          <w:w w:val="100"/>
          <w:position w:val="0"/>
        </w:rPr>
        <w:t>）</w:t>
        <w:tab/>
        <w:t>确认可行权权益工具最佳估计的依据</w:t>
      </w:r>
    </w:p>
    <w:p>
      <w:pPr>
        <w:pStyle w:val="Style33"/>
        <w:keepNext w:val="0"/>
        <w:keepLines w:val="0"/>
        <w:widowControl w:val="0"/>
        <w:shd w:val="clear" w:color="auto" w:fill="auto"/>
        <w:bidi w:val="0"/>
        <w:spacing w:before="0" w:after="280" w:line="518" w:lineRule="exact"/>
        <w:ind w:left="0" w:right="0" w:firstLine="440"/>
        <w:jc w:val="both"/>
      </w:pPr>
      <w:r>
        <w:rPr>
          <w:color w:val="000000"/>
          <w:spacing w:val="0"/>
          <w:w w:val="100"/>
          <w:position w:val="0"/>
        </w:rPr>
        <w:t>等待期内每个资产负债表日，本公司根据最新取得的可行权职工人数变动等后续信息作出最佳估计， 修正预计可行权的权益工具数量。在可行权日，最终预计可行权权益工具的数量应当与实际可行权数量一 致。</w:t>
      </w:r>
    </w:p>
    <w:p>
      <w:pPr>
        <w:pStyle w:val="Style22"/>
        <w:keepNext/>
        <w:keepLines/>
        <w:widowControl w:val="0"/>
        <w:shd w:val="clear" w:color="auto" w:fill="auto"/>
        <w:bidi w:val="0"/>
        <w:spacing w:before="0" w:after="0" w:line="523" w:lineRule="auto"/>
        <w:ind w:left="0" w:right="0" w:firstLine="440"/>
        <w:jc w:val="left"/>
        <w:rPr>
          <w:sz w:val="20"/>
          <w:szCs w:val="20"/>
        </w:rPr>
      </w:pPr>
      <w:bookmarkStart w:id="943" w:name="bookmark943"/>
      <w:bookmarkStart w:id="944" w:name="bookmark944"/>
      <w:bookmarkStart w:id="945" w:name="bookmark945"/>
      <w:bookmarkStart w:id="946" w:name="bookmark946"/>
      <w:r>
        <w:rPr>
          <w:rFonts w:ascii="Arial Narrow" w:eastAsia="Arial Narrow" w:hAnsi="Arial Narrow" w:cs="Arial Narrow"/>
          <w:color w:val="000000"/>
          <w:spacing w:val="0"/>
          <w:w w:val="100"/>
          <w:position w:val="0"/>
          <w:sz w:val="20"/>
          <w:szCs w:val="20"/>
        </w:rPr>
        <w:t>2</w:t>
      </w:r>
      <w:bookmarkEnd w:id="945"/>
      <w:r>
        <w:rPr>
          <w:rFonts w:ascii="Arial Narrow" w:eastAsia="Arial Narrow" w:hAnsi="Arial Narrow" w:cs="Arial Narrow"/>
          <w:color w:val="000000"/>
          <w:spacing w:val="0"/>
          <w:w w:val="100"/>
          <w:position w:val="0"/>
          <w:sz w:val="20"/>
          <w:szCs w:val="20"/>
        </w:rPr>
        <w:t>8</w:t>
      </w:r>
      <w:r>
        <w:rPr>
          <w:color w:val="000000"/>
          <w:spacing w:val="0"/>
          <w:w w:val="100"/>
          <w:position w:val="0"/>
          <w:sz w:val="20"/>
          <w:szCs w:val="20"/>
        </w:rPr>
        <w:t>、收入确认原则</w:t>
      </w:r>
      <w:bookmarkEnd w:id="943"/>
      <w:bookmarkEnd w:id="944"/>
      <w:bookmarkEnd w:id="946"/>
    </w:p>
    <w:p>
      <w:pPr>
        <w:pStyle w:val="Style26"/>
        <w:keepNext w:val="0"/>
        <w:keepLines w:val="0"/>
        <w:widowControl w:val="0"/>
        <w:shd w:val="clear" w:color="auto" w:fill="auto"/>
        <w:tabs>
          <w:tab w:pos="844" w:val="left"/>
        </w:tabs>
        <w:bidi w:val="0"/>
        <w:spacing w:before="0" w:after="0" w:line="501" w:lineRule="exact"/>
        <w:ind w:left="0" w:right="0" w:firstLine="380"/>
        <w:jc w:val="left"/>
      </w:pPr>
      <w:bookmarkStart w:id="947" w:name="bookmark947"/>
      <w:r>
        <w:rPr>
          <w:color w:val="000000"/>
          <w:spacing w:val="0"/>
          <w:w w:val="100"/>
          <w:position w:val="0"/>
        </w:rPr>
        <w:t>（</w:t>
      </w:r>
      <w:bookmarkEnd w:id="947"/>
      <w:r>
        <w:rPr>
          <w:rFonts w:ascii="Arial Narrow" w:eastAsia="Arial Narrow" w:hAnsi="Arial Narrow" w:cs="Arial Narrow"/>
          <w:color w:val="000000"/>
          <w:spacing w:val="0"/>
          <w:w w:val="100"/>
          <w:position w:val="0"/>
          <w:sz w:val="18"/>
          <w:szCs w:val="18"/>
        </w:rPr>
        <w:t>1</w:t>
      </w:r>
      <w:r>
        <w:rPr>
          <w:color w:val="000000"/>
          <w:spacing w:val="0"/>
          <w:w w:val="100"/>
          <w:position w:val="0"/>
        </w:rPr>
        <w:t>）</w:t>
        <w:tab/>
        <w:t>商品销售收入</w:t>
      </w:r>
    </w:p>
    <w:p>
      <w:pPr>
        <w:pStyle w:val="Style26"/>
        <w:keepNext w:val="0"/>
        <w:keepLines w:val="0"/>
        <w:widowControl w:val="0"/>
        <w:shd w:val="clear" w:color="auto" w:fill="auto"/>
        <w:bidi w:val="0"/>
        <w:spacing w:before="0" w:after="0" w:line="501" w:lineRule="exact"/>
        <w:ind w:left="0" w:right="0" w:firstLine="380"/>
        <w:jc w:val="both"/>
      </w:pPr>
      <w:r>
        <w:rPr>
          <w:color w:val="000000"/>
          <w:spacing w:val="0"/>
          <w:w w:val="100"/>
          <w:position w:val="0"/>
        </w:rPr>
        <w:t>在已将商品所有权上的主要风险和报酬转移给买方，既没有保留通常与所有权相联系的继续管理权，也没有对已售商品 实施有效控制，收入的金额能够可靠地计量，相关的经济利益很可能流入企业，且相关的已发生或将发生的成本能够可靠地 计量时，本公司确认商品销售收入的实现。</w:t>
      </w:r>
    </w:p>
    <w:p>
      <w:pPr>
        <w:pStyle w:val="Style26"/>
        <w:keepNext w:val="0"/>
        <w:keepLines w:val="0"/>
        <w:widowControl w:val="0"/>
        <w:shd w:val="clear" w:color="auto" w:fill="auto"/>
        <w:tabs>
          <w:tab w:pos="844" w:val="left"/>
        </w:tabs>
        <w:bidi w:val="0"/>
        <w:spacing w:before="0" w:after="0" w:line="501" w:lineRule="exact"/>
        <w:ind w:left="0" w:right="0" w:firstLine="380"/>
        <w:jc w:val="both"/>
      </w:pPr>
      <w:bookmarkStart w:id="948" w:name="bookmark948"/>
      <w:r>
        <w:rPr>
          <w:color w:val="000000"/>
          <w:spacing w:val="0"/>
          <w:w w:val="100"/>
          <w:position w:val="0"/>
        </w:rPr>
        <w:t>（</w:t>
      </w:r>
      <w:bookmarkEnd w:id="948"/>
      <w:r>
        <w:rPr>
          <w:rFonts w:ascii="Arial Narrow" w:eastAsia="Arial Narrow" w:hAnsi="Arial Narrow" w:cs="Arial Narrow"/>
          <w:color w:val="000000"/>
          <w:spacing w:val="0"/>
          <w:w w:val="100"/>
          <w:position w:val="0"/>
          <w:sz w:val="18"/>
          <w:szCs w:val="18"/>
        </w:rPr>
        <w:t>2</w:t>
      </w:r>
      <w:r>
        <w:rPr>
          <w:color w:val="000000"/>
          <w:spacing w:val="0"/>
          <w:w w:val="100"/>
          <w:position w:val="0"/>
        </w:rPr>
        <w:t>）</w:t>
        <w:tab/>
        <w:t>提供劳务收入</w:t>
      </w:r>
    </w:p>
    <w:p>
      <w:pPr>
        <w:pStyle w:val="Style26"/>
        <w:keepNext w:val="0"/>
        <w:keepLines w:val="0"/>
        <w:widowControl w:val="0"/>
        <w:shd w:val="clear" w:color="auto" w:fill="auto"/>
        <w:bidi w:val="0"/>
        <w:spacing w:before="0" w:line="501" w:lineRule="exact"/>
        <w:ind w:left="0" w:right="0" w:firstLine="380"/>
        <w:jc w:val="both"/>
      </w:pPr>
      <w:r>
        <w:rPr>
          <w:color w:val="000000"/>
          <w:spacing w:val="0"/>
          <w:w w:val="100"/>
          <w:position w:val="0"/>
        </w:rPr>
        <w:t>对外提供劳务，于劳务已实际提供时确认相关的收入，在确认收入时，劳务已提供，与交易相关的价款能够流入，并且 与该劳务有关的成本能够可靠计量为前提。</w:t>
      </w:r>
    </w:p>
    <w:p>
      <w:pPr>
        <w:pStyle w:val="Style26"/>
        <w:keepNext w:val="0"/>
        <w:keepLines w:val="0"/>
        <w:widowControl w:val="0"/>
        <w:shd w:val="clear" w:color="auto" w:fill="auto"/>
        <w:bidi w:val="0"/>
        <w:spacing w:before="0" w:after="0" w:line="500" w:lineRule="exact"/>
        <w:ind w:left="0" w:right="0" w:firstLine="380"/>
        <w:jc w:val="both"/>
      </w:pPr>
      <w:r>
        <w:rPr>
          <w:color w:val="000000"/>
          <w:spacing w:val="0"/>
          <w:w w:val="100"/>
          <w:position w:val="0"/>
        </w:rPr>
        <w:t>物业管理在物业管理服务已提供，与物业管理服务相关的经济利益能够注入企业，与物业管理服务有关的成本能够可靠 地计量时，确认物业管理收入的实现。</w:t>
      </w:r>
    </w:p>
    <w:p>
      <w:pPr>
        <w:pStyle w:val="Style26"/>
        <w:keepNext w:val="0"/>
        <w:keepLines w:val="0"/>
        <w:widowControl w:val="0"/>
        <w:shd w:val="clear" w:color="auto" w:fill="auto"/>
        <w:tabs>
          <w:tab w:pos="844" w:val="left"/>
        </w:tabs>
        <w:bidi w:val="0"/>
        <w:spacing w:before="0" w:after="0" w:line="500" w:lineRule="exact"/>
        <w:ind w:left="0" w:right="0" w:firstLine="380"/>
        <w:jc w:val="both"/>
      </w:pPr>
      <w:bookmarkStart w:id="949" w:name="bookmark949"/>
      <w:r>
        <w:rPr>
          <w:color w:val="000000"/>
          <w:spacing w:val="0"/>
          <w:w w:val="100"/>
          <w:position w:val="0"/>
        </w:rPr>
        <w:t>（</w:t>
      </w:r>
      <w:bookmarkEnd w:id="949"/>
      <w:r>
        <w:rPr>
          <w:rFonts w:ascii="Arial Narrow" w:eastAsia="Arial Narrow" w:hAnsi="Arial Narrow" w:cs="Arial Narrow"/>
          <w:color w:val="000000"/>
          <w:spacing w:val="0"/>
          <w:w w:val="100"/>
          <w:position w:val="0"/>
          <w:sz w:val="18"/>
          <w:szCs w:val="18"/>
        </w:rPr>
        <w:t>3</w:t>
      </w:r>
      <w:r>
        <w:rPr>
          <w:color w:val="000000"/>
          <w:spacing w:val="0"/>
          <w:w w:val="100"/>
          <w:position w:val="0"/>
        </w:rPr>
        <w:t>）</w:t>
        <w:tab/>
        <w:t>建造合同收入</w:t>
      </w:r>
    </w:p>
    <w:p>
      <w:pPr>
        <w:pStyle w:val="Style26"/>
        <w:keepNext w:val="0"/>
        <w:keepLines w:val="0"/>
        <w:widowControl w:val="0"/>
        <w:shd w:val="clear" w:color="auto" w:fill="auto"/>
        <w:bidi w:val="0"/>
        <w:spacing w:before="0" w:after="0" w:line="500" w:lineRule="exact"/>
        <w:ind w:left="0" w:right="0" w:firstLine="380"/>
        <w:jc w:val="both"/>
      </w:pPr>
      <w:r>
        <w:rPr>
          <w:color w:val="000000"/>
          <w:spacing w:val="0"/>
          <w:w w:val="100"/>
          <w:position w:val="0"/>
        </w:rPr>
        <w:t>在建造合同的结果能够可靠估计的情况下，于资产负债表日按照完工百分比法确认合同收入和合同费用。</w:t>
      </w:r>
    </w:p>
    <w:p>
      <w:pPr>
        <w:pStyle w:val="Style26"/>
        <w:keepNext w:val="0"/>
        <w:keepLines w:val="0"/>
        <w:widowControl w:val="0"/>
        <w:shd w:val="clear" w:color="auto" w:fill="auto"/>
        <w:bidi w:val="0"/>
        <w:spacing w:before="0" w:after="0" w:line="500" w:lineRule="exact"/>
        <w:ind w:left="0" w:right="0" w:firstLine="380"/>
        <w:jc w:val="both"/>
      </w:pPr>
      <w:r>
        <w:rPr>
          <w:color w:val="000000"/>
          <w:spacing w:val="0"/>
          <w:w w:val="100"/>
          <w:position w:val="0"/>
        </w:rPr>
        <w:t>建造合同的结果能够可靠估计是指同时满足:①合同总收入能够可靠地计量;②与合同相关的经济利益很可能流入企业； ③实际发生的合同成本能够清楚地区分和可靠地计量；④合同完工进度和为完成合同尚需发生的成本能够可靠地确定。</w:t>
      </w:r>
    </w:p>
    <w:p>
      <w:pPr>
        <w:pStyle w:val="Style26"/>
        <w:keepNext w:val="0"/>
        <w:keepLines w:val="0"/>
        <w:widowControl w:val="0"/>
        <w:shd w:val="clear" w:color="auto" w:fill="auto"/>
        <w:bidi w:val="0"/>
        <w:spacing w:before="0" w:after="0" w:line="500" w:lineRule="exact"/>
        <w:ind w:left="0" w:right="0" w:firstLine="380"/>
        <w:jc w:val="both"/>
      </w:pPr>
      <w:r>
        <w:rPr>
          <w:color w:val="000000"/>
          <w:spacing w:val="0"/>
          <w:w w:val="100"/>
          <w:position w:val="0"/>
        </w:rPr>
        <w:t>如建造合同的结果不能可靠地估计，但合同成本能够收回的，合同收入根据能够收回的实际合同成本予以确认，合同成 本在其发生的当期确认为合同费用；合同成本不可能收回的，在发生时立即确认为合同费用，不确认合同收入。使建造合同 的结果不能可靠估计的不确定因素不复存在的，按照完工百分比法确定与建造合同有关的收入和费用。</w:t>
      </w:r>
    </w:p>
    <w:p>
      <w:pPr>
        <w:pStyle w:val="Style26"/>
        <w:keepNext w:val="0"/>
        <w:keepLines w:val="0"/>
        <w:widowControl w:val="0"/>
        <w:shd w:val="clear" w:color="auto" w:fill="auto"/>
        <w:bidi w:val="0"/>
        <w:spacing w:before="0" w:after="0" w:line="500" w:lineRule="exact"/>
        <w:ind w:left="0" w:right="0" w:firstLine="380"/>
        <w:jc w:val="both"/>
      </w:pPr>
      <w:r>
        <w:rPr>
          <w:color w:val="000000"/>
          <w:spacing w:val="0"/>
          <w:w w:val="100"/>
          <w:position w:val="0"/>
        </w:rPr>
        <w:t>合同预计总成本超过合同总收入的，将预计损失确认为当期费用。</w:t>
      </w:r>
    </w:p>
    <w:p>
      <w:pPr>
        <w:pStyle w:val="Style26"/>
        <w:keepNext w:val="0"/>
        <w:keepLines w:val="0"/>
        <w:widowControl w:val="0"/>
        <w:shd w:val="clear" w:color="auto" w:fill="auto"/>
        <w:bidi w:val="0"/>
        <w:spacing w:before="0" w:after="0" w:line="500" w:lineRule="exact"/>
        <w:ind w:left="0" w:right="0" w:firstLine="380"/>
        <w:jc w:val="both"/>
      </w:pPr>
      <w:r>
        <w:rPr>
          <w:color w:val="000000"/>
          <w:spacing w:val="0"/>
          <w:w w:val="100"/>
          <w:position w:val="0"/>
        </w:rPr>
        <w:t>在建合同累计已发生的成本和累计已确认的毛利</w:t>
      </w:r>
      <w:r>
        <w:rPr>
          <w:rFonts w:ascii="Arial Narrow" w:eastAsia="Arial Narrow" w:hAnsi="Arial Narrow" w:cs="Arial Narrow"/>
          <w:color w:val="000000"/>
          <w:spacing w:val="0"/>
          <w:w w:val="100"/>
          <w:position w:val="0"/>
          <w:sz w:val="18"/>
          <w:szCs w:val="18"/>
        </w:rPr>
        <w:t>（</w:t>
      </w:r>
      <w:r>
        <w:rPr>
          <w:color w:val="000000"/>
          <w:spacing w:val="0"/>
          <w:w w:val="100"/>
          <w:position w:val="0"/>
        </w:rPr>
        <w:t>亏损</w:t>
      </w:r>
      <w:r>
        <w:rPr>
          <w:rFonts w:ascii="Arial Narrow" w:eastAsia="Arial Narrow" w:hAnsi="Arial Narrow" w:cs="Arial Narrow"/>
          <w:color w:val="000000"/>
          <w:spacing w:val="0"/>
          <w:w w:val="100"/>
          <w:position w:val="0"/>
          <w:sz w:val="18"/>
          <w:szCs w:val="18"/>
        </w:rPr>
        <w:t>）</w:t>
      </w:r>
      <w:r>
        <w:rPr>
          <w:color w:val="000000"/>
          <w:spacing w:val="0"/>
          <w:w w:val="100"/>
          <w:position w:val="0"/>
        </w:rPr>
        <w:t>与已结算的价款在资产负债表中以抵销后的净额列示。在建合同 累计已发生的成本和累计已确认的毛利</w:t>
      </w:r>
      <w:r>
        <w:rPr>
          <w:rFonts w:ascii="Arial Narrow" w:eastAsia="Arial Narrow" w:hAnsi="Arial Narrow" w:cs="Arial Narrow"/>
          <w:color w:val="000000"/>
          <w:spacing w:val="0"/>
          <w:w w:val="100"/>
          <w:position w:val="0"/>
          <w:sz w:val="18"/>
          <w:szCs w:val="18"/>
        </w:rPr>
        <w:t>（</w:t>
      </w:r>
      <w:r>
        <w:rPr>
          <w:color w:val="000000"/>
          <w:spacing w:val="0"/>
          <w:w w:val="100"/>
          <w:position w:val="0"/>
        </w:rPr>
        <w:t>亏损</w:t>
      </w:r>
      <w:r>
        <w:rPr>
          <w:rFonts w:ascii="Arial Narrow" w:eastAsia="Arial Narrow" w:hAnsi="Arial Narrow" w:cs="Arial Narrow"/>
          <w:color w:val="000000"/>
          <w:spacing w:val="0"/>
          <w:w w:val="100"/>
          <w:position w:val="0"/>
          <w:sz w:val="18"/>
          <w:szCs w:val="18"/>
        </w:rPr>
        <w:t>）</w:t>
      </w:r>
      <w:r>
        <w:rPr>
          <w:color w:val="000000"/>
          <w:spacing w:val="0"/>
          <w:w w:val="100"/>
          <w:position w:val="0"/>
        </w:rPr>
        <w:t>之和超过已结算价款的部分作为存货列示；在建合同已结算的价款超过累计已 发生的成本与累计已确认的毛利</w:t>
      </w:r>
      <w:r>
        <w:rPr>
          <w:rFonts w:ascii="Arial Narrow" w:eastAsia="Arial Narrow" w:hAnsi="Arial Narrow" w:cs="Arial Narrow"/>
          <w:color w:val="000000"/>
          <w:spacing w:val="0"/>
          <w:w w:val="100"/>
          <w:position w:val="0"/>
          <w:sz w:val="18"/>
          <w:szCs w:val="18"/>
        </w:rPr>
        <w:t>（</w:t>
      </w:r>
      <w:r>
        <w:rPr>
          <w:color w:val="000000"/>
          <w:spacing w:val="0"/>
          <w:w w:val="100"/>
          <w:position w:val="0"/>
        </w:rPr>
        <w:t>亏损</w:t>
      </w:r>
      <w:r>
        <w:rPr>
          <w:rFonts w:ascii="Arial Narrow" w:eastAsia="Arial Narrow" w:hAnsi="Arial Narrow" w:cs="Arial Narrow"/>
          <w:color w:val="000000"/>
          <w:spacing w:val="0"/>
          <w:w w:val="100"/>
          <w:position w:val="0"/>
          <w:sz w:val="18"/>
          <w:szCs w:val="18"/>
        </w:rPr>
        <w:t>）</w:t>
      </w:r>
      <w:r>
        <w:rPr>
          <w:color w:val="000000"/>
          <w:spacing w:val="0"/>
          <w:w w:val="100"/>
          <w:position w:val="0"/>
        </w:rPr>
        <w:t>之和的部分作为预收款项列示。</w:t>
      </w:r>
    </w:p>
    <w:p>
      <w:pPr>
        <w:pStyle w:val="Style26"/>
        <w:keepNext w:val="0"/>
        <w:keepLines w:val="0"/>
        <w:widowControl w:val="0"/>
        <w:shd w:val="clear" w:color="auto" w:fill="auto"/>
        <w:tabs>
          <w:tab w:pos="844" w:val="left"/>
        </w:tabs>
        <w:bidi w:val="0"/>
        <w:spacing w:before="0" w:after="0" w:line="500" w:lineRule="exact"/>
        <w:ind w:left="0" w:right="0" w:firstLine="380"/>
        <w:jc w:val="both"/>
      </w:pPr>
      <w:bookmarkStart w:id="950" w:name="bookmark950"/>
      <w:r>
        <w:rPr>
          <w:color w:val="000000"/>
          <w:spacing w:val="0"/>
          <w:w w:val="100"/>
          <w:position w:val="0"/>
        </w:rPr>
        <w:t>（</w:t>
      </w:r>
      <w:bookmarkEnd w:id="950"/>
      <w:r>
        <w:rPr>
          <w:rFonts w:ascii="Arial Narrow" w:eastAsia="Arial Narrow" w:hAnsi="Arial Narrow" w:cs="Arial Narrow"/>
          <w:color w:val="000000"/>
          <w:spacing w:val="0"/>
          <w:w w:val="100"/>
          <w:position w:val="0"/>
          <w:sz w:val="18"/>
          <w:szCs w:val="18"/>
        </w:rPr>
        <w:t>4</w:t>
      </w:r>
      <w:r>
        <w:rPr>
          <w:color w:val="000000"/>
          <w:spacing w:val="0"/>
          <w:w w:val="100"/>
          <w:position w:val="0"/>
        </w:rPr>
        <w:t>）</w:t>
        <w:tab/>
        <w:t>物业出租</w:t>
      </w:r>
    </w:p>
    <w:p>
      <w:pPr>
        <w:pStyle w:val="Style26"/>
        <w:keepNext w:val="0"/>
        <w:keepLines w:val="0"/>
        <w:widowControl w:val="0"/>
        <w:shd w:val="clear" w:color="auto" w:fill="auto"/>
        <w:bidi w:val="0"/>
        <w:spacing w:before="0" w:after="0" w:line="500" w:lineRule="exact"/>
        <w:ind w:left="0" w:right="0" w:firstLine="380"/>
        <w:jc w:val="left"/>
      </w:pPr>
      <w:r>
        <w:rPr>
          <w:color w:val="000000"/>
          <w:spacing w:val="0"/>
          <w:w w:val="100"/>
          <w:position w:val="0"/>
        </w:rPr>
        <w:t>物业出租与承租方签定的合同或协议规定按直线法确认房屋出租收入的实现。</w:t>
      </w:r>
    </w:p>
    <w:p>
      <w:pPr>
        <w:pStyle w:val="Style26"/>
        <w:keepNext w:val="0"/>
        <w:keepLines w:val="0"/>
        <w:widowControl w:val="0"/>
        <w:shd w:val="clear" w:color="auto" w:fill="auto"/>
        <w:tabs>
          <w:tab w:pos="844" w:val="left"/>
        </w:tabs>
        <w:bidi w:val="0"/>
        <w:spacing w:before="0" w:after="0" w:line="500" w:lineRule="exact"/>
        <w:ind w:left="0" w:right="0" w:firstLine="380"/>
        <w:jc w:val="left"/>
      </w:pPr>
      <w:bookmarkStart w:id="951" w:name="bookmark951"/>
      <w:r>
        <w:rPr>
          <w:color w:val="000000"/>
          <w:spacing w:val="0"/>
          <w:w w:val="100"/>
          <w:position w:val="0"/>
        </w:rPr>
        <w:t>（</w:t>
      </w:r>
      <w:bookmarkEnd w:id="951"/>
      <w:r>
        <w:rPr>
          <w:rFonts w:ascii="Arial Narrow" w:eastAsia="Arial Narrow" w:hAnsi="Arial Narrow" w:cs="Arial Narrow"/>
          <w:color w:val="000000"/>
          <w:spacing w:val="0"/>
          <w:w w:val="100"/>
          <w:position w:val="0"/>
          <w:sz w:val="18"/>
          <w:szCs w:val="18"/>
        </w:rPr>
        <w:t>5</w:t>
      </w:r>
      <w:r>
        <w:rPr>
          <w:color w:val="000000"/>
          <w:spacing w:val="0"/>
          <w:w w:val="100"/>
          <w:position w:val="0"/>
        </w:rPr>
        <w:t>）</w:t>
        <w:tab/>
        <w:t>使用费收入</w:t>
      </w:r>
    </w:p>
    <w:p>
      <w:pPr>
        <w:pStyle w:val="Style26"/>
        <w:keepNext w:val="0"/>
        <w:keepLines w:val="0"/>
        <w:widowControl w:val="0"/>
        <w:shd w:val="clear" w:color="auto" w:fill="auto"/>
        <w:bidi w:val="0"/>
        <w:spacing w:before="0" w:after="0" w:line="500" w:lineRule="exact"/>
        <w:ind w:left="0" w:right="0" w:firstLine="380"/>
        <w:jc w:val="left"/>
      </w:pPr>
      <w:r>
        <w:rPr>
          <w:color w:val="000000"/>
          <w:spacing w:val="0"/>
          <w:w w:val="100"/>
          <w:position w:val="0"/>
        </w:rPr>
        <w:t>根据有关合同或协议，按权责发生制确认收入。</w:t>
      </w:r>
    </w:p>
    <w:p>
      <w:pPr>
        <w:pStyle w:val="Style26"/>
        <w:keepNext w:val="0"/>
        <w:keepLines w:val="0"/>
        <w:widowControl w:val="0"/>
        <w:shd w:val="clear" w:color="auto" w:fill="auto"/>
        <w:tabs>
          <w:tab w:pos="844" w:val="left"/>
        </w:tabs>
        <w:bidi w:val="0"/>
        <w:spacing w:before="0" w:after="0" w:line="500" w:lineRule="exact"/>
        <w:ind w:left="0" w:right="0" w:firstLine="380"/>
        <w:jc w:val="both"/>
      </w:pPr>
      <w:bookmarkStart w:id="952" w:name="bookmark952"/>
      <w:r>
        <w:rPr>
          <w:color w:val="000000"/>
          <w:spacing w:val="0"/>
          <w:w w:val="100"/>
          <w:position w:val="0"/>
        </w:rPr>
        <w:t>（</w:t>
      </w:r>
      <w:bookmarkEnd w:id="952"/>
      <w:r>
        <w:rPr>
          <w:rFonts w:ascii="Arial Narrow" w:eastAsia="Arial Narrow" w:hAnsi="Arial Narrow" w:cs="Arial Narrow"/>
          <w:color w:val="000000"/>
          <w:spacing w:val="0"/>
          <w:w w:val="100"/>
          <w:position w:val="0"/>
          <w:sz w:val="18"/>
          <w:szCs w:val="18"/>
        </w:rPr>
        <w:t>6</w:t>
      </w:r>
      <w:r>
        <w:rPr>
          <w:color w:val="000000"/>
          <w:spacing w:val="0"/>
          <w:w w:val="100"/>
          <w:position w:val="0"/>
        </w:rPr>
        <w:t>）</w:t>
        <w:tab/>
        <w:t>利息收入</w:t>
      </w:r>
    </w:p>
    <w:p>
      <w:pPr>
        <w:pStyle w:val="Style26"/>
        <w:keepNext w:val="0"/>
        <w:keepLines w:val="0"/>
        <w:widowControl w:val="0"/>
        <w:shd w:val="clear" w:color="auto" w:fill="auto"/>
        <w:bidi w:val="0"/>
        <w:spacing w:before="0" w:after="260" w:line="500" w:lineRule="exact"/>
        <w:ind w:left="0" w:right="0" w:firstLine="380"/>
        <w:jc w:val="both"/>
      </w:pPr>
      <w:r>
        <w:rPr>
          <w:color w:val="000000"/>
          <w:spacing w:val="0"/>
          <w:w w:val="100"/>
          <w:position w:val="0"/>
        </w:rPr>
        <w:t>按照他人使用本公司货币资金的时间和实际利率计算确定。</w:t>
      </w:r>
    </w:p>
    <w:p>
      <w:pPr>
        <w:pStyle w:val="Style22"/>
        <w:keepNext/>
        <w:keepLines/>
        <w:widowControl w:val="0"/>
        <w:shd w:val="clear" w:color="auto" w:fill="auto"/>
        <w:bidi w:val="0"/>
        <w:spacing w:before="0" w:after="0" w:line="523" w:lineRule="auto"/>
        <w:ind w:left="0" w:right="0" w:firstLine="440"/>
        <w:jc w:val="left"/>
        <w:rPr>
          <w:sz w:val="20"/>
          <w:szCs w:val="20"/>
        </w:rPr>
      </w:pPr>
      <w:bookmarkStart w:id="953" w:name="bookmark953"/>
      <w:bookmarkStart w:id="954" w:name="bookmark954"/>
      <w:bookmarkStart w:id="955" w:name="bookmark955"/>
      <w:bookmarkStart w:id="956" w:name="bookmark956"/>
      <w:r>
        <w:rPr>
          <w:rFonts w:ascii="Arial Narrow" w:eastAsia="Arial Narrow" w:hAnsi="Arial Narrow" w:cs="Arial Narrow"/>
          <w:color w:val="000000"/>
          <w:spacing w:val="0"/>
          <w:w w:val="100"/>
          <w:position w:val="0"/>
          <w:sz w:val="20"/>
          <w:szCs w:val="20"/>
        </w:rPr>
        <w:t>2</w:t>
      </w:r>
      <w:bookmarkEnd w:id="955"/>
      <w:r>
        <w:rPr>
          <w:rFonts w:ascii="Arial Narrow" w:eastAsia="Arial Narrow" w:hAnsi="Arial Narrow" w:cs="Arial Narrow"/>
          <w:color w:val="000000"/>
          <w:spacing w:val="0"/>
          <w:w w:val="100"/>
          <w:position w:val="0"/>
          <w:sz w:val="20"/>
          <w:szCs w:val="20"/>
        </w:rPr>
        <w:t>9</w:t>
      </w:r>
      <w:r>
        <w:rPr>
          <w:color w:val="000000"/>
          <w:spacing w:val="0"/>
          <w:w w:val="100"/>
          <w:position w:val="0"/>
          <w:sz w:val="20"/>
          <w:szCs w:val="20"/>
        </w:rPr>
        <w:t>、政府补助</w:t>
      </w:r>
      <w:bookmarkEnd w:id="953"/>
      <w:bookmarkEnd w:id="954"/>
      <w:bookmarkEnd w:id="956"/>
    </w:p>
    <w:p>
      <w:pPr>
        <w:pStyle w:val="Style26"/>
        <w:keepNext w:val="0"/>
        <w:keepLines w:val="0"/>
        <w:widowControl w:val="0"/>
        <w:shd w:val="clear" w:color="auto" w:fill="auto"/>
        <w:bidi w:val="0"/>
        <w:spacing w:before="0" w:after="0" w:line="500" w:lineRule="exact"/>
        <w:ind w:left="0" w:right="0" w:firstLine="380"/>
        <w:jc w:val="both"/>
      </w:pPr>
      <w:r>
        <w:rPr>
          <w:color w:val="000000"/>
          <w:spacing w:val="0"/>
          <w:w w:val="100"/>
          <w:position w:val="0"/>
        </w:rPr>
        <w:t>政府补助是指本公司从政府无偿取得货币性资产或非货币性资产，不包括政府以投资者身份并享有相应所有者权益而投 入的资本。政府补助分为与资产相关的政府补助和与收益相关的政府补助。政府补助为货币性资产的，按照收到或应收的金 额计量。政府补助为非货币性资产的，应当按照公允价值计量；公允价值不能可靠取得的，按照名义金额计量。按照名义金 额计量的政府补助，直接计入当期损益。</w:t>
      </w:r>
    </w:p>
    <w:p>
      <w:pPr>
        <w:pStyle w:val="Style26"/>
        <w:keepNext w:val="0"/>
        <w:keepLines w:val="0"/>
        <w:widowControl w:val="0"/>
        <w:shd w:val="clear" w:color="auto" w:fill="auto"/>
        <w:bidi w:val="0"/>
        <w:spacing w:before="0" w:after="0" w:line="500" w:lineRule="exact"/>
        <w:ind w:left="0" w:right="0" w:firstLine="380"/>
        <w:jc w:val="both"/>
      </w:pPr>
      <w:r>
        <w:rPr>
          <w:color w:val="000000"/>
          <w:spacing w:val="0"/>
          <w:w w:val="100"/>
          <w:position w:val="0"/>
        </w:rPr>
        <w:t>当本公司能够满足政府补助所附条件，且能够收到政府补助时，才能确认政府补助。</w:t>
      </w:r>
    </w:p>
    <w:p>
      <w:pPr>
        <w:pStyle w:val="Style26"/>
        <w:keepNext w:val="0"/>
        <w:keepLines w:val="0"/>
        <w:widowControl w:val="0"/>
        <w:shd w:val="clear" w:color="auto" w:fill="auto"/>
        <w:bidi w:val="0"/>
        <w:spacing w:before="0" w:after="0" w:line="500" w:lineRule="exact"/>
        <w:ind w:left="0" w:right="0" w:firstLine="380"/>
        <w:jc w:val="both"/>
      </w:pPr>
      <w:r>
        <w:rPr>
          <w:color w:val="000000"/>
          <w:spacing w:val="0"/>
          <w:w w:val="100"/>
          <w:position w:val="0"/>
        </w:rPr>
        <w:t>政府补助分为与资产相关的政府补助和与收益相关的政府补助。与资产相关的政府补助，是指公司取得的、用于购建或 以其他方式形成长期资产的政府补助。与收益相关的政府补助，是指除与资产相关的政府补助之外的政府补助。</w:t>
      </w:r>
    </w:p>
    <w:p>
      <w:pPr>
        <w:pStyle w:val="Style26"/>
        <w:keepNext w:val="0"/>
        <w:keepLines w:val="0"/>
        <w:widowControl w:val="0"/>
        <w:shd w:val="clear" w:color="auto" w:fill="auto"/>
        <w:bidi w:val="0"/>
        <w:spacing w:before="0" w:after="0" w:line="501" w:lineRule="exact"/>
        <w:ind w:left="0" w:right="0" w:firstLine="380"/>
        <w:jc w:val="both"/>
      </w:pPr>
      <w:r>
        <w:rPr>
          <w:color w:val="000000"/>
          <w:spacing w:val="0"/>
          <w:w w:val="100"/>
          <w:position w:val="0"/>
        </w:rPr>
        <w:t>与资产相关的政府补助，采用总额法，确认为递延收益，在相关资产使用寿命内按照合理、系统的方法分期计入损益， 相关资产在使用寿命结束前被出售、转让、报废或发生毁损的，将尚未分配的相关递延收益余额转入资产处置当期的损益， 已确认的政府补助需要退回的，冲减相关递延收益账面余额，超出部分计入当期损益</w:t>
      </w:r>
    </w:p>
    <w:p>
      <w:pPr>
        <w:pStyle w:val="Style26"/>
        <w:keepNext w:val="0"/>
        <w:keepLines w:val="0"/>
        <w:widowControl w:val="0"/>
        <w:shd w:val="clear" w:color="auto" w:fill="auto"/>
        <w:bidi w:val="0"/>
        <w:spacing w:before="0" w:after="0" w:line="501" w:lineRule="exact"/>
        <w:ind w:left="0" w:right="0" w:firstLine="380"/>
        <w:jc w:val="both"/>
      </w:pPr>
      <w:r>
        <w:rPr>
          <w:color w:val="000000"/>
          <w:spacing w:val="0"/>
          <w:w w:val="100"/>
          <w:position w:val="0"/>
        </w:rPr>
        <w:t>与收益相关的政府补助，采用总额法，用于补偿公司已发生的相关成本费用或损失时，直接计入当期损益；用于补偿 以后期间的相关成本费用或损失时，确认为递延收益，并在确认相关成本费用或损失的期间，计入当期损益。</w:t>
      </w:r>
    </w:p>
    <w:p>
      <w:pPr>
        <w:pStyle w:val="Style26"/>
        <w:keepNext w:val="0"/>
        <w:keepLines w:val="0"/>
        <w:widowControl w:val="0"/>
        <w:shd w:val="clear" w:color="auto" w:fill="auto"/>
        <w:bidi w:val="0"/>
        <w:spacing w:before="0" w:after="0" w:line="501" w:lineRule="exact"/>
        <w:ind w:left="0" w:right="0" w:firstLine="380"/>
        <w:jc w:val="both"/>
      </w:pPr>
      <w:r>
        <w:rPr>
          <w:color w:val="000000"/>
          <w:spacing w:val="0"/>
          <w:w w:val="100"/>
          <w:position w:val="0"/>
        </w:rPr>
        <w:t>对于同时包含与资产相关部分和与收益相关部分的政府补助，区分不同部分分别进行会计处理；难以区分的，整体归类 为与收益相关的政府补助。</w:t>
      </w:r>
    </w:p>
    <w:p>
      <w:pPr>
        <w:pStyle w:val="Style26"/>
        <w:keepNext w:val="0"/>
        <w:keepLines w:val="0"/>
        <w:widowControl w:val="0"/>
        <w:shd w:val="clear" w:color="auto" w:fill="auto"/>
        <w:bidi w:val="0"/>
        <w:spacing w:before="0" w:after="280" w:line="501" w:lineRule="exact"/>
        <w:ind w:left="0" w:right="0" w:firstLine="380"/>
        <w:jc w:val="both"/>
      </w:pPr>
      <w:r>
        <w:rPr>
          <w:color w:val="000000"/>
          <w:spacing w:val="0"/>
          <w:w w:val="100"/>
          <w:position w:val="0"/>
        </w:rPr>
        <w:t>与公司日常活动相关的政府补助，按照经济业务实质，计入其他收益或冲减相关成本费用。与公司日常活动无关的政府 补助，计入营业外收支。</w:t>
      </w:r>
    </w:p>
    <w:p>
      <w:pPr>
        <w:pStyle w:val="Style22"/>
        <w:keepNext/>
        <w:keepLines/>
        <w:widowControl w:val="0"/>
        <w:shd w:val="clear" w:color="auto" w:fill="auto"/>
        <w:bidi w:val="0"/>
        <w:spacing w:before="0" w:after="0" w:line="526" w:lineRule="auto"/>
        <w:ind w:left="0" w:right="0" w:firstLine="380"/>
        <w:jc w:val="left"/>
        <w:rPr>
          <w:sz w:val="20"/>
          <w:szCs w:val="20"/>
        </w:rPr>
      </w:pPr>
      <w:bookmarkStart w:id="957" w:name="bookmark957"/>
      <w:bookmarkStart w:id="958" w:name="bookmark958"/>
      <w:bookmarkStart w:id="959" w:name="bookmark959"/>
      <w:bookmarkStart w:id="960" w:name="bookmark960"/>
      <w:r>
        <w:rPr>
          <w:rFonts w:ascii="Arial Narrow" w:eastAsia="Arial Narrow" w:hAnsi="Arial Narrow" w:cs="Arial Narrow"/>
          <w:color w:val="000000"/>
          <w:spacing w:val="0"/>
          <w:w w:val="100"/>
          <w:position w:val="0"/>
          <w:sz w:val="20"/>
          <w:szCs w:val="20"/>
        </w:rPr>
        <w:t>3</w:t>
      </w:r>
      <w:bookmarkEnd w:id="959"/>
      <w:r>
        <w:rPr>
          <w:rFonts w:ascii="Arial Narrow" w:eastAsia="Arial Narrow" w:hAnsi="Arial Narrow" w:cs="Arial Narrow"/>
          <w:color w:val="000000"/>
          <w:spacing w:val="0"/>
          <w:w w:val="100"/>
          <w:position w:val="0"/>
          <w:sz w:val="20"/>
          <w:szCs w:val="20"/>
        </w:rPr>
        <w:t>0</w:t>
      </w:r>
      <w:r>
        <w:rPr>
          <w:color w:val="000000"/>
          <w:spacing w:val="0"/>
          <w:w w:val="100"/>
          <w:position w:val="0"/>
          <w:sz w:val="20"/>
          <w:szCs w:val="20"/>
        </w:rPr>
        <w:t>、递延所得税资产和递延所得税负债</w:t>
      </w:r>
      <w:bookmarkEnd w:id="957"/>
      <w:bookmarkEnd w:id="958"/>
      <w:bookmarkEnd w:id="960"/>
    </w:p>
    <w:p>
      <w:pPr>
        <w:pStyle w:val="Style26"/>
        <w:keepNext w:val="0"/>
        <w:keepLines w:val="0"/>
        <w:widowControl w:val="0"/>
        <w:shd w:val="clear" w:color="auto" w:fill="auto"/>
        <w:bidi w:val="0"/>
        <w:spacing w:before="0" w:after="0" w:line="501" w:lineRule="exact"/>
        <w:ind w:left="0" w:right="0" w:firstLine="38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26"/>
        <w:keepNext w:val="0"/>
        <w:keepLines w:val="0"/>
        <w:widowControl w:val="0"/>
        <w:shd w:val="clear" w:color="auto" w:fill="auto"/>
        <w:bidi w:val="0"/>
        <w:spacing w:before="0" w:after="0" w:line="501" w:lineRule="exact"/>
        <w:ind w:left="0" w:right="0" w:firstLine="38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26"/>
        <w:keepNext w:val="0"/>
        <w:keepLines w:val="0"/>
        <w:widowControl w:val="0"/>
        <w:shd w:val="clear" w:color="auto" w:fill="auto"/>
        <w:bidi w:val="0"/>
        <w:spacing w:before="0" w:after="0" w:line="501" w:lineRule="exact"/>
        <w:ind w:left="0" w:right="0" w:firstLine="380"/>
        <w:jc w:val="both"/>
      </w:pPr>
      <w:r>
        <w:rPr>
          <w:color w:val="000000"/>
          <w:spacing w:val="0"/>
          <w:w w:val="100"/>
          <w:position w:val="0"/>
        </w:rPr>
        <w:t>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所得额，不予确认有关的递延所得税资产。除上述例外情况，本公司以很可能取得用来抵扣可抵扣暂时性差异的应纳税所得 额为限，确认其他可抵扣暂时性差异产生的递延所得税资产。</w:t>
      </w:r>
    </w:p>
    <w:p>
      <w:pPr>
        <w:pStyle w:val="Style26"/>
        <w:keepNext w:val="0"/>
        <w:keepLines w:val="0"/>
        <w:widowControl w:val="0"/>
        <w:shd w:val="clear" w:color="auto" w:fill="auto"/>
        <w:bidi w:val="0"/>
        <w:spacing w:before="0" w:after="0" w:line="501" w:lineRule="exact"/>
        <w:ind w:left="0" w:right="0" w:firstLine="38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26"/>
        <w:keepNext w:val="0"/>
        <w:keepLines w:val="0"/>
        <w:widowControl w:val="0"/>
        <w:shd w:val="clear" w:color="auto" w:fill="auto"/>
        <w:bidi w:val="0"/>
        <w:spacing w:before="0" w:after="0" w:line="501" w:lineRule="exact"/>
        <w:ind w:left="0" w:right="0" w:firstLine="38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26"/>
        <w:keepNext w:val="0"/>
        <w:keepLines w:val="0"/>
        <w:widowControl w:val="0"/>
        <w:shd w:val="clear" w:color="auto" w:fill="auto"/>
        <w:bidi w:val="0"/>
        <w:spacing w:before="0" w:after="280" w:line="501" w:lineRule="exact"/>
        <w:ind w:left="0" w:right="0" w:firstLine="38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22"/>
        <w:keepNext/>
        <w:keepLines/>
        <w:widowControl w:val="0"/>
        <w:shd w:val="clear" w:color="auto" w:fill="auto"/>
        <w:tabs>
          <w:tab w:pos="878" w:val="left"/>
        </w:tabs>
        <w:bidi w:val="0"/>
        <w:spacing w:before="0" w:after="0" w:line="523" w:lineRule="auto"/>
        <w:ind w:left="0" w:right="0" w:firstLine="440"/>
        <w:jc w:val="left"/>
        <w:rPr>
          <w:sz w:val="20"/>
          <w:szCs w:val="20"/>
        </w:rPr>
      </w:pPr>
      <w:bookmarkStart w:id="961" w:name="bookmark961"/>
      <w:bookmarkStart w:id="962" w:name="bookmark962"/>
      <w:bookmarkStart w:id="963" w:name="bookmark963"/>
      <w:bookmarkStart w:id="964" w:name="bookmark964"/>
      <w:r>
        <w:rPr>
          <w:rFonts w:ascii="Arial Narrow" w:eastAsia="Arial Narrow" w:hAnsi="Arial Narrow" w:cs="Arial Narrow"/>
          <w:color w:val="000000"/>
          <w:spacing w:val="0"/>
          <w:w w:val="100"/>
          <w:position w:val="0"/>
          <w:sz w:val="20"/>
          <w:szCs w:val="20"/>
        </w:rPr>
        <w:t>3</w:t>
      </w:r>
      <w:bookmarkEnd w:id="963"/>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w:t>
        <w:tab/>
        <w:t>所得税</w:t>
      </w:r>
      <w:bookmarkEnd w:id="961"/>
      <w:bookmarkEnd w:id="962"/>
      <w:bookmarkEnd w:id="964"/>
    </w:p>
    <w:p>
      <w:pPr>
        <w:pStyle w:val="Style26"/>
        <w:keepNext w:val="0"/>
        <w:keepLines w:val="0"/>
        <w:widowControl w:val="0"/>
        <w:shd w:val="clear" w:color="auto" w:fill="auto"/>
        <w:bidi w:val="0"/>
        <w:spacing w:before="0" w:after="0" w:line="501" w:lineRule="exact"/>
        <w:ind w:left="0" w:right="0" w:firstLine="380"/>
        <w:jc w:val="left"/>
      </w:pPr>
      <w:r>
        <w:rPr>
          <w:color w:val="000000"/>
          <w:spacing w:val="0"/>
          <w:w w:val="100"/>
          <w:position w:val="0"/>
        </w:rPr>
        <w:t>所得税包括当期所得税和递延所得税。除由于企业合并产生的调整商誉，或与直接计入所有者权益的交易或者事项相关 的递延所得税计入所有者权益外，均作为所得税费用计入当期损益。</w:t>
      </w:r>
    </w:p>
    <w:p>
      <w:pPr>
        <w:pStyle w:val="Style26"/>
        <w:keepNext w:val="0"/>
        <w:keepLines w:val="0"/>
        <w:widowControl w:val="0"/>
        <w:shd w:val="clear" w:color="auto" w:fill="auto"/>
        <w:bidi w:val="0"/>
        <w:spacing w:before="0" w:after="0" w:line="501" w:lineRule="exact"/>
        <w:ind w:left="0" w:right="0" w:firstLine="380"/>
        <w:jc w:val="left"/>
      </w:pPr>
      <w:r>
        <w:rPr>
          <w:color w:val="000000"/>
          <w:spacing w:val="0"/>
          <w:w w:val="100"/>
          <w:position w:val="0"/>
        </w:rPr>
        <w:t>当期所得税是按照当期应纳税所得额计算的当期应交所得税金额。应纳税所得额系根据有关税法规定对本年度税前会计 利润作相应调整后得出。</w:t>
      </w:r>
    </w:p>
    <w:p>
      <w:pPr>
        <w:pStyle w:val="Style26"/>
        <w:keepNext w:val="0"/>
        <w:keepLines w:val="0"/>
        <w:widowControl w:val="0"/>
        <w:shd w:val="clear" w:color="auto" w:fill="auto"/>
        <w:bidi w:val="0"/>
        <w:spacing w:before="0" w:after="0" w:line="501" w:lineRule="exact"/>
        <w:ind w:left="0" w:right="0" w:firstLine="380"/>
        <w:jc w:val="left"/>
      </w:pPr>
      <w:r>
        <w:rPr>
          <w:color w:val="000000"/>
          <w:spacing w:val="0"/>
          <w:w w:val="100"/>
          <w:position w:val="0"/>
        </w:rPr>
        <w:t>本公司根据资产、负债于资产负债表日的账面价值与计税基础之间的暂时性差异，采用资产负债表债务法确认递延所得 税。</w:t>
      </w:r>
    </w:p>
    <w:p>
      <w:pPr>
        <w:pStyle w:val="Style26"/>
        <w:keepNext w:val="0"/>
        <w:keepLines w:val="0"/>
        <w:widowControl w:val="0"/>
        <w:shd w:val="clear" w:color="auto" w:fill="auto"/>
        <w:bidi w:val="0"/>
        <w:spacing w:before="0" w:after="0" w:line="501" w:lineRule="exact"/>
        <w:ind w:left="0" w:right="0" w:firstLine="380"/>
        <w:jc w:val="left"/>
      </w:pPr>
      <w:r>
        <w:rPr>
          <w:color w:val="000000"/>
          <w:spacing w:val="0"/>
          <w:w w:val="100"/>
          <w:position w:val="0"/>
        </w:rPr>
        <w:t>各项应纳税暂时性差异均确认相关的递延所得税负债，除非该应纳税暂时性差异是在以下交易中产生的：</w:t>
      </w:r>
    </w:p>
    <w:p>
      <w:pPr>
        <w:pStyle w:val="Style26"/>
        <w:keepNext w:val="0"/>
        <w:keepLines w:val="0"/>
        <w:widowControl w:val="0"/>
        <w:shd w:val="clear" w:color="auto" w:fill="auto"/>
        <w:tabs>
          <w:tab w:pos="683" w:val="left"/>
        </w:tabs>
        <w:bidi w:val="0"/>
        <w:spacing w:before="0" w:after="0" w:line="501" w:lineRule="exact"/>
        <w:ind w:left="0" w:right="0" w:firstLine="380"/>
        <w:jc w:val="left"/>
      </w:pPr>
      <w:bookmarkStart w:id="965" w:name="bookmark965"/>
      <w:r>
        <w:rPr>
          <w:rFonts w:ascii="Arial Narrow" w:eastAsia="Arial Narrow" w:hAnsi="Arial Narrow" w:cs="Arial Narrow"/>
          <w:color w:val="000000"/>
          <w:spacing w:val="0"/>
          <w:w w:val="100"/>
          <w:position w:val="0"/>
          <w:sz w:val="18"/>
          <w:szCs w:val="18"/>
        </w:rPr>
        <w:t>A</w:t>
      </w:r>
      <w:bookmarkEnd w:id="965"/>
      <w:r>
        <w:rPr>
          <w:color w:val="000000"/>
          <w:spacing w:val="0"/>
          <w:w w:val="100"/>
          <w:position w:val="0"/>
        </w:rPr>
        <w:t>、</w:t>
        <w:tab/>
      </w:r>
      <w:r>
        <w:rPr>
          <w:color w:val="000000"/>
          <w:spacing w:val="0"/>
          <w:w w:val="100"/>
          <w:position w:val="0"/>
        </w:rPr>
        <w:t>商誉的初始确认，或者具有以下特征的交易中产生的资产或负债的初始确认：该交易不是企业合并，并且交易发生 时既不影响会计利润也不影响应纳税所得额；</w:t>
      </w:r>
    </w:p>
    <w:p>
      <w:pPr>
        <w:pStyle w:val="Style26"/>
        <w:keepNext w:val="0"/>
        <w:keepLines w:val="0"/>
        <w:widowControl w:val="0"/>
        <w:shd w:val="clear" w:color="auto" w:fill="auto"/>
        <w:tabs>
          <w:tab w:pos="707" w:val="left"/>
        </w:tabs>
        <w:bidi w:val="0"/>
        <w:spacing w:before="0" w:after="0" w:line="501" w:lineRule="exact"/>
        <w:ind w:left="0" w:right="0" w:firstLine="380"/>
        <w:jc w:val="left"/>
      </w:pPr>
      <w:bookmarkStart w:id="966" w:name="bookmark966"/>
      <w:r>
        <w:rPr>
          <w:rFonts w:ascii="Arial Narrow" w:eastAsia="Arial Narrow" w:hAnsi="Arial Narrow" w:cs="Arial Narrow"/>
          <w:color w:val="000000"/>
          <w:spacing w:val="0"/>
          <w:w w:val="100"/>
          <w:position w:val="0"/>
          <w:sz w:val="18"/>
          <w:szCs w:val="18"/>
        </w:rPr>
        <w:t>B</w:t>
      </w:r>
      <w:bookmarkEnd w:id="966"/>
      <w:r>
        <w:rPr>
          <w:color w:val="000000"/>
          <w:spacing w:val="0"/>
          <w:w w:val="100"/>
          <w:position w:val="0"/>
        </w:rPr>
        <w:t>、</w:t>
        <w:tab/>
      </w:r>
      <w:r>
        <w:rPr>
          <w:color w:val="000000"/>
          <w:spacing w:val="0"/>
          <w:w w:val="100"/>
          <w:position w:val="0"/>
        </w:rPr>
        <w:t>对于与子公司、合营企业及联营企业投资相关的应纳税暂时性差异，该暂时性差异转回的时间能够控制并且该暂时 性差异在可预见的未来很可能不会转回。</w:t>
      </w:r>
    </w:p>
    <w:p>
      <w:pPr>
        <w:pStyle w:val="Style26"/>
        <w:keepNext w:val="0"/>
        <w:keepLines w:val="0"/>
        <w:widowControl w:val="0"/>
        <w:shd w:val="clear" w:color="auto" w:fill="auto"/>
        <w:bidi w:val="0"/>
        <w:spacing w:before="0" w:after="280" w:line="501" w:lineRule="exact"/>
        <w:ind w:left="0" w:right="0" w:firstLine="380"/>
        <w:jc w:val="left"/>
      </w:pPr>
      <w:r>
        <w:rPr>
          <w:color w:val="000000"/>
          <w:spacing w:val="0"/>
          <w:w w:val="100"/>
          <w:position w:val="0"/>
        </w:rPr>
        <w:t>对于可抵扣暂时性差异、能够结转以后年度的可抵扣亏损和税款抵减，本公司以很可能取得用来抵扣可抵扣暂时性差异、 可抵扣亏损和税款抵减的未来应纳税所得额为限，确认由此产生的递延所得税资产，除非该可抵扣暂时性差异是在以下交易 中产生的：</w:t>
      </w:r>
    </w:p>
    <w:p>
      <w:pPr>
        <w:pStyle w:val="Style26"/>
        <w:keepNext w:val="0"/>
        <w:keepLines w:val="0"/>
        <w:widowControl w:val="0"/>
        <w:shd w:val="clear" w:color="auto" w:fill="auto"/>
        <w:tabs>
          <w:tab w:pos="727" w:val="left"/>
        </w:tabs>
        <w:bidi w:val="0"/>
        <w:spacing w:before="0" w:after="0" w:line="583" w:lineRule="auto"/>
        <w:ind w:left="0" w:right="0" w:firstLine="380"/>
        <w:jc w:val="both"/>
      </w:pPr>
      <w:bookmarkStart w:id="967" w:name="bookmark967"/>
      <w:r>
        <w:rPr>
          <w:rFonts w:ascii="Arial Narrow" w:eastAsia="Arial Narrow" w:hAnsi="Arial Narrow" w:cs="Arial Narrow"/>
          <w:color w:val="000000"/>
          <w:spacing w:val="0"/>
          <w:w w:val="100"/>
          <w:position w:val="0"/>
          <w:sz w:val="18"/>
          <w:szCs w:val="18"/>
        </w:rPr>
        <w:t>A</w:t>
      </w:r>
      <w:bookmarkEnd w:id="967"/>
      <w:r>
        <w:rPr>
          <w:color w:val="000000"/>
          <w:spacing w:val="0"/>
          <w:w w:val="100"/>
          <w:position w:val="0"/>
        </w:rPr>
        <w:t>、</w:t>
        <w:tab/>
      </w:r>
      <w:r>
        <w:rPr>
          <w:color w:val="000000"/>
          <w:spacing w:val="0"/>
          <w:w w:val="100"/>
          <w:position w:val="0"/>
        </w:rPr>
        <w:t>该交易不是企业合并，并且交易发生时既不影响会计利润也不影响应纳税所得额；</w:t>
      </w:r>
    </w:p>
    <w:p>
      <w:pPr>
        <w:pStyle w:val="Style26"/>
        <w:keepNext w:val="0"/>
        <w:keepLines w:val="0"/>
        <w:widowControl w:val="0"/>
        <w:shd w:val="clear" w:color="auto" w:fill="auto"/>
        <w:tabs>
          <w:tab w:pos="702" w:val="left"/>
        </w:tabs>
        <w:bidi w:val="0"/>
        <w:spacing w:before="0" w:after="0" w:line="501" w:lineRule="exact"/>
        <w:ind w:left="0" w:right="0" w:firstLine="380"/>
        <w:jc w:val="both"/>
      </w:pPr>
      <w:bookmarkStart w:id="968" w:name="bookmark968"/>
      <w:r>
        <w:rPr>
          <w:rFonts w:ascii="Arial Narrow" w:eastAsia="Arial Narrow" w:hAnsi="Arial Narrow" w:cs="Arial Narrow"/>
          <w:color w:val="000000"/>
          <w:spacing w:val="0"/>
          <w:w w:val="100"/>
          <w:position w:val="0"/>
          <w:sz w:val="18"/>
          <w:szCs w:val="18"/>
        </w:rPr>
        <w:t>B</w:t>
      </w:r>
      <w:bookmarkEnd w:id="968"/>
      <w:r>
        <w:rPr>
          <w:color w:val="000000"/>
          <w:spacing w:val="0"/>
          <w:w w:val="100"/>
          <w:position w:val="0"/>
        </w:rPr>
        <w:t>、</w:t>
        <w:tab/>
      </w:r>
      <w:r>
        <w:rPr>
          <w:color w:val="000000"/>
          <w:spacing w:val="0"/>
          <w:w w:val="100"/>
          <w:position w:val="0"/>
        </w:rPr>
        <w:t>对于与子公司、合营企业及联营企业投资相关的可抵扣暂时性差异，同时满足下列条件的，确认相应的递延所得税 资产：暂时性差异在可预见的未来很可能转回，且未来很可能获得用来抵扣可抵扣暂时性差异的应纳税所得额。</w:t>
      </w:r>
    </w:p>
    <w:p>
      <w:pPr>
        <w:pStyle w:val="Style26"/>
        <w:keepNext w:val="0"/>
        <w:keepLines w:val="0"/>
        <w:widowControl w:val="0"/>
        <w:shd w:val="clear" w:color="auto" w:fill="auto"/>
        <w:bidi w:val="0"/>
        <w:spacing w:before="0" w:after="0" w:line="501" w:lineRule="exact"/>
        <w:ind w:left="0" w:right="0" w:firstLine="380"/>
        <w:jc w:val="both"/>
      </w:pPr>
      <w:r>
        <w:rPr>
          <w:color w:val="000000"/>
          <w:spacing w:val="0"/>
          <w:w w:val="100"/>
          <w:position w:val="0"/>
        </w:rPr>
        <w:t>于资产负债表日，本公司对递延所得税资产和递延所得税负债，按照预期收回该资产或清偿该负债期间的适用税率计量， 并反映资产负债表日预期收回资产或清偿负债方式的所得税影响。</w:t>
      </w:r>
    </w:p>
    <w:p>
      <w:pPr>
        <w:pStyle w:val="Style26"/>
        <w:keepNext w:val="0"/>
        <w:keepLines w:val="0"/>
        <w:widowControl w:val="0"/>
        <w:shd w:val="clear" w:color="auto" w:fill="auto"/>
        <w:bidi w:val="0"/>
        <w:spacing w:before="0" w:after="280" w:line="501" w:lineRule="exact"/>
        <w:ind w:left="0" w:right="0" w:firstLine="380"/>
        <w:jc w:val="both"/>
      </w:pPr>
      <w:r>
        <w:rPr>
          <w:color w:val="000000"/>
          <w:spacing w:val="0"/>
          <w:w w:val="100"/>
          <w:position w:val="0"/>
        </w:rPr>
        <w:t>于资产负债表日，本公司对递延所得税资产的账面价值进行复核。如果未来期间很可能无法获得足够的应纳税所得额用 以抵扣递延所得税资产的利益，减记递延所得税资产的账面价值。在很可能获得足够的应纳税所得额时，减记的金额予以转 回。</w:t>
      </w:r>
    </w:p>
    <w:p>
      <w:pPr>
        <w:pStyle w:val="Style22"/>
        <w:keepNext/>
        <w:keepLines/>
        <w:widowControl w:val="0"/>
        <w:shd w:val="clear" w:color="auto" w:fill="auto"/>
        <w:tabs>
          <w:tab w:pos="878" w:val="left"/>
        </w:tabs>
        <w:bidi w:val="0"/>
        <w:spacing w:before="0" w:after="0" w:line="523" w:lineRule="auto"/>
        <w:ind w:left="0" w:right="0" w:firstLine="440"/>
        <w:jc w:val="left"/>
        <w:rPr>
          <w:sz w:val="20"/>
          <w:szCs w:val="20"/>
        </w:rPr>
      </w:pPr>
      <w:bookmarkStart w:id="969" w:name="bookmark969"/>
      <w:bookmarkStart w:id="970" w:name="bookmark970"/>
      <w:bookmarkStart w:id="971" w:name="bookmark971"/>
      <w:bookmarkStart w:id="972" w:name="bookmark972"/>
      <w:r>
        <w:rPr>
          <w:rFonts w:ascii="Arial Narrow" w:eastAsia="Arial Narrow" w:hAnsi="Arial Narrow" w:cs="Arial Narrow"/>
          <w:color w:val="000000"/>
          <w:spacing w:val="0"/>
          <w:w w:val="100"/>
          <w:position w:val="0"/>
          <w:sz w:val="20"/>
          <w:szCs w:val="20"/>
        </w:rPr>
        <w:t>3</w:t>
      </w:r>
      <w:bookmarkEnd w:id="971"/>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w:t>
        <w:tab/>
        <w:t>租赁</w:t>
      </w:r>
      <w:bookmarkEnd w:id="969"/>
      <w:bookmarkEnd w:id="970"/>
      <w:bookmarkEnd w:id="972"/>
    </w:p>
    <w:p>
      <w:pPr>
        <w:pStyle w:val="Style26"/>
        <w:keepNext w:val="0"/>
        <w:keepLines w:val="0"/>
        <w:widowControl w:val="0"/>
        <w:shd w:val="clear" w:color="auto" w:fill="auto"/>
        <w:bidi w:val="0"/>
        <w:spacing w:before="0" w:after="0" w:line="501" w:lineRule="exact"/>
        <w:ind w:left="0" w:right="0" w:firstLine="380"/>
        <w:jc w:val="both"/>
      </w:pPr>
      <w:r>
        <w:rPr>
          <w:color w:val="000000"/>
          <w:spacing w:val="0"/>
          <w:w w:val="100"/>
          <w:position w:val="0"/>
        </w:rPr>
        <w:t xml:space="preserve">本公司将实质上转移了与资产所有权有关的全部风险和报酬的租赁确认为融资租赁，除融资租赁之外的其他租赁确认为 </w:t>
      </w:r>
      <w:r>
        <w:rPr>
          <w:color w:val="000000"/>
          <w:spacing w:val="0"/>
          <w:w w:val="100"/>
          <w:position w:val="0"/>
        </w:rPr>
        <w:t>经营租赁。</w:t>
      </w:r>
    </w:p>
    <w:p>
      <w:pPr>
        <w:pStyle w:val="Style26"/>
        <w:keepNext w:val="0"/>
        <w:keepLines w:val="0"/>
        <w:widowControl w:val="0"/>
        <w:shd w:val="clear" w:color="auto" w:fill="auto"/>
        <w:bidi w:val="0"/>
        <w:spacing w:before="0" w:after="0" w:line="504" w:lineRule="exact"/>
        <w:ind w:left="0" w:right="0" w:firstLine="380"/>
        <w:jc w:val="both"/>
      </w:pPr>
      <w:r>
        <w:rPr>
          <w:color w:val="000000"/>
          <w:spacing w:val="0"/>
          <w:w w:val="100"/>
          <w:position w:val="0"/>
        </w:rPr>
        <w:t>在租赁期开始日，本公司将租赁开始日租赁资产公允价值与最低租赁付款额现值中较低者作为租入资产的入账价值，将 最低租赁付款额作为长期应付款的入账价值，其差额作为未确认融资费用。</w:t>
      </w:r>
    </w:p>
    <w:p>
      <w:pPr>
        <w:pStyle w:val="Style26"/>
        <w:keepNext w:val="0"/>
        <w:keepLines w:val="0"/>
        <w:widowControl w:val="0"/>
        <w:shd w:val="clear" w:color="auto" w:fill="auto"/>
        <w:bidi w:val="0"/>
        <w:spacing w:before="0" w:after="280" w:line="504" w:lineRule="exact"/>
        <w:ind w:left="0" w:right="0" w:firstLine="380"/>
        <w:jc w:val="both"/>
      </w:pPr>
      <w:r>
        <w:rPr>
          <w:color w:val="000000"/>
          <w:spacing w:val="0"/>
          <w:w w:val="100"/>
          <w:position w:val="0"/>
        </w:rPr>
        <w:t>经营租赁的租金在租赁期内的各个期间按直线法计入相关资产成本或当期损益。</w:t>
      </w:r>
    </w:p>
    <w:p>
      <w:pPr>
        <w:pStyle w:val="Style22"/>
        <w:keepNext/>
        <w:keepLines/>
        <w:widowControl w:val="0"/>
        <w:shd w:val="clear" w:color="auto" w:fill="auto"/>
        <w:tabs>
          <w:tab w:pos="890" w:val="left"/>
        </w:tabs>
        <w:bidi w:val="0"/>
        <w:spacing w:before="0" w:after="0" w:line="528" w:lineRule="auto"/>
        <w:ind w:left="0" w:right="0" w:firstLine="440"/>
        <w:jc w:val="both"/>
        <w:rPr>
          <w:sz w:val="20"/>
          <w:szCs w:val="20"/>
        </w:rPr>
      </w:pPr>
      <w:bookmarkStart w:id="973" w:name="bookmark973"/>
      <w:bookmarkStart w:id="974" w:name="bookmark974"/>
      <w:bookmarkStart w:id="975" w:name="bookmark975"/>
      <w:bookmarkStart w:id="976" w:name="bookmark976"/>
      <w:r>
        <w:rPr>
          <w:rFonts w:ascii="Arial Narrow" w:eastAsia="Arial Narrow" w:hAnsi="Arial Narrow" w:cs="Arial Narrow"/>
          <w:color w:val="000000"/>
          <w:spacing w:val="0"/>
          <w:w w:val="100"/>
          <w:position w:val="0"/>
          <w:sz w:val="20"/>
          <w:szCs w:val="20"/>
        </w:rPr>
        <w:t>3</w:t>
      </w:r>
      <w:bookmarkEnd w:id="975"/>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w:t>
        <w:tab/>
        <w:t>其他重要的会计政策和会计估计</w:t>
      </w:r>
      <w:bookmarkEnd w:id="973"/>
      <w:bookmarkEnd w:id="974"/>
      <w:bookmarkEnd w:id="976"/>
    </w:p>
    <w:p>
      <w:pPr>
        <w:pStyle w:val="Style26"/>
        <w:keepNext w:val="0"/>
        <w:keepLines w:val="0"/>
        <w:widowControl w:val="0"/>
        <w:shd w:val="clear" w:color="auto" w:fill="auto"/>
        <w:bidi w:val="0"/>
        <w:spacing w:before="0" w:after="0" w:line="502" w:lineRule="exact"/>
        <w:ind w:left="0" w:right="0" w:firstLine="440"/>
        <w:jc w:val="both"/>
      </w:pPr>
      <w:bookmarkStart w:id="977" w:name="bookmark977"/>
      <w:r>
        <w:rPr>
          <w:color w:val="000000"/>
          <w:spacing w:val="0"/>
          <w:w w:val="100"/>
          <w:position w:val="0"/>
        </w:rPr>
        <w:t>（</w:t>
      </w:r>
      <w:bookmarkEnd w:id="977"/>
      <w:r>
        <w:rPr>
          <w:rFonts w:ascii="Arial Narrow" w:eastAsia="Arial Narrow" w:hAnsi="Arial Narrow" w:cs="Arial Narrow"/>
          <w:color w:val="000000"/>
          <w:spacing w:val="0"/>
          <w:w w:val="100"/>
          <w:position w:val="0"/>
          <w:sz w:val="18"/>
          <w:szCs w:val="18"/>
        </w:rPr>
        <w:t>1</w:t>
      </w:r>
      <w:r>
        <w:rPr>
          <w:color w:val="000000"/>
          <w:spacing w:val="0"/>
          <w:w w:val="100"/>
          <w:position w:val="0"/>
        </w:rPr>
        <w:t>）终止经营</w:t>
      </w:r>
    </w:p>
    <w:p>
      <w:pPr>
        <w:pStyle w:val="Style26"/>
        <w:keepNext w:val="0"/>
        <w:keepLines w:val="0"/>
        <w:widowControl w:val="0"/>
        <w:shd w:val="clear" w:color="auto" w:fill="auto"/>
        <w:bidi w:val="0"/>
        <w:spacing w:before="0" w:after="0" w:line="502" w:lineRule="exact"/>
        <w:ind w:left="0" w:right="0" w:firstLine="380"/>
        <w:jc w:val="both"/>
      </w:pPr>
      <w:r>
        <w:rPr>
          <w:color w:val="000000"/>
          <w:spacing w:val="0"/>
          <w:w w:val="100"/>
          <w:position w:val="0"/>
        </w:rPr>
        <w:t>终止经营，是指企业满足下列条件之一的、能够单独区分的组成部分，且该组成部分已经处置或划分为持有待售类别：</w:t>
      </w:r>
    </w:p>
    <w:p>
      <w:pPr>
        <w:pStyle w:val="Style26"/>
        <w:keepNext w:val="0"/>
        <w:keepLines w:val="0"/>
        <w:widowControl w:val="0"/>
        <w:numPr>
          <w:ilvl w:val="0"/>
          <w:numId w:val="35"/>
        </w:numPr>
        <w:shd w:val="clear" w:color="auto" w:fill="auto"/>
        <w:tabs>
          <w:tab w:pos="753" w:val="left"/>
        </w:tabs>
        <w:bidi w:val="0"/>
        <w:spacing w:before="0" w:after="0" w:line="502" w:lineRule="exact"/>
        <w:ind w:left="0" w:right="0" w:firstLine="380"/>
        <w:jc w:val="both"/>
      </w:pPr>
      <w:bookmarkStart w:id="978" w:name="bookmark978"/>
      <w:bookmarkEnd w:id="978"/>
      <w:r>
        <w:rPr>
          <w:color w:val="000000"/>
          <w:spacing w:val="0"/>
          <w:w w:val="100"/>
          <w:position w:val="0"/>
        </w:rPr>
        <w:t>该组成部分代表一项独立的主要业务或一个单独的主要经营地区；</w:t>
      </w:r>
    </w:p>
    <w:p>
      <w:pPr>
        <w:pStyle w:val="Style26"/>
        <w:keepNext w:val="0"/>
        <w:keepLines w:val="0"/>
        <w:widowControl w:val="0"/>
        <w:numPr>
          <w:ilvl w:val="0"/>
          <w:numId w:val="35"/>
        </w:numPr>
        <w:shd w:val="clear" w:color="auto" w:fill="auto"/>
        <w:tabs>
          <w:tab w:pos="753" w:val="left"/>
        </w:tabs>
        <w:bidi w:val="0"/>
        <w:spacing w:before="0" w:after="0" w:line="502" w:lineRule="exact"/>
        <w:ind w:left="0" w:right="0" w:firstLine="380"/>
        <w:jc w:val="both"/>
      </w:pPr>
      <w:bookmarkStart w:id="979" w:name="bookmark979"/>
      <w:bookmarkEnd w:id="979"/>
      <w:r>
        <w:rPr>
          <w:color w:val="000000"/>
          <w:spacing w:val="0"/>
          <w:w w:val="100"/>
          <w:position w:val="0"/>
        </w:rPr>
        <w:t>该组成部分是拟对一项独立的主要业务或一个单独的主要经营地区进行处置的一项相关联计划的一部分；</w:t>
      </w:r>
    </w:p>
    <w:p>
      <w:pPr>
        <w:pStyle w:val="Style26"/>
        <w:keepNext w:val="0"/>
        <w:keepLines w:val="0"/>
        <w:widowControl w:val="0"/>
        <w:numPr>
          <w:ilvl w:val="0"/>
          <w:numId w:val="35"/>
        </w:numPr>
        <w:shd w:val="clear" w:color="auto" w:fill="auto"/>
        <w:tabs>
          <w:tab w:pos="753" w:val="left"/>
        </w:tabs>
        <w:bidi w:val="0"/>
        <w:spacing w:before="0" w:after="0" w:line="502" w:lineRule="exact"/>
        <w:ind w:left="0" w:right="0" w:firstLine="380"/>
        <w:jc w:val="both"/>
      </w:pPr>
      <w:bookmarkStart w:id="980" w:name="bookmark980"/>
      <w:bookmarkEnd w:id="980"/>
      <w:r>
        <w:rPr>
          <w:color w:val="000000"/>
          <w:spacing w:val="0"/>
          <w:w w:val="100"/>
          <w:position w:val="0"/>
        </w:rPr>
        <w:t>该组成部分是专为转售而取得的子公司。</w:t>
      </w:r>
    </w:p>
    <w:p>
      <w:pPr>
        <w:pStyle w:val="Style26"/>
        <w:keepNext w:val="0"/>
        <w:keepLines w:val="0"/>
        <w:widowControl w:val="0"/>
        <w:shd w:val="clear" w:color="auto" w:fill="auto"/>
        <w:bidi w:val="0"/>
        <w:spacing w:before="0" w:after="280" w:line="502" w:lineRule="exact"/>
        <w:ind w:left="0" w:right="0" w:firstLine="380"/>
        <w:jc w:val="both"/>
      </w:pPr>
      <w:r>
        <w:rPr>
          <w:color w:val="000000"/>
          <w:spacing w:val="0"/>
          <w:w w:val="100"/>
          <w:position w:val="0"/>
        </w:rPr>
        <w:t>终止经营的会计处理方法参见本附注三、</w:t>
      </w:r>
      <w:r>
        <w:rPr>
          <w:rFonts w:ascii="Arial Narrow" w:eastAsia="Arial Narrow" w:hAnsi="Arial Narrow" w:cs="Arial Narrow"/>
          <w:color w:val="000000"/>
          <w:spacing w:val="0"/>
          <w:w w:val="100"/>
          <w:position w:val="0"/>
          <w:sz w:val="18"/>
          <w:szCs w:val="18"/>
        </w:rPr>
        <w:t>12“</w:t>
      </w:r>
      <w:r>
        <w:rPr>
          <w:color w:val="000000"/>
          <w:spacing w:val="0"/>
          <w:w w:val="100"/>
          <w:position w:val="0"/>
        </w:rPr>
        <w:t>持有待售资产'相关描述。</w:t>
      </w:r>
    </w:p>
    <w:p>
      <w:pPr>
        <w:pStyle w:val="Style22"/>
        <w:keepNext/>
        <w:keepLines/>
        <w:widowControl w:val="0"/>
        <w:shd w:val="clear" w:color="auto" w:fill="auto"/>
        <w:tabs>
          <w:tab w:pos="890" w:val="left"/>
        </w:tabs>
        <w:bidi w:val="0"/>
        <w:spacing w:before="0" w:after="0" w:line="528" w:lineRule="auto"/>
        <w:ind w:left="0" w:right="0" w:firstLine="440"/>
        <w:jc w:val="both"/>
        <w:rPr>
          <w:sz w:val="20"/>
          <w:szCs w:val="20"/>
        </w:rPr>
      </w:pPr>
      <w:bookmarkStart w:id="981" w:name="bookmark981"/>
      <w:bookmarkStart w:id="982" w:name="bookmark982"/>
      <w:bookmarkStart w:id="983" w:name="bookmark983"/>
      <w:bookmarkStart w:id="984" w:name="bookmark984"/>
      <w:r>
        <w:rPr>
          <w:rFonts w:ascii="Arial Narrow" w:eastAsia="Arial Narrow" w:hAnsi="Arial Narrow" w:cs="Arial Narrow"/>
          <w:color w:val="000000"/>
          <w:spacing w:val="0"/>
          <w:w w:val="100"/>
          <w:position w:val="0"/>
          <w:sz w:val="20"/>
          <w:szCs w:val="20"/>
        </w:rPr>
        <w:t>3</w:t>
      </w:r>
      <w:bookmarkEnd w:id="983"/>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w:t>
        <w:tab/>
        <w:t>重要会计政策和会计估计变更</w:t>
      </w:r>
      <w:bookmarkEnd w:id="981"/>
      <w:bookmarkEnd w:id="982"/>
      <w:bookmarkEnd w:id="984"/>
    </w:p>
    <w:p>
      <w:pPr>
        <w:pStyle w:val="Style26"/>
        <w:keepNext w:val="0"/>
        <w:keepLines w:val="0"/>
        <w:widowControl w:val="0"/>
        <w:shd w:val="clear" w:color="auto" w:fill="auto"/>
        <w:bidi w:val="0"/>
        <w:spacing w:before="0" w:after="0" w:line="502" w:lineRule="exact"/>
        <w:ind w:left="0" w:right="0" w:firstLine="38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）会计政策变更</w:t>
      </w:r>
    </w:p>
    <w:p>
      <w:pPr>
        <w:pStyle w:val="Style26"/>
        <w:keepNext w:val="0"/>
        <w:keepLines w:val="0"/>
        <w:widowControl w:val="0"/>
        <w:numPr>
          <w:ilvl w:val="0"/>
          <w:numId w:val="37"/>
        </w:numPr>
        <w:shd w:val="clear" w:color="auto" w:fill="auto"/>
        <w:tabs>
          <w:tab w:pos="724" w:val="left"/>
        </w:tabs>
        <w:bidi w:val="0"/>
        <w:spacing w:before="0" w:after="0" w:line="502" w:lineRule="exact"/>
        <w:ind w:left="0" w:right="0" w:firstLine="380"/>
        <w:jc w:val="left"/>
      </w:pPr>
      <w:bookmarkStart w:id="985" w:name="bookmark985"/>
      <w:bookmarkEnd w:id="985"/>
      <w:r>
        <w:rPr>
          <w:color w:val="000000"/>
          <w:spacing w:val="0"/>
          <w:w w:val="100"/>
          <w:position w:val="0"/>
        </w:rPr>
        <w:t>执行修订后的非货币性资产交换会计准则</w:t>
      </w:r>
    </w:p>
    <w:p>
      <w:pPr>
        <w:pStyle w:val="Style26"/>
        <w:keepNext w:val="0"/>
        <w:keepLines w:val="0"/>
        <w:widowControl w:val="0"/>
        <w:shd w:val="clear" w:color="auto" w:fill="auto"/>
        <w:bidi w:val="0"/>
        <w:spacing w:before="0" w:after="0" w:line="502" w:lineRule="exact"/>
        <w:ind w:left="0" w:right="0" w:firstLine="380"/>
        <w:jc w:val="left"/>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5</w:t>
      </w:r>
      <w:r>
        <w:rPr>
          <w:color w:val="000000"/>
          <w:spacing w:val="0"/>
          <w:w w:val="100"/>
          <w:position w:val="0"/>
        </w:rPr>
        <w:t>月</w:t>
      </w:r>
      <w:r>
        <w:rPr>
          <w:rFonts w:ascii="Arial Narrow" w:eastAsia="Arial Narrow" w:hAnsi="Arial Narrow" w:cs="Arial Narrow"/>
          <w:color w:val="000000"/>
          <w:spacing w:val="0"/>
          <w:w w:val="100"/>
          <w:position w:val="0"/>
          <w:sz w:val="18"/>
          <w:szCs w:val="18"/>
        </w:rPr>
        <w:t>9</w:t>
      </w:r>
      <w:r>
        <w:rPr>
          <w:color w:val="000000"/>
          <w:spacing w:val="0"/>
          <w:w w:val="100"/>
          <w:position w:val="0"/>
        </w:rPr>
        <w:t>日，财政部发布了《关于印发修订</w:t>
      </w:r>
      <w:r>
        <w:rPr>
          <w:color w:val="000000"/>
          <w:spacing w:val="0"/>
          <w:w w:val="100"/>
          <w:position w:val="0"/>
          <w:sz w:val="22"/>
          <w:szCs w:val="22"/>
        </w:rPr>
        <w:t>〈</w:t>
      </w:r>
      <w:r>
        <w:rPr>
          <w:color w:val="000000"/>
          <w:spacing w:val="0"/>
          <w:w w:val="100"/>
          <w:position w:val="0"/>
        </w:rPr>
        <w:t>企业会计准则第</w:t>
      </w:r>
      <w:r>
        <w:rPr>
          <w:rFonts w:ascii="Arial Narrow" w:eastAsia="Arial Narrow" w:hAnsi="Arial Narrow" w:cs="Arial Narrow"/>
          <w:color w:val="000000"/>
          <w:spacing w:val="0"/>
          <w:w w:val="100"/>
          <w:position w:val="0"/>
          <w:sz w:val="18"/>
          <w:szCs w:val="18"/>
        </w:rPr>
        <w:t>7</w:t>
      </w:r>
      <w:r>
        <w:rPr>
          <w:color w:val="000000"/>
          <w:spacing w:val="0"/>
          <w:w w:val="100"/>
          <w:position w:val="0"/>
        </w:rPr>
        <w:t>号</w:t>
      </w:r>
      <w:r>
        <w:rPr>
          <w:color w:val="000000"/>
          <w:spacing w:val="0"/>
          <w:w w:val="100"/>
          <w:position w:val="0"/>
        </w:rPr>
        <w:t>一一</w:t>
      </w:r>
      <w:r>
        <w:rPr>
          <w:color w:val="000000"/>
          <w:spacing w:val="0"/>
          <w:w w:val="100"/>
          <w:position w:val="0"/>
        </w:rPr>
        <w:t>非货币性资产交换</w:t>
      </w:r>
      <w:r>
        <w:rPr>
          <w:color w:val="000000"/>
          <w:spacing w:val="0"/>
          <w:w w:val="100"/>
          <w:position w:val="0"/>
          <w:sz w:val="22"/>
          <w:szCs w:val="22"/>
        </w:rPr>
        <w:t>〉</w:t>
      </w:r>
      <w:r>
        <w:rPr>
          <w:color w:val="000000"/>
          <w:spacing w:val="0"/>
          <w:w w:val="100"/>
          <w:position w:val="0"/>
        </w:rPr>
        <w:t>的通知》（财会【</w:t>
      </w:r>
      <w:r>
        <w:rPr>
          <w:rFonts w:ascii="Arial Narrow" w:eastAsia="Arial Narrow" w:hAnsi="Arial Narrow" w:cs="Arial Narrow"/>
          <w:color w:val="000000"/>
          <w:spacing w:val="0"/>
          <w:w w:val="100"/>
          <w:position w:val="0"/>
          <w:sz w:val="18"/>
          <w:szCs w:val="18"/>
        </w:rPr>
        <w:t>2019</w:t>
      </w:r>
      <w:r>
        <w:rPr>
          <w:color w:val="000000"/>
          <w:spacing w:val="0"/>
          <w:w w:val="100"/>
          <w:position w:val="0"/>
        </w:rPr>
        <w:t>】</w:t>
      </w:r>
      <w:r>
        <w:rPr>
          <w:rFonts w:ascii="Arial Narrow" w:eastAsia="Arial Narrow" w:hAnsi="Arial Narrow" w:cs="Arial Narrow"/>
          <w:color w:val="000000"/>
          <w:spacing w:val="0"/>
          <w:w w:val="100"/>
          <w:position w:val="0"/>
          <w:sz w:val="18"/>
          <w:szCs w:val="18"/>
        </w:rPr>
        <w:t xml:space="preserve">8 </w:t>
      </w:r>
      <w:r>
        <w:rPr>
          <w:color w:val="000000"/>
          <w:spacing w:val="0"/>
          <w:w w:val="100"/>
          <w:position w:val="0"/>
        </w:rPr>
        <w:t>号），对非货币性资产交换的确认、计量和披露作出修订。</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1</w:t>
      </w:r>
      <w:r>
        <w:rPr>
          <w:color w:val="000000"/>
          <w:spacing w:val="0"/>
          <w:w w:val="100"/>
          <w:position w:val="0"/>
        </w:rPr>
        <w:t>日至该准则施行日</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6</w:t>
      </w:r>
      <w:r>
        <w:rPr>
          <w:color w:val="000000"/>
          <w:spacing w:val="0"/>
          <w:w w:val="100"/>
          <w:position w:val="0"/>
        </w:rPr>
        <w:t>月</w:t>
      </w:r>
      <w:r>
        <w:rPr>
          <w:rFonts w:ascii="Arial Narrow" w:eastAsia="Arial Narrow" w:hAnsi="Arial Narrow" w:cs="Arial Narrow"/>
          <w:color w:val="000000"/>
          <w:spacing w:val="0"/>
          <w:w w:val="100"/>
          <w:position w:val="0"/>
          <w:sz w:val="18"/>
          <w:szCs w:val="18"/>
        </w:rPr>
        <w:t>10</w:t>
      </w:r>
      <w:r>
        <w:rPr>
          <w:color w:val="000000"/>
          <w:spacing w:val="0"/>
          <w:w w:val="100"/>
          <w:position w:val="0"/>
        </w:rPr>
        <w:t>日之间发生的非 货币性资产交换，应根据该准则的规定进行调整；</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1</w:t>
      </w:r>
      <w:r>
        <w:rPr>
          <w:color w:val="000000"/>
          <w:spacing w:val="0"/>
          <w:w w:val="100"/>
          <w:position w:val="0"/>
        </w:rPr>
        <w:t>日之前发生的非货币性资产交换，不需进行追溯调整。</w:t>
      </w:r>
    </w:p>
    <w:p>
      <w:pPr>
        <w:pStyle w:val="Style26"/>
        <w:keepNext w:val="0"/>
        <w:keepLines w:val="0"/>
        <w:widowControl w:val="0"/>
        <w:numPr>
          <w:ilvl w:val="0"/>
          <w:numId w:val="37"/>
        </w:numPr>
        <w:shd w:val="clear" w:color="auto" w:fill="auto"/>
        <w:tabs>
          <w:tab w:pos="724" w:val="left"/>
        </w:tabs>
        <w:bidi w:val="0"/>
        <w:spacing w:before="0" w:after="0" w:line="502" w:lineRule="exact"/>
        <w:ind w:left="0" w:right="0" w:firstLine="380"/>
        <w:jc w:val="left"/>
      </w:pPr>
      <w:bookmarkStart w:id="986" w:name="bookmark986"/>
      <w:bookmarkEnd w:id="986"/>
      <w:r>
        <w:rPr>
          <w:color w:val="000000"/>
          <w:spacing w:val="0"/>
          <w:w w:val="100"/>
          <w:position w:val="0"/>
        </w:rPr>
        <w:t>执行修订后的债务重组会计准则</w:t>
      </w:r>
    </w:p>
    <w:p>
      <w:pPr>
        <w:pStyle w:val="Style26"/>
        <w:keepNext w:val="0"/>
        <w:keepLines w:val="0"/>
        <w:widowControl w:val="0"/>
        <w:shd w:val="clear" w:color="auto" w:fill="auto"/>
        <w:bidi w:val="0"/>
        <w:spacing w:before="0" w:after="0" w:line="502" w:lineRule="exact"/>
        <w:ind w:left="0" w:right="0" w:firstLine="380"/>
        <w:jc w:val="left"/>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5</w:t>
      </w:r>
      <w:r>
        <w:rPr>
          <w:color w:val="000000"/>
          <w:spacing w:val="0"/>
          <w:w w:val="100"/>
          <w:position w:val="0"/>
        </w:rPr>
        <w:t>月</w:t>
      </w:r>
      <w:r>
        <w:rPr>
          <w:rFonts w:ascii="Arial Narrow" w:eastAsia="Arial Narrow" w:hAnsi="Arial Narrow" w:cs="Arial Narrow"/>
          <w:color w:val="000000"/>
          <w:spacing w:val="0"/>
          <w:w w:val="100"/>
          <w:position w:val="0"/>
          <w:sz w:val="18"/>
          <w:szCs w:val="18"/>
        </w:rPr>
        <w:t>16</w:t>
      </w:r>
      <w:r>
        <w:rPr>
          <w:color w:val="000000"/>
          <w:spacing w:val="0"/>
          <w:w w:val="100"/>
          <w:position w:val="0"/>
        </w:rPr>
        <w:t>日，财政部发布了《关于印发修订</w:t>
      </w:r>
      <w:r>
        <w:rPr>
          <w:color w:val="000000"/>
          <w:spacing w:val="0"/>
          <w:w w:val="100"/>
          <w:position w:val="0"/>
          <w:sz w:val="22"/>
          <w:szCs w:val="22"/>
        </w:rPr>
        <w:t>〈</w:t>
      </w:r>
      <w:r>
        <w:rPr>
          <w:color w:val="000000"/>
          <w:spacing w:val="0"/>
          <w:w w:val="100"/>
          <w:position w:val="0"/>
        </w:rPr>
        <w:t>企业会计准则第</w:t>
      </w:r>
      <w:r>
        <w:rPr>
          <w:rFonts w:ascii="Arial Narrow" w:eastAsia="Arial Narrow" w:hAnsi="Arial Narrow" w:cs="Arial Narrow"/>
          <w:color w:val="000000"/>
          <w:spacing w:val="0"/>
          <w:w w:val="100"/>
          <w:position w:val="0"/>
          <w:sz w:val="18"/>
          <w:szCs w:val="18"/>
        </w:rPr>
        <w:t>12</w:t>
      </w:r>
      <w:r>
        <w:rPr>
          <w:color w:val="000000"/>
          <w:spacing w:val="0"/>
          <w:w w:val="100"/>
          <w:position w:val="0"/>
        </w:rPr>
        <w:t>号</w:t>
      </w:r>
      <w:r>
        <w:rPr>
          <w:color w:val="000000"/>
          <w:spacing w:val="0"/>
          <w:w w:val="100"/>
          <w:position w:val="0"/>
        </w:rPr>
        <w:t>一一</w:t>
      </w:r>
      <w:r>
        <w:rPr>
          <w:color w:val="000000"/>
          <w:spacing w:val="0"/>
          <w:w w:val="100"/>
          <w:position w:val="0"/>
        </w:rPr>
        <w:t>债务重组</w:t>
      </w:r>
      <w:r>
        <w:rPr>
          <w:color w:val="000000"/>
          <w:spacing w:val="0"/>
          <w:w w:val="100"/>
          <w:position w:val="0"/>
          <w:sz w:val="22"/>
          <w:szCs w:val="22"/>
        </w:rPr>
        <w:t>〉</w:t>
      </w:r>
      <w:r>
        <w:rPr>
          <w:color w:val="000000"/>
          <w:spacing w:val="0"/>
          <w:w w:val="100"/>
          <w:position w:val="0"/>
        </w:rPr>
        <w:t>的通知》（财会【</w:t>
      </w:r>
      <w:r>
        <w:rPr>
          <w:rFonts w:ascii="Arial Narrow" w:eastAsia="Arial Narrow" w:hAnsi="Arial Narrow" w:cs="Arial Narrow"/>
          <w:color w:val="000000"/>
          <w:spacing w:val="0"/>
          <w:w w:val="100"/>
          <w:position w:val="0"/>
          <w:sz w:val="18"/>
          <w:szCs w:val="18"/>
        </w:rPr>
        <w:t>2019</w:t>
      </w:r>
      <w:r>
        <w:rPr>
          <w:color w:val="000000"/>
          <w:spacing w:val="0"/>
          <w:w w:val="100"/>
          <w:position w:val="0"/>
        </w:rPr>
        <w:t>】</w:t>
      </w:r>
      <w:r>
        <w:rPr>
          <w:rFonts w:ascii="Arial Narrow" w:eastAsia="Arial Narrow" w:hAnsi="Arial Narrow" w:cs="Arial Narrow"/>
          <w:color w:val="000000"/>
          <w:spacing w:val="0"/>
          <w:w w:val="100"/>
          <w:position w:val="0"/>
          <w:sz w:val="18"/>
          <w:szCs w:val="18"/>
        </w:rPr>
        <w:t>9</w:t>
      </w:r>
      <w:r>
        <w:rPr>
          <w:color w:val="000000"/>
          <w:spacing w:val="0"/>
          <w:w w:val="100"/>
          <w:position w:val="0"/>
        </w:rPr>
        <w:t>号）， 对债务重组的确认、计量和披露作出修订。</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1</w:t>
      </w:r>
      <w:r>
        <w:rPr>
          <w:color w:val="000000"/>
          <w:spacing w:val="0"/>
          <w:w w:val="100"/>
          <w:position w:val="0"/>
        </w:rPr>
        <w:t>日至该准则施行日</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6</w:t>
      </w:r>
      <w:r>
        <w:rPr>
          <w:color w:val="000000"/>
          <w:spacing w:val="0"/>
          <w:w w:val="100"/>
          <w:position w:val="0"/>
        </w:rPr>
        <w:t>月</w:t>
      </w:r>
      <w:r>
        <w:rPr>
          <w:rFonts w:ascii="Arial Narrow" w:eastAsia="Arial Narrow" w:hAnsi="Arial Narrow" w:cs="Arial Narrow"/>
          <w:color w:val="000000"/>
          <w:spacing w:val="0"/>
          <w:w w:val="100"/>
          <w:position w:val="0"/>
          <w:sz w:val="18"/>
          <w:szCs w:val="18"/>
        </w:rPr>
        <w:t>17</w:t>
      </w:r>
      <w:r>
        <w:rPr>
          <w:color w:val="000000"/>
          <w:spacing w:val="0"/>
          <w:w w:val="100"/>
          <w:position w:val="0"/>
        </w:rPr>
        <w:t>日之间发生的债务重组，应根据 该准则的规定进行调整；</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1</w:t>
      </w:r>
      <w:r>
        <w:rPr>
          <w:color w:val="000000"/>
          <w:spacing w:val="0"/>
          <w:w w:val="100"/>
          <w:position w:val="0"/>
        </w:rPr>
        <w:t>日之前发生的债务重组，不需进行追溯调整。</w:t>
      </w:r>
    </w:p>
    <w:p>
      <w:pPr>
        <w:pStyle w:val="Style26"/>
        <w:keepNext w:val="0"/>
        <w:keepLines w:val="0"/>
        <w:widowControl w:val="0"/>
        <w:numPr>
          <w:ilvl w:val="0"/>
          <w:numId w:val="37"/>
        </w:numPr>
        <w:shd w:val="clear" w:color="auto" w:fill="auto"/>
        <w:tabs>
          <w:tab w:pos="724" w:val="left"/>
        </w:tabs>
        <w:bidi w:val="0"/>
        <w:spacing w:before="0" w:after="0" w:line="502" w:lineRule="exact"/>
        <w:ind w:left="0" w:right="0" w:firstLine="380"/>
        <w:jc w:val="left"/>
      </w:pPr>
      <w:bookmarkStart w:id="987" w:name="bookmark987"/>
      <w:bookmarkEnd w:id="987"/>
      <w:r>
        <w:rPr>
          <w:color w:val="000000"/>
          <w:spacing w:val="0"/>
          <w:w w:val="100"/>
          <w:position w:val="0"/>
        </w:rPr>
        <w:t>采用新的财务报表格式</w:t>
      </w:r>
    </w:p>
    <w:p>
      <w:pPr>
        <w:pStyle w:val="Style26"/>
        <w:keepNext w:val="0"/>
        <w:keepLines w:val="0"/>
        <w:widowControl w:val="0"/>
        <w:shd w:val="clear" w:color="auto" w:fill="auto"/>
        <w:bidi w:val="0"/>
        <w:spacing w:before="0" w:after="0" w:line="502" w:lineRule="exact"/>
        <w:ind w:left="0" w:right="0" w:firstLine="380"/>
        <w:jc w:val="left"/>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18</w:t>
      </w:r>
      <w:r>
        <w:rPr>
          <w:color w:val="000000"/>
          <w:spacing w:val="0"/>
          <w:w w:val="100"/>
          <w:position w:val="0"/>
        </w:rPr>
        <w:t>日，财政部发布了《关于修订印发</w:t>
      </w:r>
      <w:r>
        <w:rPr>
          <w:rFonts w:ascii="Arial Narrow" w:eastAsia="Arial Narrow" w:hAnsi="Arial Narrow" w:cs="Arial Narrow"/>
          <w:color w:val="000000"/>
          <w:spacing w:val="0"/>
          <w:w w:val="100"/>
          <w:position w:val="0"/>
          <w:sz w:val="18"/>
          <w:szCs w:val="18"/>
        </w:rPr>
        <w:t>2018</w:t>
      </w:r>
      <w:r>
        <w:rPr>
          <w:color w:val="000000"/>
          <w:spacing w:val="0"/>
          <w:w w:val="100"/>
          <w:position w:val="0"/>
        </w:rPr>
        <w:t>年度合并财务报表格式的通知》（财会</w:t>
      </w:r>
      <w:r>
        <w:rPr>
          <w:rFonts w:ascii="Arial Narrow" w:eastAsia="Arial Narrow" w:hAnsi="Arial Narrow" w:cs="Arial Narrow"/>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2019]1</w:t>
      </w:r>
      <w:r>
        <w:rPr>
          <w:color w:val="000000"/>
          <w:spacing w:val="0"/>
          <w:w w:val="100"/>
          <w:position w:val="0"/>
        </w:rPr>
        <w:t>号）；</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4</w:t>
      </w:r>
      <w:r>
        <w:rPr>
          <w:color w:val="000000"/>
          <w:spacing w:val="0"/>
          <w:w w:val="100"/>
          <w:position w:val="0"/>
        </w:rPr>
        <w:t>月</w:t>
      </w:r>
      <w:r>
        <w:rPr>
          <w:rFonts w:ascii="Arial Narrow" w:eastAsia="Arial Narrow" w:hAnsi="Arial Narrow" w:cs="Arial Narrow"/>
          <w:color w:val="000000"/>
          <w:spacing w:val="0"/>
          <w:w w:val="100"/>
          <w:position w:val="0"/>
          <w:sz w:val="18"/>
          <w:szCs w:val="18"/>
        </w:rPr>
        <w:t xml:space="preserve">30 </w:t>
      </w:r>
      <w:r>
        <w:rPr>
          <w:color w:val="000000"/>
          <w:spacing w:val="0"/>
          <w:w w:val="100"/>
          <w:position w:val="0"/>
        </w:rPr>
        <w:t>日，财政部发布了《关于修订印发</w:t>
      </w:r>
      <w:r>
        <w:rPr>
          <w:rFonts w:ascii="Arial Narrow" w:eastAsia="Arial Narrow" w:hAnsi="Arial Narrow" w:cs="Arial Narrow"/>
          <w:color w:val="000000"/>
          <w:spacing w:val="0"/>
          <w:w w:val="100"/>
          <w:position w:val="0"/>
          <w:sz w:val="18"/>
          <w:szCs w:val="18"/>
        </w:rPr>
        <w:t>2019</w:t>
      </w:r>
      <w:r>
        <w:rPr>
          <w:color w:val="000000"/>
          <w:spacing w:val="0"/>
          <w:w w:val="100"/>
          <w:position w:val="0"/>
        </w:rPr>
        <w:t>年度一般企业财务报表格式的通知》（财会〔</w:t>
      </w:r>
      <w:r>
        <w:rPr>
          <w:rFonts w:ascii="Arial Narrow" w:eastAsia="Arial Narrow" w:hAnsi="Arial Narrow" w:cs="Arial Narrow"/>
          <w:color w:val="000000"/>
          <w:spacing w:val="0"/>
          <w:w w:val="100"/>
          <w:position w:val="0"/>
          <w:sz w:val="18"/>
          <w:szCs w:val="18"/>
        </w:rPr>
        <w:t>2019</w:t>
      </w:r>
      <w:r>
        <w:rPr>
          <w:color w:val="000000"/>
          <w:spacing w:val="0"/>
          <w:w w:val="100"/>
          <w:position w:val="0"/>
        </w:rPr>
        <w:t>〕</w:t>
      </w:r>
      <w:r>
        <w:rPr>
          <w:rFonts w:ascii="Arial Narrow" w:eastAsia="Arial Narrow" w:hAnsi="Arial Narrow" w:cs="Arial Narrow"/>
          <w:color w:val="000000"/>
          <w:spacing w:val="0"/>
          <w:w w:val="100"/>
          <w:position w:val="0"/>
          <w:sz w:val="18"/>
          <w:szCs w:val="18"/>
        </w:rPr>
        <w:t>6</w:t>
      </w:r>
      <w:r>
        <w:rPr>
          <w:color w:val="000000"/>
          <w:spacing w:val="0"/>
          <w:w w:val="100"/>
          <w:position w:val="0"/>
        </w:rPr>
        <w:t>号）。本公司</w:t>
      </w:r>
      <w:r>
        <w:rPr>
          <w:rFonts w:ascii="Arial Narrow" w:eastAsia="Arial Narrow" w:hAnsi="Arial Narrow" w:cs="Arial Narrow"/>
          <w:color w:val="000000"/>
          <w:spacing w:val="0"/>
          <w:w w:val="100"/>
          <w:position w:val="0"/>
          <w:sz w:val="18"/>
          <w:szCs w:val="18"/>
        </w:rPr>
        <w:t>2019</w:t>
      </w:r>
      <w:r>
        <w:rPr>
          <w:color w:val="000000"/>
          <w:spacing w:val="0"/>
          <w:w w:val="100"/>
          <w:position w:val="0"/>
        </w:rPr>
        <w:t>年属于执行 新金融工具准则，但未执行新收入准则和新租赁准则情形，资产负债表、利润表、现金流量表及股东权益变动表列报项目的 变化，主要是执新金融工具准则导致的变化，在以下执行新金融工具准则中反映。财会〔</w:t>
      </w:r>
      <w:r>
        <w:rPr>
          <w:rFonts w:ascii="Arial Narrow" w:eastAsia="Arial Narrow" w:hAnsi="Arial Narrow" w:cs="Arial Narrow"/>
          <w:color w:val="000000"/>
          <w:spacing w:val="0"/>
          <w:w w:val="100"/>
          <w:position w:val="0"/>
          <w:sz w:val="18"/>
          <w:szCs w:val="18"/>
        </w:rPr>
        <w:t>2019</w:t>
      </w:r>
      <w:r>
        <w:rPr>
          <w:color w:val="000000"/>
          <w:spacing w:val="0"/>
          <w:w w:val="100"/>
          <w:position w:val="0"/>
        </w:rPr>
        <w:t>〕</w:t>
      </w:r>
      <w:r>
        <w:rPr>
          <w:rFonts w:ascii="Arial Narrow" w:eastAsia="Arial Narrow" w:hAnsi="Arial Narrow" w:cs="Arial Narrow"/>
          <w:color w:val="000000"/>
          <w:spacing w:val="0"/>
          <w:w w:val="100"/>
          <w:position w:val="0"/>
          <w:sz w:val="18"/>
          <w:szCs w:val="18"/>
        </w:rPr>
        <w:t>6</w:t>
      </w:r>
      <w:r>
        <w:rPr>
          <w:color w:val="000000"/>
          <w:spacing w:val="0"/>
          <w:w w:val="100"/>
          <w:position w:val="0"/>
        </w:rPr>
        <w:t>号中还将“应收票据及应 收账款”拆分为“应收票据”、“应收账款”，将“应付票据及应付账款”拆分为“应付票据”及“应付账款”，分别列示。</w:t>
      </w:r>
    </w:p>
    <w:p>
      <w:pPr>
        <w:pStyle w:val="Style26"/>
        <w:keepNext w:val="0"/>
        <w:keepLines w:val="0"/>
        <w:widowControl w:val="0"/>
        <w:numPr>
          <w:ilvl w:val="0"/>
          <w:numId w:val="37"/>
        </w:numPr>
        <w:shd w:val="clear" w:color="auto" w:fill="auto"/>
        <w:bidi w:val="0"/>
        <w:spacing w:before="0" w:after="0" w:line="499" w:lineRule="exact"/>
        <w:ind w:left="0" w:right="0" w:firstLine="820"/>
        <w:jc w:val="both"/>
      </w:pPr>
      <w:bookmarkStart w:id="988" w:name="bookmark988"/>
      <w:bookmarkEnd w:id="988"/>
      <w:r>
        <w:rPr>
          <w:color w:val="000000"/>
          <w:spacing w:val="0"/>
          <w:w w:val="100"/>
          <w:position w:val="0"/>
        </w:rPr>
        <w:t>执行新金融工具准则</w:t>
      </w:r>
    </w:p>
    <w:p>
      <w:pPr>
        <w:pStyle w:val="Style26"/>
        <w:keepNext w:val="0"/>
        <w:keepLines w:val="0"/>
        <w:widowControl w:val="0"/>
        <w:shd w:val="clear" w:color="auto" w:fill="auto"/>
        <w:bidi w:val="0"/>
        <w:spacing w:before="0" w:after="0" w:line="506" w:lineRule="exact"/>
        <w:ind w:left="420" w:right="0" w:firstLine="400"/>
        <w:jc w:val="both"/>
      </w:pPr>
      <w:r>
        <w:rPr>
          <w:color w:val="000000"/>
          <w:spacing w:val="0"/>
          <w:w w:val="100"/>
          <w:position w:val="0"/>
        </w:rPr>
        <w:t>本公司于</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1</w:t>
      </w:r>
      <w:r>
        <w:rPr>
          <w:color w:val="000000"/>
          <w:spacing w:val="0"/>
          <w:w w:val="100"/>
          <w:position w:val="0"/>
        </w:rPr>
        <w:t>日起执行财政部于</w:t>
      </w:r>
      <w:r>
        <w:rPr>
          <w:rFonts w:ascii="Arial Narrow" w:eastAsia="Arial Narrow" w:hAnsi="Arial Narrow" w:cs="Arial Narrow"/>
          <w:color w:val="000000"/>
          <w:spacing w:val="0"/>
          <w:w w:val="100"/>
          <w:position w:val="0"/>
          <w:sz w:val="18"/>
          <w:szCs w:val="18"/>
        </w:rPr>
        <w:t>2017</w:t>
      </w:r>
      <w:r>
        <w:rPr>
          <w:color w:val="000000"/>
          <w:spacing w:val="0"/>
          <w:w w:val="100"/>
          <w:position w:val="0"/>
        </w:rPr>
        <w:t>年修订的《企业会计准则第</w:t>
      </w:r>
      <w:r>
        <w:rPr>
          <w:rFonts w:ascii="Arial Narrow" w:eastAsia="Arial Narrow" w:hAnsi="Arial Narrow" w:cs="Arial Narrow"/>
          <w:color w:val="000000"/>
          <w:spacing w:val="0"/>
          <w:w w:val="100"/>
          <w:position w:val="0"/>
          <w:sz w:val="18"/>
          <w:szCs w:val="18"/>
        </w:rPr>
        <w:t>22</w:t>
      </w:r>
      <w:r>
        <w:rPr>
          <w:color w:val="000000"/>
          <w:spacing w:val="0"/>
          <w:w w:val="100"/>
          <w:position w:val="0"/>
        </w:rPr>
        <w:t>号</w:t>
      </w:r>
      <w:r>
        <w:rPr>
          <w:color w:val="000000"/>
          <w:spacing w:val="0"/>
          <w:w w:val="100"/>
          <w:position w:val="0"/>
          <w:sz w:val="22"/>
          <w:szCs w:val="22"/>
        </w:rPr>
        <w:t>一</w:t>
      </w:r>
      <w:r>
        <w:rPr>
          <w:color w:val="000000"/>
          <w:spacing w:val="0"/>
          <w:w w:val="100"/>
          <w:position w:val="0"/>
        </w:rPr>
        <w:t>金融工具确认和计量》、《企业会计准 则第</w:t>
      </w:r>
      <w:r>
        <w:rPr>
          <w:rFonts w:ascii="Arial Narrow" w:eastAsia="Arial Narrow" w:hAnsi="Arial Narrow" w:cs="Arial Narrow"/>
          <w:color w:val="000000"/>
          <w:spacing w:val="0"/>
          <w:w w:val="100"/>
          <w:position w:val="0"/>
          <w:sz w:val="18"/>
          <w:szCs w:val="18"/>
        </w:rPr>
        <w:t>23</w:t>
      </w:r>
      <w:r>
        <w:rPr>
          <w:color w:val="000000"/>
          <w:spacing w:val="0"/>
          <w:w w:val="100"/>
          <w:position w:val="0"/>
        </w:rPr>
        <w:t>号</w:t>
      </w:r>
      <w:r>
        <w:rPr>
          <w:color w:val="000000"/>
          <w:spacing w:val="0"/>
          <w:w w:val="100"/>
          <w:position w:val="0"/>
          <w:sz w:val="22"/>
          <w:szCs w:val="22"/>
        </w:rPr>
        <w:t>一</w:t>
      </w:r>
      <w:r>
        <w:rPr>
          <w:color w:val="000000"/>
          <w:spacing w:val="0"/>
          <w:w w:val="100"/>
          <w:position w:val="0"/>
        </w:rPr>
        <w:t>金融资产转移》、《企业会计准则第</w:t>
      </w:r>
      <w:r>
        <w:rPr>
          <w:rFonts w:ascii="Arial Narrow" w:eastAsia="Arial Narrow" w:hAnsi="Arial Narrow" w:cs="Arial Narrow"/>
          <w:color w:val="000000"/>
          <w:spacing w:val="0"/>
          <w:w w:val="100"/>
          <w:position w:val="0"/>
          <w:sz w:val="18"/>
          <w:szCs w:val="18"/>
        </w:rPr>
        <w:t>24</w:t>
      </w:r>
      <w:r>
        <w:rPr>
          <w:color w:val="000000"/>
          <w:spacing w:val="0"/>
          <w:w w:val="100"/>
          <w:position w:val="0"/>
        </w:rPr>
        <w:t>号</w:t>
      </w:r>
      <w:r>
        <w:rPr>
          <w:color w:val="000000"/>
          <w:spacing w:val="0"/>
          <w:w w:val="100"/>
          <w:position w:val="0"/>
          <w:sz w:val="22"/>
          <w:szCs w:val="22"/>
        </w:rPr>
        <w:t>一</w:t>
      </w:r>
      <w:r>
        <w:rPr>
          <w:color w:val="000000"/>
          <w:spacing w:val="0"/>
          <w:w w:val="100"/>
          <w:position w:val="0"/>
        </w:rPr>
        <w:t>套期会计》和《企业会计准则第</w:t>
      </w:r>
      <w:r>
        <w:rPr>
          <w:rFonts w:ascii="Arial Narrow" w:eastAsia="Arial Narrow" w:hAnsi="Arial Narrow" w:cs="Arial Narrow"/>
          <w:color w:val="000000"/>
          <w:spacing w:val="0"/>
          <w:w w:val="100"/>
          <w:position w:val="0"/>
          <w:sz w:val="18"/>
          <w:szCs w:val="18"/>
        </w:rPr>
        <w:t>37</w:t>
      </w:r>
      <w:r>
        <w:rPr>
          <w:color w:val="000000"/>
          <w:spacing w:val="0"/>
          <w:w w:val="100"/>
          <w:position w:val="0"/>
        </w:rPr>
        <w:t>号</w:t>
      </w:r>
      <w:r>
        <w:rPr>
          <w:color w:val="000000"/>
          <w:spacing w:val="0"/>
          <w:w w:val="100"/>
          <w:position w:val="0"/>
          <w:sz w:val="22"/>
          <w:szCs w:val="22"/>
        </w:rPr>
        <w:t>一</w:t>
      </w:r>
      <w:r>
        <w:rPr>
          <w:color w:val="000000"/>
          <w:spacing w:val="0"/>
          <w:w w:val="100"/>
          <w:position w:val="0"/>
        </w:rPr>
        <w:t>金融工具列报》</w:t>
      </w:r>
      <w:r>
        <w:rPr>
          <w:color w:val="000000"/>
          <w:spacing w:val="0"/>
          <w:w w:val="100"/>
          <w:position w:val="0"/>
          <w:sz w:val="22"/>
          <w:szCs w:val="22"/>
        </w:rPr>
        <w:t>（</w:t>
      </w:r>
      <w:r>
        <w:rPr>
          <w:color w:val="000000"/>
          <w:spacing w:val="0"/>
          <w:w w:val="100"/>
          <w:position w:val="0"/>
        </w:rPr>
        <w:t>以下简称</w:t>
      </w:r>
      <w:r>
        <w:rPr>
          <w:rFonts w:ascii="Arial Narrow" w:eastAsia="Arial Narrow" w:hAnsi="Arial Narrow" w:cs="Arial Narrow"/>
          <w:color w:val="000000"/>
          <w:spacing w:val="0"/>
          <w:w w:val="100"/>
          <w:position w:val="0"/>
          <w:sz w:val="18"/>
          <w:szCs w:val="18"/>
        </w:rPr>
        <w:t>“</w:t>
      </w:r>
      <w:r>
        <w:rPr>
          <w:color w:val="000000"/>
          <w:spacing w:val="0"/>
          <w:w w:val="100"/>
          <w:position w:val="0"/>
        </w:rPr>
        <w:t>新 金融工具准则</w:t>
      </w:r>
      <w:r>
        <w:rPr>
          <w:rFonts w:ascii="Arial Narrow" w:eastAsia="Arial Narrow" w:hAnsi="Arial Narrow" w:cs="Arial Narrow"/>
          <w:color w:val="000000"/>
          <w:spacing w:val="0"/>
          <w:w w:val="100"/>
          <w:position w:val="0"/>
          <w:sz w:val="18"/>
          <w:szCs w:val="18"/>
        </w:rPr>
        <w:t>"</w:t>
      </w:r>
      <w:r>
        <w:rPr>
          <w:color w:val="000000"/>
          <w:spacing w:val="0"/>
          <w:w w:val="100"/>
          <w:position w:val="0"/>
        </w:rPr>
        <w:t>，修订前的金融工具准则简称</w:t>
      </w:r>
      <w:r>
        <w:rPr>
          <w:rFonts w:ascii="Arial Narrow" w:eastAsia="Arial Narrow" w:hAnsi="Arial Narrow" w:cs="Arial Narrow"/>
          <w:color w:val="000000"/>
          <w:spacing w:val="0"/>
          <w:w w:val="100"/>
          <w:position w:val="0"/>
          <w:sz w:val="18"/>
          <w:szCs w:val="18"/>
        </w:rPr>
        <w:t>“</w:t>
      </w:r>
      <w:r>
        <w:rPr>
          <w:color w:val="000000"/>
          <w:spacing w:val="0"/>
          <w:w w:val="100"/>
          <w:position w:val="0"/>
        </w:rPr>
        <w:t>原金融工具准则）</w:t>
      </w:r>
    </w:p>
    <w:p>
      <w:pPr>
        <w:pStyle w:val="Style26"/>
        <w:keepNext w:val="0"/>
        <w:keepLines w:val="0"/>
        <w:widowControl w:val="0"/>
        <w:shd w:val="clear" w:color="auto" w:fill="auto"/>
        <w:bidi w:val="0"/>
        <w:spacing w:before="0" w:after="0" w:line="498" w:lineRule="exact"/>
        <w:ind w:left="420" w:right="0" w:firstLine="400"/>
        <w:jc w:val="both"/>
      </w:pPr>
      <w:r>
        <w:rPr>
          <w:color w:val="000000"/>
          <w:spacing w:val="0"/>
          <w:w w:val="100"/>
          <w:position w:val="0"/>
        </w:rPr>
        <w:t>金融资产分类与计量方面，新金融工具准则要求金融资产基于合同现金流量特征及企业管理该等资产的业务模式分类为 以摊余成本计量的金融资产、以公允价值计量且其变动计入其他综合收益的金融资产和以公允价值计量且其变动计入当期损 益的金融资产三大类别。取消了贷款和应收款项、持有至到期投资和可供出售金融资产等原分类。权益工具投资一般分类为 以公允价值计量且其变动计入当期损益的金融资产，也允许企业将非交易性权益工具投资指定为以公允价值计量且其变动计 入其他综合收益的金融资产，但该指定不可撤销，且在处置时不得将原计入其他综合收益的累计公允价值变动额结转计入当 期损益。</w:t>
      </w:r>
    </w:p>
    <w:p>
      <w:pPr>
        <w:pStyle w:val="Style26"/>
        <w:keepNext w:val="0"/>
        <w:keepLines w:val="0"/>
        <w:widowControl w:val="0"/>
        <w:shd w:val="clear" w:color="auto" w:fill="auto"/>
        <w:bidi w:val="0"/>
        <w:spacing w:before="0" w:after="0" w:line="499" w:lineRule="exact"/>
        <w:ind w:left="420" w:right="0" w:firstLine="400"/>
        <w:jc w:val="both"/>
      </w:pPr>
      <w:r>
        <w:rPr>
          <w:color w:val="000000"/>
          <w:spacing w:val="0"/>
          <w:w w:val="100"/>
          <w:position w:val="0"/>
        </w:rPr>
        <w:t>金融资产减值方面，新金融工具准则有关减值的要求适用于以摊余成本计量以及分类为以公允价值计量且其变动计入其 他综合收益的债务工具投资、租赁应收款以及未提用的贷款承诺和财务担保合同等。新金融工具准则要求采用预期信用损失 模型以替代原先的已发生信用损失模型。</w:t>
      </w:r>
    </w:p>
    <w:p>
      <w:pPr>
        <w:pStyle w:val="Style26"/>
        <w:keepNext w:val="0"/>
        <w:keepLines w:val="0"/>
        <w:widowControl w:val="0"/>
        <w:shd w:val="clear" w:color="auto" w:fill="auto"/>
        <w:bidi w:val="0"/>
        <w:spacing w:before="0" w:after="0" w:line="502" w:lineRule="exact"/>
        <w:ind w:left="420" w:right="0" w:firstLine="400"/>
        <w:jc w:val="both"/>
      </w:pP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1</w:t>
      </w:r>
      <w:r>
        <w:rPr>
          <w:color w:val="000000"/>
          <w:spacing w:val="0"/>
          <w:w w:val="100"/>
          <w:position w:val="0"/>
        </w:rPr>
        <w:t>日之前的金融工具确认和计量与新金融工具准则要求不一致的，本公司按照新金融工具准则的要求进行衔 接调整。涉及前期比较财务报表数据与新金融工具准则要求不一致的，本公司不进行调整。金融工具原账面价值和在新金融 工具准则施行日的新账面价值之间的差额，计入</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1</w:t>
      </w:r>
      <w:r>
        <w:rPr>
          <w:color w:val="000000"/>
          <w:spacing w:val="0"/>
          <w:w w:val="100"/>
          <w:position w:val="0"/>
        </w:rPr>
        <w:t>日的留存收益或其他综合收益。</w:t>
      </w:r>
    </w:p>
    <w:p>
      <w:pPr>
        <w:pStyle w:val="Style26"/>
        <w:keepNext w:val="0"/>
        <w:keepLines w:val="0"/>
        <w:widowControl w:val="0"/>
        <w:shd w:val="clear" w:color="auto" w:fill="auto"/>
        <w:bidi w:val="0"/>
        <w:spacing w:before="0" w:after="60" w:line="499" w:lineRule="exact"/>
        <w:ind w:left="0" w:right="0" w:firstLine="820"/>
        <w:jc w:val="both"/>
      </w:pPr>
      <w:r>
        <w:rPr>
          <w:rFonts w:ascii="Arial Narrow" w:eastAsia="Arial Narrow" w:hAnsi="Arial Narrow" w:cs="Arial Narrow"/>
          <w:color w:val="000000"/>
          <w:spacing w:val="0"/>
          <w:w w:val="100"/>
          <w:position w:val="0"/>
          <w:sz w:val="18"/>
          <w:szCs w:val="18"/>
        </w:rPr>
        <w:t>A</w:t>
      </w:r>
      <w:r>
        <w:rPr>
          <w:color w:val="000000"/>
          <w:spacing w:val="0"/>
          <w:w w:val="100"/>
          <w:position w:val="0"/>
        </w:rPr>
        <w:t>.</w:t>
      </w:r>
      <w:r>
        <w:rPr>
          <w:color w:val="000000"/>
          <w:spacing w:val="0"/>
          <w:w w:val="100"/>
          <w:position w:val="0"/>
        </w:rPr>
        <w:t>新金融工具准则首次执行日，分类与计量的改变对本公司财务报表的影响：</w:t>
      </w:r>
    </w:p>
    <w:tbl>
      <w:tblPr>
        <w:tblOverlap w:val="never"/>
        <w:jc w:val="center"/>
        <w:tblLayout w:type="fixed"/>
      </w:tblPr>
      <w:tblGrid>
        <w:gridCol w:w="3317"/>
        <w:gridCol w:w="2928"/>
        <w:gridCol w:w="2765"/>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报表项目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b/>
                <w:bCs/>
                <w:color w:val="000000"/>
                <w:spacing w:val="0"/>
                <w:w w:val="100"/>
                <w:position w:val="0"/>
                <w:sz w:val="20"/>
                <w:szCs w:val="20"/>
              </w:rPr>
              <w:t>2018</w:t>
            </w:r>
            <w:r>
              <w:rPr>
                <w:rFonts w:ascii="SimSun" w:eastAsia="SimSun" w:hAnsi="SimSun" w:cs="SimSun"/>
                <w:b/>
                <w:bCs/>
                <w:color w:val="000000"/>
                <w:spacing w:val="0"/>
                <w:w w:val="100"/>
                <w:position w:val="0"/>
                <w:sz w:val="20"/>
                <w:szCs w:val="20"/>
              </w:rPr>
              <w:t>年</w:t>
            </w:r>
            <w:r>
              <w:rPr>
                <w:rFonts w:ascii="Arial Narrow" w:eastAsia="Arial Narrow" w:hAnsi="Arial Narrow" w:cs="Arial Narrow"/>
                <w:b/>
                <w:bCs/>
                <w:color w:val="000000"/>
                <w:spacing w:val="0"/>
                <w:w w:val="100"/>
                <w:position w:val="0"/>
                <w:sz w:val="20"/>
                <w:szCs w:val="20"/>
              </w:rPr>
              <w:t>12</w:t>
            </w:r>
            <w:r>
              <w:rPr>
                <w:rFonts w:ascii="SimSun" w:eastAsia="SimSun" w:hAnsi="SimSun" w:cs="SimSun"/>
                <w:b/>
                <w:bCs/>
                <w:color w:val="000000"/>
                <w:spacing w:val="0"/>
                <w:w w:val="100"/>
                <w:position w:val="0"/>
                <w:sz w:val="20"/>
                <w:szCs w:val="20"/>
              </w:rPr>
              <w:t>月</w:t>
            </w:r>
            <w:r>
              <w:rPr>
                <w:rFonts w:ascii="Arial Narrow" w:eastAsia="Arial Narrow" w:hAnsi="Arial Narrow" w:cs="Arial Narrow"/>
                <w:b/>
                <w:bCs/>
                <w:color w:val="000000"/>
                <w:spacing w:val="0"/>
                <w:w w:val="100"/>
                <w:position w:val="0"/>
                <w:sz w:val="20"/>
                <w:szCs w:val="20"/>
              </w:rPr>
              <w:t>31</w:t>
            </w:r>
            <w:r>
              <w:rPr>
                <w:rFonts w:ascii="SimSun" w:eastAsia="SimSun" w:hAnsi="SimSun" w:cs="SimSun"/>
                <w:b/>
                <w:bCs/>
                <w:color w:val="000000"/>
                <w:spacing w:val="0"/>
                <w:w w:val="100"/>
                <w:position w:val="0"/>
                <w:sz w:val="20"/>
                <w:szCs w:val="20"/>
              </w:rPr>
              <w:t>日账面价值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b/>
                <w:bCs/>
                <w:color w:val="000000"/>
                <w:spacing w:val="0"/>
                <w:w w:val="100"/>
                <w:position w:val="0"/>
                <w:sz w:val="20"/>
                <w:szCs w:val="20"/>
              </w:rPr>
              <w:t>2019</w:t>
            </w:r>
            <w:r>
              <w:rPr>
                <w:rFonts w:ascii="SimSun" w:eastAsia="SimSun" w:hAnsi="SimSun" w:cs="SimSun"/>
                <w:b/>
                <w:bCs/>
                <w:color w:val="000000"/>
                <w:spacing w:val="0"/>
                <w:w w:val="100"/>
                <w:position w:val="0"/>
                <w:sz w:val="20"/>
                <w:szCs w:val="20"/>
              </w:rPr>
              <w:t>年</w:t>
            </w:r>
            <w:r>
              <w:rPr>
                <w:rFonts w:ascii="Arial Narrow" w:eastAsia="Arial Narrow" w:hAnsi="Arial Narrow" w:cs="Arial Narrow"/>
                <w:b/>
                <w:bCs/>
                <w:color w:val="000000"/>
                <w:spacing w:val="0"/>
                <w:w w:val="100"/>
                <w:position w:val="0"/>
                <w:sz w:val="20"/>
                <w:szCs w:val="20"/>
              </w:rPr>
              <w:t>1</w:t>
            </w:r>
            <w:r>
              <w:rPr>
                <w:rFonts w:ascii="SimSun" w:eastAsia="SimSun" w:hAnsi="SimSun" w:cs="SimSun"/>
                <w:b/>
                <w:bCs/>
                <w:color w:val="000000"/>
                <w:spacing w:val="0"/>
                <w:w w:val="100"/>
                <w:position w:val="0"/>
                <w:sz w:val="20"/>
                <w:szCs w:val="20"/>
              </w:rPr>
              <w:t>月</w:t>
            </w:r>
            <w:r>
              <w:rPr>
                <w:rFonts w:ascii="Arial Narrow" w:eastAsia="Arial Narrow" w:hAnsi="Arial Narrow" w:cs="Arial Narrow"/>
                <w:b/>
                <w:bCs/>
                <w:color w:val="000000"/>
                <w:spacing w:val="0"/>
                <w:w w:val="100"/>
                <w:position w:val="0"/>
                <w:sz w:val="20"/>
                <w:szCs w:val="20"/>
              </w:rPr>
              <w:t>1</w:t>
            </w:r>
            <w:r>
              <w:rPr>
                <w:rFonts w:ascii="SimSun" w:eastAsia="SimSun" w:hAnsi="SimSun" w:cs="SimSun"/>
                <w:b/>
                <w:bCs/>
                <w:color w:val="000000"/>
                <w:spacing w:val="0"/>
                <w:w w:val="100"/>
                <w:position w:val="0"/>
                <w:sz w:val="20"/>
                <w:szCs w:val="20"/>
              </w:rPr>
              <w:t>日账面价值</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其中：货币资金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7,480,672,414.45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7,490,951,851.97</w:t>
            </w:r>
          </w:p>
        </w:tc>
      </w:tr>
      <w:tr>
        <w:trPr>
          <w:trHeight w:val="70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520" w:right="0" w:firstLine="20"/>
              <w:jc w:val="left"/>
              <w:rPr>
                <w:sz w:val="20"/>
                <w:szCs w:val="20"/>
              </w:rPr>
            </w:pPr>
            <w:r>
              <w:rPr>
                <w:rFonts w:ascii="SimSun" w:eastAsia="SimSun" w:hAnsi="SimSun" w:cs="SimSun"/>
                <w:color w:val="000000"/>
                <w:spacing w:val="0"/>
                <w:w w:val="100"/>
                <w:position w:val="0"/>
                <w:sz w:val="20"/>
                <w:szCs w:val="20"/>
              </w:rPr>
              <w:t>以公允价值计量且其变动计 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309,904,124.28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305,070,366.59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3,297,595,292.91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3,287,424,527.68</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1,081,260.40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1,019,210,727.88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1,005,700,041.64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其他流动资产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17"/>
        <w:gridCol w:w="2928"/>
        <w:gridCol w:w="2765"/>
      </w:tblGrid>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可供出售金融资产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19,765,357.37</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15,394,000.00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4,371,357.37</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134,567,336.69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135,053,776.62</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其中：短期借款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2,724,536,191.39</w:t>
            </w:r>
          </w:p>
        </w:tc>
      </w:tr>
      <w:tr>
        <w:trPr>
          <w:trHeight w:val="70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520" w:right="0" w:firstLine="20"/>
              <w:jc w:val="left"/>
              <w:rPr>
                <w:sz w:val="20"/>
                <w:szCs w:val="20"/>
              </w:rPr>
            </w:pPr>
            <w:r>
              <w:rPr>
                <w:rFonts w:ascii="SimSun" w:eastAsia="SimSun" w:hAnsi="SimSun" w:cs="SimSun"/>
                <w:color w:val="000000"/>
                <w:spacing w:val="0"/>
                <w:w w:val="100"/>
                <w:position w:val="0"/>
                <w:sz w:val="20"/>
                <w:szCs w:val="20"/>
              </w:rPr>
              <w:t>以公允价值计量且其变动计 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20"/>
                <w:szCs w:val="20"/>
              </w:rPr>
            </w:pPr>
            <w:r>
              <w:rPr>
                <w:rFonts w:ascii="SimSun" w:eastAsia="SimSun" w:hAnsi="SimSun" w:cs="SimSun"/>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20"/>
                <w:szCs w:val="20"/>
              </w:rPr>
            </w:pPr>
            <w:r>
              <w:rPr>
                <w:rFonts w:ascii="SimSun" w:eastAsia="SimSun" w:hAnsi="SimSun" w:cs="SimSun"/>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652,114,649.81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503,354,224.78</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20"/>
                <w:szCs w:val="20"/>
              </w:rPr>
            </w:pPr>
            <w:r>
              <w:rPr>
                <w:rFonts w:ascii="SimSun" w:eastAsia="SimSun" w:hAnsi="SimSun" w:cs="SimSun"/>
                <w:color w:val="000000"/>
                <w:spacing w:val="0"/>
                <w:w w:val="100"/>
                <w:position w:val="0"/>
                <w:sz w:val="20"/>
                <w:szCs w:val="20"/>
              </w:rPr>
              <w:t>一年内到期的非流动负债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2,425,511,455.98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2,559,735,689.62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20"/>
                <w:szCs w:val="20"/>
              </w:rPr>
            </w:pPr>
            <w:r>
              <w:rPr>
                <w:rFonts w:ascii="SimSun" w:eastAsia="SimSun" w:hAnsi="SimSun" w:cs="SimSun"/>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20"/>
                <w:szCs w:val="20"/>
              </w:rPr>
            </w:pPr>
            <w:r>
              <w:rPr>
                <w:rFonts w:ascii="SimSun" w:eastAsia="SimSun" w:hAnsi="SimSun" w:cs="SimSun"/>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20"/>
                <w:szCs w:val="20"/>
              </w:rPr>
            </w:pPr>
            <w:r>
              <w:rPr>
                <w:rFonts w:ascii="SimSun" w:eastAsia="SimSun" w:hAnsi="SimSun" w:cs="SimSun"/>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216,123,282.18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216,091,994.43</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20"/>
                <w:szCs w:val="20"/>
              </w:rPr>
            </w:pPr>
            <w:r>
              <w:rPr>
                <w:rFonts w:ascii="SimSun" w:eastAsia="SimSun" w:hAnsi="SimSun" w:cs="SimSun"/>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2,114,893,635.75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2,099,723,427.51</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20"/>
                <w:szCs w:val="20"/>
              </w:rPr>
            </w:pPr>
            <w:r>
              <w:rPr>
                <w:rFonts w:ascii="SimSun" w:eastAsia="SimSun" w:hAnsi="SimSun" w:cs="SimSun"/>
                <w:color w:val="000000"/>
                <w:spacing w:val="0"/>
                <w:w w:val="100"/>
                <w:position w:val="0"/>
                <w:sz w:val="20"/>
                <w:szCs w:val="20"/>
              </w:rPr>
              <w:t>少数股东权益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70,739,610.80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70,732,108.40</w:t>
            </w:r>
          </w:p>
        </w:tc>
      </w:tr>
    </w:tbl>
    <w:p>
      <w:pPr>
        <w:pStyle w:val="Style24"/>
        <w:keepNext w:val="0"/>
        <w:keepLines w:val="0"/>
        <w:widowControl w:val="0"/>
        <w:shd w:val="clear" w:color="auto" w:fill="auto"/>
        <w:bidi w:val="0"/>
        <w:spacing w:before="0" w:after="0" w:line="240" w:lineRule="auto"/>
        <w:ind w:left="34" w:right="0" w:firstLine="0"/>
        <w:jc w:val="left"/>
        <w:rPr>
          <w:sz w:val="18"/>
          <w:szCs w:val="18"/>
        </w:rPr>
      </w:pPr>
      <w:r>
        <w:rPr>
          <w:rFonts w:ascii="Arial Narrow" w:eastAsia="Arial Narrow" w:hAnsi="Arial Narrow" w:cs="Arial Narrow"/>
          <w:color w:val="000000"/>
          <w:spacing w:val="0"/>
          <w:w w:val="100"/>
          <w:position w:val="0"/>
          <w:sz w:val="18"/>
          <w:szCs w:val="18"/>
        </w:rPr>
        <w:t>2019</w:t>
      </w:r>
      <w:r>
        <w:rPr>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日首次采用新金融工具准则进行调整后，本公司减少盈余公积</w:t>
      </w:r>
      <w:r>
        <w:rPr>
          <w:rFonts w:ascii="Arial Narrow" w:eastAsia="Arial Narrow" w:hAnsi="Arial Narrow" w:cs="Arial Narrow"/>
          <w:color w:val="000000"/>
          <w:spacing w:val="0"/>
          <w:w w:val="100"/>
          <w:position w:val="0"/>
          <w:sz w:val="18"/>
          <w:szCs w:val="18"/>
        </w:rPr>
        <w:t>31,287.75</w:t>
      </w:r>
      <w:r>
        <w:rPr>
          <w:color w:val="000000"/>
          <w:spacing w:val="0"/>
          <w:w w:val="100"/>
          <w:position w:val="0"/>
          <w:sz w:val="17"/>
          <w:szCs w:val="17"/>
        </w:rPr>
        <w:t>元，减少未分配利润</w:t>
      </w:r>
      <w:r>
        <w:rPr>
          <w:rFonts w:ascii="Arial Narrow" w:eastAsia="Arial Narrow" w:hAnsi="Arial Narrow" w:cs="Arial Narrow"/>
          <w:color w:val="000000"/>
          <w:spacing w:val="0"/>
          <w:w w:val="100"/>
          <w:position w:val="0"/>
          <w:sz w:val="18"/>
          <w:szCs w:val="18"/>
        </w:rPr>
        <w:t>15,170,208.24</w:t>
      </w:r>
    </w:p>
    <w:p>
      <w:pPr>
        <w:widowControl w:val="0"/>
        <w:spacing w:after="279" w:line="1" w:lineRule="exact"/>
      </w:pPr>
    </w:p>
    <w:p>
      <w:pPr>
        <w:pStyle w:val="Style26"/>
        <w:keepNext w:val="0"/>
        <w:keepLines w:val="0"/>
        <w:widowControl w:val="0"/>
        <w:shd w:val="clear" w:color="auto" w:fill="auto"/>
        <w:bidi w:val="0"/>
        <w:spacing w:before="0" w:after="320" w:line="240" w:lineRule="auto"/>
        <w:ind w:left="0" w:right="0" w:firstLine="420"/>
        <w:jc w:val="left"/>
      </w:pPr>
      <w:r>
        <w:rPr>
          <w:color w:val="000000"/>
          <w:spacing w:val="0"/>
          <w:w w:val="100"/>
          <w:position w:val="0"/>
        </w:rPr>
        <w:t>元，减少归属于母公司的股东权益</w:t>
      </w:r>
      <w:r>
        <w:rPr>
          <w:rFonts w:ascii="Arial Narrow" w:eastAsia="Arial Narrow" w:hAnsi="Arial Narrow" w:cs="Arial Narrow"/>
          <w:color w:val="000000"/>
          <w:spacing w:val="0"/>
          <w:w w:val="100"/>
          <w:position w:val="0"/>
          <w:sz w:val="18"/>
          <w:szCs w:val="18"/>
        </w:rPr>
        <w:t>15,201,495.99</w:t>
      </w:r>
      <w:r>
        <w:rPr>
          <w:color w:val="000000"/>
          <w:spacing w:val="0"/>
          <w:w w:val="100"/>
          <w:position w:val="0"/>
        </w:rPr>
        <w:t>元，减少归属于母公司的净资产</w:t>
      </w:r>
      <w:r>
        <w:rPr>
          <w:rFonts w:ascii="Arial Narrow" w:eastAsia="Arial Narrow" w:hAnsi="Arial Narrow" w:cs="Arial Narrow"/>
          <w:color w:val="000000"/>
          <w:spacing w:val="0"/>
          <w:w w:val="100"/>
          <w:position w:val="0"/>
          <w:sz w:val="18"/>
          <w:szCs w:val="18"/>
        </w:rPr>
        <w:t>15,201,495.99</w:t>
      </w:r>
      <w:r>
        <w:rPr>
          <w:color w:val="000000"/>
          <w:spacing w:val="0"/>
          <w:w w:val="100"/>
          <w:position w:val="0"/>
        </w:rPr>
        <w:t>元。</w:t>
      </w:r>
    </w:p>
    <w:p>
      <w:pPr>
        <w:pStyle w:val="Style26"/>
        <w:keepNext w:val="0"/>
        <w:keepLines w:val="0"/>
        <w:widowControl w:val="0"/>
        <w:shd w:val="clear" w:color="auto" w:fill="auto"/>
        <w:bidi w:val="0"/>
        <w:spacing w:before="0" w:after="280" w:line="240" w:lineRule="auto"/>
        <w:ind w:left="0" w:right="0" w:firstLine="820"/>
        <w:jc w:val="left"/>
      </w:pPr>
      <w:r>
        <w:rPr>
          <w:rFonts w:ascii="Arial Narrow" w:eastAsia="Arial Narrow" w:hAnsi="Arial Narrow" w:cs="Arial Narrow"/>
          <w:color w:val="000000"/>
          <w:spacing w:val="0"/>
          <w:w w:val="100"/>
          <w:position w:val="0"/>
          <w:sz w:val="18"/>
          <w:szCs w:val="18"/>
        </w:rPr>
        <w:t>B.</w:t>
      </w:r>
      <w:r>
        <w:rPr>
          <w:color w:val="000000"/>
          <w:spacing w:val="0"/>
          <w:w w:val="100"/>
          <w:position w:val="0"/>
        </w:rPr>
        <w:t>新金融工具准则首次执行日，分类与计量改变对上述金融资产项目账面价值的影响：（此处，对</w:t>
      </w:r>
      <w:r>
        <w:rPr>
          <w:rFonts w:ascii="Arial Narrow" w:eastAsia="Arial Narrow" w:hAnsi="Arial Narrow" w:cs="Arial Narrow"/>
          <w:color w:val="000000"/>
          <w:spacing w:val="0"/>
          <w:w w:val="100"/>
          <w:position w:val="0"/>
          <w:sz w:val="18"/>
          <w:szCs w:val="18"/>
        </w:rPr>
        <w:t>A</w:t>
      </w:r>
      <w:r>
        <w:rPr>
          <w:color w:val="000000"/>
          <w:spacing w:val="0"/>
          <w:w w:val="100"/>
          <w:position w:val="0"/>
        </w:rPr>
        <w:t>表中受影响的金融</w:t>
      </w:r>
    </w:p>
    <w:p>
      <w:pPr>
        <w:pStyle w:val="Style24"/>
        <w:keepNext w:val="0"/>
        <w:keepLines w:val="0"/>
        <w:widowControl w:val="0"/>
        <w:shd w:val="clear" w:color="auto" w:fill="auto"/>
        <w:bidi w:val="0"/>
        <w:spacing w:before="0" w:after="140" w:line="240" w:lineRule="auto"/>
        <w:ind w:left="456" w:right="0" w:firstLine="0"/>
        <w:jc w:val="left"/>
      </w:pPr>
      <w:r>
        <w:rPr>
          <w:color w:val="000000"/>
          <w:spacing w:val="0"/>
          <w:w w:val="100"/>
          <w:position w:val="0"/>
        </w:rPr>
        <w:t>资产项目的调整情况逐一进行描述。以下为对其他债权投资）</w:t>
      </w:r>
    </w:p>
    <w:p>
      <w:pPr>
        <w:pStyle w:val="Style24"/>
        <w:keepNext w:val="0"/>
        <w:keepLines w:val="0"/>
        <w:widowControl w:val="0"/>
        <w:shd w:val="clear" w:color="auto" w:fill="auto"/>
        <w:bidi w:val="0"/>
        <w:spacing w:before="0" w:after="0" w:line="240" w:lineRule="auto"/>
        <w:ind w:left="456"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a</w:t>
      </w:r>
      <w:r>
        <w:rPr>
          <w:color w:val="000000"/>
          <w:spacing w:val="0"/>
          <w:w w:val="100"/>
          <w:position w:val="0"/>
        </w:rPr>
        <w:t>）</w:t>
      </w:r>
      <w:r>
        <w:rPr>
          <w:color w:val="000000"/>
          <w:spacing w:val="0"/>
          <w:w w:val="100"/>
          <w:position w:val="0"/>
        </w:rPr>
        <w:t>可供出售金融资产</w:t>
      </w:r>
    </w:p>
    <w:tbl>
      <w:tblPr>
        <w:tblOverlap w:val="never"/>
        <w:jc w:val="center"/>
        <w:tblLayout w:type="fixed"/>
      </w:tblPr>
      <w:tblGrid>
        <w:gridCol w:w="2909"/>
        <w:gridCol w:w="1757"/>
        <w:gridCol w:w="1464"/>
        <w:gridCol w:w="1608"/>
        <w:gridCol w:w="1920"/>
      </w:tblGrid>
      <w:tr>
        <w:trPr>
          <w:trHeight w:val="81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w:t>
            </w:r>
            <w:r>
              <w:rPr>
                <w:rFonts w:ascii="Arial Narrow" w:eastAsia="Arial Narrow" w:hAnsi="Arial Narrow" w:cs="Arial Narrow"/>
                <w:b/>
                <w:bCs/>
                <w:color w:val="000000"/>
                <w:spacing w:val="0"/>
                <w:w w:val="100"/>
                <w:position w:val="0"/>
                <w:sz w:val="18"/>
                <w:szCs w:val="18"/>
              </w:rPr>
              <w:t>12</w:t>
            </w:r>
            <w:r>
              <w:rPr>
                <w:rFonts w:ascii="SimSun" w:eastAsia="SimSun" w:hAnsi="SimSun" w:cs="SimSun"/>
                <w:b/>
                <w:bCs/>
                <w:color w:val="000000"/>
                <w:spacing w:val="0"/>
                <w:w w:val="100"/>
                <w:position w:val="0"/>
                <w:sz w:val="17"/>
                <w:szCs w:val="17"/>
              </w:rPr>
              <w:t>月</w:t>
            </w:r>
            <w:r>
              <w:rPr>
                <w:rFonts w:ascii="Arial Narrow" w:eastAsia="Arial Narrow" w:hAnsi="Arial Narrow" w:cs="Arial Narrow"/>
                <w:b/>
                <w:bCs/>
                <w:color w:val="000000"/>
                <w:spacing w:val="0"/>
                <w:w w:val="100"/>
                <w:position w:val="0"/>
                <w:sz w:val="18"/>
                <w:szCs w:val="18"/>
              </w:rPr>
              <w:t>31</w:t>
            </w:r>
            <w:r>
              <w:rPr>
                <w:rFonts w:ascii="SimSun" w:eastAsia="SimSun" w:hAnsi="SimSun" w:cs="SimSun"/>
                <w:b/>
                <w:bCs/>
                <w:color w:val="000000"/>
                <w:spacing w:val="0"/>
                <w:w w:val="100"/>
                <w:position w:val="0"/>
                <w:sz w:val="17"/>
                <w:szCs w:val="17"/>
              </w:rPr>
              <w:t>日账面 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重分类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重新计量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6" w:lineRule="exact"/>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w:t>
            </w:r>
            <w:r>
              <w:rPr>
                <w:rFonts w:ascii="Arial Narrow" w:eastAsia="Arial Narrow" w:hAnsi="Arial Narrow" w:cs="Arial Narrow"/>
                <w:b/>
                <w:bCs/>
                <w:color w:val="000000"/>
                <w:spacing w:val="0"/>
                <w:w w:val="100"/>
                <w:position w:val="0"/>
                <w:sz w:val="18"/>
                <w:szCs w:val="18"/>
              </w:rPr>
              <w:t>1</w:t>
            </w:r>
            <w:r>
              <w:rPr>
                <w:rFonts w:ascii="SimSun" w:eastAsia="SimSun" w:hAnsi="SimSun" w:cs="SimSun"/>
                <w:b/>
                <w:bCs/>
                <w:color w:val="000000"/>
                <w:spacing w:val="0"/>
                <w:w w:val="100"/>
                <w:position w:val="0"/>
                <w:sz w:val="17"/>
                <w:szCs w:val="17"/>
              </w:rPr>
              <w:t>月</w:t>
            </w:r>
            <w:r>
              <w:rPr>
                <w:rFonts w:ascii="Arial Narrow" w:eastAsia="Arial Narrow" w:hAnsi="Arial Narrow" w:cs="Arial Narrow"/>
                <w:b/>
                <w:bCs/>
                <w:color w:val="000000"/>
                <w:spacing w:val="0"/>
                <w:w w:val="100"/>
                <w:position w:val="0"/>
                <w:sz w:val="18"/>
                <w:szCs w:val="18"/>
              </w:rPr>
              <w:t>1</w:t>
            </w:r>
            <w:r>
              <w:rPr>
                <w:rFonts w:ascii="SimSun" w:eastAsia="SimSun" w:hAnsi="SimSun" w:cs="SimSun"/>
                <w:b/>
                <w:bCs/>
                <w:color w:val="000000"/>
                <w:spacing w:val="0"/>
                <w:w w:val="100"/>
                <w:position w:val="0"/>
                <w:sz w:val="17"/>
                <w:szCs w:val="17"/>
              </w:rPr>
              <w:t>日账面价 值</w:t>
            </w:r>
          </w:p>
        </w:tc>
      </w:tr>
      <w:tr>
        <w:trPr>
          <w:trHeight w:val="42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19,765,357.37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转出至交易性金融资产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转出至债权投资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15,394,000.00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15,394,000.00</w:t>
            </w:r>
          </w:p>
        </w:tc>
      </w:tr>
    </w:tbl>
    <w:p>
      <w:pPr>
        <w:widowControl w:val="0"/>
        <w:spacing w:line="1" w:lineRule="exact"/>
      </w:pPr>
    </w:p>
    <w:tbl>
      <w:tblPr>
        <w:tblOverlap w:val="never"/>
        <w:jc w:val="center"/>
        <w:tblLayout w:type="fixed"/>
      </w:tblPr>
      <w:tblGrid>
        <w:gridCol w:w="2914"/>
        <w:gridCol w:w="1752"/>
        <w:gridCol w:w="1469"/>
        <w:gridCol w:w="1603"/>
        <w:gridCol w:w="1920"/>
      </w:tblGrid>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转出至其他非流动金融负债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转出至其他债权投资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转出至其他权益工具投资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4,371,357.37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4,371,357.37</w:t>
            </w:r>
          </w:p>
        </w:tc>
      </w:tr>
    </w:tbl>
    <w:p>
      <w:pPr>
        <w:widowControl w:val="0"/>
        <w:spacing w:after="23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278" w:right="0" w:firstLine="0"/>
        <w:jc w:val="left"/>
      </w:pPr>
      <w:r>
        <w:rPr>
          <w:rFonts w:ascii="Arial Narrow" w:eastAsia="Arial Narrow" w:hAnsi="Arial Narrow" w:cs="Arial Narrow"/>
          <w:color w:val="000000"/>
          <w:spacing w:val="0"/>
          <w:w w:val="100"/>
          <w:position w:val="0"/>
          <w:sz w:val="18"/>
          <w:szCs w:val="18"/>
        </w:rPr>
        <w:t>C.</w:t>
      </w:r>
      <w:r>
        <w:rPr>
          <w:color w:val="000000"/>
          <w:spacing w:val="0"/>
          <w:w w:val="100"/>
          <w:position w:val="0"/>
        </w:rPr>
        <w:t>新金融工具准则首次执行日，分类与计量的改变对金融资产减值准备的影响:</w:t>
      </w:r>
    </w:p>
    <w:tbl>
      <w:tblPr>
        <w:tblOverlap w:val="never"/>
        <w:jc w:val="center"/>
        <w:tblLayout w:type="fixed"/>
      </w:tblPr>
      <w:tblGrid>
        <w:gridCol w:w="1637"/>
        <w:gridCol w:w="2054"/>
        <w:gridCol w:w="898"/>
        <w:gridCol w:w="2914"/>
        <w:gridCol w:w="2006"/>
      </w:tblGrid>
      <w:tr>
        <w:trPr>
          <w:trHeight w:val="101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b/>
                <w:bCs/>
                <w:color w:val="000000"/>
                <w:spacing w:val="0"/>
                <w:w w:val="100"/>
                <w:position w:val="0"/>
                <w:sz w:val="17"/>
                <w:szCs w:val="17"/>
              </w:rPr>
              <w:t>计量类别</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按原金融工具准则确认 的减值准备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b/>
                <w:bCs/>
                <w:color w:val="000000"/>
                <w:spacing w:val="0"/>
                <w:w w:val="100"/>
                <w:position w:val="0"/>
                <w:sz w:val="17"/>
                <w:szCs w:val="17"/>
              </w:rPr>
              <w:t>重分类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重新计量</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表示增加，叩表示减少）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按新金融工具准则确 认的损失准备</w:t>
            </w:r>
          </w:p>
        </w:tc>
      </w:tr>
      <w:tr>
        <w:trPr>
          <w:trHeight w:val="42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+4,833,757.69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4,833,757.69</w:t>
            </w:r>
          </w:p>
        </w:tc>
      </w:tr>
      <w:tr>
        <w:trPr>
          <w:trHeight w:val="42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258,444,913.32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+10,170,765.23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268,615,678.55</w:t>
            </w:r>
          </w:p>
        </w:tc>
      </w:tr>
      <w:tr>
        <w:trPr>
          <w:trHeight w:val="42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214,575,173.42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+690,915.40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215,266,088.82</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473,020,086.74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+15,695,438.32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488,715,525.06</w:t>
            </w:r>
          </w:p>
        </w:tc>
      </w:tr>
    </w:tbl>
    <w:p>
      <w:pPr>
        <w:widowControl w:val="0"/>
        <w:spacing w:after="239" w:line="1" w:lineRule="exact"/>
      </w:pPr>
    </w:p>
    <w:p>
      <w:pPr>
        <w:pStyle w:val="Style26"/>
        <w:keepNext w:val="0"/>
        <w:keepLines w:val="0"/>
        <w:widowControl w:val="0"/>
        <w:shd w:val="clear" w:color="auto" w:fill="auto"/>
        <w:bidi w:val="0"/>
        <w:spacing w:before="0" w:after="280" w:line="240" w:lineRule="auto"/>
        <w:ind w:left="0" w:right="0" w:firstLine="820"/>
        <w:jc w:val="both"/>
      </w:pPr>
      <w:bookmarkStart w:id="989" w:name="bookmark989"/>
      <w:r>
        <w:rPr>
          <w:color w:val="000000"/>
          <w:spacing w:val="0"/>
          <w:w w:val="100"/>
          <w:position w:val="0"/>
        </w:rPr>
        <w:t>（</w:t>
      </w:r>
      <w:bookmarkEnd w:id="989"/>
      <w:r>
        <w:rPr>
          <w:rFonts w:ascii="Arial Narrow" w:eastAsia="Arial Narrow" w:hAnsi="Arial Narrow" w:cs="Arial Narrow"/>
          <w:color w:val="000000"/>
          <w:spacing w:val="0"/>
          <w:w w:val="100"/>
          <w:position w:val="0"/>
          <w:sz w:val="18"/>
          <w:szCs w:val="18"/>
        </w:rPr>
        <w:t>2</w:t>
      </w:r>
      <w:r>
        <w:rPr>
          <w:color w:val="000000"/>
          <w:spacing w:val="0"/>
          <w:w w:val="100"/>
          <w:position w:val="0"/>
        </w:rPr>
        <w:t>）本报告期内无会计估计的变更。</w:t>
      </w:r>
    </w:p>
    <w:p>
      <w:pPr>
        <w:pStyle w:val="Style22"/>
        <w:keepNext/>
        <w:keepLines/>
        <w:widowControl w:val="0"/>
        <w:shd w:val="clear" w:color="auto" w:fill="auto"/>
        <w:bidi w:val="0"/>
        <w:spacing w:before="0" w:after="0" w:line="240" w:lineRule="auto"/>
        <w:ind w:left="0" w:right="0" w:firstLine="820"/>
        <w:jc w:val="both"/>
        <w:rPr>
          <w:sz w:val="17"/>
          <w:szCs w:val="17"/>
        </w:rPr>
      </w:pPr>
      <w:bookmarkStart w:id="990" w:name="bookmark990"/>
      <w:bookmarkStart w:id="991" w:name="bookmark991"/>
      <w:bookmarkStart w:id="992" w:name="bookmark992"/>
      <w:r>
        <w:rPr>
          <w:rFonts w:ascii="Arial Narrow" w:eastAsia="Arial Narrow" w:hAnsi="Arial Narrow" w:cs="Arial Narrow"/>
          <w:color w:val="000000"/>
          <w:spacing w:val="0"/>
          <w:w w:val="100"/>
          <w:position w:val="0"/>
          <w:sz w:val="18"/>
          <w:szCs w:val="18"/>
        </w:rPr>
        <w:t>35</w:t>
      </w:r>
      <w:r>
        <w:rPr>
          <w:color w:val="000000"/>
          <w:spacing w:val="0"/>
          <w:w w:val="100"/>
          <w:position w:val="0"/>
          <w:sz w:val="17"/>
          <w:szCs w:val="17"/>
        </w:rPr>
        <w:t>、重大会计判断和估计</w:t>
      </w:r>
      <w:bookmarkEnd w:id="990"/>
      <w:bookmarkEnd w:id="991"/>
      <w:bookmarkEnd w:id="992"/>
    </w:p>
    <w:p>
      <w:pPr>
        <w:pStyle w:val="Style26"/>
        <w:keepNext w:val="0"/>
        <w:keepLines w:val="0"/>
        <w:widowControl w:val="0"/>
        <w:shd w:val="clear" w:color="auto" w:fill="auto"/>
        <w:bidi w:val="0"/>
        <w:spacing w:before="0" w:after="0" w:line="499" w:lineRule="exact"/>
        <w:ind w:left="460" w:right="0" w:firstLine="360"/>
        <w:jc w:val="both"/>
      </w:pPr>
      <w:r>
        <w:rPr>
          <w:color w:val="000000"/>
          <w:spacing w:val="0"/>
          <w:w w:val="100"/>
          <w:position w:val="0"/>
        </w:rPr>
        <w:t>本公司在运用会计政策过程中，由于经营活动内在的不确定性，本公司需要对无法准确计量的报表项目的账面价值进行 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确定性所导致的实际结果可能与本公司管理层当前的估计存在差异，进而造成对未来受影响的资产或负债的账面金额进行重 大调整。</w:t>
      </w:r>
    </w:p>
    <w:p>
      <w:pPr>
        <w:pStyle w:val="Style26"/>
        <w:keepNext w:val="0"/>
        <w:keepLines w:val="0"/>
        <w:widowControl w:val="0"/>
        <w:shd w:val="clear" w:color="auto" w:fill="auto"/>
        <w:bidi w:val="0"/>
        <w:spacing w:before="0" w:after="0" w:line="499" w:lineRule="exact"/>
        <w:ind w:left="460" w:right="0" w:firstLine="360"/>
        <w:jc w:val="both"/>
      </w:pPr>
      <w:r>
        <w:rPr>
          <w:color w:val="000000"/>
          <w:spacing w:val="0"/>
          <w:w w:val="100"/>
          <w:position w:val="0"/>
        </w:rPr>
        <w:t>本公司对前述判断、估计和假设在持续经营的基础上进行定期复核，会计估计的变更仅影响变更当期的，其影响数在变 更当期予以确认；既影响变更当期又影响未来期间的，其影响数在变更当期和未来期间予以确认。</w:t>
      </w:r>
    </w:p>
    <w:p>
      <w:pPr>
        <w:pStyle w:val="Style26"/>
        <w:keepNext w:val="0"/>
        <w:keepLines w:val="0"/>
        <w:widowControl w:val="0"/>
        <w:shd w:val="clear" w:color="auto" w:fill="auto"/>
        <w:bidi w:val="0"/>
        <w:spacing w:before="0" w:after="0" w:line="499" w:lineRule="exact"/>
        <w:ind w:left="0" w:right="0" w:firstLine="820"/>
        <w:jc w:val="both"/>
      </w:pPr>
      <w:r>
        <w:rPr>
          <w:color w:val="000000"/>
          <w:spacing w:val="0"/>
          <w:w w:val="100"/>
          <w:position w:val="0"/>
        </w:rPr>
        <w:t>于资产负债表日，本公司需对财务报表项目金额进行判断、估计和假设的重要领域如下：</w:t>
      </w:r>
    </w:p>
    <w:p>
      <w:pPr>
        <w:pStyle w:val="Style26"/>
        <w:keepNext w:val="0"/>
        <w:keepLines w:val="0"/>
        <w:widowControl w:val="0"/>
        <w:shd w:val="clear" w:color="auto" w:fill="auto"/>
        <w:tabs>
          <w:tab w:pos="1257" w:val="left"/>
        </w:tabs>
        <w:bidi w:val="0"/>
        <w:spacing w:before="0" w:after="0" w:line="499" w:lineRule="exact"/>
        <w:ind w:left="0" w:right="0" w:firstLine="820"/>
        <w:jc w:val="both"/>
      </w:pPr>
      <w:bookmarkStart w:id="993" w:name="bookmark993"/>
      <w:r>
        <w:rPr>
          <w:color w:val="000000"/>
          <w:spacing w:val="0"/>
          <w:w w:val="100"/>
          <w:position w:val="0"/>
        </w:rPr>
        <w:t>（</w:t>
      </w:r>
      <w:bookmarkEnd w:id="993"/>
      <w:r>
        <w:rPr>
          <w:rFonts w:ascii="Arial Narrow" w:eastAsia="Arial Narrow" w:hAnsi="Arial Narrow" w:cs="Arial Narrow"/>
          <w:color w:val="000000"/>
          <w:spacing w:val="0"/>
          <w:w w:val="100"/>
          <w:position w:val="0"/>
          <w:sz w:val="18"/>
          <w:szCs w:val="18"/>
        </w:rPr>
        <w:t>1</w:t>
      </w:r>
      <w:r>
        <w:rPr>
          <w:color w:val="000000"/>
          <w:spacing w:val="0"/>
          <w:w w:val="100"/>
          <w:position w:val="0"/>
        </w:rPr>
        <w:t>）</w:t>
        <w:tab/>
        <w:t>收入确认一建造合同</w:t>
      </w:r>
    </w:p>
    <w:p>
      <w:pPr>
        <w:pStyle w:val="Style26"/>
        <w:keepNext w:val="0"/>
        <w:keepLines w:val="0"/>
        <w:widowControl w:val="0"/>
        <w:shd w:val="clear" w:color="auto" w:fill="auto"/>
        <w:bidi w:val="0"/>
        <w:spacing w:before="0" w:after="0" w:line="499" w:lineRule="exact"/>
        <w:ind w:left="460" w:right="0" w:firstLine="360"/>
        <w:jc w:val="both"/>
      </w:pPr>
      <w:r>
        <w:rPr>
          <w:color w:val="000000"/>
          <w:spacing w:val="0"/>
          <w:w w:val="100"/>
          <w:position w:val="0"/>
        </w:rPr>
        <w:t>在建造合同结果可以可靠估计时，本公司采用完工百分比法在资产负债表日确认合同收入。合同的完工百分比是依照本 附注三、</w:t>
      </w:r>
      <w:r>
        <w:rPr>
          <w:rFonts w:ascii="Arial Narrow" w:eastAsia="Arial Narrow" w:hAnsi="Arial Narrow" w:cs="Arial Narrow"/>
          <w:color w:val="000000"/>
          <w:spacing w:val="0"/>
          <w:w w:val="100"/>
          <w:position w:val="0"/>
          <w:sz w:val="18"/>
          <w:szCs w:val="18"/>
        </w:rPr>
        <w:t>28“</w:t>
      </w:r>
      <w:r>
        <w:rPr>
          <w:color w:val="000000"/>
          <w:spacing w:val="0"/>
          <w:w w:val="100"/>
          <w:position w:val="0"/>
        </w:rPr>
        <w:t>收入确认原则</w:t>
      </w:r>
      <w:r>
        <w:rPr>
          <w:rFonts w:ascii="Arial Narrow" w:eastAsia="Arial Narrow" w:hAnsi="Arial Narrow" w:cs="Arial Narrow"/>
          <w:color w:val="000000"/>
          <w:spacing w:val="0"/>
          <w:w w:val="100"/>
          <w:position w:val="0"/>
          <w:sz w:val="18"/>
          <w:szCs w:val="18"/>
        </w:rPr>
        <w:t>”</w:t>
      </w:r>
      <w:r>
        <w:rPr>
          <w:color w:val="000000"/>
          <w:spacing w:val="0"/>
          <w:w w:val="100"/>
          <w:position w:val="0"/>
        </w:rPr>
        <w:t>所述方法进行确认的，在执行各该建造合同的会计年度内累积计算。</w:t>
      </w:r>
    </w:p>
    <w:p>
      <w:pPr>
        <w:pStyle w:val="Style26"/>
        <w:keepNext w:val="0"/>
        <w:keepLines w:val="0"/>
        <w:widowControl w:val="0"/>
        <w:shd w:val="clear" w:color="auto" w:fill="auto"/>
        <w:bidi w:val="0"/>
        <w:spacing w:before="0" w:after="0" w:line="499" w:lineRule="exact"/>
        <w:ind w:left="460" w:right="0" w:firstLine="360"/>
        <w:jc w:val="both"/>
      </w:pPr>
      <w:r>
        <w:rPr>
          <w:color w:val="000000"/>
          <w:spacing w:val="0"/>
          <w:w w:val="100"/>
          <w:position w:val="0"/>
        </w:rPr>
        <w:t>在确定完工百分比、已发生的合同成本、预计合同总收入和总成本，以及合同可回收性时，需要作出重大判断。项目管 理层主要依靠过去的经验和工作作出判断。预计合同总收入和总成本，以及合同执行结果的估计变更都可能对变更当期或以 后期间的营业收入、营业成本，以及期间损益产生影响，且可能构成重大影响。</w:t>
      </w:r>
    </w:p>
    <w:p>
      <w:pPr>
        <w:pStyle w:val="Style26"/>
        <w:keepNext w:val="0"/>
        <w:keepLines w:val="0"/>
        <w:widowControl w:val="0"/>
        <w:shd w:val="clear" w:color="auto" w:fill="auto"/>
        <w:tabs>
          <w:tab w:pos="1257" w:val="left"/>
        </w:tabs>
        <w:bidi w:val="0"/>
        <w:spacing w:before="0" w:after="120" w:line="499" w:lineRule="exact"/>
        <w:ind w:left="0" w:right="0" w:firstLine="820"/>
        <w:jc w:val="both"/>
      </w:pPr>
      <w:bookmarkStart w:id="994" w:name="bookmark994"/>
      <w:r>
        <w:rPr>
          <w:color w:val="000000"/>
          <w:spacing w:val="0"/>
          <w:w w:val="100"/>
          <w:position w:val="0"/>
        </w:rPr>
        <w:t>（</w:t>
      </w:r>
      <w:bookmarkEnd w:id="994"/>
      <w:r>
        <w:rPr>
          <w:rFonts w:ascii="Arial Narrow" w:eastAsia="Arial Narrow" w:hAnsi="Arial Narrow" w:cs="Arial Narrow"/>
          <w:color w:val="000000"/>
          <w:spacing w:val="0"/>
          <w:w w:val="100"/>
          <w:position w:val="0"/>
          <w:sz w:val="18"/>
          <w:szCs w:val="18"/>
        </w:rPr>
        <w:t>2</w:t>
      </w:r>
      <w:r>
        <w:rPr>
          <w:color w:val="000000"/>
          <w:spacing w:val="0"/>
          <w:w w:val="100"/>
          <w:position w:val="0"/>
        </w:rPr>
        <w:t>）</w:t>
        <w:tab/>
        <w:t>坏账准备计提</w:t>
      </w:r>
    </w:p>
    <w:p>
      <w:pPr>
        <w:pStyle w:val="Style26"/>
        <w:keepNext w:val="0"/>
        <w:keepLines w:val="0"/>
        <w:widowControl w:val="0"/>
        <w:shd w:val="clear" w:color="auto" w:fill="auto"/>
        <w:bidi w:val="0"/>
        <w:spacing w:before="0" w:after="0" w:line="503" w:lineRule="exact"/>
        <w:ind w:left="420" w:right="0" w:firstLine="400"/>
        <w:jc w:val="both"/>
      </w:pPr>
      <w:r>
        <w:rPr>
          <w:color w:val="000000"/>
          <w:spacing w:val="0"/>
          <w:w w:val="100"/>
          <w:position w:val="0"/>
        </w:rPr>
        <w:t>本公司根据应收款项的会计政策，采用备抵法核算坏账损失。应收账款减值基于历史信用损失经验，结合当前状况以及 对未来经济状况的预测。鉴定应收账款减值要求管理层的判断和估计。实际的结果与原先估计的差异将在估计被改变的期间 影响应收账款的账面价值及应收账款坏账准备的计提或转回。</w:t>
      </w:r>
    </w:p>
    <w:p>
      <w:pPr>
        <w:pStyle w:val="Style26"/>
        <w:keepNext w:val="0"/>
        <w:keepLines w:val="0"/>
        <w:widowControl w:val="0"/>
        <w:shd w:val="clear" w:color="auto" w:fill="auto"/>
        <w:tabs>
          <w:tab w:pos="1255" w:val="left"/>
        </w:tabs>
        <w:bidi w:val="0"/>
        <w:spacing w:before="0" w:after="0" w:line="503" w:lineRule="exact"/>
        <w:ind w:left="0" w:right="0" w:firstLine="820"/>
        <w:jc w:val="both"/>
      </w:pPr>
      <w:bookmarkStart w:id="995" w:name="bookmark995"/>
      <w:r>
        <w:rPr>
          <w:color w:val="000000"/>
          <w:spacing w:val="0"/>
          <w:w w:val="100"/>
          <w:position w:val="0"/>
        </w:rPr>
        <w:t>（</w:t>
      </w:r>
      <w:bookmarkEnd w:id="995"/>
      <w:r>
        <w:rPr>
          <w:rFonts w:ascii="Arial Narrow" w:eastAsia="Arial Narrow" w:hAnsi="Arial Narrow" w:cs="Arial Narrow"/>
          <w:color w:val="000000"/>
          <w:spacing w:val="0"/>
          <w:w w:val="100"/>
          <w:position w:val="0"/>
          <w:sz w:val="18"/>
          <w:szCs w:val="18"/>
        </w:rPr>
        <w:t>3</w:t>
      </w:r>
      <w:r>
        <w:rPr>
          <w:color w:val="000000"/>
          <w:spacing w:val="0"/>
          <w:w w:val="100"/>
          <w:position w:val="0"/>
        </w:rPr>
        <w:t>）</w:t>
        <w:tab/>
        <w:t>存货跌价准备</w:t>
      </w:r>
    </w:p>
    <w:p>
      <w:pPr>
        <w:pStyle w:val="Style26"/>
        <w:keepNext w:val="0"/>
        <w:keepLines w:val="0"/>
        <w:widowControl w:val="0"/>
        <w:shd w:val="clear" w:color="auto" w:fill="auto"/>
        <w:bidi w:val="0"/>
        <w:spacing w:before="0" w:after="0" w:line="503" w:lineRule="exact"/>
        <w:ind w:left="420" w:right="0" w:firstLine="400"/>
        <w:jc w:val="both"/>
      </w:pPr>
      <w:r>
        <w:rPr>
          <w:color w:val="000000"/>
          <w:spacing w:val="0"/>
          <w:w w:val="100"/>
          <w:position w:val="0"/>
        </w:rPr>
        <w:t>本公司根据存货会计政策，按照成本与可变现净值孰低计量，对成本高于可变现净值及陈旧和滞销的存货，计提存货跌 价准备。存货减值至可变现净值是基于评估存货的可售性及其可变现净值。鉴定存货减值要求管理层在取得确凿证据，并且 考虑持有存货的目的、资产负债表日后事项的影响等因素的基础上作出判断和估计。实际的结果与原先估计的差异将在估计 被改变的期间影响存货的账面价值及存货跌价准备的计提或转回。</w:t>
      </w:r>
    </w:p>
    <w:p>
      <w:pPr>
        <w:pStyle w:val="Style26"/>
        <w:keepNext w:val="0"/>
        <w:keepLines w:val="0"/>
        <w:widowControl w:val="0"/>
        <w:shd w:val="clear" w:color="auto" w:fill="auto"/>
        <w:tabs>
          <w:tab w:pos="1255" w:val="left"/>
        </w:tabs>
        <w:bidi w:val="0"/>
        <w:spacing w:before="0" w:after="0" w:line="500" w:lineRule="exact"/>
        <w:ind w:left="0" w:right="0" w:firstLine="820"/>
        <w:jc w:val="both"/>
      </w:pPr>
      <w:bookmarkStart w:id="996" w:name="bookmark996"/>
      <w:r>
        <w:rPr>
          <w:color w:val="000000"/>
          <w:spacing w:val="0"/>
          <w:w w:val="100"/>
          <w:position w:val="0"/>
        </w:rPr>
        <w:t>（</w:t>
      </w:r>
      <w:bookmarkEnd w:id="996"/>
      <w:r>
        <w:rPr>
          <w:rFonts w:ascii="Arial Narrow" w:eastAsia="Arial Narrow" w:hAnsi="Arial Narrow" w:cs="Arial Narrow"/>
          <w:color w:val="000000"/>
          <w:spacing w:val="0"/>
          <w:w w:val="100"/>
          <w:position w:val="0"/>
          <w:sz w:val="18"/>
          <w:szCs w:val="18"/>
        </w:rPr>
        <w:t>4</w:t>
      </w:r>
      <w:r>
        <w:rPr>
          <w:color w:val="000000"/>
          <w:spacing w:val="0"/>
          <w:w w:val="100"/>
          <w:position w:val="0"/>
        </w:rPr>
        <w:t>）</w:t>
        <w:tab/>
        <w:t>折旧和摊销</w:t>
      </w:r>
    </w:p>
    <w:p>
      <w:pPr>
        <w:pStyle w:val="Style26"/>
        <w:keepNext w:val="0"/>
        <w:keepLines w:val="0"/>
        <w:widowControl w:val="0"/>
        <w:shd w:val="clear" w:color="auto" w:fill="auto"/>
        <w:bidi w:val="0"/>
        <w:spacing w:before="0" w:after="0" w:line="500" w:lineRule="exact"/>
        <w:ind w:left="420" w:right="0" w:firstLine="400"/>
        <w:jc w:val="both"/>
      </w:pPr>
      <w:r>
        <w:rPr>
          <w:color w:val="000000"/>
          <w:spacing w:val="0"/>
          <w:w w:val="100"/>
          <w:position w:val="0"/>
        </w:rPr>
        <w:t>本公司对投资性房地产、固定资产和无形资产在考虑其残值后，在使用寿命内按直线法计提折旧和摊销。本公司定期复 核使用寿命，以决定将计入每个报告期的折旧和摊销费用数额。使用寿命是本公司根据对同类资产的以往经验并结合预期的 技术更新而确定的。如果以前的估计发生重大变化，则会在未来期间对折旧和摊销费用进行调整。</w:t>
      </w:r>
    </w:p>
    <w:p>
      <w:pPr>
        <w:pStyle w:val="Style26"/>
        <w:keepNext w:val="0"/>
        <w:keepLines w:val="0"/>
        <w:widowControl w:val="0"/>
        <w:shd w:val="clear" w:color="auto" w:fill="auto"/>
        <w:tabs>
          <w:tab w:pos="1255" w:val="left"/>
        </w:tabs>
        <w:bidi w:val="0"/>
        <w:spacing w:before="0" w:after="0" w:line="500" w:lineRule="exact"/>
        <w:ind w:left="0" w:right="0" w:firstLine="820"/>
        <w:jc w:val="both"/>
      </w:pPr>
      <w:bookmarkStart w:id="997" w:name="bookmark997"/>
      <w:r>
        <w:rPr>
          <w:color w:val="000000"/>
          <w:spacing w:val="0"/>
          <w:w w:val="100"/>
          <w:position w:val="0"/>
        </w:rPr>
        <w:t>（</w:t>
      </w:r>
      <w:bookmarkEnd w:id="997"/>
      <w:r>
        <w:rPr>
          <w:rFonts w:ascii="Arial Narrow" w:eastAsia="Arial Narrow" w:hAnsi="Arial Narrow" w:cs="Arial Narrow"/>
          <w:color w:val="000000"/>
          <w:spacing w:val="0"/>
          <w:w w:val="100"/>
          <w:position w:val="0"/>
          <w:sz w:val="18"/>
          <w:szCs w:val="18"/>
        </w:rPr>
        <w:t>5</w:t>
      </w:r>
      <w:r>
        <w:rPr>
          <w:color w:val="000000"/>
          <w:spacing w:val="0"/>
          <w:w w:val="100"/>
          <w:position w:val="0"/>
        </w:rPr>
        <w:t>）</w:t>
        <w:tab/>
        <w:t>递延所得税资产</w:t>
      </w:r>
    </w:p>
    <w:p>
      <w:pPr>
        <w:pStyle w:val="Style26"/>
        <w:keepNext w:val="0"/>
        <w:keepLines w:val="0"/>
        <w:widowControl w:val="0"/>
        <w:shd w:val="clear" w:color="auto" w:fill="auto"/>
        <w:bidi w:val="0"/>
        <w:spacing w:before="0" w:after="0" w:line="500" w:lineRule="exact"/>
        <w:ind w:left="420" w:right="0" w:firstLine="400"/>
        <w:jc w:val="both"/>
      </w:pPr>
      <w:r>
        <w:rPr>
          <w:color w:val="000000"/>
          <w:spacing w:val="0"/>
          <w:w w:val="100"/>
          <w:position w:val="0"/>
        </w:rPr>
        <w:t>在很有可能有足够的应纳税利润来抵扣亏损的限度内，本公司就所有未利用的税务亏损确认递延所得税资产。这需要本 公司管理层运用大量的判断来估计未来应纳税利润发生的时间和金额，结合纳税筹划策略，以决定应确认的递延所得税资产 的金额。</w:t>
      </w:r>
    </w:p>
    <w:p>
      <w:pPr>
        <w:pStyle w:val="Style26"/>
        <w:keepNext w:val="0"/>
        <w:keepLines w:val="0"/>
        <w:widowControl w:val="0"/>
        <w:shd w:val="clear" w:color="auto" w:fill="auto"/>
        <w:tabs>
          <w:tab w:pos="1255" w:val="left"/>
        </w:tabs>
        <w:bidi w:val="0"/>
        <w:spacing w:before="0" w:after="0" w:line="500" w:lineRule="exact"/>
        <w:ind w:left="0" w:right="0" w:firstLine="820"/>
        <w:jc w:val="both"/>
      </w:pPr>
      <w:bookmarkStart w:id="998" w:name="bookmark998"/>
      <w:r>
        <w:rPr>
          <w:color w:val="000000"/>
          <w:spacing w:val="0"/>
          <w:w w:val="100"/>
          <w:position w:val="0"/>
        </w:rPr>
        <w:t>（</w:t>
      </w:r>
      <w:bookmarkEnd w:id="998"/>
      <w:r>
        <w:rPr>
          <w:rFonts w:ascii="Arial Narrow" w:eastAsia="Arial Narrow" w:hAnsi="Arial Narrow" w:cs="Arial Narrow"/>
          <w:color w:val="000000"/>
          <w:spacing w:val="0"/>
          <w:w w:val="100"/>
          <w:position w:val="0"/>
          <w:sz w:val="18"/>
          <w:szCs w:val="18"/>
        </w:rPr>
        <w:t>6</w:t>
      </w:r>
      <w:r>
        <w:rPr>
          <w:color w:val="000000"/>
          <w:spacing w:val="0"/>
          <w:w w:val="100"/>
          <w:position w:val="0"/>
        </w:rPr>
        <w:t>）</w:t>
        <w:tab/>
        <w:t>所得税</w:t>
      </w:r>
    </w:p>
    <w:p>
      <w:pPr>
        <w:pStyle w:val="Style26"/>
        <w:keepNext w:val="0"/>
        <w:keepLines w:val="0"/>
        <w:widowControl w:val="0"/>
        <w:shd w:val="clear" w:color="auto" w:fill="auto"/>
        <w:bidi w:val="0"/>
        <w:spacing w:before="0" w:after="380" w:line="500" w:lineRule="exact"/>
        <w:ind w:left="420" w:right="0" w:firstLine="400"/>
        <w:jc w:val="both"/>
      </w:pPr>
      <w:r>
        <w:rPr>
          <w:color w:val="000000"/>
          <w:spacing w:val="0"/>
          <w:w w:val="100"/>
          <w:position w:val="0"/>
        </w:rPr>
        <w:t>本公司在正常的经营活动中，有部分交易其最终的税务处理和计算存在一定的不确定性。部分项目是否能够在税前列支 需要税收主管机关的审批。如果这些税务事项的最终认定结果同最初估计的金额存在差异，则该差异将对其最终认定期间的 当期所得税和递延所得税产生影响。</w:t>
      </w:r>
    </w:p>
    <w:p>
      <w:pPr>
        <w:pStyle w:val="Style10"/>
        <w:keepNext/>
        <w:keepLines/>
        <w:widowControl w:val="0"/>
        <w:shd w:val="clear" w:color="auto" w:fill="auto"/>
        <w:bidi w:val="0"/>
        <w:spacing w:before="0" w:after="280" w:line="240" w:lineRule="auto"/>
        <w:ind w:left="0" w:right="0" w:firstLine="820"/>
        <w:jc w:val="both"/>
        <w:rPr>
          <w:sz w:val="20"/>
          <w:szCs w:val="20"/>
        </w:rPr>
      </w:pPr>
      <w:bookmarkStart w:id="1000" w:name="bookmark1000"/>
      <w:bookmarkStart w:id="1001" w:name="bookmark1001"/>
      <w:bookmarkStart w:id="1002" w:name="bookmark1002"/>
      <w:bookmarkStart w:id="999" w:name="bookmark999"/>
      <w:r>
        <w:rPr>
          <w:color w:val="000000"/>
          <w:spacing w:val="0"/>
          <w:w w:val="100"/>
          <w:position w:val="0"/>
          <w:sz w:val="20"/>
          <w:szCs w:val="20"/>
        </w:rPr>
        <w:t>四</w:t>
      </w:r>
      <w:bookmarkEnd w:id="1001"/>
      <w:r>
        <w:rPr>
          <w:color w:val="000000"/>
          <w:spacing w:val="0"/>
          <w:w w:val="100"/>
          <w:position w:val="0"/>
          <w:sz w:val="20"/>
          <w:szCs w:val="20"/>
        </w:rPr>
        <w:t>、税项</w:t>
      </w:r>
      <w:bookmarkEnd w:id="1000"/>
      <w:bookmarkEnd w:id="1002"/>
      <w:bookmarkEnd w:id="999"/>
    </w:p>
    <w:tbl>
      <w:tblPr>
        <w:tblOverlap w:val="never"/>
        <w:jc w:val="center"/>
        <w:tblLayout w:type="fixed"/>
      </w:tblPr>
      <w:tblGrid>
        <w:gridCol w:w="2189"/>
        <w:gridCol w:w="6989"/>
      </w:tblGrid>
      <w:tr>
        <w:trPr>
          <w:trHeight w:val="298" w:hRule="exact"/>
        </w:trPr>
        <w:tc>
          <w:tcPr>
            <w:gridSpan w:val="2"/>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、主要税种及税率</w:t>
            </w:r>
          </w:p>
        </w:tc>
      </w:tr>
      <w:tr>
        <w:trPr>
          <w:trHeight w:val="4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税种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920" w:right="0" w:firstLine="0"/>
              <w:jc w:val="left"/>
              <w:rPr>
                <w:sz w:val="17"/>
                <w:szCs w:val="17"/>
              </w:rPr>
            </w:pPr>
            <w:r>
              <w:rPr>
                <w:rFonts w:ascii="SimSun" w:eastAsia="SimSun" w:hAnsi="SimSun" w:cs="SimSun"/>
                <w:b/>
                <w:bCs/>
                <w:color w:val="000000"/>
                <w:spacing w:val="0"/>
                <w:w w:val="100"/>
                <w:position w:val="0"/>
                <w:sz w:val="17"/>
                <w:szCs w:val="17"/>
              </w:rPr>
              <w:t>具体税率情况</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应税收入按</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9%</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10%</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11%</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13%</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16%</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17%</w:t>
            </w:r>
            <w:r>
              <w:rPr>
                <w:rFonts w:ascii="SimSun" w:eastAsia="SimSun" w:hAnsi="SimSun" w:cs="SimSun"/>
                <w:color w:val="000000"/>
                <w:spacing w:val="0"/>
                <w:w w:val="100"/>
                <w:position w:val="0"/>
                <w:sz w:val="17"/>
                <w:szCs w:val="17"/>
              </w:rPr>
              <w:t>的税率计算销项税，并按 扣除当期允许抵扣的进项税额后的差额计缴增值税</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按实际缴纳的流转税及公司所在地政策计缴</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按应纳税所得额的</w:t>
            </w:r>
            <w:r>
              <w:rPr>
                <w:rFonts w:ascii="Arial Narrow" w:eastAsia="Arial Narrow" w:hAnsi="Arial Narrow" w:cs="Arial Narrow"/>
                <w:color w:val="000000"/>
                <w:spacing w:val="0"/>
                <w:w w:val="100"/>
                <w:position w:val="0"/>
                <w:sz w:val="18"/>
                <w:szCs w:val="18"/>
              </w:rPr>
              <w:t>25%</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15%</w:t>
            </w:r>
            <w:r>
              <w:rPr>
                <w:rFonts w:ascii="SimSun" w:eastAsia="SimSun" w:hAnsi="SimSun" w:cs="SimSun"/>
                <w:color w:val="000000"/>
                <w:spacing w:val="0"/>
                <w:w w:val="100"/>
                <w:position w:val="0"/>
                <w:sz w:val="17"/>
                <w:szCs w:val="17"/>
              </w:rPr>
              <w:t>计缴</w:t>
            </w: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耕地占用税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按占用耕地从事其他非农业建设或建房按土地所在地政策计缴</w:t>
            </w:r>
          </w:p>
        </w:tc>
      </w:tr>
    </w:tbl>
    <w:p>
      <w:pPr>
        <w:widowControl w:val="0"/>
        <w:spacing w:after="199" w:line="1" w:lineRule="exact"/>
      </w:pPr>
    </w:p>
    <w:p>
      <w:pPr>
        <w:pStyle w:val="Style33"/>
        <w:keepNext w:val="0"/>
        <w:keepLines w:val="0"/>
        <w:widowControl w:val="0"/>
        <w:shd w:val="clear" w:color="auto" w:fill="auto"/>
        <w:bidi w:val="0"/>
        <w:spacing w:before="0" w:after="100" w:line="240" w:lineRule="auto"/>
        <w:ind w:left="0" w:right="0" w:firstLine="820"/>
        <w:jc w:val="both"/>
      </w:pPr>
      <w:r>
        <w:rPr>
          <w:color w:val="000000"/>
          <w:spacing w:val="0"/>
          <w:w w:val="100"/>
          <w:position w:val="0"/>
        </w:rPr>
        <w:t>不同所得税税率的纳税主体所得税税率披露情况说明</w:t>
      </w:r>
    </w:p>
    <w:tbl>
      <w:tblPr>
        <w:tblOverlap w:val="never"/>
        <w:jc w:val="center"/>
        <w:tblLayout w:type="fixed"/>
      </w:tblPr>
      <w:tblGrid>
        <w:gridCol w:w="4536"/>
        <w:gridCol w:w="2467"/>
        <w:gridCol w:w="2261"/>
      </w:tblGrid>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纳税主体名称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级次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所得税率</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西藏旭阳投资管理有限公司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一级子公司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西藏东旭电力工程有限公司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三级子公司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1]</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西藏众胜新能源科技有限公司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四川东旭电力工程有限公司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星景生态环保科技</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苏州</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一级子公司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3]</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东旭新能源投资有限公司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一级子公司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3]</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上海安轩自动化科技有限公司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3]</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安徽东旭康图太阳能科技有限公司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3]</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北京中环鑫融科技有限公司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一级子公司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4]</w:t>
            </w:r>
          </w:p>
        </w:tc>
      </w:tr>
    </w:tbl>
    <w:p>
      <w:pPr>
        <w:widowControl w:val="0"/>
        <w:spacing w:after="119" w:line="1" w:lineRule="exact"/>
      </w:pPr>
    </w:p>
    <w:p>
      <w:pPr>
        <w:pStyle w:val="Style26"/>
        <w:keepNext w:val="0"/>
        <w:keepLines w:val="0"/>
        <w:widowControl w:val="0"/>
        <w:shd w:val="clear" w:color="auto" w:fill="auto"/>
        <w:bidi w:val="0"/>
        <w:spacing w:before="0" w:after="160" w:line="240" w:lineRule="auto"/>
        <w:ind w:left="0" w:right="0" w:firstLine="800"/>
        <w:jc w:val="both"/>
      </w:pPr>
      <w:r>
        <w:rPr>
          <w:rFonts w:ascii="Arial Narrow" w:eastAsia="Arial Narrow" w:hAnsi="Arial Narrow" w:cs="Arial Narrow"/>
          <w:color w:val="000000"/>
          <w:spacing w:val="0"/>
          <w:w w:val="100"/>
          <w:position w:val="0"/>
          <w:sz w:val="18"/>
          <w:szCs w:val="18"/>
        </w:rPr>
        <w:t>［</w:t>
      </w:r>
      <w:r>
        <w:rPr>
          <w:color w:val="000000"/>
          <w:spacing w:val="0"/>
          <w:w w:val="100"/>
          <w:position w:val="0"/>
        </w:rPr>
        <w:t>注</w:t>
      </w:r>
      <w:r>
        <w:rPr>
          <w:rFonts w:ascii="Arial Narrow" w:eastAsia="Arial Narrow" w:hAnsi="Arial Narrow" w:cs="Arial Narrow"/>
          <w:color w:val="000000"/>
          <w:spacing w:val="0"/>
          <w:w w:val="100"/>
          <w:position w:val="0"/>
          <w:sz w:val="18"/>
          <w:szCs w:val="18"/>
        </w:rPr>
        <w:t>1</w:t>
      </w:r>
      <w:r>
        <w:rPr>
          <w:color w:val="000000"/>
          <w:spacing w:val="0"/>
          <w:w w:val="100"/>
          <w:position w:val="0"/>
        </w:rPr>
        <w:t>、注</w:t>
      </w:r>
      <w:r>
        <w:rPr>
          <w:rFonts w:ascii="Arial Narrow" w:eastAsia="Arial Narrow" w:hAnsi="Arial Narrow" w:cs="Arial Narrow"/>
          <w:color w:val="000000"/>
          <w:spacing w:val="0"/>
          <w:w w:val="100"/>
          <w:position w:val="0"/>
          <w:sz w:val="18"/>
          <w:szCs w:val="18"/>
        </w:rPr>
        <w:t>2</w:t>
      </w:r>
      <w:r>
        <w:rPr>
          <w:color w:val="000000"/>
          <w:spacing w:val="0"/>
          <w:w w:val="100"/>
          <w:position w:val="0"/>
        </w:rPr>
        <w:t>、注</w:t>
      </w:r>
      <w:r>
        <w:rPr>
          <w:rFonts w:ascii="Arial Narrow" w:eastAsia="Arial Narrow" w:hAnsi="Arial Narrow" w:cs="Arial Narrow"/>
          <w:color w:val="000000"/>
          <w:spacing w:val="0"/>
          <w:w w:val="100"/>
          <w:position w:val="0"/>
          <w:sz w:val="18"/>
          <w:szCs w:val="18"/>
        </w:rPr>
        <w:t>3</w:t>
      </w:r>
      <w:r>
        <w:rPr>
          <w:color w:val="000000"/>
          <w:spacing w:val="0"/>
          <w:w w:val="100"/>
          <w:position w:val="0"/>
        </w:rPr>
        <w:t>、注</w:t>
      </w:r>
      <w:r>
        <w:rPr>
          <w:rFonts w:ascii="Arial Narrow" w:eastAsia="Arial Narrow" w:hAnsi="Arial Narrow" w:cs="Arial Narrow"/>
          <w:color w:val="000000"/>
          <w:spacing w:val="0"/>
          <w:w w:val="100"/>
          <w:position w:val="0"/>
          <w:sz w:val="18"/>
          <w:szCs w:val="18"/>
        </w:rPr>
        <w:t>4］</w:t>
      </w:r>
      <w:r>
        <w:rPr>
          <w:color w:val="000000"/>
          <w:spacing w:val="0"/>
          <w:w w:val="100"/>
          <w:position w:val="0"/>
        </w:rPr>
        <w:t>详见本附注四、</w:t>
      </w:r>
      <w:r>
        <w:rPr>
          <w:rFonts w:ascii="Arial Narrow" w:eastAsia="Arial Narrow" w:hAnsi="Arial Narrow" w:cs="Arial Narrow"/>
          <w:color w:val="000000"/>
          <w:spacing w:val="0"/>
          <w:w w:val="100"/>
          <w:position w:val="0"/>
          <w:sz w:val="18"/>
          <w:szCs w:val="18"/>
        </w:rPr>
        <w:t>2</w:t>
      </w:r>
      <w:r>
        <w:rPr>
          <w:color w:val="000000"/>
          <w:spacing w:val="0"/>
          <w:w w:val="100"/>
          <w:position w:val="0"/>
        </w:rPr>
        <w:t>税项之税收优惠。</w:t>
      </w:r>
    </w:p>
    <w:p>
      <w:pPr>
        <w:pStyle w:val="Style33"/>
        <w:keepNext w:val="0"/>
        <w:keepLines w:val="0"/>
        <w:widowControl w:val="0"/>
        <w:shd w:val="clear" w:color="auto" w:fill="auto"/>
        <w:bidi w:val="0"/>
        <w:spacing w:before="0" w:after="0" w:line="240" w:lineRule="auto"/>
        <w:ind w:left="0" w:right="0" w:firstLine="860"/>
        <w:jc w:val="both"/>
      </w:pPr>
      <w:r>
        <w:rPr>
          <w:b/>
          <w:bCs/>
          <w:color w:val="000000"/>
          <w:spacing w:val="0"/>
          <w:w w:val="100"/>
          <w:position w:val="0"/>
        </w:rPr>
        <w:t>2</w:t>
      </w:r>
      <w:r>
        <w:rPr>
          <w:color w:val="000000"/>
          <w:spacing w:val="0"/>
          <w:w w:val="100"/>
          <w:position w:val="0"/>
        </w:rPr>
        <w:t>、税收优惠</w:t>
      </w:r>
    </w:p>
    <w:p>
      <w:pPr>
        <w:pStyle w:val="Style26"/>
        <w:keepNext w:val="0"/>
        <w:keepLines w:val="0"/>
        <w:widowControl w:val="0"/>
        <w:numPr>
          <w:ilvl w:val="0"/>
          <w:numId w:val="39"/>
        </w:numPr>
        <w:shd w:val="clear" w:color="auto" w:fill="auto"/>
        <w:tabs>
          <w:tab w:pos="1040" w:val="left"/>
        </w:tabs>
        <w:bidi w:val="0"/>
        <w:spacing w:before="0" w:after="0" w:line="504" w:lineRule="exact"/>
        <w:ind w:left="400" w:right="0" w:firstLine="420"/>
        <w:jc w:val="both"/>
      </w:pPr>
      <w:bookmarkStart w:id="1003" w:name="bookmark1003"/>
      <w:bookmarkEnd w:id="1003"/>
      <w:r>
        <w:rPr>
          <w:color w:val="000000"/>
          <w:spacing w:val="0"/>
          <w:w w:val="100"/>
          <w:position w:val="0"/>
        </w:rPr>
        <w:t>本公司根据西藏自治区人民政府藏政发</w:t>
      </w:r>
      <w:r>
        <w:rPr>
          <w:rFonts w:ascii="Arial Narrow" w:eastAsia="Arial Narrow" w:hAnsi="Arial Narrow" w:cs="Arial Narrow"/>
          <w:color w:val="000000"/>
          <w:spacing w:val="0"/>
          <w:w w:val="100"/>
          <w:position w:val="0"/>
          <w:sz w:val="18"/>
          <w:szCs w:val="18"/>
        </w:rPr>
        <w:t>［2018］25</w:t>
      </w:r>
      <w:r>
        <w:rPr>
          <w:color w:val="000000"/>
          <w:spacing w:val="0"/>
          <w:w w:val="100"/>
          <w:position w:val="0"/>
        </w:rPr>
        <w:t>号文自</w:t>
      </w:r>
      <w:r>
        <w:rPr>
          <w:rFonts w:ascii="Arial Narrow" w:eastAsia="Arial Narrow" w:hAnsi="Arial Narrow" w:cs="Arial Narrow"/>
          <w:color w:val="000000"/>
          <w:spacing w:val="0"/>
          <w:w w:val="100"/>
          <w:position w:val="0"/>
          <w:sz w:val="18"/>
          <w:szCs w:val="18"/>
        </w:rPr>
        <w:t>2018</w:t>
      </w:r>
      <w:r>
        <w:rPr>
          <w:color w:val="000000"/>
          <w:spacing w:val="0"/>
          <w:w w:val="100"/>
          <w:position w:val="0"/>
        </w:rPr>
        <w:t>年至</w:t>
      </w:r>
      <w:r>
        <w:rPr>
          <w:rFonts w:ascii="Arial Narrow" w:eastAsia="Arial Narrow" w:hAnsi="Arial Narrow" w:cs="Arial Narrow"/>
          <w:color w:val="000000"/>
          <w:spacing w:val="0"/>
          <w:w w:val="100"/>
          <w:position w:val="0"/>
          <w:sz w:val="18"/>
          <w:szCs w:val="18"/>
        </w:rPr>
        <w:t>2020</w:t>
      </w:r>
      <w:r>
        <w:rPr>
          <w:color w:val="000000"/>
          <w:spacing w:val="0"/>
          <w:w w:val="100"/>
          <w:position w:val="0"/>
        </w:rPr>
        <w:t>年期间执行</w:t>
      </w:r>
      <w:r>
        <w:rPr>
          <w:rFonts w:ascii="Arial Narrow" w:eastAsia="Arial Narrow" w:hAnsi="Arial Narrow" w:cs="Arial Narrow"/>
          <w:color w:val="000000"/>
          <w:spacing w:val="0"/>
          <w:w w:val="100"/>
          <w:position w:val="0"/>
          <w:sz w:val="18"/>
          <w:szCs w:val="18"/>
        </w:rPr>
        <w:t>15%</w:t>
      </w:r>
      <w:r>
        <w:rPr>
          <w:color w:val="000000"/>
          <w:spacing w:val="0"/>
          <w:w w:val="100"/>
          <w:position w:val="0"/>
        </w:rPr>
        <w:t>的企业所得税税率。自</w:t>
      </w:r>
      <w:r>
        <w:rPr>
          <w:rFonts w:ascii="Arial Narrow" w:eastAsia="Arial Narrow" w:hAnsi="Arial Narrow" w:cs="Arial Narrow"/>
          <w:color w:val="000000"/>
          <w:spacing w:val="0"/>
          <w:w w:val="100"/>
          <w:position w:val="0"/>
          <w:sz w:val="18"/>
          <w:szCs w:val="18"/>
        </w:rPr>
        <w:t>2018</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 xml:space="preserve">1 </w:t>
      </w:r>
      <w:r>
        <w:rPr>
          <w:color w:val="000000"/>
          <w:spacing w:val="0"/>
          <w:w w:val="100"/>
          <w:position w:val="0"/>
        </w:rPr>
        <w:t>日起至</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日止，暂免征收西藏自治区内企业应缴纳的企业所得税中属于地方分享的部分，即按照</w:t>
      </w:r>
      <w:r>
        <w:rPr>
          <w:rFonts w:ascii="Arial Narrow" w:eastAsia="Arial Narrow" w:hAnsi="Arial Narrow" w:cs="Arial Narrow"/>
          <w:color w:val="000000"/>
          <w:spacing w:val="0"/>
          <w:w w:val="100"/>
          <w:position w:val="0"/>
          <w:sz w:val="18"/>
          <w:szCs w:val="18"/>
        </w:rPr>
        <w:t>15%</w:t>
      </w:r>
      <w:r>
        <w:rPr>
          <w:color w:val="000000"/>
          <w:spacing w:val="0"/>
          <w:w w:val="100"/>
          <w:position w:val="0"/>
        </w:rPr>
        <w:t>计缴所得</w:t>
      </w:r>
    </w:p>
    <w:p>
      <w:pPr>
        <w:pStyle w:val="Style26"/>
        <w:keepNext w:val="0"/>
        <w:keepLines w:val="0"/>
        <w:widowControl w:val="0"/>
        <w:shd w:val="clear" w:color="auto" w:fill="auto"/>
        <w:bidi w:val="0"/>
        <w:spacing w:before="0" w:after="0" w:line="504" w:lineRule="exact"/>
        <w:ind w:left="400" w:right="0" w:firstLine="60"/>
        <w:jc w:val="both"/>
      </w:pPr>
      <w:r>
        <w:rPr>
          <w:color w:val="000000"/>
          <w:spacing w:val="0"/>
          <w:w w:val="100"/>
          <w:position w:val="0"/>
        </w:rPr>
        <w:t>税，本公司全资子公司西藏旭阳投资管理有限公司、西藏东旭电力工程有限公司、西藏众胜新能源科技有限公司符合西部地 区税收优惠政策条件并暂免征收西藏自治区属于地方分享的部分，可按</w:t>
      </w:r>
      <w:r>
        <w:rPr>
          <w:rFonts w:ascii="Arial Narrow" w:eastAsia="Arial Narrow" w:hAnsi="Arial Narrow" w:cs="Arial Narrow"/>
          <w:color w:val="000000"/>
          <w:spacing w:val="0"/>
          <w:w w:val="100"/>
          <w:position w:val="0"/>
          <w:sz w:val="18"/>
          <w:szCs w:val="18"/>
        </w:rPr>
        <w:t>15%</w:t>
      </w:r>
      <w:r>
        <w:rPr>
          <w:color w:val="000000"/>
          <w:spacing w:val="0"/>
          <w:w w:val="100"/>
          <w:position w:val="0"/>
        </w:rPr>
        <w:t>税率缴纳企业所得税。</w:t>
      </w:r>
    </w:p>
    <w:p>
      <w:pPr>
        <w:pStyle w:val="Style26"/>
        <w:keepNext w:val="0"/>
        <w:keepLines w:val="0"/>
        <w:widowControl w:val="0"/>
        <w:numPr>
          <w:ilvl w:val="0"/>
          <w:numId w:val="39"/>
        </w:numPr>
        <w:shd w:val="clear" w:color="auto" w:fill="auto"/>
        <w:tabs>
          <w:tab w:pos="1073" w:val="left"/>
        </w:tabs>
        <w:bidi w:val="0"/>
        <w:spacing w:before="0" w:after="0" w:line="504" w:lineRule="exact"/>
        <w:ind w:left="400" w:right="0" w:firstLine="420"/>
        <w:jc w:val="both"/>
      </w:pPr>
      <w:bookmarkStart w:id="1004" w:name="bookmark1004"/>
      <w:bookmarkEnd w:id="1004"/>
      <w:r>
        <w:rPr>
          <w:color w:val="000000"/>
          <w:spacing w:val="0"/>
          <w:w w:val="100"/>
          <w:position w:val="0"/>
        </w:rPr>
        <w:t>根据财税</w:t>
      </w:r>
      <w:r>
        <w:rPr>
          <w:rFonts w:ascii="Arial Narrow" w:eastAsia="Arial Narrow" w:hAnsi="Arial Narrow" w:cs="Arial Narrow"/>
          <w:color w:val="000000"/>
          <w:spacing w:val="0"/>
          <w:w w:val="100"/>
          <w:position w:val="0"/>
          <w:sz w:val="18"/>
          <w:szCs w:val="18"/>
        </w:rPr>
        <w:t xml:space="preserve">［2011］ </w:t>
      </w:r>
      <w:r>
        <w:rPr>
          <w:rFonts w:ascii="Arial Narrow" w:eastAsia="Arial Narrow" w:hAnsi="Arial Narrow" w:cs="Arial Narrow"/>
          <w:color w:val="000000"/>
          <w:spacing w:val="0"/>
          <w:w w:val="100"/>
          <w:position w:val="0"/>
          <w:sz w:val="18"/>
          <w:szCs w:val="18"/>
        </w:rPr>
        <w:t>58</w:t>
      </w:r>
      <w:r>
        <w:rPr>
          <w:color w:val="000000"/>
          <w:spacing w:val="0"/>
          <w:w w:val="100"/>
          <w:position w:val="0"/>
        </w:rPr>
        <w:t>号、国家税务总局</w:t>
      </w:r>
      <w:r>
        <w:rPr>
          <w:rFonts w:ascii="Arial Narrow" w:eastAsia="Arial Narrow" w:hAnsi="Arial Narrow" w:cs="Arial Narrow"/>
          <w:color w:val="000000"/>
          <w:spacing w:val="0"/>
          <w:w w:val="100"/>
          <w:position w:val="0"/>
          <w:sz w:val="18"/>
          <w:szCs w:val="18"/>
        </w:rPr>
        <w:t>2012</w:t>
      </w:r>
      <w:r>
        <w:rPr>
          <w:color w:val="000000"/>
          <w:spacing w:val="0"/>
          <w:w w:val="100"/>
          <w:position w:val="0"/>
        </w:rPr>
        <w:t>年第</w:t>
      </w:r>
      <w:r>
        <w:rPr>
          <w:rFonts w:ascii="Arial Narrow" w:eastAsia="Arial Narrow" w:hAnsi="Arial Narrow" w:cs="Arial Narrow"/>
          <w:color w:val="000000"/>
          <w:spacing w:val="0"/>
          <w:w w:val="100"/>
          <w:position w:val="0"/>
          <w:sz w:val="18"/>
          <w:szCs w:val="18"/>
        </w:rPr>
        <w:t>12</w:t>
      </w:r>
      <w:r>
        <w:rPr>
          <w:color w:val="000000"/>
          <w:spacing w:val="0"/>
          <w:w w:val="100"/>
          <w:position w:val="0"/>
        </w:rPr>
        <w:t>号公告规定，自</w:t>
      </w:r>
      <w:r>
        <w:rPr>
          <w:rFonts w:ascii="Arial Narrow" w:eastAsia="Arial Narrow" w:hAnsi="Arial Narrow" w:cs="Arial Narrow"/>
          <w:color w:val="000000"/>
          <w:spacing w:val="0"/>
          <w:w w:val="100"/>
          <w:position w:val="0"/>
          <w:sz w:val="18"/>
          <w:szCs w:val="18"/>
        </w:rPr>
        <w:t>2011</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1</w:t>
      </w:r>
      <w:r>
        <w:rPr>
          <w:color w:val="000000"/>
          <w:spacing w:val="0"/>
          <w:w w:val="100"/>
          <w:position w:val="0"/>
        </w:rPr>
        <w:t>日至</w:t>
      </w:r>
      <w:r>
        <w:rPr>
          <w:rFonts w:ascii="Arial Narrow" w:eastAsia="Arial Narrow" w:hAnsi="Arial Narrow" w:cs="Arial Narrow"/>
          <w:color w:val="000000"/>
          <w:spacing w:val="0"/>
          <w:w w:val="100"/>
          <w:position w:val="0"/>
          <w:sz w:val="18"/>
          <w:szCs w:val="18"/>
        </w:rPr>
        <w:t>2020</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日，对设在西 部地区以《西部地区鼓励类产业目录》中规定的产业项目为主营业务，且其当年度主营业务收入占企业收入总额</w:t>
      </w:r>
      <w:r>
        <w:rPr>
          <w:rFonts w:ascii="Arial Narrow" w:eastAsia="Arial Narrow" w:hAnsi="Arial Narrow" w:cs="Arial Narrow"/>
          <w:color w:val="000000"/>
          <w:spacing w:val="0"/>
          <w:w w:val="100"/>
          <w:position w:val="0"/>
          <w:sz w:val="18"/>
          <w:szCs w:val="18"/>
        </w:rPr>
        <w:t>70</w:t>
      </w:r>
      <w:r>
        <w:rPr>
          <w:color w:val="000000"/>
          <w:spacing w:val="0"/>
          <w:w w:val="100"/>
          <w:position w:val="0"/>
        </w:rPr>
        <w:t>%以上 的企业，可减按</w:t>
      </w:r>
      <w:r>
        <w:rPr>
          <w:rFonts w:ascii="Arial Narrow" w:eastAsia="Arial Narrow" w:hAnsi="Arial Narrow" w:cs="Arial Narrow"/>
          <w:color w:val="000000"/>
          <w:spacing w:val="0"/>
          <w:w w:val="100"/>
          <w:position w:val="0"/>
          <w:sz w:val="18"/>
          <w:szCs w:val="18"/>
        </w:rPr>
        <w:t>15</w:t>
      </w:r>
      <w:r>
        <w:rPr>
          <w:color w:val="000000"/>
          <w:spacing w:val="0"/>
          <w:w w:val="100"/>
          <w:position w:val="0"/>
        </w:rPr>
        <w:t>%税率缴纳企业所得税。根据四川省发展和改革委员会出具的西部地区鼓励类产业项目确认书（川发改 西产认字</w:t>
      </w:r>
      <w:r>
        <w:rPr>
          <w:rFonts w:ascii="Arial Narrow" w:eastAsia="Arial Narrow" w:hAnsi="Arial Narrow" w:cs="Arial Narrow"/>
          <w:color w:val="000000"/>
          <w:spacing w:val="0"/>
          <w:w w:val="100"/>
          <w:position w:val="0"/>
          <w:sz w:val="18"/>
          <w:szCs w:val="18"/>
        </w:rPr>
        <w:t>［2016］41</w:t>
      </w:r>
      <w:r>
        <w:rPr>
          <w:color w:val="000000"/>
          <w:spacing w:val="0"/>
          <w:w w:val="100"/>
          <w:position w:val="0"/>
        </w:rPr>
        <w:t>号），本公司全资子公司四川东旭电力工程有限公司符合西部地区税收优惠政策条件，本报告期按</w:t>
      </w:r>
      <w:r>
        <w:rPr>
          <w:rFonts w:ascii="Arial Narrow" w:eastAsia="Arial Narrow" w:hAnsi="Arial Narrow" w:cs="Arial Narrow"/>
          <w:color w:val="000000"/>
          <w:spacing w:val="0"/>
          <w:w w:val="100"/>
          <w:position w:val="0"/>
          <w:sz w:val="18"/>
          <w:szCs w:val="18"/>
        </w:rPr>
        <w:t>15%</w:t>
      </w:r>
      <w:r>
        <w:rPr>
          <w:color w:val="000000"/>
          <w:spacing w:val="0"/>
          <w:w w:val="100"/>
          <w:position w:val="0"/>
        </w:rPr>
        <w:t>的税 率缴纳企业所得税。</w:t>
      </w:r>
    </w:p>
    <w:p>
      <w:pPr>
        <w:pStyle w:val="Style26"/>
        <w:keepNext w:val="0"/>
        <w:keepLines w:val="0"/>
        <w:widowControl w:val="0"/>
        <w:numPr>
          <w:ilvl w:val="0"/>
          <w:numId w:val="39"/>
        </w:numPr>
        <w:shd w:val="clear" w:color="auto" w:fill="auto"/>
        <w:tabs>
          <w:tab w:pos="1073" w:val="left"/>
        </w:tabs>
        <w:bidi w:val="0"/>
        <w:spacing w:before="0" w:after="0" w:line="504" w:lineRule="exact"/>
        <w:ind w:left="400" w:right="0" w:firstLine="420"/>
        <w:jc w:val="both"/>
      </w:pPr>
      <w:bookmarkStart w:id="1005" w:name="bookmark1005"/>
      <w:bookmarkEnd w:id="1005"/>
      <w:r>
        <w:rPr>
          <w:color w:val="000000"/>
          <w:spacing w:val="0"/>
          <w:w w:val="100"/>
          <w:position w:val="0"/>
        </w:rPr>
        <w:t>根据《中华人民共和国企业所得税法》第二十八条，国家需要重点扶持的高新技术企业，减按</w:t>
      </w:r>
      <w:r>
        <w:rPr>
          <w:rFonts w:ascii="Arial Narrow" w:eastAsia="Arial Narrow" w:hAnsi="Arial Narrow" w:cs="Arial Narrow"/>
          <w:color w:val="000000"/>
          <w:spacing w:val="0"/>
          <w:w w:val="100"/>
          <w:position w:val="0"/>
          <w:sz w:val="18"/>
          <w:szCs w:val="18"/>
        </w:rPr>
        <w:t>15%</w:t>
      </w:r>
      <w:r>
        <w:rPr>
          <w:color w:val="000000"/>
          <w:spacing w:val="0"/>
          <w:w w:val="100"/>
          <w:position w:val="0"/>
        </w:rPr>
        <w:t>的税率征收企业 所得税。</w:t>
      </w:r>
    </w:p>
    <w:p>
      <w:pPr>
        <w:pStyle w:val="Style26"/>
        <w:keepNext w:val="0"/>
        <w:keepLines w:val="0"/>
        <w:widowControl w:val="0"/>
        <w:shd w:val="clear" w:color="auto" w:fill="auto"/>
        <w:bidi w:val="0"/>
        <w:spacing w:before="0" w:after="60" w:line="506" w:lineRule="exact"/>
        <w:ind w:left="400" w:right="0" w:firstLine="420"/>
        <w:jc w:val="both"/>
      </w:pPr>
      <w:r>
        <w:rPr>
          <w:color w:val="000000"/>
          <w:spacing w:val="0"/>
          <w:w w:val="100"/>
          <w:position w:val="0"/>
        </w:rPr>
        <w:t>本公司全资子公司星景生态环保科技</w:t>
      </w:r>
      <w:r>
        <w:rPr>
          <w:rFonts w:ascii="Arial Narrow" w:eastAsia="Arial Narrow" w:hAnsi="Arial Narrow" w:cs="Arial Narrow"/>
          <w:color w:val="000000"/>
          <w:spacing w:val="0"/>
          <w:w w:val="100"/>
          <w:position w:val="0"/>
          <w:sz w:val="18"/>
          <w:szCs w:val="18"/>
        </w:rPr>
        <w:t>（</w:t>
      </w:r>
      <w:r>
        <w:rPr>
          <w:color w:val="000000"/>
          <w:spacing w:val="0"/>
          <w:w w:val="100"/>
          <w:position w:val="0"/>
        </w:rPr>
        <w:t>苏州</w:t>
      </w:r>
      <w:r>
        <w:rPr>
          <w:rFonts w:ascii="Arial Narrow" w:eastAsia="Arial Narrow" w:hAnsi="Arial Narrow" w:cs="Arial Narrow"/>
          <w:color w:val="000000"/>
          <w:spacing w:val="0"/>
          <w:w w:val="100"/>
          <w:position w:val="0"/>
          <w:sz w:val="18"/>
          <w:szCs w:val="18"/>
        </w:rPr>
        <w:t>）</w:t>
      </w:r>
      <w:r>
        <w:rPr>
          <w:color w:val="000000"/>
          <w:spacing w:val="0"/>
          <w:w w:val="100"/>
          <w:position w:val="0"/>
        </w:rPr>
        <w:t>有限公司于</w:t>
      </w:r>
      <w:r>
        <w:rPr>
          <w:rFonts w:ascii="Arial Narrow" w:eastAsia="Arial Narrow" w:hAnsi="Arial Narrow" w:cs="Arial Narrow"/>
          <w:color w:val="000000"/>
          <w:spacing w:val="0"/>
          <w:w w:val="100"/>
          <w:position w:val="0"/>
          <w:sz w:val="18"/>
          <w:szCs w:val="18"/>
        </w:rPr>
        <w:t>2017</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7</w:t>
      </w:r>
      <w:r>
        <w:rPr>
          <w:color w:val="000000"/>
          <w:spacing w:val="0"/>
          <w:w w:val="100"/>
          <w:position w:val="0"/>
        </w:rPr>
        <w:t>日取得了江苏省科学技术厅、江苏省财政厅、江 苏省国家税务局、江苏省地方税务局联合下发的</w:t>
      </w:r>
      <w:r>
        <w:rPr>
          <w:rFonts w:ascii="Arial Narrow" w:eastAsia="Arial Narrow" w:hAnsi="Arial Narrow" w:cs="Arial Narrow"/>
          <w:color w:val="000000"/>
          <w:spacing w:val="0"/>
          <w:w w:val="100"/>
          <w:position w:val="0"/>
          <w:sz w:val="18"/>
          <w:szCs w:val="18"/>
        </w:rPr>
        <w:t>GR201732002164</w:t>
      </w:r>
      <w:r>
        <w:rPr>
          <w:color w:val="000000"/>
          <w:spacing w:val="0"/>
          <w:w w:val="100"/>
          <w:position w:val="0"/>
        </w:rPr>
        <w:t>号《高新技术企业证书》，适用的企业所得税率为</w:t>
      </w:r>
      <w:r>
        <w:rPr>
          <w:rFonts w:ascii="Arial Narrow" w:eastAsia="Arial Narrow" w:hAnsi="Arial Narrow" w:cs="Arial Narrow"/>
          <w:color w:val="000000"/>
          <w:spacing w:val="0"/>
          <w:w w:val="100"/>
          <w:position w:val="0"/>
          <w:sz w:val="18"/>
          <w:szCs w:val="18"/>
        </w:rPr>
        <w:t>15%</w:t>
      </w:r>
      <w:r>
        <w:rPr>
          <w:color w:val="000000"/>
          <w:spacing w:val="0"/>
          <w:w w:val="100"/>
          <w:position w:val="0"/>
        </w:rPr>
        <w:t>,自 发证之日起，有效期三年。</w:t>
      </w:r>
    </w:p>
    <w:p>
      <w:pPr>
        <w:pStyle w:val="Style26"/>
        <w:keepNext w:val="0"/>
        <w:keepLines w:val="0"/>
        <w:widowControl w:val="0"/>
        <w:shd w:val="clear" w:color="auto" w:fill="auto"/>
        <w:bidi w:val="0"/>
        <w:spacing w:before="0" w:after="0" w:line="504" w:lineRule="exact"/>
        <w:ind w:left="460" w:right="0" w:firstLine="380"/>
        <w:jc w:val="both"/>
      </w:pPr>
      <w:r>
        <w:rPr>
          <w:color w:val="000000"/>
          <w:spacing w:val="0"/>
          <w:w w:val="100"/>
          <w:position w:val="0"/>
        </w:rPr>
        <w:t>本公司持股</w:t>
      </w:r>
      <w:r>
        <w:rPr>
          <w:rFonts w:ascii="Arial Narrow" w:eastAsia="Arial Narrow" w:hAnsi="Arial Narrow" w:cs="Arial Narrow"/>
          <w:color w:val="000000"/>
          <w:spacing w:val="0"/>
          <w:w w:val="100"/>
          <w:position w:val="0"/>
          <w:sz w:val="18"/>
          <w:szCs w:val="18"/>
        </w:rPr>
        <w:t>51%</w:t>
      </w:r>
      <w:r>
        <w:rPr>
          <w:color w:val="000000"/>
          <w:spacing w:val="0"/>
          <w:w w:val="100"/>
          <w:position w:val="0"/>
        </w:rPr>
        <w:t>子公司上海安轩自动化科技有限公司于</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6</w:t>
      </w:r>
      <w:r>
        <w:rPr>
          <w:color w:val="000000"/>
          <w:spacing w:val="0"/>
          <w:w w:val="100"/>
          <w:position w:val="0"/>
        </w:rPr>
        <w:t>日取得了上海市科学技术委员会、上海市财政局、 国家税务总局上海市税务局联合下发的</w:t>
      </w:r>
      <w:r>
        <w:rPr>
          <w:rFonts w:ascii="Arial Narrow" w:eastAsia="Arial Narrow" w:hAnsi="Arial Narrow" w:cs="Arial Narrow"/>
          <w:color w:val="000000"/>
          <w:spacing w:val="0"/>
          <w:w w:val="100"/>
          <w:position w:val="0"/>
          <w:sz w:val="18"/>
          <w:szCs w:val="18"/>
        </w:rPr>
        <w:t>GR201931004536</w:t>
      </w:r>
      <w:r>
        <w:rPr>
          <w:color w:val="000000"/>
          <w:spacing w:val="0"/>
          <w:w w:val="100"/>
          <w:position w:val="0"/>
        </w:rPr>
        <w:t>号《高新技术企业证书》，适用的企业所得税率为</w:t>
      </w:r>
      <w:r>
        <w:rPr>
          <w:rFonts w:ascii="Arial Narrow" w:eastAsia="Arial Narrow" w:hAnsi="Arial Narrow" w:cs="Arial Narrow"/>
          <w:color w:val="000000"/>
          <w:spacing w:val="0"/>
          <w:w w:val="100"/>
          <w:position w:val="0"/>
          <w:sz w:val="18"/>
          <w:szCs w:val="18"/>
        </w:rPr>
        <w:t>15%</w:t>
      </w:r>
      <w:r>
        <w:rPr>
          <w:color w:val="000000"/>
          <w:spacing w:val="0"/>
          <w:w w:val="100"/>
          <w:position w:val="0"/>
        </w:rPr>
        <w:t>，自发证之日 起，有效期三年。</w:t>
      </w:r>
    </w:p>
    <w:p>
      <w:pPr>
        <w:pStyle w:val="Style26"/>
        <w:keepNext w:val="0"/>
        <w:keepLines w:val="0"/>
        <w:widowControl w:val="0"/>
        <w:shd w:val="clear" w:color="auto" w:fill="auto"/>
        <w:bidi w:val="0"/>
        <w:spacing w:before="0" w:after="0" w:line="504" w:lineRule="exact"/>
        <w:ind w:left="460" w:right="0" w:firstLine="380"/>
        <w:jc w:val="both"/>
      </w:pPr>
      <w:r>
        <w:rPr>
          <w:color w:val="000000"/>
          <w:spacing w:val="0"/>
          <w:w w:val="100"/>
          <w:position w:val="0"/>
        </w:rPr>
        <w:t>本公司全资子公司安徽东旭康图太阳能科技有限公司于</w:t>
      </w:r>
      <w:r>
        <w:rPr>
          <w:rFonts w:ascii="Arial Narrow" w:eastAsia="Arial Narrow" w:hAnsi="Arial Narrow" w:cs="Arial Narrow"/>
          <w:color w:val="000000"/>
          <w:spacing w:val="0"/>
          <w:w w:val="100"/>
          <w:position w:val="0"/>
          <w:sz w:val="18"/>
          <w:szCs w:val="18"/>
        </w:rPr>
        <w:t>2018</w:t>
      </w:r>
      <w:r>
        <w:rPr>
          <w:color w:val="000000"/>
          <w:spacing w:val="0"/>
          <w:w w:val="100"/>
          <w:position w:val="0"/>
        </w:rPr>
        <w:t>年</w:t>
      </w:r>
      <w:r>
        <w:rPr>
          <w:rFonts w:ascii="Arial Narrow" w:eastAsia="Arial Narrow" w:hAnsi="Arial Narrow" w:cs="Arial Narrow"/>
          <w:color w:val="000000"/>
          <w:spacing w:val="0"/>
          <w:w w:val="100"/>
          <w:position w:val="0"/>
          <w:sz w:val="18"/>
          <w:szCs w:val="18"/>
        </w:rPr>
        <w:t>7</w:t>
      </w:r>
      <w:r>
        <w:rPr>
          <w:color w:val="000000"/>
          <w:spacing w:val="0"/>
          <w:w w:val="100"/>
          <w:position w:val="0"/>
        </w:rPr>
        <w:t>月</w:t>
      </w:r>
      <w:r>
        <w:rPr>
          <w:rFonts w:ascii="Arial Narrow" w:eastAsia="Arial Narrow" w:hAnsi="Arial Narrow" w:cs="Arial Narrow"/>
          <w:color w:val="000000"/>
          <w:spacing w:val="0"/>
          <w:w w:val="100"/>
          <w:position w:val="0"/>
          <w:sz w:val="18"/>
          <w:szCs w:val="18"/>
        </w:rPr>
        <w:t>24</w:t>
      </w:r>
      <w:r>
        <w:rPr>
          <w:color w:val="000000"/>
          <w:spacing w:val="0"/>
          <w:w w:val="100"/>
          <w:position w:val="0"/>
        </w:rPr>
        <w:t>日取得了安徽省科学技术厅、安徽省财政厅、国 家税务总局安徽省税务局联合下发的</w:t>
      </w:r>
      <w:r>
        <w:rPr>
          <w:rFonts w:ascii="Arial Narrow" w:eastAsia="Arial Narrow" w:hAnsi="Arial Narrow" w:cs="Arial Narrow"/>
          <w:color w:val="000000"/>
          <w:spacing w:val="0"/>
          <w:w w:val="100"/>
          <w:position w:val="0"/>
          <w:sz w:val="18"/>
          <w:szCs w:val="18"/>
        </w:rPr>
        <w:t>GR201834000685</w:t>
      </w:r>
      <w:r>
        <w:rPr>
          <w:color w:val="000000"/>
          <w:spacing w:val="0"/>
          <w:w w:val="100"/>
          <w:position w:val="0"/>
        </w:rPr>
        <w:t>号《高新技术企业证书》，适用的企业所得税率为</w:t>
      </w:r>
      <w:r>
        <w:rPr>
          <w:rFonts w:ascii="Arial Narrow" w:eastAsia="Arial Narrow" w:hAnsi="Arial Narrow" w:cs="Arial Narrow"/>
          <w:color w:val="000000"/>
          <w:spacing w:val="0"/>
          <w:w w:val="100"/>
          <w:position w:val="0"/>
          <w:sz w:val="18"/>
          <w:szCs w:val="18"/>
        </w:rPr>
        <w:t>15%</w:t>
      </w:r>
      <w:r>
        <w:rPr>
          <w:color w:val="000000"/>
          <w:spacing w:val="0"/>
          <w:w w:val="100"/>
          <w:position w:val="0"/>
        </w:rPr>
        <w:t>，自发证之日起， 有效期三年。</w:t>
      </w:r>
    </w:p>
    <w:p>
      <w:pPr>
        <w:pStyle w:val="Style26"/>
        <w:keepNext w:val="0"/>
        <w:keepLines w:val="0"/>
        <w:widowControl w:val="0"/>
        <w:shd w:val="clear" w:color="auto" w:fill="auto"/>
        <w:bidi w:val="0"/>
        <w:spacing w:before="0" w:after="0" w:line="504" w:lineRule="exact"/>
        <w:ind w:left="460" w:right="0" w:firstLine="380"/>
        <w:jc w:val="both"/>
      </w:pPr>
      <w:r>
        <w:rPr>
          <w:color w:val="000000"/>
          <w:spacing w:val="0"/>
          <w:w w:val="100"/>
          <w:position w:val="0"/>
        </w:rPr>
        <w:t>本公司全资子公司东旭新能源投资有限公司于</w:t>
      </w:r>
      <w:r>
        <w:rPr>
          <w:rFonts w:ascii="Arial Narrow" w:eastAsia="Arial Narrow" w:hAnsi="Arial Narrow" w:cs="Arial Narrow"/>
          <w:color w:val="000000"/>
          <w:spacing w:val="0"/>
          <w:w w:val="100"/>
          <w:position w:val="0"/>
          <w:sz w:val="18"/>
          <w:szCs w:val="18"/>
        </w:rPr>
        <w:t>2018</w:t>
      </w:r>
      <w:r>
        <w:rPr>
          <w:color w:val="000000"/>
          <w:spacing w:val="0"/>
          <w:w w:val="100"/>
          <w:position w:val="0"/>
        </w:rPr>
        <w:t>年</w:t>
      </w:r>
      <w:r>
        <w:rPr>
          <w:rFonts w:ascii="Arial Narrow" w:eastAsia="Arial Narrow" w:hAnsi="Arial Narrow" w:cs="Arial Narrow"/>
          <w:color w:val="000000"/>
          <w:spacing w:val="0"/>
          <w:w w:val="100"/>
          <w:position w:val="0"/>
          <w:sz w:val="18"/>
          <w:szCs w:val="18"/>
        </w:rPr>
        <w:t>10</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日取得了北京市科学技术委员会、北京市财政局、国家 税务总局北京市税务局联合下发的</w:t>
      </w:r>
      <w:r>
        <w:rPr>
          <w:rFonts w:ascii="Arial Narrow" w:eastAsia="Arial Narrow" w:hAnsi="Arial Narrow" w:cs="Arial Narrow"/>
          <w:color w:val="000000"/>
          <w:spacing w:val="0"/>
          <w:w w:val="100"/>
          <w:position w:val="0"/>
          <w:sz w:val="18"/>
          <w:szCs w:val="18"/>
        </w:rPr>
        <w:t>GR201811004951</w:t>
      </w:r>
      <w:r>
        <w:rPr>
          <w:color w:val="000000"/>
          <w:spacing w:val="0"/>
          <w:w w:val="100"/>
          <w:position w:val="0"/>
        </w:rPr>
        <w:t>号《高新技术企业证书》，适用的企业所得税率为</w:t>
      </w:r>
      <w:r>
        <w:rPr>
          <w:rFonts w:ascii="Arial Narrow" w:eastAsia="Arial Narrow" w:hAnsi="Arial Narrow" w:cs="Arial Narrow"/>
          <w:color w:val="000000"/>
          <w:spacing w:val="0"/>
          <w:w w:val="100"/>
          <w:position w:val="0"/>
          <w:sz w:val="18"/>
          <w:szCs w:val="18"/>
        </w:rPr>
        <w:t>15%</w:t>
      </w:r>
      <w:r>
        <w:rPr>
          <w:color w:val="000000"/>
          <w:spacing w:val="0"/>
          <w:w w:val="100"/>
          <w:position w:val="0"/>
        </w:rPr>
        <w:t>，自发证之日起， 有效期三年。</w:t>
      </w:r>
    </w:p>
    <w:p>
      <w:pPr>
        <w:pStyle w:val="Style26"/>
        <w:keepNext w:val="0"/>
        <w:keepLines w:val="0"/>
        <w:widowControl w:val="0"/>
        <w:numPr>
          <w:ilvl w:val="0"/>
          <w:numId w:val="39"/>
        </w:numPr>
        <w:shd w:val="clear" w:color="auto" w:fill="auto"/>
        <w:tabs>
          <w:tab w:pos="1138" w:val="left"/>
        </w:tabs>
        <w:bidi w:val="0"/>
        <w:spacing w:before="0" w:after="0" w:line="504" w:lineRule="exact"/>
        <w:ind w:left="460" w:right="0" w:firstLine="380"/>
        <w:jc w:val="both"/>
      </w:pPr>
      <w:bookmarkStart w:id="1006" w:name="bookmark1006"/>
      <w:bookmarkEnd w:id="1006"/>
      <w:r>
        <w:rPr>
          <w:color w:val="000000"/>
          <w:spacing w:val="0"/>
          <w:w w:val="100"/>
          <w:position w:val="0"/>
        </w:rPr>
        <w:t>根据财税</w:t>
      </w:r>
      <w:r>
        <w:rPr>
          <w:rFonts w:ascii="Arial Narrow" w:eastAsia="Arial Narrow" w:hAnsi="Arial Narrow" w:cs="Arial Narrow"/>
          <w:color w:val="000000"/>
          <w:spacing w:val="0"/>
          <w:w w:val="100"/>
          <w:position w:val="0"/>
          <w:sz w:val="18"/>
          <w:szCs w:val="18"/>
        </w:rPr>
        <w:t xml:space="preserve">[2008] </w:t>
      </w:r>
      <w:r>
        <w:rPr>
          <w:rFonts w:ascii="Arial Narrow" w:eastAsia="Arial Narrow" w:hAnsi="Arial Narrow" w:cs="Arial Narrow"/>
          <w:color w:val="000000"/>
          <w:spacing w:val="0"/>
          <w:w w:val="100"/>
          <w:position w:val="0"/>
          <w:sz w:val="18"/>
          <w:szCs w:val="18"/>
        </w:rPr>
        <w:t>116</w:t>
      </w:r>
      <w:r>
        <w:rPr>
          <w:color w:val="000000"/>
          <w:spacing w:val="0"/>
          <w:w w:val="100"/>
          <w:position w:val="0"/>
        </w:rPr>
        <w:t>号、国税发</w:t>
      </w:r>
      <w:r>
        <w:rPr>
          <w:rFonts w:ascii="Arial Narrow" w:eastAsia="Arial Narrow" w:hAnsi="Arial Narrow" w:cs="Arial Narrow"/>
          <w:color w:val="000000"/>
          <w:spacing w:val="0"/>
          <w:w w:val="100"/>
          <w:position w:val="0"/>
          <w:sz w:val="18"/>
          <w:szCs w:val="18"/>
        </w:rPr>
        <w:t xml:space="preserve">[2009] </w:t>
      </w:r>
      <w:r>
        <w:rPr>
          <w:rFonts w:ascii="Arial Narrow" w:eastAsia="Arial Narrow" w:hAnsi="Arial Narrow" w:cs="Arial Narrow"/>
          <w:color w:val="000000"/>
          <w:spacing w:val="0"/>
          <w:w w:val="100"/>
          <w:position w:val="0"/>
          <w:sz w:val="18"/>
          <w:szCs w:val="18"/>
        </w:rPr>
        <w:t>80</w:t>
      </w:r>
      <w:r>
        <w:rPr>
          <w:color w:val="000000"/>
          <w:spacing w:val="0"/>
          <w:w w:val="100"/>
          <w:position w:val="0"/>
        </w:rPr>
        <w:t>号文件规定，从事符合《公共基础设施项目企业所得税优惠目录》规定范围、 条件和标准的公共基础设施项目的投资经营所得，自该项目取得第一笔生产经营收入所属纳税年度起，第一年至第三年免征 企业所得税，第四年至第六年减半征收企业所得税。本公司电站系经政府投资主管部门核准的太阳能发电项目</w:t>
      </w:r>
      <w:r>
        <w:rPr>
          <w:color w:val="000000"/>
          <w:spacing w:val="0"/>
          <w:w w:val="100"/>
          <w:position w:val="0"/>
          <w:sz w:val="22"/>
          <w:szCs w:val="22"/>
        </w:rPr>
        <w:t>，</w:t>
      </w:r>
      <w:r>
        <w:rPr>
          <w:color w:val="000000"/>
          <w:spacing w:val="0"/>
          <w:w w:val="100"/>
          <w:position w:val="0"/>
        </w:rPr>
        <w:t>属于公共基 础设施项目，项目公司可以享受光伏电站所得税</w:t>
      </w:r>
      <w:r>
        <w:rPr>
          <w:rFonts w:ascii="Arial Narrow" w:eastAsia="Arial Narrow" w:hAnsi="Arial Narrow" w:cs="Arial Narrow"/>
          <w:color w:val="000000"/>
          <w:spacing w:val="0"/>
          <w:w w:val="100"/>
          <w:position w:val="0"/>
          <w:sz w:val="18"/>
          <w:szCs w:val="18"/>
        </w:rPr>
        <w:t>“</w:t>
      </w:r>
      <w:r>
        <w:rPr>
          <w:color w:val="000000"/>
          <w:spacing w:val="0"/>
          <w:w w:val="100"/>
          <w:position w:val="0"/>
        </w:rPr>
        <w:t>三免三减半</w:t>
      </w:r>
      <w:r>
        <w:rPr>
          <w:rFonts w:ascii="Arial Narrow" w:eastAsia="Arial Narrow" w:hAnsi="Arial Narrow" w:cs="Arial Narrow"/>
          <w:color w:val="000000"/>
          <w:spacing w:val="0"/>
          <w:w w:val="100"/>
          <w:position w:val="0"/>
          <w:sz w:val="18"/>
          <w:szCs w:val="18"/>
        </w:rPr>
        <w:t>"</w:t>
      </w:r>
      <w:r>
        <w:rPr>
          <w:color w:val="000000"/>
          <w:spacing w:val="0"/>
          <w:w w:val="100"/>
          <w:position w:val="0"/>
        </w:rPr>
        <w:t>的税收优惠政策。本公司电站系经政府投资主管部门核准的太 阳能发电项目</w:t>
      </w:r>
      <w:r>
        <w:rPr>
          <w:color w:val="000000"/>
          <w:spacing w:val="0"/>
          <w:w w:val="100"/>
          <w:position w:val="0"/>
          <w:sz w:val="22"/>
          <w:szCs w:val="22"/>
        </w:rPr>
        <w:t>，</w:t>
      </w:r>
      <w:r>
        <w:rPr>
          <w:color w:val="000000"/>
          <w:spacing w:val="0"/>
          <w:w w:val="100"/>
          <w:position w:val="0"/>
        </w:rPr>
        <w:t>属于公共基础设施项目，项目公司可以享受光伏电站所得税</w:t>
      </w:r>
      <w:r>
        <w:rPr>
          <w:rFonts w:ascii="Arial Narrow" w:eastAsia="Arial Narrow" w:hAnsi="Arial Narrow" w:cs="Arial Narrow"/>
          <w:color w:val="000000"/>
          <w:spacing w:val="0"/>
          <w:w w:val="100"/>
          <w:position w:val="0"/>
          <w:sz w:val="18"/>
          <w:szCs w:val="18"/>
        </w:rPr>
        <w:t>“</w:t>
      </w:r>
      <w:r>
        <w:rPr>
          <w:color w:val="000000"/>
          <w:spacing w:val="0"/>
          <w:w w:val="100"/>
          <w:position w:val="0"/>
        </w:rPr>
        <w:t>三免三减半</w:t>
      </w:r>
      <w:r>
        <w:rPr>
          <w:rFonts w:ascii="Arial Narrow" w:eastAsia="Arial Narrow" w:hAnsi="Arial Narrow" w:cs="Arial Narrow"/>
          <w:color w:val="000000"/>
          <w:spacing w:val="0"/>
          <w:w w:val="100"/>
          <w:position w:val="0"/>
          <w:sz w:val="18"/>
          <w:szCs w:val="18"/>
        </w:rPr>
        <w:t>"</w:t>
      </w:r>
      <w:r>
        <w:rPr>
          <w:color w:val="000000"/>
          <w:spacing w:val="0"/>
          <w:w w:val="100"/>
          <w:position w:val="0"/>
        </w:rPr>
        <w:t>的税收优惠政策。</w:t>
      </w:r>
    </w:p>
    <w:p>
      <w:pPr>
        <w:pStyle w:val="Style26"/>
        <w:keepNext w:val="0"/>
        <w:keepLines w:val="0"/>
        <w:widowControl w:val="0"/>
        <w:numPr>
          <w:ilvl w:val="0"/>
          <w:numId w:val="39"/>
        </w:numPr>
        <w:shd w:val="clear" w:color="auto" w:fill="auto"/>
        <w:tabs>
          <w:tab w:pos="1142" w:val="left"/>
        </w:tabs>
        <w:bidi w:val="0"/>
        <w:spacing w:before="0" w:after="0" w:line="504" w:lineRule="exact"/>
        <w:ind w:left="460" w:right="0" w:firstLine="380"/>
        <w:jc w:val="both"/>
      </w:pPr>
      <w:bookmarkStart w:id="1007" w:name="bookmark1007"/>
      <w:bookmarkEnd w:id="1007"/>
      <w:r>
        <w:rPr>
          <w:color w:val="000000"/>
          <w:spacing w:val="0"/>
          <w:w w:val="100"/>
          <w:position w:val="0"/>
        </w:rPr>
        <w:t>根据财政部、国家税务总局、海关总署《关于深化增值税改革有关政策的公告》（财税〔</w:t>
      </w:r>
      <w:r>
        <w:rPr>
          <w:rFonts w:ascii="Arial Narrow" w:eastAsia="Arial Narrow" w:hAnsi="Arial Narrow" w:cs="Arial Narrow"/>
          <w:color w:val="000000"/>
          <w:spacing w:val="0"/>
          <w:w w:val="100"/>
          <w:position w:val="0"/>
          <w:sz w:val="18"/>
          <w:szCs w:val="18"/>
        </w:rPr>
        <w:t>2019</w:t>
      </w:r>
      <w:r>
        <w:rPr>
          <w:color w:val="000000"/>
          <w:spacing w:val="0"/>
          <w:w w:val="100"/>
          <w:position w:val="0"/>
        </w:rPr>
        <w:t>〕</w:t>
      </w:r>
      <w:r>
        <w:rPr>
          <w:rFonts w:ascii="Arial Narrow" w:eastAsia="Arial Narrow" w:hAnsi="Arial Narrow" w:cs="Arial Narrow"/>
          <w:color w:val="000000"/>
          <w:spacing w:val="0"/>
          <w:w w:val="100"/>
          <w:position w:val="0"/>
          <w:sz w:val="18"/>
          <w:szCs w:val="18"/>
        </w:rPr>
        <w:t>39</w:t>
      </w:r>
      <w:r>
        <w:rPr>
          <w:color w:val="000000"/>
          <w:spacing w:val="0"/>
          <w:w w:val="100"/>
          <w:position w:val="0"/>
        </w:rPr>
        <w:t>号）文件，本公司 全资子公司北京中环鑫融科技有限公司自</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4</w:t>
      </w:r>
      <w:r>
        <w:rPr>
          <w:color w:val="000000"/>
          <w:spacing w:val="0"/>
          <w:w w:val="100"/>
          <w:position w:val="0"/>
        </w:rPr>
        <w:t>月</w:t>
      </w:r>
      <w:r>
        <w:rPr>
          <w:rFonts w:ascii="Arial Narrow" w:eastAsia="Arial Narrow" w:hAnsi="Arial Narrow" w:cs="Arial Narrow"/>
          <w:color w:val="000000"/>
          <w:spacing w:val="0"/>
          <w:w w:val="100"/>
          <w:position w:val="0"/>
          <w:sz w:val="18"/>
          <w:szCs w:val="18"/>
        </w:rPr>
        <w:t>1</w:t>
      </w:r>
      <w:r>
        <w:rPr>
          <w:color w:val="000000"/>
          <w:spacing w:val="0"/>
          <w:w w:val="100"/>
          <w:position w:val="0"/>
        </w:rPr>
        <w:t>日至</w:t>
      </w: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日，允许生产、生活性服务业纳税人按照当期 可抵扣进项税加计</w:t>
      </w:r>
      <w:r>
        <w:rPr>
          <w:rFonts w:ascii="Arial Narrow" w:eastAsia="Arial Narrow" w:hAnsi="Arial Narrow" w:cs="Arial Narrow"/>
          <w:color w:val="000000"/>
          <w:spacing w:val="0"/>
          <w:w w:val="100"/>
          <w:position w:val="0"/>
          <w:sz w:val="18"/>
          <w:szCs w:val="18"/>
        </w:rPr>
        <w:t>10%</w:t>
      </w:r>
      <w:r>
        <w:rPr>
          <w:color w:val="000000"/>
          <w:spacing w:val="0"/>
          <w:w w:val="100"/>
          <w:position w:val="0"/>
        </w:rPr>
        <w:t>，抵减应纳税额。</w:t>
      </w:r>
    </w:p>
    <w:p>
      <w:pPr>
        <w:pStyle w:val="Style33"/>
        <w:keepNext w:val="0"/>
        <w:keepLines w:val="0"/>
        <w:widowControl w:val="0"/>
        <w:shd w:val="clear" w:color="auto" w:fill="auto"/>
        <w:bidi w:val="0"/>
        <w:spacing w:before="0" w:after="0" w:line="504" w:lineRule="exact"/>
        <w:ind w:left="0" w:right="0" w:firstLine="820"/>
        <w:jc w:val="both"/>
      </w:pPr>
      <w:bookmarkStart w:id="1008" w:name="bookmark1008"/>
      <w:r>
        <w:rPr>
          <w:b/>
          <w:bCs/>
          <w:color w:val="000000"/>
          <w:spacing w:val="0"/>
          <w:w w:val="100"/>
          <w:position w:val="0"/>
        </w:rPr>
        <w:t>3</w:t>
      </w:r>
      <w:bookmarkEnd w:id="1008"/>
      <w:r>
        <w:rPr>
          <w:color w:val="000000"/>
          <w:spacing w:val="0"/>
          <w:w w:val="100"/>
          <w:position w:val="0"/>
        </w:rPr>
        <w:t>、税率变动</w:t>
      </w:r>
    </w:p>
    <w:p>
      <w:pPr>
        <w:pStyle w:val="Style26"/>
        <w:keepNext w:val="0"/>
        <w:keepLines w:val="0"/>
        <w:widowControl w:val="0"/>
        <w:shd w:val="clear" w:color="auto" w:fill="auto"/>
        <w:bidi w:val="0"/>
        <w:spacing w:before="0" w:after="0" w:line="504" w:lineRule="exact"/>
        <w:ind w:left="460" w:right="0" w:firstLine="380"/>
        <w:jc w:val="both"/>
      </w:pPr>
      <w:r>
        <w:rPr>
          <w:color w:val="000000"/>
          <w:spacing w:val="0"/>
          <w:w w:val="100"/>
          <w:position w:val="0"/>
        </w:rPr>
        <w:t>根据财税</w:t>
      </w:r>
      <w:r>
        <w:rPr>
          <w:rFonts w:ascii="Arial Narrow" w:eastAsia="Arial Narrow" w:hAnsi="Arial Narrow" w:cs="Arial Narrow"/>
          <w:color w:val="000000"/>
          <w:spacing w:val="0"/>
          <w:w w:val="100"/>
          <w:position w:val="0"/>
          <w:sz w:val="18"/>
          <w:szCs w:val="18"/>
        </w:rPr>
        <w:t>[</w:t>
      </w:r>
      <w:r>
        <w:rPr>
          <w:rFonts w:ascii="Arial Narrow" w:eastAsia="Arial Narrow" w:hAnsi="Arial Narrow" w:cs="Arial Narrow"/>
          <w:color w:val="000000"/>
          <w:spacing w:val="0"/>
          <w:w w:val="100"/>
          <w:position w:val="0"/>
          <w:sz w:val="18"/>
          <w:szCs w:val="18"/>
        </w:rPr>
        <w:t xml:space="preserve">2019] </w:t>
      </w:r>
      <w:r>
        <w:rPr>
          <w:rFonts w:ascii="Arial Narrow" w:eastAsia="Arial Narrow" w:hAnsi="Arial Narrow" w:cs="Arial Narrow"/>
          <w:color w:val="000000"/>
          <w:spacing w:val="0"/>
          <w:w w:val="100"/>
          <w:position w:val="0"/>
          <w:sz w:val="18"/>
          <w:szCs w:val="18"/>
        </w:rPr>
        <w:t>39</w:t>
      </w:r>
      <w:r>
        <w:rPr>
          <w:color w:val="000000"/>
          <w:spacing w:val="0"/>
          <w:w w:val="100"/>
          <w:position w:val="0"/>
        </w:rPr>
        <w:t>号规定，纳税人发生增值税应税销售行为或进口货物，原适用</w:t>
      </w:r>
      <w:r>
        <w:rPr>
          <w:rFonts w:ascii="Arial Narrow" w:eastAsia="Arial Narrow" w:hAnsi="Arial Narrow" w:cs="Arial Narrow"/>
          <w:color w:val="000000"/>
          <w:spacing w:val="0"/>
          <w:w w:val="100"/>
          <w:position w:val="0"/>
          <w:sz w:val="18"/>
          <w:szCs w:val="18"/>
        </w:rPr>
        <w:t>16%</w:t>
      </w:r>
      <w:r>
        <w:rPr>
          <w:color w:val="000000"/>
          <w:spacing w:val="0"/>
          <w:w w:val="100"/>
          <w:position w:val="0"/>
        </w:rPr>
        <w:t>和</w:t>
      </w:r>
      <w:r>
        <w:rPr>
          <w:rFonts w:ascii="Arial Narrow" w:eastAsia="Arial Narrow" w:hAnsi="Arial Narrow" w:cs="Arial Narrow"/>
          <w:color w:val="000000"/>
          <w:spacing w:val="0"/>
          <w:w w:val="100"/>
          <w:position w:val="0"/>
          <w:sz w:val="18"/>
          <w:szCs w:val="18"/>
        </w:rPr>
        <w:t>10%</w:t>
      </w:r>
      <w:r>
        <w:rPr>
          <w:color w:val="000000"/>
          <w:spacing w:val="0"/>
          <w:w w:val="100"/>
          <w:position w:val="0"/>
        </w:rPr>
        <w:t>税率的，税率分别调整为</w:t>
      </w:r>
      <w:r>
        <w:rPr>
          <w:rFonts w:ascii="Arial Narrow" w:eastAsia="Arial Narrow" w:hAnsi="Arial Narrow" w:cs="Arial Narrow"/>
          <w:color w:val="000000"/>
          <w:spacing w:val="0"/>
          <w:w w:val="100"/>
          <w:position w:val="0"/>
          <w:sz w:val="18"/>
          <w:szCs w:val="18"/>
        </w:rPr>
        <w:t>13%</w:t>
      </w:r>
      <w:r>
        <w:rPr>
          <w:color w:val="000000"/>
          <w:spacing w:val="0"/>
          <w:w w:val="100"/>
          <w:position w:val="0"/>
        </w:rPr>
        <w:t xml:space="preserve">、 </w:t>
      </w:r>
      <w:r>
        <w:rPr>
          <w:rFonts w:ascii="Arial Narrow" w:eastAsia="Arial Narrow" w:hAnsi="Arial Narrow" w:cs="Arial Narrow"/>
          <w:color w:val="000000"/>
          <w:spacing w:val="0"/>
          <w:w w:val="100"/>
          <w:position w:val="0"/>
          <w:sz w:val="18"/>
          <w:szCs w:val="18"/>
        </w:rPr>
        <w:t>9%</w:t>
      </w:r>
      <w:r>
        <w:rPr>
          <w:color w:val="000000"/>
          <w:spacing w:val="0"/>
          <w:w w:val="100"/>
          <w:position w:val="0"/>
        </w:rPr>
        <w:t>，此规定自</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4</w:t>
      </w:r>
      <w:r>
        <w:rPr>
          <w:color w:val="000000"/>
          <w:spacing w:val="0"/>
          <w:w w:val="100"/>
          <w:position w:val="0"/>
        </w:rPr>
        <w:t>月</w:t>
      </w:r>
      <w:r>
        <w:rPr>
          <w:rFonts w:ascii="Arial Narrow" w:eastAsia="Arial Narrow" w:hAnsi="Arial Narrow" w:cs="Arial Narrow"/>
          <w:color w:val="000000"/>
          <w:spacing w:val="0"/>
          <w:w w:val="100"/>
          <w:position w:val="0"/>
          <w:sz w:val="18"/>
          <w:szCs w:val="18"/>
        </w:rPr>
        <w:t>1</w:t>
      </w:r>
      <w:r>
        <w:rPr>
          <w:color w:val="000000"/>
          <w:spacing w:val="0"/>
          <w:w w:val="100"/>
          <w:position w:val="0"/>
        </w:rPr>
        <w:t>日执行。</w:t>
      </w:r>
    </w:p>
    <w:p>
      <w:pPr>
        <w:pStyle w:val="Style10"/>
        <w:keepNext/>
        <w:keepLines/>
        <w:widowControl w:val="0"/>
        <w:shd w:val="clear" w:color="auto" w:fill="auto"/>
        <w:bidi w:val="0"/>
        <w:spacing w:before="0" w:after="0" w:line="504" w:lineRule="exact"/>
        <w:ind w:left="0" w:right="0" w:firstLine="820"/>
        <w:jc w:val="both"/>
        <w:rPr>
          <w:sz w:val="20"/>
          <w:szCs w:val="20"/>
        </w:rPr>
      </w:pPr>
      <w:bookmarkStart w:id="1009" w:name="bookmark1009"/>
      <w:bookmarkStart w:id="1010" w:name="bookmark1010"/>
      <w:bookmarkStart w:id="1011" w:name="bookmark1011"/>
      <w:bookmarkStart w:id="1012" w:name="bookmark1012"/>
      <w:r>
        <w:rPr>
          <w:color w:val="000000"/>
          <w:spacing w:val="0"/>
          <w:w w:val="100"/>
          <w:position w:val="0"/>
          <w:sz w:val="20"/>
          <w:szCs w:val="20"/>
        </w:rPr>
        <w:t>五</w:t>
      </w:r>
      <w:bookmarkEnd w:id="1011"/>
      <w:r>
        <w:rPr>
          <w:color w:val="000000"/>
          <w:spacing w:val="0"/>
          <w:w w:val="100"/>
          <w:position w:val="0"/>
          <w:sz w:val="20"/>
          <w:szCs w:val="20"/>
        </w:rPr>
        <w:t>、合并财务报表项目注释</w:t>
      </w:r>
      <w:bookmarkEnd w:id="1009"/>
      <w:bookmarkEnd w:id="1010"/>
      <w:bookmarkEnd w:id="1012"/>
    </w:p>
    <w:p>
      <w:pPr>
        <w:pStyle w:val="Style26"/>
        <w:keepNext w:val="0"/>
        <w:keepLines w:val="0"/>
        <w:widowControl w:val="0"/>
        <w:shd w:val="clear" w:color="auto" w:fill="auto"/>
        <w:bidi w:val="0"/>
        <w:spacing w:before="0" w:after="0" w:line="504" w:lineRule="exact"/>
        <w:ind w:left="0" w:right="0" w:firstLine="820"/>
        <w:jc w:val="both"/>
      </w:pPr>
      <w:r>
        <w:rPr>
          <w:color w:val="000000"/>
          <w:spacing w:val="0"/>
          <w:w w:val="100"/>
          <w:position w:val="0"/>
        </w:rPr>
        <w:t>以下注释项目除非特别指出，期初指</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1</w:t>
      </w:r>
      <w:r>
        <w:rPr>
          <w:color w:val="000000"/>
          <w:spacing w:val="0"/>
          <w:w w:val="100"/>
          <w:position w:val="0"/>
        </w:rPr>
        <w:t>日，期末指</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日，本期指</w:t>
      </w:r>
      <w:r>
        <w:rPr>
          <w:rFonts w:ascii="Arial Narrow" w:eastAsia="Arial Narrow" w:hAnsi="Arial Narrow" w:cs="Arial Narrow"/>
          <w:color w:val="000000"/>
          <w:spacing w:val="0"/>
          <w:w w:val="100"/>
          <w:position w:val="0"/>
          <w:sz w:val="18"/>
          <w:szCs w:val="18"/>
        </w:rPr>
        <w:t>2019</w:t>
      </w:r>
      <w:r>
        <w:rPr>
          <w:color w:val="000000"/>
          <w:spacing w:val="0"/>
          <w:w w:val="100"/>
          <w:position w:val="0"/>
        </w:rPr>
        <w:t>年度，上期指</w:t>
      </w:r>
      <w:r>
        <w:rPr>
          <w:rFonts w:ascii="Arial Narrow" w:eastAsia="Arial Narrow" w:hAnsi="Arial Narrow" w:cs="Arial Narrow"/>
          <w:color w:val="000000"/>
          <w:spacing w:val="0"/>
          <w:w w:val="100"/>
          <w:position w:val="0"/>
          <w:sz w:val="18"/>
          <w:szCs w:val="18"/>
        </w:rPr>
        <w:t>2018</w:t>
      </w:r>
      <w:r>
        <w:rPr>
          <w:color w:val="000000"/>
          <w:spacing w:val="0"/>
          <w:w w:val="100"/>
          <w:position w:val="0"/>
        </w:rPr>
        <w:t>年度。</w:t>
      </w:r>
    </w:p>
    <w:p>
      <w:pPr>
        <w:pStyle w:val="Style22"/>
        <w:keepNext/>
        <w:keepLines/>
        <w:widowControl w:val="0"/>
        <w:shd w:val="clear" w:color="auto" w:fill="auto"/>
        <w:bidi w:val="0"/>
        <w:spacing w:before="0" w:after="0" w:line="504" w:lineRule="exact"/>
        <w:ind w:left="0" w:right="0" w:firstLine="820"/>
        <w:jc w:val="both"/>
        <w:rPr>
          <w:sz w:val="20"/>
          <w:szCs w:val="20"/>
        </w:rPr>
      </w:pPr>
      <w:bookmarkStart w:id="1013" w:name="bookmark1013"/>
      <w:bookmarkStart w:id="1014" w:name="bookmark1014"/>
      <w:bookmarkStart w:id="1015" w:name="bookmark1015"/>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、货币资金</w:t>
      </w:r>
      <w:bookmarkEnd w:id="1013"/>
      <w:bookmarkEnd w:id="1014"/>
      <w:bookmarkEnd w:id="1015"/>
    </w:p>
    <w:tbl>
      <w:tblPr>
        <w:tblOverlap w:val="never"/>
        <w:jc w:val="center"/>
        <w:tblLayout w:type="fixed"/>
      </w:tblPr>
      <w:tblGrid>
        <w:gridCol w:w="3840"/>
        <w:gridCol w:w="2837"/>
        <w:gridCol w:w="2688"/>
      </w:tblGrid>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103,238.49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106,368.36</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4,594,089,727.75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7,440,948,802.41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64,965,524.46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39,617,243.68</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定期存款的应收利息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58,125,772.93</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81"/>
        <w:keepNext w:val="0"/>
        <w:keepLines w:val="0"/>
        <w:widowControl w:val="0"/>
        <w:shd w:val="clear" w:color="auto" w:fill="auto"/>
        <w:tabs>
          <w:tab w:pos="4778" w:val="left"/>
          <w:tab w:pos="7524" w:val="left"/>
        </w:tabs>
        <w:bidi w:val="0"/>
        <w:spacing w:before="0" w:after="80" w:line="240" w:lineRule="auto"/>
        <w:ind w:left="1860" w:right="0" w:firstLine="0"/>
        <w:jc w:val="left"/>
      </w:pPr>
      <w:r>
        <w:rPr>
          <w:rFonts w:ascii="SimSun" w:eastAsia="SimSun" w:hAnsi="SimSun" w:cs="SimSun"/>
          <w:b/>
          <w:bCs/>
          <w:color w:val="000000"/>
          <w:spacing w:val="0"/>
          <w:w w:val="100"/>
          <w:position w:val="0"/>
          <w:sz w:val="17"/>
          <w:szCs w:val="17"/>
        </w:rPr>
        <w:t>合计</w:t>
        <w:tab/>
      </w:r>
      <w:r>
        <w:rPr>
          <w:b/>
          <w:bCs/>
          <w:color w:val="000000"/>
          <w:spacing w:val="0"/>
          <w:w w:val="100"/>
          <w:position w:val="0"/>
        </w:rPr>
        <w:t>4,717,284,263.63</w:t>
        <w:tab/>
        <w:t>7,480,672,414.45</w:t>
      </w:r>
    </w:p>
    <w:p>
      <w:pPr>
        <w:pStyle w:val="Style26"/>
        <w:keepNext w:val="0"/>
        <w:keepLines w:val="0"/>
        <w:widowControl w:val="0"/>
        <w:shd w:val="clear" w:color="auto" w:fill="auto"/>
        <w:bidi w:val="0"/>
        <w:spacing w:before="0" w:after="0" w:line="499" w:lineRule="exact"/>
        <w:ind w:left="0" w:right="0" w:firstLine="60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1</w:t>
      </w:r>
      <w:r>
        <w:rPr>
          <w:color w:val="000000"/>
          <w:spacing w:val="0"/>
          <w:w w:val="100"/>
          <w:position w:val="0"/>
        </w:rPr>
        <w:t>:期末使用受限的货币资金共</w:t>
      </w:r>
      <w:r>
        <w:rPr>
          <w:rFonts w:ascii="Arial Narrow" w:eastAsia="Arial Narrow" w:hAnsi="Arial Narrow" w:cs="Arial Narrow"/>
          <w:color w:val="000000"/>
          <w:spacing w:val="0"/>
          <w:w w:val="100"/>
          <w:position w:val="0"/>
          <w:sz w:val="18"/>
          <w:szCs w:val="18"/>
        </w:rPr>
        <w:t>4,001,706,717.34</w:t>
      </w:r>
      <w:r>
        <w:rPr>
          <w:color w:val="000000"/>
          <w:spacing w:val="0"/>
          <w:w w:val="100"/>
          <w:position w:val="0"/>
        </w:rPr>
        <w:t>元。其中：</w:t>
      </w:r>
      <w:r>
        <w:rPr>
          <w:rFonts w:ascii="Arial Narrow" w:eastAsia="Arial Narrow" w:hAnsi="Arial Narrow" w:cs="Arial Narrow"/>
          <w:color w:val="000000"/>
          <w:spacing w:val="0"/>
          <w:w w:val="100"/>
          <w:position w:val="0"/>
          <w:sz w:val="18"/>
          <w:szCs w:val="18"/>
        </w:rPr>
        <w:t>2,872,243,147.52</w:t>
      </w:r>
      <w:r>
        <w:rPr>
          <w:color w:val="000000"/>
          <w:spacing w:val="0"/>
          <w:w w:val="100"/>
          <w:position w:val="0"/>
        </w:rPr>
        <w:t>元为存放于东旭集团财务有限公司的款项；</w:t>
      </w:r>
    </w:p>
    <w:p>
      <w:pPr>
        <w:pStyle w:val="Style81"/>
        <w:keepNext w:val="0"/>
        <w:keepLines w:val="0"/>
        <w:widowControl w:val="0"/>
        <w:shd w:val="clear" w:color="auto" w:fill="auto"/>
        <w:bidi w:val="0"/>
        <w:spacing w:before="0" w:after="240" w:line="499" w:lineRule="exact"/>
        <w:ind w:left="240" w:right="0" w:firstLine="0"/>
        <w:jc w:val="left"/>
        <w:rPr>
          <w:sz w:val="17"/>
          <w:szCs w:val="17"/>
        </w:rPr>
      </w:pPr>
      <w:r>
        <w:rPr>
          <w:color w:val="000000"/>
          <w:spacing w:val="0"/>
          <w:w w:val="100"/>
          <w:position w:val="0"/>
          <w:sz w:val="18"/>
          <w:szCs w:val="18"/>
        </w:rPr>
        <w:t>1,000,000,000.00</w:t>
      </w:r>
      <w:r>
        <w:rPr>
          <w:rFonts w:ascii="SimSun" w:eastAsia="SimSun" w:hAnsi="SimSun" w:cs="SimSun"/>
          <w:color w:val="000000"/>
          <w:spacing w:val="0"/>
          <w:w w:val="100"/>
          <w:position w:val="0"/>
          <w:sz w:val="17"/>
          <w:szCs w:val="17"/>
        </w:rPr>
        <w:t>元为银行质押款；</w:t>
      </w:r>
      <w:r>
        <w:rPr>
          <w:color w:val="000000"/>
          <w:spacing w:val="0"/>
          <w:w w:val="100"/>
          <w:position w:val="0"/>
          <w:sz w:val="18"/>
          <w:szCs w:val="18"/>
        </w:rPr>
        <w:t>64,740,354.60</w:t>
      </w:r>
      <w:r>
        <w:rPr>
          <w:rFonts w:ascii="SimSun" w:eastAsia="SimSun" w:hAnsi="SimSun" w:cs="SimSun"/>
          <w:color w:val="000000"/>
          <w:spacing w:val="0"/>
          <w:w w:val="100"/>
          <w:position w:val="0"/>
          <w:sz w:val="17"/>
          <w:szCs w:val="17"/>
        </w:rPr>
        <w:t>元为银行冻结存款；</w:t>
      </w:r>
      <w:r>
        <w:rPr>
          <w:color w:val="000000"/>
          <w:spacing w:val="0"/>
          <w:w w:val="100"/>
          <w:position w:val="0"/>
          <w:sz w:val="18"/>
          <w:szCs w:val="18"/>
        </w:rPr>
        <w:t>50,619,917.50</w:t>
      </w:r>
      <w:r>
        <w:rPr>
          <w:rFonts w:ascii="SimSun" w:eastAsia="SimSun" w:hAnsi="SimSun" w:cs="SimSun"/>
          <w:color w:val="000000"/>
          <w:spacing w:val="0"/>
          <w:w w:val="100"/>
          <w:position w:val="0"/>
          <w:sz w:val="17"/>
          <w:szCs w:val="17"/>
        </w:rPr>
        <w:t>元为票据保证金；</w:t>
      </w:r>
      <w:r>
        <w:rPr>
          <w:color w:val="000000"/>
          <w:spacing w:val="0"/>
          <w:w w:val="100"/>
          <w:position w:val="0"/>
          <w:sz w:val="18"/>
          <w:szCs w:val="18"/>
        </w:rPr>
        <w:t>13,846,052.38</w:t>
      </w:r>
      <w:r>
        <w:rPr>
          <w:rFonts w:ascii="SimSun" w:eastAsia="SimSun" w:hAnsi="SimSun" w:cs="SimSun"/>
          <w:color w:val="000000"/>
          <w:spacing w:val="0"/>
          <w:w w:val="100"/>
          <w:position w:val="0"/>
          <w:sz w:val="17"/>
          <w:szCs w:val="17"/>
        </w:rPr>
        <w:t>元为保函保 证金；</w:t>
      </w:r>
      <w:r>
        <w:rPr>
          <w:color w:val="000000"/>
          <w:spacing w:val="0"/>
          <w:w w:val="100"/>
          <w:position w:val="0"/>
          <w:sz w:val="18"/>
          <w:szCs w:val="18"/>
        </w:rPr>
        <w:t>203,006.80</w:t>
      </w:r>
      <w:r>
        <w:rPr>
          <w:rFonts w:ascii="SimSun" w:eastAsia="SimSun" w:hAnsi="SimSun" w:cs="SimSun"/>
          <w:color w:val="000000"/>
          <w:spacing w:val="0"/>
          <w:w w:val="100"/>
          <w:position w:val="0"/>
          <w:sz w:val="17"/>
          <w:szCs w:val="17"/>
        </w:rPr>
        <w:t>元为存出投资款；</w:t>
      </w:r>
      <w:r>
        <w:rPr>
          <w:color w:val="000000"/>
          <w:spacing w:val="0"/>
          <w:w w:val="100"/>
          <w:position w:val="0"/>
          <w:sz w:val="18"/>
          <w:szCs w:val="18"/>
        </w:rPr>
        <w:t>54,238.54</w:t>
      </w:r>
      <w:r>
        <w:rPr>
          <w:rFonts w:ascii="SimSun" w:eastAsia="SimSun" w:hAnsi="SimSun" w:cs="SimSun"/>
          <w:color w:val="000000"/>
          <w:spacing w:val="0"/>
          <w:w w:val="100"/>
          <w:position w:val="0"/>
          <w:sz w:val="17"/>
          <w:szCs w:val="17"/>
        </w:rPr>
        <w:t>元为共管账户资金。</w:t>
      </w:r>
    </w:p>
    <w:tbl>
      <w:tblPr>
        <w:tblOverlap w:val="never"/>
        <w:jc w:val="center"/>
        <w:tblLayout w:type="fixed"/>
      </w:tblPr>
      <w:tblGrid>
        <w:gridCol w:w="3226"/>
        <w:gridCol w:w="2237"/>
        <w:gridCol w:w="1786"/>
        <w:gridCol w:w="2194"/>
      </w:tblGrid>
      <w:tr>
        <w:trPr>
          <w:trHeight w:val="730" w:hRule="exact"/>
        </w:trPr>
        <w:tc>
          <w:tcPr>
            <w:gridSpan w:val="4"/>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200" w:line="240" w:lineRule="auto"/>
              <w:ind w:left="0" w:right="0" w:firstLine="680"/>
              <w:jc w:val="left"/>
              <w:rPr>
                <w:sz w:val="20"/>
                <w:szCs w:val="20"/>
              </w:rPr>
            </w:pPr>
            <w:bookmarkStart w:id="1016" w:name="bookmark1016"/>
            <w:r>
              <w:rPr>
                <w:rFonts w:ascii="Arial Narrow" w:eastAsia="Arial Narrow" w:hAnsi="Arial Narrow" w:cs="Arial Narrow"/>
                <w:b/>
                <w:bCs/>
                <w:color w:val="000000"/>
                <w:spacing w:val="0"/>
                <w:w w:val="100"/>
                <w:position w:val="0"/>
                <w:sz w:val="20"/>
                <w:szCs w:val="20"/>
              </w:rPr>
              <w:t>2</w:t>
            </w:r>
            <w:r>
              <w:rPr>
                <w:rFonts w:ascii="SimSun" w:eastAsia="SimSun" w:hAnsi="SimSun" w:cs="SimSun"/>
                <w:b/>
                <w:bCs/>
                <w:color w:val="000000"/>
                <w:spacing w:val="0"/>
                <w:w w:val="100"/>
                <w:position w:val="0"/>
                <w:sz w:val="20"/>
                <w:szCs w:val="20"/>
              </w:rPr>
              <w:t>、应收票据</w:t>
            </w:r>
            <w:bookmarkEnd w:id="1016"/>
          </w:p>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）应收票据分类列示</w:t>
            </w:r>
          </w:p>
        </w:tc>
      </w:tr>
      <w:tr>
        <w:trPr>
          <w:trHeight w:val="41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22,190,489.28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22,190,489.28</w:t>
            </w:r>
          </w:p>
        </w:tc>
      </w:tr>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350,254,516.45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1,268,810.56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348,985,705.89</w:t>
            </w:r>
          </w:p>
        </w:tc>
      </w:tr>
      <w:tr>
        <w:trPr>
          <w:trHeight w:val="43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372,445,005.73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1,268,810.56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371,176,195.17</w:t>
            </w:r>
          </w:p>
        </w:tc>
      </w:tr>
      <w:tr>
        <w:trPr>
          <w:trHeight w:val="427" w:hRule="exact"/>
        </w:trPr>
        <w:tc>
          <w:tcPr>
            <w:gridSpan w:val="4"/>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续前表：</w:t>
            </w:r>
          </w:p>
        </w:tc>
      </w:tr>
      <w:tr>
        <w:trPr>
          <w:trHeight w:val="418"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7,993,136.74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7,993,136.74</w:t>
            </w:r>
          </w:p>
        </w:tc>
      </w:tr>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301,910,987.54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301,910,987.54</w:t>
            </w:r>
          </w:p>
        </w:tc>
      </w:tr>
      <w:tr>
        <w:trPr>
          <w:trHeight w:val="456"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309,904,124.28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b/>
                <w:bCs/>
                <w:color w:val="000000"/>
                <w:spacing w:val="0"/>
                <w:w w:val="100"/>
                <w:position w:val="0"/>
                <w:sz w:val="18"/>
                <w:szCs w:val="18"/>
              </w:rPr>
              <w:t>309,904,124.28</w:t>
            </w:r>
          </w:p>
        </w:tc>
      </w:tr>
    </w:tbl>
    <w:p>
      <w:pPr>
        <w:widowControl w:val="0"/>
        <w:spacing w:after="239" w:line="1" w:lineRule="exact"/>
      </w:pPr>
    </w:p>
    <w:p>
      <w:pPr>
        <w:pStyle w:val="Style26"/>
        <w:keepNext w:val="0"/>
        <w:keepLines w:val="0"/>
        <w:widowControl w:val="0"/>
        <w:shd w:val="clear" w:color="auto" w:fill="auto"/>
        <w:bidi w:val="0"/>
        <w:spacing w:before="0" w:after="300" w:line="240" w:lineRule="auto"/>
        <w:ind w:left="0" w:right="0" w:firstLine="600"/>
        <w:jc w:val="left"/>
      </w:pPr>
      <w:r>
        <w:rPr>
          <w:color w:val="000000"/>
          <w:spacing w:val="0"/>
          <w:w w:val="100"/>
          <w:position w:val="0"/>
        </w:rPr>
        <w:t>注：期末无质押的应收票据。</w:t>
      </w:r>
    </w:p>
    <w:p>
      <w:pPr>
        <w:pStyle w:val="Style26"/>
        <w:keepNext w:val="0"/>
        <w:keepLines w:val="0"/>
        <w:widowControl w:val="0"/>
        <w:shd w:val="clear" w:color="auto" w:fill="auto"/>
        <w:bidi w:val="0"/>
        <w:spacing w:before="0" w:after="300" w:line="240" w:lineRule="auto"/>
        <w:ind w:left="0" w:right="0" w:firstLine="600"/>
        <w:jc w:val="left"/>
      </w:pPr>
      <w:bookmarkStart w:id="1017" w:name="bookmark1017"/>
      <w:r>
        <w:rPr>
          <w:color w:val="000000"/>
          <w:spacing w:val="0"/>
          <w:w w:val="100"/>
          <w:position w:val="0"/>
        </w:rPr>
        <w:t>（</w:t>
      </w:r>
      <w:bookmarkEnd w:id="1017"/>
      <w:r>
        <w:rPr>
          <w:rFonts w:ascii="Arial Narrow" w:eastAsia="Arial Narrow" w:hAnsi="Arial Narrow" w:cs="Arial Narrow"/>
          <w:color w:val="000000"/>
          <w:spacing w:val="0"/>
          <w:w w:val="100"/>
          <w:position w:val="0"/>
          <w:sz w:val="18"/>
          <w:szCs w:val="18"/>
        </w:rPr>
        <w:t>2</w:t>
      </w:r>
      <w:r>
        <w:rPr>
          <w:color w:val="000000"/>
          <w:spacing w:val="0"/>
          <w:w w:val="100"/>
          <w:position w:val="0"/>
        </w:rPr>
        <w:t>）坏账准备</w:t>
      </w:r>
    </w:p>
    <w:p>
      <w:pPr>
        <w:pStyle w:val="Style26"/>
        <w:keepNext w:val="0"/>
        <w:keepLines w:val="0"/>
        <w:widowControl w:val="0"/>
        <w:shd w:val="clear" w:color="auto" w:fill="auto"/>
        <w:bidi w:val="0"/>
        <w:spacing w:before="0" w:after="300" w:line="240" w:lineRule="auto"/>
        <w:ind w:left="0" w:right="0" w:firstLine="600"/>
        <w:jc w:val="left"/>
      </w:pPr>
      <w:r>
        <w:rPr>
          <w:color w:val="000000"/>
          <w:spacing w:val="0"/>
          <w:w w:val="100"/>
          <w:position w:val="0"/>
        </w:rPr>
        <w:t>本公司对应收票据，无论是否存在重大融资成分，均按照整个存续期的预期信用损失计量损失准备。</w:t>
      </w:r>
    </w:p>
    <w:p>
      <w:pPr>
        <w:pStyle w:val="Style26"/>
        <w:keepNext w:val="0"/>
        <w:keepLines w:val="0"/>
        <w:widowControl w:val="0"/>
        <w:shd w:val="clear" w:color="auto" w:fill="auto"/>
        <w:bidi w:val="0"/>
        <w:spacing w:before="0" w:after="240" w:line="240" w:lineRule="auto"/>
        <w:ind w:left="0" w:right="0" w:firstLine="600"/>
        <w:jc w:val="both"/>
      </w:pPr>
      <w:r>
        <w:rPr>
          <w:color w:val="000000"/>
          <w:spacing w:val="0"/>
          <w:w w:val="100"/>
          <w:position w:val="0"/>
        </w:rPr>
        <w:t>①商业承兑汇票</w:t>
      </w:r>
    </w:p>
    <w:tbl>
      <w:tblPr>
        <w:tblOverlap w:val="never"/>
        <w:jc w:val="center"/>
        <w:tblLayout w:type="fixed"/>
      </w:tblPr>
      <w:tblGrid>
        <w:gridCol w:w="2717"/>
        <w:gridCol w:w="1858"/>
        <w:gridCol w:w="2990"/>
        <w:gridCol w:w="1786"/>
      </w:tblGrid>
      <w:tr>
        <w:trPr>
          <w:trHeight w:val="293" w:hRule="exact"/>
        </w:trPr>
        <w:tc>
          <w:tcPr>
            <w:gridSpan w:val="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left"/>
              <w:rPr>
                <w:sz w:val="17"/>
                <w:szCs w:val="17"/>
              </w:rPr>
            </w:pP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rFonts w:ascii="SimSun" w:eastAsia="SimSun" w:hAnsi="SimSun" w:cs="SimSun"/>
                <w:color w:val="000000"/>
                <w:spacing w:val="0"/>
                <w:w w:val="100"/>
                <w:position w:val="0"/>
                <w:sz w:val="17"/>
                <w:szCs w:val="17"/>
              </w:rPr>
              <w:t>日，组合计提坏账准备：</w:t>
            </w:r>
          </w:p>
        </w:tc>
      </w:tr>
      <w:tr>
        <w:trPr>
          <w:trHeight w:val="4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SimSun" w:eastAsia="SimSun" w:hAnsi="SimSun" w:cs="SimSun"/>
                <w:b/>
                <w:bCs/>
                <w:color w:val="000000"/>
                <w:spacing w:val="0"/>
                <w:w w:val="100"/>
                <w:position w:val="0"/>
                <w:sz w:val="17"/>
                <w:szCs w:val="17"/>
              </w:rPr>
              <w:t>整个存续期预期信用损失率</w:t>
            </w:r>
            <w:r>
              <w:rPr>
                <w:rFonts w:ascii="SimSun" w:eastAsia="SimSun" w:hAnsi="SimSun" w:cs="SimSun"/>
                <w:b/>
                <w:bCs/>
                <w:color w:val="000000"/>
                <w:spacing w:val="0"/>
                <w:w w:val="100"/>
                <w:position w:val="0"/>
                <w:sz w:val="22"/>
                <w:szCs w:val="22"/>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350,254,516.45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1,268,810.56</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350,254,516.45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0.36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b/>
                <w:bCs/>
                <w:color w:val="000000"/>
                <w:spacing w:val="0"/>
                <w:w w:val="100"/>
                <w:position w:val="0"/>
                <w:sz w:val="18"/>
                <w:szCs w:val="18"/>
              </w:rPr>
              <w:t>1,268,810.56</w:t>
            </w:r>
          </w:p>
        </w:tc>
      </w:tr>
    </w:tbl>
    <w:p>
      <w:pPr>
        <w:pStyle w:val="Style24"/>
        <w:keepNext w:val="0"/>
        <w:keepLines w:val="0"/>
        <w:widowControl w:val="0"/>
        <w:shd w:val="clear" w:color="auto" w:fill="auto"/>
        <w:bidi w:val="0"/>
        <w:spacing w:before="0" w:after="0" w:line="240" w:lineRule="auto"/>
        <w:ind w:left="547" w:right="0" w:firstLine="0"/>
        <w:jc w:val="left"/>
      </w:pPr>
      <w:r>
        <w:rPr>
          <w:color w:val="000000"/>
          <w:spacing w:val="0"/>
          <w:w w:val="100"/>
          <w:position w:val="0"/>
        </w:rPr>
        <w:t>②坏账准备的变动</w:t>
      </w:r>
    </w:p>
    <w:p>
      <w:pPr>
        <w:widowControl w:val="0"/>
        <w:spacing w:after="79" w:line="1" w:lineRule="exact"/>
      </w:pPr>
    </w:p>
    <w:p>
      <w:pPr>
        <w:widowControl w:val="0"/>
        <w:spacing w:line="1" w:lineRule="exact"/>
      </w:pPr>
    </w:p>
    <w:tbl>
      <w:tblPr>
        <w:tblOverlap w:val="never"/>
        <w:jc w:val="center"/>
        <w:tblLayout w:type="fixed"/>
      </w:tblPr>
      <w:tblGrid>
        <w:gridCol w:w="2520"/>
        <w:gridCol w:w="1373"/>
        <w:gridCol w:w="1334"/>
        <w:gridCol w:w="677"/>
        <w:gridCol w:w="1224"/>
        <w:gridCol w:w="787"/>
        <w:gridCol w:w="1517"/>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2019.01.01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转回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处置</w:t>
            </w:r>
          </w:p>
        </w:tc>
        <w:tc>
          <w:tcPr>
            <w:vMerge/>
            <w:tcBorders>
              <w:left w:val="single" w:sz="4"/>
            </w:tcBorders>
            <w:shd w:val="clear" w:color="auto" w:fill="FFFFFF"/>
            <w:vAlign w:val="center"/>
          </w:tcPr>
          <w:p>
            <w:pP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商业承兑汇票坏账准备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4,833,757.69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1,040,294.80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4,605,241.93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1,268,810.56</w:t>
            </w:r>
          </w:p>
        </w:tc>
      </w:tr>
    </w:tbl>
    <w:p>
      <w:pPr>
        <w:pStyle w:val="Style24"/>
        <w:keepNext w:val="0"/>
        <w:keepLines w:val="0"/>
        <w:widowControl w:val="0"/>
        <w:shd w:val="clear" w:color="auto" w:fill="auto"/>
        <w:bidi w:val="0"/>
        <w:spacing w:before="0" w:after="0" w:line="240" w:lineRule="auto"/>
        <w:ind w:left="245" w:right="0" w:firstLine="0"/>
        <w:jc w:val="left"/>
      </w:pPr>
      <w:r>
        <w:rPr>
          <w:color w:val="000000"/>
          <w:spacing w:val="0"/>
          <w:w w:val="100"/>
          <w:position w:val="0"/>
        </w:rPr>
        <w:t>注：首次执行新金融工具准则，调整期初坏账</w:t>
      </w:r>
      <w:r>
        <w:rPr>
          <w:rFonts w:ascii="Arial Narrow" w:eastAsia="Arial Narrow" w:hAnsi="Arial Narrow" w:cs="Arial Narrow"/>
          <w:color w:val="000000"/>
          <w:spacing w:val="0"/>
          <w:w w:val="100"/>
          <w:position w:val="0"/>
          <w:sz w:val="18"/>
          <w:szCs w:val="18"/>
        </w:rPr>
        <w:t>4,833,757.69</w:t>
      </w:r>
      <w:r>
        <w:rPr>
          <w:color w:val="000000"/>
          <w:spacing w:val="0"/>
          <w:w w:val="100"/>
          <w:position w:val="0"/>
        </w:rPr>
        <w:t>元。</w:t>
      </w:r>
    </w:p>
    <w:p>
      <w:pPr>
        <w:widowControl w:val="0"/>
        <w:spacing w:line="1" w:lineRule="exact"/>
      </w:pPr>
      <w:r>
        <w:br w:type="page"/>
      </w:r>
    </w:p>
    <w:p>
      <w:pPr>
        <w:pStyle w:val="Style24"/>
        <w:keepNext w:val="0"/>
        <w:keepLines w:val="0"/>
        <w:widowControl w:val="0"/>
        <w:shd w:val="clear" w:color="auto" w:fill="auto"/>
        <w:bidi w:val="0"/>
        <w:spacing w:before="0" w:after="0" w:line="240" w:lineRule="auto"/>
        <w:ind w:left="514"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3</w:t>
      </w:r>
      <w:r>
        <w:rPr>
          <w:color w:val="000000"/>
          <w:spacing w:val="0"/>
          <w:w w:val="100"/>
          <w:position w:val="0"/>
        </w:rPr>
        <w:t>）期末公司已背书或贴现且在资产负债表日尚未到期的应收票据</w:t>
      </w:r>
    </w:p>
    <w:tbl>
      <w:tblPr>
        <w:tblOverlap w:val="never"/>
        <w:jc w:val="center"/>
        <w:tblLayout w:type="fixed"/>
      </w:tblPr>
      <w:tblGrid>
        <w:gridCol w:w="3115"/>
        <w:gridCol w:w="3110"/>
        <w:gridCol w:w="3134"/>
      </w:tblGrid>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期末终止确认金额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期末未终止确认金额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341,846,795.70</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341,846,795.70</w:t>
            </w:r>
          </w:p>
        </w:tc>
      </w:tr>
    </w:tbl>
    <w:p>
      <w:pPr>
        <w:widowControl w:val="0"/>
        <w:spacing w:after="25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499"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4</w:t>
      </w:r>
      <w:r>
        <w:rPr>
          <w:color w:val="000000"/>
          <w:spacing w:val="0"/>
          <w:w w:val="100"/>
          <w:position w:val="0"/>
        </w:rPr>
        <w:t>）期末因出票人未履约而将其转应收账款的票据</w:t>
      </w:r>
    </w:p>
    <w:tbl>
      <w:tblPr>
        <w:tblOverlap w:val="never"/>
        <w:jc w:val="center"/>
        <w:tblLayout w:type="fixed"/>
      </w:tblPr>
      <w:tblGrid>
        <w:gridCol w:w="4051"/>
        <w:gridCol w:w="5314"/>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期末转应收账款的金额</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4,993,450.42</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4,993,450.42</w:t>
            </w:r>
          </w:p>
        </w:tc>
      </w:tr>
    </w:tbl>
    <w:p>
      <w:pPr>
        <w:widowControl w:val="0"/>
        <w:spacing w:after="199" w:line="1" w:lineRule="exact"/>
      </w:pPr>
    </w:p>
    <w:p>
      <w:pPr>
        <w:pStyle w:val="Style22"/>
        <w:keepNext/>
        <w:keepLines/>
        <w:widowControl w:val="0"/>
        <w:shd w:val="clear" w:color="auto" w:fill="auto"/>
        <w:bidi w:val="0"/>
        <w:spacing w:before="0" w:after="260" w:line="240" w:lineRule="auto"/>
        <w:ind w:left="0" w:right="0" w:firstLine="600"/>
        <w:jc w:val="left"/>
        <w:rPr>
          <w:sz w:val="20"/>
          <w:szCs w:val="20"/>
        </w:rPr>
      </w:pPr>
      <w:bookmarkStart w:id="1018" w:name="bookmark1018"/>
      <w:bookmarkStart w:id="1019" w:name="bookmark1019"/>
      <w:bookmarkStart w:id="1020" w:name="bookmark1020"/>
      <w:bookmarkStart w:id="1021" w:name="bookmark1021"/>
      <w:r>
        <w:rPr>
          <w:rFonts w:ascii="Arial Narrow" w:eastAsia="Arial Narrow" w:hAnsi="Arial Narrow" w:cs="Arial Narrow"/>
          <w:color w:val="000000"/>
          <w:spacing w:val="0"/>
          <w:w w:val="100"/>
          <w:position w:val="0"/>
          <w:sz w:val="20"/>
          <w:szCs w:val="20"/>
        </w:rPr>
        <w:t>3</w:t>
      </w:r>
      <w:bookmarkEnd w:id="1020"/>
      <w:r>
        <w:rPr>
          <w:color w:val="000000"/>
          <w:spacing w:val="0"/>
          <w:w w:val="100"/>
          <w:position w:val="0"/>
          <w:sz w:val="20"/>
          <w:szCs w:val="20"/>
        </w:rPr>
        <w:t>、应收账款</w:t>
      </w:r>
      <w:bookmarkEnd w:id="1018"/>
      <w:bookmarkEnd w:id="1019"/>
      <w:bookmarkEnd w:id="1021"/>
    </w:p>
    <w:p>
      <w:pPr>
        <w:pStyle w:val="Style26"/>
        <w:keepNext w:val="0"/>
        <w:keepLines w:val="0"/>
        <w:widowControl w:val="0"/>
        <w:shd w:val="clear" w:color="auto" w:fill="auto"/>
        <w:bidi w:val="0"/>
        <w:spacing w:before="0" w:after="80" w:line="240" w:lineRule="auto"/>
        <w:ind w:left="0" w:right="0" w:firstLine="54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）以摊余成本计量的应收账款:</w:t>
      </w:r>
    </w:p>
    <w:tbl>
      <w:tblPr>
        <w:tblOverlap w:val="never"/>
        <w:jc w:val="center"/>
        <w:tblLayout w:type="fixed"/>
      </w:tblPr>
      <w:tblGrid>
        <w:gridCol w:w="854"/>
        <w:gridCol w:w="1531"/>
        <w:gridCol w:w="1277"/>
        <w:gridCol w:w="1574"/>
        <w:gridCol w:w="1397"/>
        <w:gridCol w:w="1392"/>
        <w:gridCol w:w="1426"/>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color w:val="000000"/>
                <w:spacing w:val="0"/>
                <w:w w:val="100"/>
                <w:position w:val="0"/>
                <w:sz w:val="17"/>
                <w:szCs w:val="17"/>
              </w:rPr>
              <w:t>应收账 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3,297,183,887.18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311,075,043.29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2,986,108,843.89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3,556,040,206.23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258,444,913.32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3,297,595,292.91</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b/>
                <w:bCs/>
                <w:color w:val="000000"/>
                <w:spacing w:val="0"/>
                <w:w w:val="100"/>
                <w:position w:val="0"/>
                <w:sz w:val="18"/>
                <w:szCs w:val="18"/>
              </w:rPr>
              <w:t>3,297,183,887.18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311,075,043.29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2,986,108,843.89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3,556,040,206.23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258,444,913.32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3,297,595,292.91</w:t>
            </w:r>
          </w:p>
        </w:tc>
      </w:tr>
    </w:tbl>
    <w:p>
      <w:pPr>
        <w:widowControl w:val="0"/>
        <w:spacing w:after="259" w:line="1" w:lineRule="exact"/>
      </w:pPr>
    </w:p>
    <w:p>
      <w:pPr>
        <w:pStyle w:val="Style26"/>
        <w:keepNext w:val="0"/>
        <w:keepLines w:val="0"/>
        <w:widowControl w:val="0"/>
        <w:shd w:val="clear" w:color="auto" w:fill="auto"/>
        <w:bidi w:val="0"/>
        <w:spacing w:before="0" w:after="340" w:line="240" w:lineRule="auto"/>
        <w:ind w:left="0" w:right="0" w:firstLine="54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2</w:t>
      </w:r>
      <w:r>
        <w:rPr>
          <w:color w:val="000000"/>
          <w:spacing w:val="0"/>
          <w:w w:val="100"/>
          <w:position w:val="0"/>
        </w:rPr>
        <w:t>）坏账准备：</w:t>
      </w:r>
    </w:p>
    <w:p>
      <w:pPr>
        <w:pStyle w:val="Style26"/>
        <w:keepNext w:val="0"/>
        <w:keepLines w:val="0"/>
        <w:widowControl w:val="0"/>
        <w:shd w:val="clear" w:color="auto" w:fill="auto"/>
        <w:bidi w:val="0"/>
        <w:spacing w:before="0" w:after="340" w:line="240" w:lineRule="auto"/>
        <w:ind w:left="0" w:right="0" w:firstLine="540"/>
        <w:jc w:val="left"/>
      </w:pPr>
      <w:r>
        <w:rPr>
          <w:color w:val="000000"/>
          <w:spacing w:val="0"/>
          <w:w w:val="100"/>
          <w:position w:val="0"/>
        </w:rPr>
        <w:t>本公司对应收账款，无论是否存在重大融资成分，均按照整个存续期的预期信用损失计量损失准备。</w:t>
      </w:r>
    </w:p>
    <w:p>
      <w:pPr>
        <w:pStyle w:val="Style26"/>
        <w:keepNext w:val="0"/>
        <w:keepLines w:val="0"/>
        <w:widowControl w:val="0"/>
        <w:shd w:val="clear" w:color="auto" w:fill="auto"/>
        <w:bidi w:val="0"/>
        <w:spacing w:before="0" w:after="80" w:line="240" w:lineRule="auto"/>
        <w:ind w:left="0" w:right="0" w:firstLine="540"/>
        <w:jc w:val="left"/>
      </w:pPr>
      <w:r>
        <w:rPr>
          <w:color w:val="000000"/>
          <w:spacing w:val="0"/>
          <w:w w:val="100"/>
          <w:position w:val="0"/>
        </w:rPr>
        <w:t>①</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日，单项计提坏账准备：</w:t>
      </w:r>
    </w:p>
    <w:tbl>
      <w:tblPr>
        <w:tblOverlap w:val="never"/>
        <w:jc w:val="center"/>
        <w:tblLayout w:type="fixed"/>
      </w:tblPr>
      <w:tblGrid>
        <w:gridCol w:w="2923"/>
        <w:gridCol w:w="1546"/>
        <w:gridCol w:w="1834"/>
        <w:gridCol w:w="1435"/>
        <w:gridCol w:w="1598"/>
      </w:tblGrid>
      <w:tr>
        <w:trPr>
          <w:trHeight w:val="61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26" w:lineRule="exact"/>
              <w:ind w:left="0" w:right="0" w:firstLine="0"/>
              <w:jc w:val="center"/>
              <w:rPr>
                <w:sz w:val="22"/>
                <w:szCs w:val="22"/>
              </w:rPr>
            </w:pPr>
            <w:r>
              <w:rPr>
                <w:rFonts w:ascii="SimSun" w:eastAsia="SimSun" w:hAnsi="SimSun" w:cs="SimSun"/>
                <w:b/>
                <w:bCs/>
                <w:color w:val="000000"/>
                <w:spacing w:val="0"/>
                <w:w w:val="100"/>
                <w:position w:val="0"/>
                <w:sz w:val="17"/>
                <w:szCs w:val="17"/>
              </w:rPr>
              <w:t>整个存续期预期信用 损失率</w:t>
            </w:r>
            <w:r>
              <w:rPr>
                <w:rFonts w:ascii="SimSun" w:eastAsia="SimSun" w:hAnsi="SimSun" w:cs="SimSun"/>
                <w:b/>
                <w:bCs/>
                <w:color w:val="000000"/>
                <w:spacing w:val="0"/>
                <w:w w:val="100"/>
                <w:position w:val="0"/>
                <w:sz w:val="22"/>
                <w:szCs w:val="22"/>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理由</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陕县英利新能源科技有限公司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268,335,282.84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62.26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167,060,228.82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上海曼高涅公司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113,590.23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113,590.23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预计无法收回</w:t>
            </w: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268,448,873.07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167,173,819.05</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403" w:right="0" w:firstLine="0"/>
        <w:jc w:val="left"/>
      </w:pPr>
      <w:r>
        <w:rPr>
          <w:color w:val="000000"/>
          <w:spacing w:val="0"/>
          <w:w w:val="100"/>
          <w:position w:val="0"/>
        </w:rPr>
        <w:t>注：已有明显迹象表明债务人很可能无法履行还款义务，本公司已申请仲裁，按预计未来现金流量现值低于其账面价值</w:t>
      </w:r>
    </w:p>
    <w:p>
      <w:pPr>
        <w:widowControl w:val="0"/>
        <w:spacing w:after="259" w:line="1" w:lineRule="exact"/>
      </w:pPr>
    </w:p>
    <w:p>
      <w:pPr>
        <w:widowControl w:val="0"/>
        <w:spacing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的差额，计提坏账准备。</w:t>
      </w:r>
    </w:p>
    <w:p>
      <w:pPr>
        <w:pStyle w:val="Style24"/>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②</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日，组合计提坏账准备:</w:t>
      </w:r>
    </w:p>
    <w:tbl>
      <w:tblPr>
        <w:tblOverlap w:val="never"/>
        <w:jc w:val="center"/>
        <w:tblLayout w:type="fixed"/>
      </w:tblPr>
      <w:tblGrid>
        <w:gridCol w:w="3682"/>
        <w:gridCol w:w="2122"/>
        <w:gridCol w:w="1882"/>
        <w:gridCol w:w="1670"/>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名称</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计提比例（</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17"/>
                <w:szCs w:val="17"/>
              </w:rPr>
              <w:t>）</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账龄分析法组合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2,092,305,444.62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143,901,224.24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6.88</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应收国家电网电费及补贴款组合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936,429,569.49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3,028,735,014.11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143,901,224.24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4.75</w:t>
            </w:r>
          </w:p>
        </w:tc>
      </w:tr>
    </w:tbl>
    <w:p>
      <w:pPr>
        <w:widowControl w:val="0"/>
        <w:spacing w:line="1" w:lineRule="exact"/>
      </w:pPr>
      <w:r>
        <w:br w:type="page"/>
      </w:r>
    </w:p>
    <w:p>
      <w:pPr>
        <w:pStyle w:val="Style24"/>
        <w:keepNext w:val="0"/>
        <w:keepLines w:val="0"/>
        <w:widowControl w:val="0"/>
        <w:shd w:val="clear" w:color="auto" w:fill="auto"/>
        <w:bidi w:val="0"/>
        <w:spacing w:before="0" w:after="0" w:line="240" w:lineRule="auto"/>
        <w:ind w:left="206" w:right="0" w:firstLine="0"/>
        <w:jc w:val="left"/>
      </w:pPr>
      <w:r>
        <w:rPr>
          <w:color w:val="000000"/>
          <w:spacing w:val="0"/>
          <w:w w:val="100"/>
          <w:position w:val="0"/>
        </w:rPr>
        <w:t>其中：账龄分析法组合列式如下</w:t>
      </w:r>
    </w:p>
    <w:tbl>
      <w:tblPr>
        <w:tblOverlap w:val="never"/>
        <w:jc w:val="center"/>
        <w:tblLayout w:type="fixed"/>
      </w:tblPr>
      <w:tblGrid>
        <w:gridCol w:w="2203"/>
        <w:gridCol w:w="2064"/>
        <w:gridCol w:w="3384"/>
        <w:gridCol w:w="1704"/>
      </w:tblGrid>
      <w:tr>
        <w:trPr>
          <w:trHeight w:val="427"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账龄</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整个存续期预期信用损失率（</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信用期内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665,713,271.16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5,071,332.56</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信用期外</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589,043,308.29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30,335,730.39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1 </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729,925,187.29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75,182,294.29</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107,518,688.66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33,223,274.80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33,808.29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17,411.27</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72.10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71,180.93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71,180.93</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2,092,305,444.62</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6.88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b/>
                <w:bCs/>
                <w:color w:val="000000"/>
                <w:spacing w:val="0"/>
                <w:w w:val="100"/>
                <w:position w:val="0"/>
                <w:sz w:val="18"/>
                <w:szCs w:val="18"/>
              </w:rPr>
              <w:t>143,901,224.24</w:t>
            </w:r>
          </w:p>
        </w:tc>
      </w:tr>
    </w:tbl>
    <w:p>
      <w:pPr>
        <w:widowControl w:val="0"/>
        <w:spacing w:after="2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326" w:right="0" w:firstLine="0"/>
        <w:jc w:val="left"/>
      </w:pPr>
      <w:r>
        <w:rPr>
          <w:color w:val="000000"/>
          <w:spacing w:val="0"/>
          <w:w w:val="100"/>
          <w:position w:val="0"/>
        </w:rPr>
        <w:t>③坏账准备的变动</w:t>
      </w:r>
    </w:p>
    <w:tbl>
      <w:tblPr>
        <w:tblOverlap w:val="never"/>
        <w:jc w:val="center"/>
        <w:tblLayout w:type="fixed"/>
      </w:tblPr>
      <w:tblGrid>
        <w:gridCol w:w="1243"/>
        <w:gridCol w:w="1502"/>
        <w:gridCol w:w="1368"/>
        <w:gridCol w:w="1286"/>
        <w:gridCol w:w="1411"/>
        <w:gridCol w:w="1291"/>
        <w:gridCol w:w="1469"/>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2019.01.01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转回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处置</w:t>
            </w:r>
          </w:p>
        </w:tc>
        <w:tc>
          <w:tcPr>
            <w:vMerge/>
            <w:tcBorders>
              <w:left w:val="single" w:sz="4"/>
            </w:tcBorders>
            <w:shd w:val="clear" w:color="auto" w:fill="FFFFFF"/>
            <w:vAlign w:val="center"/>
          </w:tcPr>
          <w:p>
            <w:pPr/>
          </w:p>
        </w:tc>
      </w:tr>
      <w:tr>
        <w:trPr>
          <w:trHeight w:val="80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应收账款坏 账准备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268,615,678.55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77,720,627.88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32,723,120.80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2,538,142.34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40" w:firstLine="0"/>
              <w:jc w:val="right"/>
            </w:pPr>
            <w:r>
              <w:rPr>
                <w:rFonts w:ascii="Arial Narrow" w:eastAsia="Arial Narrow" w:hAnsi="Arial Narrow" w:cs="Arial Narrow"/>
                <w:color w:val="000000"/>
                <w:spacing w:val="0"/>
                <w:w w:val="100"/>
                <w:position w:val="0"/>
                <w:sz w:val="18"/>
                <w:szCs w:val="18"/>
              </w:rPr>
              <w:t>311,075,043.29</w:t>
            </w:r>
          </w:p>
        </w:tc>
      </w:tr>
    </w:tbl>
    <w:p>
      <w:pPr>
        <w:widowControl w:val="0"/>
        <w:spacing w:after="219" w:line="1" w:lineRule="exact"/>
      </w:pPr>
    </w:p>
    <w:p>
      <w:pPr>
        <w:pStyle w:val="Style26"/>
        <w:keepNext w:val="0"/>
        <w:keepLines w:val="0"/>
        <w:widowControl w:val="0"/>
        <w:shd w:val="clear" w:color="auto" w:fill="auto"/>
        <w:bidi w:val="0"/>
        <w:spacing w:before="0" w:after="220" w:line="240" w:lineRule="auto"/>
        <w:ind w:left="0" w:right="0" w:firstLine="500"/>
        <w:jc w:val="left"/>
      </w:pPr>
      <w:r>
        <w:rPr>
          <w:color w:val="000000"/>
          <w:spacing w:val="0"/>
          <w:w w:val="100"/>
          <w:position w:val="0"/>
        </w:rPr>
        <w:t>注：首次执行新金融工具准则，调整期初坏账</w:t>
      </w:r>
      <w:r>
        <w:rPr>
          <w:rFonts w:ascii="Arial Narrow" w:eastAsia="Arial Narrow" w:hAnsi="Arial Narrow" w:cs="Arial Narrow"/>
          <w:color w:val="000000"/>
          <w:spacing w:val="0"/>
          <w:w w:val="100"/>
          <w:position w:val="0"/>
          <w:sz w:val="18"/>
          <w:szCs w:val="18"/>
        </w:rPr>
        <w:t>10,170,765.23</w:t>
      </w:r>
      <w:r>
        <w:rPr>
          <w:color w:val="000000"/>
          <w:spacing w:val="0"/>
          <w:w w:val="100"/>
          <w:position w:val="0"/>
        </w:rPr>
        <w:t>元。</w:t>
      </w:r>
    </w:p>
    <w:p>
      <w:pPr>
        <w:pStyle w:val="Style26"/>
        <w:keepNext w:val="0"/>
        <w:keepLines w:val="0"/>
        <w:widowControl w:val="0"/>
        <w:shd w:val="clear" w:color="auto" w:fill="auto"/>
        <w:bidi w:val="0"/>
        <w:spacing w:before="0" w:after="220" w:line="240" w:lineRule="auto"/>
        <w:ind w:left="0" w:right="0" w:firstLine="500"/>
        <w:jc w:val="left"/>
      </w:pPr>
      <w:bookmarkStart w:id="1022" w:name="bookmark1022"/>
      <w:r>
        <w:rPr>
          <w:color w:val="000000"/>
          <w:spacing w:val="0"/>
          <w:w w:val="100"/>
          <w:position w:val="0"/>
        </w:rPr>
        <w:t>（</w:t>
      </w:r>
      <w:bookmarkEnd w:id="1022"/>
      <w:r>
        <w:rPr>
          <w:rFonts w:ascii="Arial Narrow" w:eastAsia="Arial Narrow" w:hAnsi="Arial Narrow" w:cs="Arial Narrow"/>
          <w:color w:val="000000"/>
          <w:spacing w:val="0"/>
          <w:w w:val="100"/>
          <w:position w:val="0"/>
          <w:sz w:val="18"/>
          <w:szCs w:val="18"/>
        </w:rPr>
        <w:t>3</w:t>
      </w:r>
      <w:r>
        <w:rPr>
          <w:color w:val="000000"/>
          <w:spacing w:val="0"/>
          <w:w w:val="100"/>
          <w:position w:val="0"/>
        </w:rPr>
        <w:t>）按欠款方归集的期末余额前五名的应收账款情况：</w:t>
      </w:r>
    </w:p>
    <w:p>
      <w:pPr>
        <w:pStyle w:val="Style26"/>
        <w:keepNext w:val="0"/>
        <w:keepLines w:val="0"/>
        <w:widowControl w:val="0"/>
        <w:shd w:val="clear" w:color="auto" w:fill="auto"/>
        <w:bidi w:val="0"/>
        <w:spacing w:before="0" w:after="220" w:line="240" w:lineRule="auto"/>
        <w:ind w:left="0" w:right="0" w:firstLine="500"/>
        <w:jc w:val="left"/>
      </w:pPr>
      <w:r>
        <w:rPr>
          <w:color w:val="000000"/>
          <w:spacing w:val="0"/>
          <w:w w:val="100"/>
          <w:position w:val="0"/>
        </w:rPr>
        <w:t>按欠款方归集的期末余额前五名应收账款汇总金额</w:t>
      </w:r>
      <w:r>
        <w:rPr>
          <w:rFonts w:ascii="Arial Narrow" w:eastAsia="Arial Narrow" w:hAnsi="Arial Narrow" w:cs="Arial Narrow"/>
          <w:color w:val="000000"/>
          <w:spacing w:val="0"/>
          <w:w w:val="100"/>
          <w:position w:val="0"/>
          <w:sz w:val="18"/>
          <w:szCs w:val="18"/>
        </w:rPr>
        <w:t>946,029,432.21</w:t>
      </w:r>
      <w:r>
        <w:rPr>
          <w:color w:val="000000"/>
          <w:spacing w:val="0"/>
          <w:w w:val="100"/>
          <w:position w:val="0"/>
        </w:rPr>
        <w:t>元，占应收账款期末余额合计数的比例为</w:t>
      </w:r>
      <w:r>
        <w:rPr>
          <w:rFonts w:ascii="Arial Narrow" w:eastAsia="Arial Narrow" w:hAnsi="Arial Narrow" w:cs="Arial Narrow"/>
          <w:color w:val="000000"/>
          <w:spacing w:val="0"/>
          <w:w w:val="100"/>
          <w:position w:val="0"/>
          <w:sz w:val="18"/>
          <w:szCs w:val="18"/>
        </w:rPr>
        <w:t>28.69%</w:t>
      </w:r>
      <w:r>
        <w:rPr>
          <w:color w:val="000000"/>
          <w:spacing w:val="0"/>
          <w:w w:val="100"/>
          <w:position w:val="0"/>
        </w:rPr>
        <w:t>，相</w:t>
      </w:r>
    </w:p>
    <w:p>
      <w:pPr>
        <w:pStyle w:val="Style26"/>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应计提的坏账准备期末余额汇总金额</w:t>
      </w:r>
      <w:r>
        <w:rPr>
          <w:rFonts w:ascii="Arial Narrow" w:eastAsia="Arial Narrow" w:hAnsi="Arial Narrow" w:cs="Arial Narrow"/>
          <w:color w:val="000000"/>
          <w:spacing w:val="0"/>
          <w:w w:val="100"/>
          <w:position w:val="0"/>
          <w:sz w:val="18"/>
          <w:szCs w:val="18"/>
        </w:rPr>
        <w:t>209,186,226.31</w:t>
      </w:r>
      <w:r>
        <w:rPr>
          <w:color w:val="000000"/>
          <w:spacing w:val="0"/>
          <w:w w:val="100"/>
          <w:position w:val="0"/>
        </w:rPr>
        <w:t>元。</w:t>
      </w:r>
    </w:p>
    <w:p>
      <w:pPr>
        <w:pStyle w:val="Style26"/>
        <w:keepNext w:val="0"/>
        <w:keepLines w:val="0"/>
        <w:widowControl w:val="0"/>
        <w:shd w:val="clear" w:color="auto" w:fill="auto"/>
        <w:bidi w:val="0"/>
        <w:spacing w:before="0" w:after="220" w:line="240" w:lineRule="auto"/>
        <w:ind w:left="0" w:right="0" w:firstLine="500"/>
        <w:jc w:val="left"/>
      </w:pPr>
      <w:bookmarkStart w:id="1023" w:name="bookmark1023"/>
      <w:r>
        <w:rPr>
          <w:color w:val="000000"/>
          <w:spacing w:val="0"/>
          <w:w w:val="100"/>
          <w:position w:val="0"/>
        </w:rPr>
        <w:t>（</w:t>
      </w:r>
      <w:bookmarkEnd w:id="1023"/>
      <w:r>
        <w:rPr>
          <w:rFonts w:ascii="Arial Narrow" w:eastAsia="Arial Narrow" w:hAnsi="Arial Narrow" w:cs="Arial Narrow"/>
          <w:color w:val="000000"/>
          <w:spacing w:val="0"/>
          <w:w w:val="100"/>
          <w:position w:val="0"/>
          <w:sz w:val="18"/>
          <w:szCs w:val="18"/>
        </w:rPr>
        <w:t>4</w:t>
      </w:r>
      <w:r>
        <w:rPr>
          <w:color w:val="000000"/>
          <w:spacing w:val="0"/>
          <w:w w:val="100"/>
          <w:position w:val="0"/>
        </w:rPr>
        <w:t>）公司于</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月向三阳丝路（霍尔果斯）商业保理有限公司申请保理应收账款保理融资业务，受限的应收账</w:t>
      </w:r>
    </w:p>
    <w:p>
      <w:pPr>
        <w:pStyle w:val="Style81"/>
        <w:keepNext w:val="0"/>
        <w:keepLines w:val="0"/>
        <w:widowControl w:val="0"/>
        <w:shd w:val="clear" w:color="auto" w:fill="auto"/>
        <w:bidi w:val="0"/>
        <w:spacing w:before="0" w:after="220" w:line="240" w:lineRule="auto"/>
        <w:ind w:left="0" w:right="0" w:firstLine="140"/>
        <w:jc w:val="left"/>
        <w:rPr>
          <w:sz w:val="17"/>
          <w:szCs w:val="17"/>
        </w:rPr>
      </w:pPr>
      <w:r>
        <w:rPr>
          <w:rFonts w:ascii="SimSun" w:eastAsia="SimSun" w:hAnsi="SimSun" w:cs="SimSun"/>
          <w:color w:val="000000"/>
          <w:spacing w:val="0"/>
          <w:w w:val="100"/>
          <w:position w:val="0"/>
          <w:sz w:val="17"/>
          <w:szCs w:val="17"/>
        </w:rPr>
        <w:t>款金额为</w:t>
      </w:r>
      <w:r>
        <w:rPr>
          <w:color w:val="000000"/>
          <w:spacing w:val="0"/>
          <w:w w:val="100"/>
          <w:position w:val="0"/>
          <w:sz w:val="18"/>
          <w:szCs w:val="18"/>
        </w:rPr>
        <w:t>192,520,000.00</w:t>
      </w:r>
      <w:r>
        <w:rPr>
          <w:rFonts w:ascii="SimSun" w:eastAsia="SimSun" w:hAnsi="SimSun" w:cs="SimSun"/>
          <w:color w:val="000000"/>
          <w:spacing w:val="0"/>
          <w:w w:val="100"/>
          <w:position w:val="0"/>
          <w:sz w:val="17"/>
          <w:szCs w:val="17"/>
        </w:rPr>
        <w:t>元。</w:t>
      </w:r>
    </w:p>
    <w:p>
      <w:pPr>
        <w:pStyle w:val="Style22"/>
        <w:keepNext/>
        <w:keepLines/>
        <w:widowControl w:val="0"/>
        <w:shd w:val="clear" w:color="auto" w:fill="auto"/>
        <w:bidi w:val="0"/>
        <w:spacing w:before="0" w:after="40" w:line="240" w:lineRule="auto"/>
        <w:ind w:left="0" w:right="0" w:firstLine="560"/>
        <w:jc w:val="left"/>
        <w:rPr>
          <w:sz w:val="20"/>
          <w:szCs w:val="20"/>
        </w:rPr>
      </w:pPr>
      <w:bookmarkStart w:id="1024" w:name="bookmark1024"/>
      <w:bookmarkStart w:id="1025" w:name="bookmark1025"/>
      <w:bookmarkStart w:id="1026" w:name="bookmark1026"/>
      <w:bookmarkStart w:id="1027" w:name="bookmark1027"/>
      <w:r>
        <w:rPr>
          <w:rFonts w:ascii="Arial Narrow" w:eastAsia="Arial Narrow" w:hAnsi="Arial Narrow" w:cs="Arial Narrow"/>
          <w:color w:val="000000"/>
          <w:spacing w:val="0"/>
          <w:w w:val="100"/>
          <w:position w:val="0"/>
          <w:sz w:val="20"/>
          <w:szCs w:val="20"/>
        </w:rPr>
        <w:t>4</w:t>
      </w:r>
      <w:bookmarkEnd w:id="1026"/>
      <w:r>
        <w:rPr>
          <w:color w:val="000000"/>
          <w:spacing w:val="0"/>
          <w:w w:val="100"/>
          <w:position w:val="0"/>
          <w:sz w:val="20"/>
          <w:szCs w:val="20"/>
        </w:rPr>
        <w:t>、应收款项融资</w:t>
      </w:r>
      <w:bookmarkEnd w:id="1024"/>
      <w:bookmarkEnd w:id="1025"/>
      <w:bookmarkEnd w:id="1027"/>
    </w:p>
    <w:tbl>
      <w:tblPr>
        <w:tblOverlap w:val="never"/>
        <w:jc w:val="center"/>
        <w:tblLayout w:type="fixed"/>
      </w:tblPr>
      <w:tblGrid>
        <w:gridCol w:w="3590"/>
        <w:gridCol w:w="2986"/>
        <w:gridCol w:w="2822"/>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84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以公允价值计量且其变动计入其他综合收 益的应收票据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400,000.00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494" w:right="0" w:firstLine="0"/>
        <w:jc w:val="left"/>
      </w:pPr>
      <w:r>
        <w:rPr>
          <w:color w:val="000000"/>
          <w:spacing w:val="0"/>
          <w:w w:val="100"/>
          <w:position w:val="0"/>
        </w:rPr>
        <w:t>期末公司已背书或贴现且在资产负债表日尚未到期的应收票据</w:t>
      </w:r>
    </w:p>
    <w:tbl>
      <w:tblPr>
        <w:tblOverlap w:val="never"/>
        <w:jc w:val="center"/>
        <w:tblLayout w:type="fixed"/>
      </w:tblPr>
      <w:tblGrid>
        <w:gridCol w:w="3115"/>
        <w:gridCol w:w="3110"/>
        <w:gridCol w:w="3134"/>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期末终止确认金额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期末未终止确认金额</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152,821,516.73</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152,821,516.73</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2"/>
        <w:keepNext/>
        <w:keepLines/>
        <w:widowControl w:val="0"/>
        <w:shd w:val="clear" w:color="auto" w:fill="auto"/>
        <w:bidi w:val="0"/>
        <w:spacing w:before="0" w:after="140" w:line="240" w:lineRule="auto"/>
        <w:ind w:left="0" w:right="0" w:firstLine="560"/>
        <w:jc w:val="left"/>
        <w:rPr>
          <w:sz w:val="20"/>
          <w:szCs w:val="20"/>
        </w:rPr>
      </w:pPr>
      <w:bookmarkStart w:id="1028" w:name="bookmark1028"/>
      <w:bookmarkStart w:id="1029" w:name="bookmark1029"/>
      <w:bookmarkStart w:id="1030" w:name="bookmark1030"/>
      <w:bookmarkStart w:id="1031" w:name="bookmark1031"/>
      <w:r>
        <w:rPr>
          <w:rFonts w:ascii="Arial Narrow" w:eastAsia="Arial Narrow" w:hAnsi="Arial Narrow" w:cs="Arial Narrow"/>
          <w:color w:val="000000"/>
          <w:spacing w:val="0"/>
          <w:w w:val="100"/>
          <w:position w:val="0"/>
          <w:sz w:val="20"/>
          <w:szCs w:val="20"/>
        </w:rPr>
        <w:t>5</w:t>
      </w:r>
      <w:bookmarkEnd w:id="1030"/>
      <w:r>
        <w:rPr>
          <w:color w:val="000000"/>
          <w:spacing w:val="0"/>
          <w:w w:val="100"/>
          <w:position w:val="0"/>
          <w:sz w:val="20"/>
          <w:szCs w:val="20"/>
        </w:rPr>
        <w:t>、预付款项</w:t>
      </w:r>
      <w:bookmarkEnd w:id="1028"/>
      <w:bookmarkEnd w:id="1029"/>
      <w:bookmarkEnd w:id="1031"/>
    </w:p>
    <w:p>
      <w:pPr>
        <w:pStyle w:val="Style24"/>
        <w:keepNext w:val="0"/>
        <w:keepLines w:val="0"/>
        <w:widowControl w:val="0"/>
        <w:shd w:val="clear" w:color="auto" w:fill="auto"/>
        <w:bidi w:val="0"/>
        <w:spacing w:before="0" w:after="0" w:line="240" w:lineRule="auto"/>
        <w:ind w:left="456"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）预付款项按账龄列示</w:t>
      </w:r>
    </w:p>
    <w:tbl>
      <w:tblPr>
        <w:tblOverlap w:val="never"/>
        <w:jc w:val="center"/>
        <w:tblLayout w:type="fixed"/>
      </w:tblPr>
      <w:tblGrid>
        <w:gridCol w:w="2309"/>
        <w:gridCol w:w="1867"/>
        <w:gridCol w:w="1661"/>
        <w:gridCol w:w="1742"/>
        <w:gridCol w:w="1786"/>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账龄</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比例（</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比例（</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17"/>
                <w:szCs w:val="17"/>
              </w:rPr>
              <w:t>）</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3,461,237,831.27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70.87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4,334,744,885.62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93.38</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1,252,546,255.33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218,584,974.31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4.71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至</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149,760,719.68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88,558,065.99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1.91</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20,247,902.18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4,883,792,708.46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4,641,887,925.92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100.00</w:t>
            </w:r>
          </w:p>
        </w:tc>
      </w:tr>
    </w:tbl>
    <w:p>
      <w:pPr>
        <w:pStyle w:val="Style26"/>
        <w:keepNext w:val="0"/>
        <w:keepLines w:val="0"/>
        <w:widowControl w:val="0"/>
        <w:shd w:val="clear" w:color="auto" w:fill="auto"/>
        <w:bidi w:val="0"/>
        <w:spacing w:before="0" w:after="0" w:line="509" w:lineRule="exact"/>
        <w:ind w:left="140" w:right="0" w:firstLine="360"/>
        <w:jc w:val="left"/>
      </w:pPr>
      <w:r>
        <w:rPr>
          <w:color w:val="000000"/>
          <w:spacing w:val="0"/>
          <w:w w:val="100"/>
          <w:position w:val="0"/>
        </w:rPr>
        <w:t>注：账龄超过</w:t>
      </w:r>
      <w:r>
        <w:rPr>
          <w:rFonts w:ascii="Arial Narrow" w:eastAsia="Arial Narrow" w:hAnsi="Arial Narrow" w:cs="Arial Narrow"/>
          <w:color w:val="000000"/>
          <w:spacing w:val="0"/>
          <w:w w:val="100"/>
          <w:position w:val="0"/>
          <w:sz w:val="18"/>
          <w:szCs w:val="18"/>
        </w:rPr>
        <w:t>1</w:t>
      </w:r>
      <w:r>
        <w:rPr>
          <w:color w:val="000000"/>
          <w:spacing w:val="0"/>
          <w:w w:val="100"/>
          <w:position w:val="0"/>
        </w:rPr>
        <w:t>年的重要预付款项主要为预付的工程设备款，工程结算周期超过</w:t>
      </w:r>
      <w:r>
        <w:rPr>
          <w:rFonts w:ascii="Arial Narrow" w:eastAsia="Arial Narrow" w:hAnsi="Arial Narrow" w:cs="Arial Narrow"/>
          <w:color w:val="000000"/>
          <w:spacing w:val="0"/>
          <w:w w:val="100"/>
          <w:position w:val="0"/>
          <w:sz w:val="18"/>
          <w:szCs w:val="18"/>
        </w:rPr>
        <w:t>1</w:t>
      </w:r>
      <w:r>
        <w:rPr>
          <w:color w:val="000000"/>
          <w:spacing w:val="0"/>
          <w:w w:val="100"/>
          <w:position w:val="0"/>
        </w:rPr>
        <w:t>年，由于业务尚未完成，故暂未办理 结算。</w:t>
      </w:r>
    </w:p>
    <w:p>
      <w:pPr>
        <w:pStyle w:val="Style26"/>
        <w:keepNext w:val="0"/>
        <w:keepLines w:val="0"/>
        <w:widowControl w:val="0"/>
        <w:shd w:val="clear" w:color="auto" w:fill="auto"/>
        <w:bidi w:val="0"/>
        <w:spacing w:before="0" w:after="280" w:line="509" w:lineRule="exact"/>
        <w:ind w:left="0" w:right="0" w:firstLine="50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2</w:t>
      </w:r>
      <w:r>
        <w:rPr>
          <w:color w:val="000000"/>
          <w:spacing w:val="0"/>
          <w:w w:val="100"/>
          <w:position w:val="0"/>
        </w:rPr>
        <w:t>）按预付对象归集的年末余额前五名的预付款情况：</w:t>
      </w:r>
    </w:p>
    <w:p>
      <w:pPr>
        <w:pStyle w:val="Style33"/>
        <w:keepNext w:val="0"/>
        <w:keepLines w:val="0"/>
        <w:widowControl w:val="0"/>
        <w:shd w:val="clear" w:color="auto" w:fill="auto"/>
        <w:bidi w:val="0"/>
        <w:spacing w:before="0" w:after="280" w:line="240" w:lineRule="auto"/>
        <w:ind w:left="0" w:right="0" w:firstLine="560"/>
        <w:jc w:val="left"/>
      </w:pPr>
      <w:r>
        <w:rPr>
          <w:color w:val="000000"/>
          <w:spacing w:val="0"/>
          <w:w w:val="100"/>
          <w:position w:val="0"/>
        </w:rPr>
        <w:t>截止</w:t>
      </w:r>
      <w:r>
        <w:rPr>
          <w:b/>
          <w:bCs/>
          <w:color w:val="000000"/>
          <w:spacing w:val="0"/>
          <w:w w:val="100"/>
          <w:position w:val="0"/>
        </w:rPr>
        <w:t>2019</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日按预付对象归集的期末余额前五名预付款项汇总金额</w:t>
      </w:r>
      <w:r>
        <w:rPr>
          <w:b/>
          <w:bCs/>
          <w:color w:val="000000"/>
          <w:spacing w:val="0"/>
          <w:w w:val="100"/>
          <w:position w:val="0"/>
        </w:rPr>
        <w:t>2,475,669,851.00</w:t>
      </w:r>
      <w:r>
        <w:rPr>
          <w:color w:val="000000"/>
          <w:spacing w:val="0"/>
          <w:w w:val="100"/>
          <w:position w:val="0"/>
        </w:rPr>
        <w:t>元，占预</w:t>
      </w:r>
    </w:p>
    <w:p>
      <w:pPr>
        <w:pStyle w:val="Style33"/>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付款项期末余额合计数的比例</w:t>
      </w:r>
      <w:r>
        <w:rPr>
          <w:b/>
          <w:bCs/>
          <w:color w:val="000000"/>
          <w:spacing w:val="0"/>
          <w:w w:val="100"/>
          <w:position w:val="0"/>
        </w:rPr>
        <w:t>50.69%</w:t>
      </w:r>
      <w:r>
        <w:rPr>
          <w:color w:val="000000"/>
          <w:spacing w:val="0"/>
          <w:w w:val="100"/>
          <w:position w:val="0"/>
        </w:rPr>
        <w:t>。</w:t>
      </w:r>
    </w:p>
    <w:p>
      <w:pPr>
        <w:pStyle w:val="Style22"/>
        <w:keepNext/>
        <w:keepLines/>
        <w:widowControl w:val="0"/>
        <w:shd w:val="clear" w:color="auto" w:fill="auto"/>
        <w:bidi w:val="0"/>
        <w:spacing w:before="0" w:after="0" w:line="240" w:lineRule="auto"/>
        <w:ind w:left="0" w:right="0" w:firstLine="560"/>
        <w:jc w:val="left"/>
        <w:rPr>
          <w:sz w:val="20"/>
          <w:szCs w:val="20"/>
        </w:rPr>
      </w:pPr>
      <w:bookmarkStart w:id="1032" w:name="bookmark1032"/>
      <w:bookmarkStart w:id="1033" w:name="bookmark1033"/>
      <w:bookmarkStart w:id="1034" w:name="bookmark1034"/>
      <w:bookmarkStart w:id="1035" w:name="bookmark1035"/>
      <w:r>
        <w:rPr>
          <w:rFonts w:ascii="Arial Narrow" w:eastAsia="Arial Narrow" w:hAnsi="Arial Narrow" w:cs="Arial Narrow"/>
          <w:color w:val="000000"/>
          <w:spacing w:val="0"/>
          <w:w w:val="100"/>
          <w:position w:val="0"/>
          <w:sz w:val="20"/>
          <w:szCs w:val="20"/>
        </w:rPr>
        <w:t>6</w:t>
      </w:r>
      <w:bookmarkEnd w:id="1034"/>
      <w:r>
        <w:rPr>
          <w:color w:val="000000"/>
          <w:spacing w:val="0"/>
          <w:w w:val="100"/>
          <w:position w:val="0"/>
          <w:sz w:val="20"/>
          <w:szCs w:val="20"/>
        </w:rPr>
        <w:t>、其他应收款</w:t>
      </w:r>
      <w:bookmarkEnd w:id="1032"/>
      <w:bookmarkEnd w:id="1033"/>
      <w:bookmarkEnd w:id="1035"/>
    </w:p>
    <w:tbl>
      <w:tblPr>
        <w:tblOverlap w:val="never"/>
        <w:jc w:val="center"/>
        <w:tblLayout w:type="fixed"/>
      </w:tblPr>
      <w:tblGrid>
        <w:gridCol w:w="3187"/>
        <w:gridCol w:w="3202"/>
        <w:gridCol w:w="2856"/>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12,819,770.84</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650,732,493.13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1,006,390,957.04</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650,732,493.13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1,019,210,727.88</w:t>
            </w:r>
          </w:p>
        </w:tc>
      </w:tr>
    </w:tbl>
    <w:p>
      <w:pPr>
        <w:widowControl w:val="0"/>
        <w:spacing w:after="279" w:line="1" w:lineRule="exact"/>
      </w:pPr>
    </w:p>
    <w:p>
      <w:pPr>
        <w:pStyle w:val="Style26"/>
        <w:keepNext w:val="0"/>
        <w:keepLines w:val="0"/>
        <w:widowControl w:val="0"/>
        <w:shd w:val="clear" w:color="auto" w:fill="auto"/>
        <w:bidi w:val="0"/>
        <w:spacing w:before="0" w:line="240" w:lineRule="auto"/>
        <w:ind w:left="0" w:right="0" w:firstLine="44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）应收利息情况</w:t>
      </w:r>
    </w:p>
    <w:p>
      <w:pPr>
        <w:pStyle w:val="Style24"/>
        <w:keepNext w:val="0"/>
        <w:keepLines w:val="0"/>
        <w:widowControl w:val="0"/>
        <w:shd w:val="clear" w:color="auto" w:fill="auto"/>
        <w:bidi w:val="0"/>
        <w:spacing w:before="0" w:after="0" w:line="240" w:lineRule="auto"/>
        <w:ind w:left="413" w:right="0" w:firstLine="0"/>
        <w:jc w:val="left"/>
      </w:pPr>
      <w:r>
        <w:rPr>
          <w:color w:val="000000"/>
          <w:spacing w:val="0"/>
          <w:w w:val="100"/>
          <w:position w:val="0"/>
        </w:rPr>
        <w:t>①应收利息分类列示:</w:t>
      </w:r>
    </w:p>
    <w:tbl>
      <w:tblPr>
        <w:tblOverlap w:val="never"/>
        <w:jc w:val="center"/>
        <w:tblLayout w:type="fixed"/>
      </w:tblPr>
      <w:tblGrid>
        <w:gridCol w:w="1718"/>
        <w:gridCol w:w="1397"/>
        <w:gridCol w:w="773"/>
        <w:gridCol w:w="1579"/>
        <w:gridCol w:w="1507"/>
        <w:gridCol w:w="816"/>
        <w:gridCol w:w="1584"/>
      </w:tblGrid>
      <w:tr>
        <w:trPr>
          <w:trHeight w:val="44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60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b/>
                <w:bCs/>
                <w:color w:val="000000"/>
                <w:spacing w:val="0"/>
                <w:w w:val="100"/>
                <w:position w:val="0"/>
                <w:sz w:val="17"/>
                <w:szCs w:val="17"/>
              </w:rPr>
              <w:t>坏账准 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b/>
                <w:bCs/>
                <w:color w:val="000000"/>
                <w:spacing w:val="0"/>
                <w:w w:val="100"/>
                <w:position w:val="0"/>
                <w:sz w:val="17"/>
                <w:szCs w:val="17"/>
              </w:rPr>
              <w:t>坏账准 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10,279,437.52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10,279,437.52</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2,540,333.32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2,540,333.32</w:t>
            </w:r>
          </w:p>
        </w:tc>
      </w:tr>
      <w:tr>
        <w:trPr>
          <w:trHeight w:val="47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12,819,770.84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b/>
                <w:bCs/>
                <w:color w:val="000000"/>
                <w:spacing w:val="0"/>
                <w:w w:val="100"/>
                <w:position w:val="0"/>
                <w:sz w:val="18"/>
                <w:szCs w:val="18"/>
              </w:rPr>
              <w:t>12,819,770.84</w:t>
            </w:r>
          </w:p>
        </w:tc>
      </w:tr>
    </w:tbl>
    <w:p>
      <w:pPr>
        <w:widowControl w:val="0"/>
        <w:spacing w:after="139" w:line="1" w:lineRule="exact"/>
      </w:pPr>
    </w:p>
    <w:p>
      <w:pPr>
        <w:pStyle w:val="Style26"/>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注：期末未到期的定期存款应收利息参见附注五、</w:t>
      </w:r>
      <w:r>
        <w:rPr>
          <w:rFonts w:ascii="Arial Narrow" w:eastAsia="Arial Narrow" w:hAnsi="Arial Narrow" w:cs="Arial Narrow"/>
          <w:color w:val="000000"/>
          <w:spacing w:val="0"/>
          <w:w w:val="100"/>
          <w:position w:val="0"/>
          <w:sz w:val="18"/>
          <w:szCs w:val="18"/>
        </w:rPr>
        <w:t>1</w:t>
      </w:r>
      <w:r>
        <w:rPr>
          <w:color w:val="000000"/>
          <w:spacing w:val="0"/>
          <w:w w:val="100"/>
          <w:position w:val="0"/>
        </w:rPr>
        <w:t>。</w:t>
      </w:r>
    </w:p>
    <w:p>
      <w:pPr>
        <w:pStyle w:val="Style26"/>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2</w:t>
      </w:r>
      <w:r>
        <w:rPr>
          <w:color w:val="000000"/>
          <w:spacing w:val="0"/>
          <w:w w:val="100"/>
          <w:position w:val="0"/>
        </w:rPr>
        <w:t>）其他应收款情况</w:t>
      </w:r>
    </w:p>
    <w:p>
      <w:pPr>
        <w:pStyle w:val="Style26"/>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①坏账准备</w:t>
      </w:r>
    </w:p>
    <w:p>
      <w:pPr>
        <w:pStyle w:val="Style26"/>
        <w:keepNext w:val="0"/>
        <w:keepLines w:val="0"/>
        <w:widowControl w:val="0"/>
        <w:shd w:val="clear" w:color="auto" w:fill="auto"/>
        <w:bidi w:val="0"/>
        <w:spacing w:before="0" w:after="280" w:line="240" w:lineRule="auto"/>
        <w:ind w:left="0" w:right="0" w:firstLine="500"/>
        <w:jc w:val="left"/>
      </w:pPr>
      <w:r>
        <w:rPr>
          <w:rFonts w:ascii="Arial Narrow" w:eastAsia="Arial Narrow" w:hAnsi="Arial Narrow" w:cs="Arial Narrow"/>
          <w:color w:val="000000"/>
          <w:spacing w:val="0"/>
          <w:w w:val="100"/>
          <w:position w:val="0"/>
          <w:sz w:val="18"/>
          <w:szCs w:val="18"/>
        </w:rPr>
        <w:t xml:space="preserve">A. </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日，处于第一阶段的其他应收款坏账准备如下:</w:t>
      </w:r>
      <w:r>
        <w:br w:type="page"/>
      </w:r>
    </w:p>
    <w:tbl>
      <w:tblPr>
        <w:tblOverlap w:val="never"/>
        <w:jc w:val="center"/>
        <w:tblLayout w:type="fixed"/>
      </w:tblPr>
      <w:tblGrid>
        <w:gridCol w:w="3509"/>
        <w:gridCol w:w="1474"/>
        <w:gridCol w:w="1752"/>
        <w:gridCol w:w="1560"/>
        <w:gridCol w:w="1008"/>
      </w:tblGrid>
      <w:tr>
        <w:trPr>
          <w:trHeight w:val="427"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7"/>
                <w:szCs w:val="17"/>
              </w:rPr>
            </w:pPr>
            <w:r>
              <w:rPr>
                <w:rFonts w:ascii="SimSun" w:eastAsia="SimSun" w:hAnsi="SimSun" w:cs="SimSun"/>
                <w:b/>
                <w:bCs/>
                <w:color w:val="000000"/>
                <w:spacing w:val="0"/>
                <w:w w:val="100"/>
                <w:position w:val="0"/>
                <w:sz w:val="17"/>
                <w:szCs w:val="17"/>
              </w:rPr>
              <w:t>种类</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72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center"/>
              <w:rPr>
                <w:sz w:val="20"/>
                <w:szCs w:val="20"/>
              </w:rPr>
            </w:pPr>
            <w:r>
              <w:rPr>
                <w:rFonts w:ascii="SimSun" w:eastAsia="SimSun" w:hAnsi="SimSun" w:cs="SimSun"/>
                <w:b/>
                <w:bCs/>
                <w:color w:val="000000"/>
                <w:spacing w:val="0"/>
                <w:w w:val="100"/>
                <w:position w:val="0"/>
                <w:sz w:val="20"/>
                <w:szCs w:val="20"/>
              </w:rPr>
              <w:t>未来</w:t>
            </w:r>
            <w:r>
              <w:rPr>
                <w:rFonts w:ascii="Arial Narrow" w:eastAsia="Arial Narrow" w:hAnsi="Arial Narrow" w:cs="Arial Narrow"/>
                <w:b/>
                <w:bCs/>
                <w:color w:val="000000"/>
                <w:spacing w:val="0"/>
                <w:w w:val="100"/>
                <w:position w:val="0"/>
                <w:sz w:val="20"/>
                <w:szCs w:val="20"/>
              </w:rPr>
              <w:t>12</w:t>
            </w:r>
            <w:r>
              <w:rPr>
                <w:rFonts w:ascii="SimSun" w:eastAsia="SimSun" w:hAnsi="SimSun" w:cs="SimSun"/>
                <w:b/>
                <w:bCs/>
                <w:color w:val="000000"/>
                <w:spacing w:val="0"/>
                <w:w w:val="100"/>
                <w:position w:val="0"/>
                <w:sz w:val="20"/>
                <w:szCs w:val="20"/>
              </w:rPr>
              <w:t>个月预期 信用损失率（</w:t>
            </w:r>
            <w:r>
              <w:rPr>
                <w:rFonts w:ascii="SimSun" w:eastAsia="SimSun" w:hAnsi="SimSun" w:cs="SimSun"/>
                <w:b/>
                <w:bCs/>
                <w:color w:val="000000"/>
                <w:spacing w:val="0"/>
                <w:w w:val="100"/>
                <w:position w:val="0"/>
                <w:sz w:val="24"/>
                <w:szCs w:val="24"/>
              </w:rPr>
              <w:t>％</w:t>
            </w:r>
            <w:r>
              <w:rPr>
                <w:rFonts w:ascii="SimSun" w:eastAsia="SimSun" w:hAnsi="SimSun" w:cs="SimSun"/>
                <w:b/>
                <w:bCs/>
                <w:color w:val="000000"/>
                <w:spacing w:val="0"/>
                <w:w w:val="100"/>
                <w:position w:val="0"/>
                <w:sz w:val="20"/>
                <w:szCs w:val="2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理由</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按组合计提：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按预期信用风险特征组合计提坏账准备的 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325,813,782.02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18,272,075.24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回收可能 性</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288,739,722.42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b/>
                <w:bCs/>
                <w:color w:val="000000"/>
                <w:spacing w:val="0"/>
                <w:w w:val="100"/>
                <w:position w:val="0"/>
                <w:sz w:val="18"/>
                <w:szCs w:val="18"/>
              </w:rPr>
              <w:t>614,553,504.44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18,272,075.24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B.2019</w:t>
      </w:r>
      <w:r>
        <w:rPr>
          <w:color w:val="000000"/>
          <w:spacing w:val="0"/>
          <w:w w:val="100"/>
          <w:position w:val="0"/>
          <w:sz w:val="20"/>
          <w:szCs w:val="20"/>
        </w:rPr>
        <w:t>年</w:t>
      </w:r>
      <w:r>
        <w:rPr>
          <w:b/>
          <w:bCs/>
          <w:color w:val="000000"/>
          <w:spacing w:val="0"/>
          <w:w w:val="100"/>
          <w:position w:val="0"/>
          <w:sz w:val="20"/>
          <w:szCs w:val="20"/>
        </w:rPr>
        <w:t>12</w:t>
      </w:r>
      <w:r>
        <w:rPr>
          <w:color w:val="000000"/>
          <w:spacing w:val="0"/>
          <w:w w:val="100"/>
          <w:position w:val="0"/>
          <w:sz w:val="20"/>
          <w:szCs w:val="20"/>
        </w:rPr>
        <w:t>月</w:t>
      </w:r>
      <w:r>
        <w:rPr>
          <w:b/>
          <w:bCs/>
          <w:color w:val="000000"/>
          <w:spacing w:val="0"/>
          <w:w w:val="100"/>
          <w:position w:val="0"/>
          <w:sz w:val="20"/>
          <w:szCs w:val="20"/>
        </w:rPr>
        <w:t>31</w:t>
      </w:r>
      <w:r>
        <w:rPr>
          <w:color w:val="000000"/>
          <w:spacing w:val="0"/>
          <w:w w:val="100"/>
          <w:position w:val="0"/>
          <w:sz w:val="20"/>
          <w:szCs w:val="20"/>
        </w:rPr>
        <w:t>日，处于第二阶段的其他应收款坏账准备:</w:t>
      </w:r>
    </w:p>
    <w:tbl>
      <w:tblPr>
        <w:tblOverlap w:val="never"/>
        <w:jc w:val="center"/>
        <w:tblLayout w:type="fixed"/>
      </w:tblPr>
      <w:tblGrid>
        <w:gridCol w:w="3509"/>
        <w:gridCol w:w="1531"/>
        <w:gridCol w:w="1867"/>
        <w:gridCol w:w="1570"/>
        <w:gridCol w:w="763"/>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7"/>
                <w:szCs w:val="17"/>
              </w:rPr>
            </w:pPr>
            <w:r>
              <w:rPr>
                <w:rFonts w:ascii="SimSun" w:eastAsia="SimSun" w:hAnsi="SimSun" w:cs="SimSun"/>
                <w:b/>
                <w:bCs/>
                <w:color w:val="000000"/>
                <w:spacing w:val="0"/>
                <w:w w:val="100"/>
                <w:position w:val="0"/>
                <w:sz w:val="17"/>
                <w:szCs w:val="17"/>
              </w:rPr>
              <w:t>种类</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63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69" w:lineRule="exact"/>
              <w:ind w:left="0" w:right="0" w:firstLine="0"/>
              <w:jc w:val="center"/>
              <w:rPr>
                <w:sz w:val="20"/>
                <w:szCs w:val="20"/>
              </w:rPr>
            </w:pPr>
            <w:r>
              <w:rPr>
                <w:rFonts w:ascii="SimSun" w:eastAsia="SimSun" w:hAnsi="SimSun" w:cs="SimSun"/>
                <w:b/>
                <w:bCs/>
                <w:color w:val="000000"/>
                <w:spacing w:val="0"/>
                <w:w w:val="100"/>
                <w:position w:val="0"/>
                <w:sz w:val="20"/>
                <w:szCs w:val="20"/>
              </w:rPr>
              <w:t>整个存续期预期 信用损失率（</w:t>
            </w:r>
            <w:r>
              <w:rPr>
                <w:rFonts w:ascii="SimSun" w:eastAsia="SimSun" w:hAnsi="SimSun" w:cs="SimSun"/>
                <w:b/>
                <w:bCs/>
                <w:color w:val="000000"/>
                <w:spacing w:val="0"/>
                <w:w w:val="100"/>
                <w:position w:val="0"/>
                <w:sz w:val="24"/>
                <w:szCs w:val="24"/>
              </w:rPr>
              <w:t>％</w:t>
            </w:r>
            <w:r>
              <w:rPr>
                <w:rFonts w:ascii="SimSun" w:eastAsia="SimSun" w:hAnsi="SimSun" w:cs="SimSun"/>
                <w:b/>
                <w:bCs/>
                <w:color w:val="000000"/>
                <w:spacing w:val="0"/>
                <w:w w:val="100"/>
                <w:position w:val="0"/>
                <w:sz w:val="20"/>
                <w:szCs w:val="2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理由</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菏泽融邦新能源有限公司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128,095,317.23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57.49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73,644,253.30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128,095,317.23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57.49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73,644,253.30</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按组合计提：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按预期信用风险特征组合计提坏账准备的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8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504" w:lineRule="exact"/>
        <w:ind w:left="140" w:right="0" w:firstLine="420"/>
        <w:jc w:val="left"/>
      </w:pPr>
      <w:r>
        <w:rPr>
          <w:color w:val="000000"/>
          <w:spacing w:val="0"/>
          <w:w w:val="100"/>
          <w:position w:val="0"/>
        </w:rPr>
        <w:t>注</w:t>
      </w:r>
      <w:r>
        <w:rPr>
          <w:b/>
          <w:bCs/>
          <w:color w:val="000000"/>
          <w:spacing w:val="0"/>
          <w:w w:val="100"/>
          <w:position w:val="0"/>
        </w:rPr>
        <w:t>1</w:t>
      </w:r>
      <w:r>
        <w:rPr>
          <w:color w:val="000000"/>
          <w:spacing w:val="0"/>
          <w:w w:val="100"/>
          <w:position w:val="0"/>
        </w:rPr>
        <w:t>:已有明显迹象表明债务人很可能无法履行还款义务，按预计未来现金流量现值低于其账面价值 的差额，计提坏账准备。</w:t>
      </w:r>
    </w:p>
    <w:p>
      <w:pPr>
        <w:pStyle w:val="Style33"/>
        <w:keepNext w:val="0"/>
        <w:keepLines w:val="0"/>
        <w:widowControl w:val="0"/>
        <w:shd w:val="clear" w:color="auto" w:fill="auto"/>
        <w:bidi w:val="0"/>
        <w:spacing w:before="0" w:after="100" w:line="504" w:lineRule="exact"/>
        <w:ind w:left="0" w:right="0" w:firstLine="560"/>
        <w:jc w:val="left"/>
      </w:pPr>
      <w:r>
        <w:rPr>
          <w:b/>
          <w:bCs/>
          <w:color w:val="000000"/>
          <w:spacing w:val="0"/>
          <w:w w:val="100"/>
          <w:position w:val="0"/>
        </w:rPr>
        <w:t>C.2019</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日，处于第三阶段的其他应收款坏账准备：</w:t>
      </w:r>
    </w:p>
    <w:tbl>
      <w:tblPr>
        <w:tblOverlap w:val="never"/>
        <w:jc w:val="center"/>
        <w:tblLayout w:type="fixed"/>
      </w:tblPr>
      <w:tblGrid>
        <w:gridCol w:w="3398"/>
        <w:gridCol w:w="1469"/>
        <w:gridCol w:w="1363"/>
        <w:gridCol w:w="1574"/>
        <w:gridCol w:w="1565"/>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种类</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96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71" w:lineRule="exact"/>
              <w:ind w:left="0" w:right="0" w:firstLine="0"/>
              <w:jc w:val="center"/>
              <w:rPr>
                <w:sz w:val="20"/>
                <w:szCs w:val="20"/>
              </w:rPr>
            </w:pPr>
            <w:r>
              <w:rPr>
                <w:rFonts w:ascii="SimSun" w:eastAsia="SimSun" w:hAnsi="SimSun" w:cs="SimSun"/>
                <w:b/>
                <w:bCs/>
                <w:color w:val="000000"/>
                <w:spacing w:val="0"/>
                <w:w w:val="100"/>
                <w:position w:val="0"/>
                <w:sz w:val="20"/>
                <w:szCs w:val="20"/>
              </w:rPr>
              <w:t>整个存续期 预期信用损 失率（</w:t>
            </w:r>
            <w:r>
              <w:rPr>
                <w:rFonts w:ascii="SimSun" w:eastAsia="SimSun" w:hAnsi="SimSun" w:cs="SimSun"/>
                <w:b/>
                <w:bCs/>
                <w:color w:val="000000"/>
                <w:spacing w:val="0"/>
                <w:w w:val="100"/>
                <w:position w:val="0"/>
                <w:sz w:val="24"/>
                <w:szCs w:val="24"/>
              </w:rPr>
              <w:t>％</w:t>
            </w:r>
            <w:r>
              <w:rPr>
                <w:rFonts w:ascii="SimSun" w:eastAsia="SimSun" w:hAnsi="SimSun" w:cs="SimSun"/>
                <w:b/>
                <w:bCs/>
                <w:color w:val="000000"/>
                <w:spacing w:val="0"/>
                <w:w w:val="100"/>
                <w:position w:val="0"/>
                <w:sz w:val="20"/>
                <w:szCs w:val="2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理由</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北京华信智嘉科技有限责任公司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1</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内蒙古顺达新能源实业有限公司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2</w:t>
            </w: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深圳市海龙王房地产开发有限公司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50,119,685.55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50,119,685.55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预计无法收回</w:t>
            </w:r>
          </w:p>
        </w:tc>
      </w:tr>
    </w:tbl>
    <w:p>
      <w:pPr>
        <w:widowControl w:val="0"/>
        <w:spacing w:line="1" w:lineRule="exact"/>
      </w:pPr>
      <w:r>
        <w:br w:type="page"/>
      </w:r>
    </w:p>
    <w:tbl>
      <w:tblPr>
        <w:tblOverlap w:val="never"/>
        <w:jc w:val="center"/>
        <w:tblLayout w:type="fixed"/>
      </w:tblPr>
      <w:tblGrid>
        <w:gridCol w:w="3403"/>
        <w:gridCol w:w="1469"/>
        <w:gridCol w:w="1368"/>
        <w:gridCol w:w="1574"/>
        <w:gridCol w:w="1565"/>
      </w:tblGrid>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深圳业丰工贸发展公司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42,074,024.66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42,074,024.66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中天蓝瑞环保科技集团有限公司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33,027,554.55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33,027,554.55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3</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广州金宇房地产开发公司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24,881,441.50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24,881,441.50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深圳桂兴贸易发展公司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18,588,821.90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18,588,821.90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深圳发中公司代持股款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5,162,602.52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5,162,602.52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深圳市鸿基广源贸易有限公司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3,260,739.46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3,260,739.46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深圳丰华电子公司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2,691,859.01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2,691,859.01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深圳发中实业有限公司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南山综合楼消防工程款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2,401,187.07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2,401,187.07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正中置业集团有限公司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2,112,317.20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2,112,317.20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深圳市竣雄投资有限公司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1,530,000.00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1,530,000.00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龙岗五联村将军帽自然村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1,386,000.00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1,386,000.00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珠海市鑫大生物工程有限公司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黄立业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106,345.00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106,345.00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深圳市韬涛投资发展有限公司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玉溪灵照福田服务有限公司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北京广电美讯网络科技有限公司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598,042,578.42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598,042,578.42</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按组合计提：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按预期信用风险特征组合计提坏账准备 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511" w:lineRule="exact"/>
        <w:ind w:left="140" w:right="0" w:firstLine="420"/>
        <w:jc w:val="both"/>
      </w:pPr>
      <w:r>
        <w:rPr>
          <w:color w:val="000000"/>
          <w:spacing w:val="0"/>
          <w:w w:val="100"/>
          <w:position w:val="0"/>
        </w:rPr>
        <w:t>注</w:t>
      </w:r>
      <w:r>
        <w:rPr>
          <w:b/>
          <w:bCs/>
          <w:color w:val="000000"/>
          <w:spacing w:val="0"/>
          <w:w w:val="100"/>
          <w:position w:val="0"/>
        </w:rPr>
        <w:t>1</w:t>
      </w:r>
      <w:r>
        <w:rPr>
          <w:color w:val="000000"/>
          <w:spacing w:val="0"/>
          <w:w w:val="100"/>
          <w:position w:val="0"/>
        </w:rPr>
        <w:t>:北京华信智嘉科技有限责任公司于</w:t>
      </w:r>
      <w:r>
        <w:rPr>
          <w:b/>
          <w:bCs/>
          <w:color w:val="000000"/>
          <w:spacing w:val="0"/>
          <w:w w:val="100"/>
          <w:position w:val="0"/>
        </w:rPr>
        <w:t>2020</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7</w:t>
      </w:r>
      <w:r>
        <w:rPr>
          <w:color w:val="000000"/>
          <w:spacing w:val="0"/>
          <w:w w:val="100"/>
          <w:position w:val="0"/>
        </w:rPr>
        <w:t>日公告注销，本公司得知对方公司注销后已积 极的主张债权，截至财务报告批准报出日，对方未履行还款义务，本公司积极与其沟通，但未得到回应， 考虑到款项收回可能性较小，基于谨慎性考虑，本期全部计提坏账。</w:t>
      </w:r>
    </w:p>
    <w:p>
      <w:pPr>
        <w:pStyle w:val="Style33"/>
        <w:keepNext w:val="0"/>
        <w:keepLines w:val="0"/>
        <w:widowControl w:val="0"/>
        <w:shd w:val="clear" w:color="auto" w:fill="auto"/>
        <w:bidi w:val="0"/>
        <w:spacing w:before="0" w:after="0" w:line="511" w:lineRule="exact"/>
        <w:ind w:left="140" w:right="0" w:firstLine="420"/>
        <w:jc w:val="both"/>
      </w:pPr>
      <w:r>
        <w:rPr>
          <w:color w:val="000000"/>
          <w:spacing w:val="0"/>
          <w:w w:val="100"/>
          <w:position w:val="0"/>
        </w:rPr>
        <w:t>注</w:t>
      </w:r>
      <w:r>
        <w:rPr>
          <w:b/>
          <w:bCs/>
          <w:color w:val="000000"/>
          <w:spacing w:val="0"/>
          <w:w w:val="100"/>
          <w:position w:val="0"/>
        </w:rPr>
        <w:t>2</w:t>
      </w:r>
      <w:r>
        <w:rPr>
          <w:color w:val="000000"/>
          <w:spacing w:val="0"/>
          <w:w w:val="100"/>
          <w:position w:val="0"/>
        </w:rPr>
        <w:t>：内蒙古顺达新能源实业有限公司于</w:t>
      </w:r>
      <w:r>
        <w:rPr>
          <w:b/>
          <w:bCs/>
          <w:color w:val="000000"/>
          <w:spacing w:val="0"/>
          <w:w w:val="100"/>
          <w:position w:val="0"/>
        </w:rPr>
        <w:t>2020</w:t>
      </w:r>
      <w:r>
        <w:rPr>
          <w:color w:val="000000"/>
          <w:spacing w:val="0"/>
          <w:w w:val="100"/>
          <w:position w:val="0"/>
        </w:rPr>
        <w:t>年</w:t>
      </w:r>
      <w:r>
        <w:rPr>
          <w:b/>
          <w:bCs/>
          <w:color w:val="000000"/>
          <w:spacing w:val="0"/>
          <w:w w:val="100"/>
          <w:position w:val="0"/>
        </w:rPr>
        <w:t>2</w:t>
      </w:r>
      <w:r>
        <w:rPr>
          <w:color w:val="000000"/>
          <w:spacing w:val="0"/>
          <w:w w:val="100"/>
          <w:position w:val="0"/>
        </w:rPr>
        <w:t>月</w:t>
      </w:r>
      <w:r>
        <w:rPr>
          <w:b/>
          <w:bCs/>
          <w:color w:val="000000"/>
          <w:spacing w:val="0"/>
          <w:w w:val="100"/>
          <w:position w:val="0"/>
        </w:rPr>
        <w:t>25</w:t>
      </w:r>
      <w:r>
        <w:rPr>
          <w:color w:val="000000"/>
          <w:spacing w:val="0"/>
          <w:w w:val="100"/>
          <w:position w:val="0"/>
        </w:rPr>
        <w:t>日公告注销，本公司得知对方公司注销后已 积极的主张债权，截至财务报告批准报出日，对方未履行还款义务，本公司积极与其沟通，但未得到回应， 考虑到款项收回可能性较小，基于谨慎性考虑，本期全部计提坏账。</w:t>
      </w:r>
    </w:p>
    <w:p>
      <w:pPr>
        <w:pStyle w:val="Style33"/>
        <w:keepNext w:val="0"/>
        <w:keepLines w:val="0"/>
        <w:widowControl w:val="0"/>
        <w:shd w:val="clear" w:color="auto" w:fill="auto"/>
        <w:bidi w:val="0"/>
        <w:spacing w:before="0" w:after="0" w:line="511" w:lineRule="exact"/>
        <w:ind w:left="140" w:right="0" w:firstLine="420"/>
        <w:jc w:val="both"/>
      </w:pPr>
      <w:r>
        <w:rPr>
          <w:color w:val="000000"/>
          <w:spacing w:val="0"/>
          <w:w w:val="100"/>
          <w:position w:val="0"/>
        </w:rPr>
        <w:t>注</w:t>
      </w:r>
      <w:r>
        <w:rPr>
          <w:b/>
          <w:bCs/>
          <w:color w:val="000000"/>
          <w:spacing w:val="0"/>
          <w:w w:val="100"/>
          <w:position w:val="0"/>
        </w:rPr>
        <w:t>3</w:t>
      </w:r>
      <w:r>
        <w:rPr>
          <w:color w:val="000000"/>
          <w:spacing w:val="0"/>
          <w:w w:val="100"/>
          <w:position w:val="0"/>
        </w:rPr>
        <w:t>：本公司起诉中天蓝瑞并垫付仲裁费，由于该费用需中天蓝瑞承担，故本期增加了对中天蓝瑞的 应收款项并计提坏账。</w:t>
      </w:r>
      <w:r>
        <w:br w:type="page"/>
      </w:r>
    </w:p>
    <w:p>
      <w:pPr>
        <w:pStyle w:val="Style33"/>
        <w:keepNext w:val="0"/>
        <w:keepLines w:val="0"/>
        <w:widowControl w:val="0"/>
        <w:shd w:val="clear" w:color="auto" w:fill="auto"/>
        <w:bidi w:val="0"/>
        <w:spacing w:before="0" w:after="80" w:line="240" w:lineRule="auto"/>
        <w:ind w:left="0" w:right="0" w:firstLine="560"/>
        <w:jc w:val="left"/>
      </w:pPr>
      <w:r>
        <w:rPr>
          <w:color w:val="000000"/>
          <w:spacing w:val="0"/>
          <w:w w:val="100"/>
          <w:position w:val="0"/>
        </w:rPr>
        <w:t>②坏账准备的变动</w:t>
      </w:r>
    </w:p>
    <w:tbl>
      <w:tblPr>
        <w:tblOverlap w:val="never"/>
        <w:jc w:val="center"/>
        <w:tblLayout w:type="fixed"/>
      </w:tblPr>
      <w:tblGrid>
        <w:gridCol w:w="2443"/>
        <w:gridCol w:w="1934"/>
        <w:gridCol w:w="1618"/>
        <w:gridCol w:w="1666"/>
        <w:gridCol w:w="1690"/>
      </w:tblGrid>
      <w:tr>
        <w:trPr>
          <w:trHeight w:val="389"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第一阶段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第二阶段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第三阶段</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98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b/>
                <w:bCs/>
                <w:color w:val="000000"/>
                <w:spacing w:val="0"/>
                <w:w w:val="100"/>
                <w:position w:val="0"/>
                <w:sz w:val="17"/>
                <w:szCs w:val="17"/>
              </w:rPr>
              <w:t>未来</w:t>
            </w:r>
            <w:r>
              <w:rPr>
                <w:rFonts w:ascii="Arial Narrow" w:eastAsia="Arial Narrow" w:hAnsi="Arial Narrow" w:cs="Arial Narrow"/>
                <w:b/>
                <w:bCs/>
                <w:color w:val="000000"/>
                <w:spacing w:val="0"/>
                <w:w w:val="100"/>
                <w:position w:val="0"/>
                <w:sz w:val="20"/>
                <w:szCs w:val="20"/>
              </w:rPr>
              <w:t>12</w:t>
            </w:r>
            <w:r>
              <w:rPr>
                <w:rFonts w:ascii="SimSun" w:eastAsia="SimSun" w:hAnsi="SimSun" w:cs="SimSun"/>
                <w:b/>
                <w:bCs/>
                <w:color w:val="000000"/>
                <w:spacing w:val="0"/>
                <w:w w:val="100"/>
                <w:position w:val="0"/>
                <w:sz w:val="17"/>
                <w:szCs w:val="17"/>
              </w:rPr>
              <w:t>个月内预期信 用损失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b/>
                <w:bCs/>
                <w:color w:val="000000"/>
                <w:spacing w:val="0"/>
                <w:w w:val="100"/>
                <w:position w:val="0"/>
                <w:sz w:val="17"/>
                <w:szCs w:val="17"/>
              </w:rPr>
              <w:t>整个存续期预期 信用损失（未发生 信用减值）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整个存续期预期信 用损失（已发生信 用减值）</w:t>
            </w:r>
          </w:p>
        </w:tc>
        <w:tc>
          <w:tcPr>
            <w:vMerge/>
            <w:tcBorders>
              <w:left w:val="single" w:sz="4"/>
            </w:tcBorders>
            <w:shd w:val="clear" w:color="auto" w:fill="FFFFFF"/>
            <w:vAlign w:val="center"/>
          </w:tcPr>
          <w:p>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17"/>
                <w:szCs w:val="17"/>
              </w:rPr>
            </w:pP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215,266,088.82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215,266,088.82</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期初余额在本期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一转入第一阶段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一转入第三阶段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-198,042,578.42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198,042,578.42</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5,210,887.14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73,644,253.30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478,855,140.44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676,020.39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676,020.39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本期处置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3,486,301.91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3,486,301.91</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18,272,075.24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b/>
                <w:bCs/>
                <w:color w:val="000000"/>
                <w:spacing w:val="0"/>
                <w:w w:val="100"/>
                <w:position w:val="0"/>
                <w:sz w:val="18"/>
                <w:szCs w:val="18"/>
              </w:rPr>
              <w:t>73,644,253.30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598,042,578.42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b/>
                <w:bCs/>
                <w:color w:val="000000"/>
                <w:spacing w:val="0"/>
                <w:w w:val="100"/>
                <w:position w:val="0"/>
                <w:sz w:val="18"/>
                <w:szCs w:val="18"/>
              </w:rPr>
              <w:t>689,958,906.96</w:t>
            </w:r>
          </w:p>
        </w:tc>
      </w:tr>
    </w:tbl>
    <w:p>
      <w:pPr>
        <w:widowControl w:val="0"/>
        <w:spacing w:after="199" w:line="1" w:lineRule="exact"/>
      </w:pPr>
    </w:p>
    <w:p>
      <w:pPr>
        <w:pStyle w:val="Style26"/>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注：首次执行新金融工具准则，调整期初坏账</w:t>
      </w:r>
      <w:r>
        <w:rPr>
          <w:rFonts w:ascii="Arial Narrow" w:eastAsia="Arial Narrow" w:hAnsi="Arial Narrow" w:cs="Arial Narrow"/>
          <w:color w:val="000000"/>
          <w:spacing w:val="0"/>
          <w:w w:val="100"/>
          <w:position w:val="0"/>
          <w:sz w:val="18"/>
          <w:szCs w:val="18"/>
        </w:rPr>
        <w:t>690,915.40</w:t>
      </w:r>
      <w:r>
        <w:rPr>
          <w:color w:val="000000"/>
          <w:spacing w:val="0"/>
          <w:w w:val="100"/>
          <w:position w:val="0"/>
        </w:rPr>
        <w:t>元。</w:t>
      </w:r>
    </w:p>
    <w:p>
      <w:pPr>
        <w:pStyle w:val="Style24"/>
        <w:keepNext w:val="0"/>
        <w:keepLines w:val="0"/>
        <w:widowControl w:val="0"/>
        <w:shd w:val="clear" w:color="auto" w:fill="auto"/>
        <w:bidi w:val="0"/>
        <w:spacing w:before="0" w:after="0" w:line="240" w:lineRule="auto"/>
        <w:ind w:left="418" w:right="0" w:firstLine="0"/>
        <w:jc w:val="left"/>
      </w:pPr>
      <w:r>
        <w:rPr>
          <w:color w:val="000000"/>
          <w:spacing w:val="0"/>
          <w:w w:val="100"/>
          <w:position w:val="0"/>
        </w:rPr>
        <w:t>③其他应收款按款项性质分类情况</w:t>
      </w:r>
    </w:p>
    <w:tbl>
      <w:tblPr>
        <w:tblOverlap w:val="never"/>
        <w:jc w:val="center"/>
        <w:tblLayout w:type="fixed"/>
      </w:tblPr>
      <w:tblGrid>
        <w:gridCol w:w="3091"/>
        <w:gridCol w:w="3043"/>
        <w:gridCol w:w="3077"/>
      </w:tblGrid>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款项性质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284,943,416.67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388,394,821.58</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代垫款项、往来款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904,359,579.69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820,081,036.42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代收代付款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3,237,569.13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3,386,817.39</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3,260,739.46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3,260,739.46</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946,039.53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3,471,395.59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出口退税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52,997.54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280.00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暂扣款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139,528,322.26</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4,362,735.81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2,371,040.02</w:t>
            </w: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1,340,691,400.09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1,220,966,130.46</w:t>
            </w:r>
          </w:p>
        </w:tc>
      </w:tr>
    </w:tbl>
    <w:p>
      <w:pPr>
        <w:widowControl w:val="0"/>
        <w:spacing w:after="1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504" w:right="0" w:firstLine="0"/>
        <w:jc w:val="left"/>
      </w:pPr>
      <w:r>
        <w:rPr>
          <w:color w:val="000000"/>
          <w:spacing w:val="0"/>
          <w:w w:val="100"/>
          <w:position w:val="0"/>
        </w:rPr>
        <w:t>④期末按欠款方归集的期末余额前五名的其他应收款情况:</w:t>
      </w:r>
    </w:p>
    <w:tbl>
      <w:tblPr>
        <w:tblOverlap w:val="never"/>
        <w:jc w:val="center"/>
        <w:tblLayout w:type="fixed"/>
      </w:tblPr>
      <w:tblGrid>
        <w:gridCol w:w="1997"/>
        <w:gridCol w:w="1051"/>
        <w:gridCol w:w="686"/>
        <w:gridCol w:w="1502"/>
        <w:gridCol w:w="1800"/>
        <w:gridCol w:w="974"/>
        <w:gridCol w:w="1354"/>
      </w:tblGrid>
      <w:tr>
        <w:trPr>
          <w:trHeight w:val="128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300"/>
              <w:jc w:val="left"/>
              <w:rPr>
                <w:sz w:val="17"/>
                <w:szCs w:val="17"/>
              </w:rPr>
            </w:pPr>
            <w:r>
              <w:rPr>
                <w:rFonts w:ascii="SimSun" w:eastAsia="SimSun" w:hAnsi="SimSun" w:cs="SimSun"/>
                <w:b/>
                <w:bCs/>
                <w:color w:val="000000"/>
                <w:spacing w:val="0"/>
                <w:w w:val="100"/>
                <w:position w:val="0"/>
                <w:sz w:val="17"/>
                <w:szCs w:val="17"/>
              </w:rPr>
              <w:t>款项</w:t>
            </w:r>
          </w:p>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是否 关联 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310" w:lineRule="exact"/>
              <w:ind w:left="0" w:right="0" w:firstLine="0"/>
              <w:jc w:val="center"/>
              <w:rPr>
                <w:sz w:val="17"/>
                <w:szCs w:val="17"/>
              </w:rPr>
            </w:pPr>
            <w:r>
              <w:rPr>
                <w:rFonts w:ascii="SimSun" w:eastAsia="SimSun" w:hAnsi="SimSun" w:cs="SimSun"/>
                <w:b/>
                <w:bCs/>
                <w:color w:val="000000"/>
                <w:spacing w:val="0"/>
                <w:w w:val="100"/>
                <w:position w:val="0"/>
                <w:sz w:val="17"/>
                <w:szCs w:val="17"/>
              </w:rPr>
              <w:t>占其他应 收款总额 的比例</w:t>
            </w:r>
          </w:p>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b/>
                <w:bCs/>
                <w:color w:val="000000"/>
                <w:spacing w:val="0"/>
                <w:w w:val="100"/>
                <w:position w:val="0"/>
                <w:sz w:val="17"/>
                <w:szCs w:val="17"/>
              </w:rPr>
              <w:t>（</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坏账准备余额</w:t>
            </w:r>
          </w:p>
        </w:tc>
      </w:tr>
      <w:tr>
        <w:trPr>
          <w:trHeight w:val="66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北京华信智嘉科技有 限责任公司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代垫款项、</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非关</w:t>
            </w:r>
          </w:p>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联方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220,000,000.00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信用期外</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16.41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220,000,000.00</w:t>
            </w:r>
          </w:p>
        </w:tc>
      </w:tr>
    </w:tbl>
    <w:p>
      <w:pPr>
        <w:widowControl w:val="0"/>
        <w:spacing w:line="1" w:lineRule="exact"/>
      </w:pPr>
      <w:r>
        <w:br w:type="page"/>
      </w:r>
    </w:p>
    <w:tbl>
      <w:tblPr>
        <w:tblOverlap w:val="never"/>
        <w:jc w:val="center"/>
        <w:tblLayout w:type="fixed"/>
      </w:tblPr>
      <w:tblGrid>
        <w:gridCol w:w="1997"/>
        <w:gridCol w:w="1051"/>
        <w:gridCol w:w="686"/>
        <w:gridCol w:w="1502"/>
        <w:gridCol w:w="1800"/>
        <w:gridCol w:w="974"/>
        <w:gridCol w:w="1354"/>
      </w:tblGrid>
      <w:tr>
        <w:trPr>
          <w:trHeight w:val="65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200"/>
              <w:jc w:val="left"/>
              <w:rPr>
                <w:sz w:val="17"/>
                <w:szCs w:val="17"/>
              </w:rPr>
            </w:pPr>
            <w:r>
              <w:rPr>
                <w:rFonts w:ascii="SimSun" w:eastAsia="SimSun" w:hAnsi="SimSun" w:cs="SimSun"/>
                <w:color w:val="000000"/>
                <w:spacing w:val="0"/>
                <w:w w:val="100"/>
                <w:position w:val="0"/>
                <w:sz w:val="17"/>
                <w:szCs w:val="17"/>
              </w:rPr>
              <w:t>内蒙古顺达新能源实</w:t>
            </w:r>
          </w:p>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代垫款项、</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非关</w:t>
            </w:r>
          </w:p>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180,000,000.00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信用期外</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180,000,000.00</w:t>
            </w:r>
          </w:p>
        </w:tc>
      </w:tr>
      <w:tr>
        <w:trPr>
          <w:trHeight w:val="76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渤海银行股份有限公 司天津分行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暂扣款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非关</w:t>
            </w:r>
          </w:p>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139,528,322.26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信用期内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10.41</w:t>
            </w:r>
          </w:p>
        </w:tc>
        <w:tc>
          <w:tcPr>
            <w:tcBorders>
              <w:top w:val="single" w:sz="4"/>
              <w:left w:val="single" w:sz="4"/>
            </w:tcBorders>
            <w:shd w:val="clear" w:color="auto" w:fill="FFFFFF"/>
            <w:vAlign w:val="top"/>
          </w:tcPr>
          <w:p>
            <w:pPr>
              <w:widowControl w:val="0"/>
              <w:rPr>
                <w:sz w:val="10"/>
                <w:szCs w:val="10"/>
              </w:rPr>
            </w:pPr>
          </w:p>
        </w:tc>
      </w:tr>
      <w:tr>
        <w:trPr>
          <w:trHeight w:val="219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菏泽融邦新能源有限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代垫款项、</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非关</w:t>
            </w:r>
          </w:p>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128,095,317.23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8" w:lineRule="exact"/>
              <w:ind w:left="0" w:right="0" w:firstLine="0"/>
              <w:jc w:val="center"/>
              <w:rPr>
                <w:sz w:val="17"/>
                <w:szCs w:val="17"/>
              </w:rPr>
            </w:pPr>
            <w:r>
              <w:rPr>
                <w:rFonts w:ascii="SimSun" w:eastAsia="SimSun" w:hAnsi="SimSun" w:cs="SimSun"/>
                <w:color w:val="000000"/>
                <w:spacing w:val="0"/>
                <w:w w:val="100"/>
                <w:position w:val="0"/>
                <w:sz w:val="17"/>
                <w:szCs w:val="17"/>
              </w:rPr>
              <w:t>信用期内：</w:t>
            </w:r>
          </w:p>
          <w:p>
            <w:pPr>
              <w:pStyle w:val="Style19"/>
              <w:keepNext w:val="0"/>
              <w:keepLines w:val="0"/>
              <w:widowControl w:val="0"/>
              <w:shd w:val="clear" w:color="auto" w:fill="auto"/>
              <w:bidi w:val="0"/>
              <w:spacing w:before="0" w:after="0" w:line="318" w:lineRule="exact"/>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15,776,656.33 </w:t>
            </w:r>
            <w:r>
              <w:rPr>
                <w:rFonts w:ascii="SimSun" w:eastAsia="SimSun" w:hAnsi="SimSun" w:cs="SimSun"/>
                <w:color w:val="000000"/>
                <w:spacing w:val="0"/>
                <w:w w:val="100"/>
                <w:position w:val="0"/>
                <w:sz w:val="17"/>
                <w:szCs w:val="17"/>
              </w:rPr>
              <w:t>元；信 用期外</w:t>
            </w:r>
            <w:r>
              <w:rPr>
                <w:rFonts w:ascii="Arial" w:eastAsia="Arial" w:hAnsi="Arial" w:cs="Arial"/>
                <w:color w:val="000000"/>
                <w:spacing w:val="0"/>
                <w:w w:val="100"/>
                <w:position w:val="0"/>
                <w:sz w:val="18"/>
                <w:szCs w:val="18"/>
              </w:rPr>
              <w:t>1</w:t>
            </w:r>
            <w:r>
              <w:rPr>
                <w:rFonts w:ascii="SimSun" w:eastAsia="SimSun" w:hAnsi="SimSun" w:cs="SimSun"/>
                <w:color w:val="000000"/>
                <w:spacing w:val="0"/>
                <w:w w:val="100"/>
                <w:position w:val="0"/>
                <w:sz w:val="17"/>
                <w:szCs w:val="17"/>
              </w:rPr>
              <w:t>年以内：</w:t>
            </w:r>
          </w:p>
          <w:p>
            <w:pPr>
              <w:pStyle w:val="Style19"/>
              <w:keepNext w:val="0"/>
              <w:keepLines w:val="0"/>
              <w:widowControl w:val="0"/>
              <w:shd w:val="clear" w:color="auto" w:fill="auto"/>
              <w:bidi w:val="0"/>
              <w:spacing w:before="0" w:after="0" w:line="318" w:lineRule="exact"/>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31,553,312.66 </w:t>
            </w:r>
            <w:r>
              <w:rPr>
                <w:rFonts w:ascii="SimSun" w:eastAsia="SimSun" w:hAnsi="SimSun" w:cs="SimSun"/>
                <w:color w:val="000000"/>
                <w:spacing w:val="0"/>
                <w:w w:val="100"/>
                <w:position w:val="0"/>
                <w:sz w:val="17"/>
                <w:szCs w:val="17"/>
              </w:rPr>
              <w:t>元；</w:t>
            </w:r>
            <w:r>
              <w:rPr>
                <w:rFonts w:ascii="Arial Narrow" w:eastAsia="Arial Narrow" w:hAnsi="Arial Narrow" w:cs="Arial Narrow"/>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年: </w:t>
            </w:r>
            <w:r>
              <w:rPr>
                <w:rFonts w:ascii="Arial Narrow" w:eastAsia="Arial Narrow" w:hAnsi="Arial Narrow" w:cs="Arial Narrow"/>
                <w:color w:val="000000"/>
                <w:spacing w:val="0"/>
                <w:w w:val="100"/>
                <w:position w:val="0"/>
                <w:sz w:val="18"/>
                <w:szCs w:val="18"/>
              </w:rPr>
              <w:t xml:space="preserve">67,220,625.32 </w:t>
            </w:r>
            <w:r>
              <w:rPr>
                <w:rFonts w:ascii="SimSun" w:eastAsia="SimSun" w:hAnsi="SimSun" w:cs="SimSun"/>
                <w:color w:val="000000"/>
                <w:spacing w:val="0"/>
                <w:w w:val="100"/>
                <w:position w:val="0"/>
                <w:sz w:val="17"/>
                <w:szCs w:val="17"/>
              </w:rPr>
              <w:t xml:space="preserve">元； </w:t>
            </w:r>
            <w:r>
              <w:rPr>
                <w:rFonts w:ascii="Arial Narrow" w:eastAsia="Arial Narrow" w:hAnsi="Arial Narrow" w:cs="Arial Narrow"/>
                <w:color w:val="000000"/>
                <w:spacing w:val="0"/>
                <w:w w:val="100"/>
                <w:position w:val="0"/>
                <w:sz w:val="18"/>
                <w:szCs w:val="18"/>
              </w:rPr>
              <w:t xml:space="preserve">2-3 </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 xml:space="preserve">13,544,722.92 </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73,644,253.30</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200"/>
              <w:jc w:val="left"/>
              <w:rPr>
                <w:sz w:val="17"/>
                <w:szCs w:val="17"/>
              </w:rPr>
            </w:pPr>
            <w:r>
              <w:rPr>
                <w:rFonts w:ascii="SimSun" w:eastAsia="SimSun" w:hAnsi="SimSun" w:cs="SimSun"/>
                <w:color w:val="000000"/>
                <w:spacing w:val="0"/>
                <w:w w:val="100"/>
                <w:position w:val="0"/>
                <w:sz w:val="17"/>
                <w:szCs w:val="17"/>
              </w:rPr>
              <w:t>深圳市海龙王房地产</w:t>
            </w:r>
          </w:p>
          <w:p>
            <w:pPr>
              <w:pStyle w:val="Style19"/>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代垫款项、</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非关</w:t>
            </w:r>
          </w:p>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50,119,685.55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50,119,685.55</w:t>
            </w:r>
          </w:p>
        </w:tc>
      </w:tr>
      <w:tr>
        <w:trPr>
          <w:trHeight w:val="48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sz w:val="18"/>
                <w:szCs w:val="18"/>
              </w:rPr>
              <w:t>717,743,325.04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b/>
                <w:bCs/>
                <w:color w:val="000000"/>
                <w:spacing w:val="0"/>
                <w:w w:val="100"/>
                <w:position w:val="0"/>
                <w:sz w:val="18"/>
                <w:szCs w:val="18"/>
              </w:rPr>
              <w:t>53.54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523,763,938.85</w:t>
            </w:r>
          </w:p>
        </w:tc>
      </w:tr>
    </w:tbl>
    <w:p>
      <w:pPr>
        <w:widowControl w:val="0"/>
        <w:spacing w:after="199" w:line="1" w:lineRule="exact"/>
      </w:pPr>
    </w:p>
    <w:p>
      <w:pPr>
        <w:pStyle w:val="Style22"/>
        <w:keepNext/>
        <w:keepLines/>
        <w:widowControl w:val="0"/>
        <w:shd w:val="clear" w:color="auto" w:fill="auto"/>
        <w:bidi w:val="0"/>
        <w:spacing w:before="0" w:after="280" w:line="240" w:lineRule="auto"/>
        <w:ind w:left="0" w:right="0" w:firstLine="560"/>
        <w:jc w:val="left"/>
        <w:rPr>
          <w:sz w:val="20"/>
          <w:szCs w:val="20"/>
        </w:rPr>
      </w:pPr>
      <w:bookmarkStart w:id="1036" w:name="bookmark1036"/>
      <w:bookmarkStart w:id="1037" w:name="bookmark1037"/>
      <w:bookmarkStart w:id="1038" w:name="bookmark1038"/>
      <w:bookmarkStart w:id="1039" w:name="bookmark1039"/>
      <w:r>
        <w:rPr>
          <w:rFonts w:ascii="Arial Narrow" w:eastAsia="Arial Narrow" w:hAnsi="Arial Narrow" w:cs="Arial Narrow"/>
          <w:color w:val="000000"/>
          <w:spacing w:val="0"/>
          <w:w w:val="100"/>
          <w:position w:val="0"/>
          <w:sz w:val="20"/>
          <w:szCs w:val="20"/>
        </w:rPr>
        <w:t>7</w:t>
      </w:r>
      <w:bookmarkEnd w:id="1038"/>
      <w:r>
        <w:rPr>
          <w:color w:val="000000"/>
          <w:spacing w:val="0"/>
          <w:w w:val="100"/>
          <w:position w:val="0"/>
          <w:sz w:val="20"/>
          <w:szCs w:val="20"/>
        </w:rPr>
        <w:t>、存货</w:t>
      </w:r>
      <w:bookmarkEnd w:id="1036"/>
      <w:bookmarkEnd w:id="1037"/>
      <w:bookmarkEnd w:id="1039"/>
    </w:p>
    <w:p>
      <w:pPr>
        <w:pStyle w:val="Style24"/>
        <w:keepNext w:val="0"/>
        <w:keepLines w:val="0"/>
        <w:widowControl w:val="0"/>
        <w:shd w:val="clear" w:color="auto" w:fill="auto"/>
        <w:bidi w:val="0"/>
        <w:spacing w:before="0" w:after="0" w:line="240" w:lineRule="auto"/>
        <w:ind w:left="514"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)存货分类</w:t>
      </w:r>
    </w:p>
    <w:tbl>
      <w:tblPr>
        <w:tblOverlap w:val="never"/>
        <w:jc w:val="center"/>
        <w:tblLayout w:type="fixed"/>
      </w:tblPr>
      <w:tblGrid>
        <w:gridCol w:w="2410"/>
        <w:gridCol w:w="1910"/>
        <w:gridCol w:w="1858"/>
        <w:gridCol w:w="1478"/>
        <w:gridCol w:w="1709"/>
      </w:tblGrid>
      <w:tr>
        <w:trPr>
          <w:trHeight w:val="427"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63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b/>
                <w:bCs/>
                <w:color w:val="000000"/>
                <w:spacing w:val="0"/>
                <w:w w:val="100"/>
                <w:position w:val="0"/>
                <w:sz w:val="17"/>
                <w:szCs w:val="17"/>
              </w:rPr>
              <w:t>其中：借款费用 资本化金额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跌价准备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56,081,319.48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56,081,319.48</w:t>
            </w:r>
          </w:p>
        </w:tc>
      </w:tr>
      <w:tr>
        <w:trPr>
          <w:trHeight w:val="38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周转材料及低值易耗品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3,107,483.57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3,107,483.57</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半成品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569,978.13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569,978.13</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106,955,640.42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106,955,640.42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消耗性生物资产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2,040,884.81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2,040,884.81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在建开发成本①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3,847,089.00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3,847,089.00</w:t>
            </w:r>
          </w:p>
        </w:tc>
        <w:tc>
          <w:tcPr>
            <w:tcBorders>
              <w:top w:val="single" w:sz="4"/>
              <w:left w:val="single" w:sz="4"/>
            </w:tcBorders>
            <w:shd w:val="clear" w:color="auto" w:fill="FFFFFF"/>
            <w:vAlign w:val="top"/>
          </w:tcPr>
          <w:p>
            <w:pPr>
              <w:widowControl w:val="0"/>
              <w:rPr>
                <w:sz w:val="10"/>
                <w:szCs w:val="10"/>
              </w:rPr>
            </w:pPr>
          </w:p>
        </w:tc>
      </w:tr>
      <w:tr>
        <w:trPr>
          <w:trHeight w:val="7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建造合同形成的已完工未 结算资产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2,300,995,175.30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2,300,995,175.30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在途物资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1,103,469.80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1,103,469.80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736,745.88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736,745.88</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10,668,248.17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10,668,248.17</w:t>
            </w: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2,486,106,034.56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3,847,089.00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2,482,258,945.56</w:t>
            </w:r>
          </w:p>
        </w:tc>
      </w:tr>
    </w:tbl>
    <w:p>
      <w:pPr>
        <w:widowControl w:val="0"/>
        <w:spacing w:after="1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499" w:right="0" w:firstLine="0"/>
        <w:jc w:val="left"/>
      </w:pPr>
      <w:r>
        <w:rPr>
          <w:color w:val="000000"/>
          <w:spacing w:val="0"/>
          <w:w w:val="100"/>
          <w:position w:val="0"/>
        </w:rPr>
        <w:t>续前表:</w:t>
      </w:r>
    </w:p>
    <w:tbl>
      <w:tblPr>
        <w:tblOverlap w:val="never"/>
        <w:jc w:val="left"/>
        <w:tblLayout w:type="fixed"/>
      </w:tblPr>
      <w:tblGrid>
        <w:gridCol w:w="2424"/>
        <w:gridCol w:w="1944"/>
        <w:gridCol w:w="1829"/>
        <w:gridCol w:w="1459"/>
        <w:gridCol w:w="1594"/>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60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b/>
                <w:bCs/>
                <w:color w:val="000000"/>
                <w:spacing w:val="0"/>
                <w:w w:val="100"/>
                <w:position w:val="0"/>
                <w:sz w:val="17"/>
                <w:szCs w:val="17"/>
              </w:rPr>
              <w:t>其中：借款费用 资本化金额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跌价准备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74,159,412.38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74,159,412.38</w:t>
            </w:r>
          </w:p>
        </w:tc>
      </w:tr>
    </w:tbl>
    <w:p>
      <w:pPr>
        <w:widowControl w:val="0"/>
        <w:spacing w:line="1" w:lineRule="exact"/>
      </w:pPr>
      <w:r>
        <w:br w:type="page"/>
      </w:r>
    </w:p>
    <w:tbl>
      <w:tblPr>
        <w:tblOverlap w:val="never"/>
        <w:jc w:val="center"/>
        <w:tblLayout w:type="fixed"/>
      </w:tblPr>
      <w:tblGrid>
        <w:gridCol w:w="2424"/>
        <w:gridCol w:w="1944"/>
        <w:gridCol w:w="1829"/>
        <w:gridCol w:w="1459"/>
        <w:gridCol w:w="1594"/>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60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b/>
                <w:bCs/>
                <w:color w:val="000000"/>
                <w:spacing w:val="0"/>
                <w:w w:val="100"/>
                <w:position w:val="0"/>
                <w:sz w:val="17"/>
                <w:szCs w:val="17"/>
              </w:rPr>
              <w:t>其中：借款费用 资本化金额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跌价准备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周转材料及低值易耗品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3,220,091.52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3,220,091.52</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半成品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4,923,561.78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4,923,561.78</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92,116,544.39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92,116,544.39</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消耗性生物资产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2,534,681.98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2,534,681.98</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在建开发成本①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3,847,089.00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3,847,089.00</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建造合同形成的已完工未结 算资产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3,265,301,156.17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3,265,301,156.17</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在途物资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2,662,840.85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2,662,840.85</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101,880.00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101,880.00</w:t>
            </w: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3,448,867,258.07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3,847,089.00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b/>
                <w:bCs/>
                <w:color w:val="000000"/>
                <w:spacing w:val="0"/>
                <w:w w:val="100"/>
                <w:position w:val="0"/>
                <w:sz w:val="18"/>
                <w:szCs w:val="18"/>
              </w:rPr>
              <w:t>3,445,020,169.07</w:t>
            </w:r>
          </w:p>
        </w:tc>
      </w:tr>
    </w:tbl>
    <w:p>
      <w:pPr>
        <w:widowControl w:val="0"/>
        <w:spacing w:after="2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384" w:right="0" w:firstLine="0"/>
        <w:jc w:val="left"/>
      </w:pPr>
      <w:r>
        <w:rPr>
          <w:color w:val="000000"/>
          <w:spacing w:val="0"/>
          <w:w w:val="100"/>
          <w:position w:val="0"/>
          <w:u w:val="single"/>
        </w:rPr>
        <w:t>①在建开发成本</w:t>
      </w:r>
    </w:p>
    <w:tbl>
      <w:tblPr>
        <w:tblOverlap w:val="never"/>
        <w:jc w:val="center"/>
        <w:tblLayout w:type="fixed"/>
      </w:tblPr>
      <w:tblGrid>
        <w:gridCol w:w="1483"/>
        <w:gridCol w:w="1320"/>
        <w:gridCol w:w="1339"/>
        <w:gridCol w:w="1181"/>
        <w:gridCol w:w="1190"/>
        <w:gridCol w:w="806"/>
        <w:gridCol w:w="706"/>
        <w:gridCol w:w="1128"/>
      </w:tblGrid>
      <w:tr>
        <w:trPr>
          <w:trHeight w:val="446"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项目名称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开工时间</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exact"/>
              <w:ind w:left="0" w:right="0" w:firstLine="0"/>
              <w:jc w:val="left"/>
              <w:rPr>
                <w:sz w:val="17"/>
                <w:szCs w:val="17"/>
              </w:rPr>
            </w:pPr>
            <w:r>
              <w:rPr>
                <w:rFonts w:ascii="SimSun" w:eastAsia="SimSun" w:hAnsi="SimSun" w:cs="SimSun"/>
                <w:b/>
                <w:bCs/>
                <w:color w:val="000000"/>
                <w:spacing w:val="0"/>
                <w:w w:val="100"/>
                <w:position w:val="0"/>
                <w:sz w:val="17"/>
                <w:szCs w:val="17"/>
              </w:rPr>
              <w:t>预计竣 工时间</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b/>
                <w:bCs/>
                <w:color w:val="000000"/>
                <w:spacing w:val="0"/>
                <w:w w:val="100"/>
                <w:position w:val="0"/>
                <w:sz w:val="17"/>
                <w:szCs w:val="17"/>
              </w:rPr>
              <w:t>预计总投资 （万元）</w:t>
            </w:r>
          </w:p>
        </w:tc>
      </w:tr>
      <w:tr>
        <w:trPr>
          <w:trHeight w:val="30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跌价准备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跌价准备</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农贸市场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3,847,089.00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3,847,089.00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3,847,089.00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3,847,089.00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1996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已停工</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3,847,089.00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3,847,089.00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3,847,089.00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3,847,089.00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168" w:right="0" w:firstLine="0"/>
        <w:jc w:val="left"/>
      </w:pPr>
      <w:r>
        <w:rPr>
          <w:color w:val="000000"/>
          <w:spacing w:val="0"/>
          <w:w w:val="100"/>
          <w:position w:val="0"/>
        </w:rPr>
        <w:t>②消耗性生物资产明细:</w:t>
      </w:r>
    </w:p>
    <w:tbl>
      <w:tblPr>
        <w:tblOverlap w:val="never"/>
        <w:jc w:val="center"/>
        <w:tblLayout w:type="fixed"/>
      </w:tblPr>
      <w:tblGrid>
        <w:gridCol w:w="1858"/>
        <w:gridCol w:w="1814"/>
        <w:gridCol w:w="1814"/>
        <w:gridCol w:w="1810"/>
        <w:gridCol w:w="1992"/>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2019.01.01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b/>
                <w:bCs/>
                <w:color w:val="000000"/>
                <w:spacing w:val="0"/>
                <w:w w:val="100"/>
                <w:position w:val="0"/>
                <w:sz w:val="18"/>
                <w:szCs w:val="18"/>
              </w:rPr>
              <w:t>2019.12.31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种植业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2,534,681.98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2,603,966.09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3,097,763.26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2,040,884.81</w:t>
            </w: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2,534,681.98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2,603,966.09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3,097,763.26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2,040,884.81</w:t>
            </w:r>
          </w:p>
        </w:tc>
      </w:tr>
    </w:tbl>
    <w:p>
      <w:pPr>
        <w:widowControl w:val="0"/>
        <w:spacing w:after="219" w:line="1" w:lineRule="exact"/>
      </w:pPr>
    </w:p>
    <w:p>
      <w:pPr>
        <w:pStyle w:val="Style26"/>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注：截止到</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日消耗性生物资产为茶油容器苗、茶油裸根苗、山核桃苗及绿化苗木共计</w:t>
      </w:r>
      <w:r>
        <w:rPr>
          <w:rFonts w:ascii="Arial Narrow" w:eastAsia="Arial Narrow" w:hAnsi="Arial Narrow" w:cs="Arial Narrow"/>
          <w:color w:val="000000"/>
          <w:spacing w:val="0"/>
          <w:w w:val="100"/>
          <w:position w:val="0"/>
          <w:sz w:val="18"/>
          <w:szCs w:val="18"/>
        </w:rPr>
        <w:t>778,170.00</w:t>
      </w:r>
      <w:r>
        <w:rPr>
          <w:color w:val="000000"/>
          <w:spacing w:val="0"/>
          <w:w w:val="100"/>
          <w:position w:val="0"/>
        </w:rPr>
        <w:t>株。</w:t>
      </w:r>
    </w:p>
    <w:p>
      <w:pPr>
        <w:pStyle w:val="Style24"/>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w:t>
      </w:r>
      <w:r>
        <w:rPr>
          <w:rFonts w:ascii="Arial Narrow" w:eastAsia="Arial Narrow" w:hAnsi="Arial Narrow" w:cs="Arial Narrow"/>
          <w:color w:val="000000"/>
          <w:spacing w:val="0"/>
          <w:w w:val="100"/>
          <w:position w:val="0"/>
          <w:sz w:val="18"/>
          <w:szCs w:val="18"/>
        </w:rPr>
        <w:t>2</w:t>
      </w:r>
      <w:r>
        <w:rPr>
          <w:color w:val="000000"/>
          <w:spacing w:val="0"/>
          <w:w w:val="100"/>
          <w:position w:val="0"/>
        </w:rPr>
        <w:t>）存货跌价准备</w:t>
      </w:r>
    </w:p>
    <w:tbl>
      <w:tblPr>
        <w:tblOverlap w:val="never"/>
        <w:jc w:val="center"/>
        <w:tblLayout w:type="fixed"/>
      </w:tblPr>
      <w:tblGrid>
        <w:gridCol w:w="1618"/>
        <w:gridCol w:w="1334"/>
        <w:gridCol w:w="1262"/>
        <w:gridCol w:w="1166"/>
        <w:gridCol w:w="979"/>
        <w:gridCol w:w="1488"/>
        <w:gridCol w:w="1363"/>
      </w:tblGrid>
      <w:tr>
        <w:trPr>
          <w:trHeight w:val="427"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2019.01.01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b/>
                <w:bCs/>
                <w:color w:val="000000"/>
                <w:spacing w:val="0"/>
                <w:w w:val="100"/>
                <w:position w:val="0"/>
                <w:sz w:val="18"/>
                <w:szCs w:val="18"/>
              </w:rPr>
              <w:t>2019.12.31</w:t>
            </w:r>
          </w:p>
        </w:tc>
      </w:tr>
      <w:tr>
        <w:trPr>
          <w:trHeight w:val="42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转回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转入持有待售</w:t>
            </w:r>
          </w:p>
        </w:tc>
        <w:tc>
          <w:tcPr>
            <w:vMerge/>
            <w:tcBorders>
              <w:left w:val="single" w:sz="4"/>
            </w:tcBorders>
            <w:shd w:val="clear" w:color="auto" w:fill="FFFFFF"/>
            <w:vAlign w:val="center"/>
          </w:tcPr>
          <w:p>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在建开发成本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3,847,089.00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3,847,089.00</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3,847,089.00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b/>
                <w:bCs/>
                <w:color w:val="000000"/>
                <w:spacing w:val="0"/>
                <w:w w:val="100"/>
                <w:position w:val="0"/>
                <w:sz w:val="18"/>
                <w:szCs w:val="18"/>
              </w:rPr>
              <w:t>3,847,089.00</w:t>
            </w:r>
          </w:p>
        </w:tc>
      </w:tr>
    </w:tbl>
    <w:p>
      <w:pPr>
        <w:widowControl w:val="0"/>
        <w:spacing w:after="219" w:line="1" w:lineRule="exact"/>
      </w:pPr>
    </w:p>
    <w:p>
      <w:pPr>
        <w:pStyle w:val="Style26"/>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注：计算存货可变现净值时所采用的估计售价区分已预售及未售，已预售部分按照实际签约金额确认估计售价，未售部</w:t>
      </w:r>
    </w:p>
    <w:p>
      <w:pPr>
        <w:pStyle w:val="Style26"/>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分按照平均签约价格或类似产品的市场销售价格确定。</w:t>
      </w:r>
    </w:p>
    <w:p>
      <w:pPr>
        <w:pStyle w:val="Style26"/>
        <w:keepNext w:val="0"/>
        <w:keepLines w:val="0"/>
        <w:widowControl w:val="0"/>
        <w:pBdr>
          <w:bottom w:val="single" w:sz="4" w:space="0" w:color="auto"/>
        </w:pBdr>
        <w:shd w:val="clear" w:color="auto" w:fill="auto"/>
        <w:bidi w:val="0"/>
        <w:spacing w:before="0" w:after="220" w:line="240" w:lineRule="auto"/>
        <w:ind w:left="0" w:right="0" w:firstLine="50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3</w:t>
      </w:r>
      <w:r>
        <w:rPr>
          <w:color w:val="000000"/>
          <w:spacing w:val="0"/>
          <w:w w:val="100"/>
          <w:position w:val="0"/>
        </w:rPr>
        <w:t>）期末建造合同形成的已完工未结算资产情况：</w:t>
      </w:r>
    </w:p>
    <w:p>
      <w:pPr>
        <w:pStyle w:val="Style26"/>
        <w:keepNext w:val="0"/>
        <w:keepLines w:val="0"/>
        <w:widowControl w:val="0"/>
        <w:shd w:val="clear" w:color="auto" w:fill="auto"/>
        <w:tabs>
          <w:tab w:pos="4517" w:val="left"/>
        </w:tabs>
        <w:bidi w:val="0"/>
        <w:spacing w:before="0" w:after="220" w:line="240" w:lineRule="auto"/>
        <w:ind w:left="0" w:right="0" w:firstLine="0"/>
        <w:jc w:val="center"/>
      </w:pPr>
      <w:r>
        <w:rPr>
          <w:b/>
          <w:bCs/>
          <w:color w:val="000000"/>
          <w:spacing w:val="0"/>
          <w:w w:val="100"/>
          <w:position w:val="0"/>
        </w:rPr>
        <w:t>项目</w:t>
        <w:tab/>
        <w:t>金额</w:t>
      </w:r>
      <w:r>
        <w:br w:type="page"/>
      </w:r>
    </w:p>
    <w:tbl>
      <w:tblPr>
        <w:tblOverlap w:val="never"/>
        <w:jc w:val="center"/>
        <w:tblLayout w:type="fixed"/>
      </w:tblPr>
      <w:tblGrid>
        <w:gridCol w:w="4958"/>
        <w:gridCol w:w="4162"/>
      </w:tblGrid>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累计已发生成本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11,918,775,743.72</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累计已确认毛利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1,545,188,683.89</w:t>
            </w:r>
          </w:p>
        </w:tc>
      </w:tr>
      <w:tr>
        <w:trPr>
          <w:trHeight w:val="38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减：预计损失</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已办理结算的金额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11,162,969,252.31</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建造合同形成的已完工未结算资产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2,300,995,175.30</w:t>
            </w:r>
          </w:p>
        </w:tc>
      </w:tr>
    </w:tbl>
    <w:p>
      <w:pPr>
        <w:widowControl w:val="0"/>
        <w:spacing w:after="25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514"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4</w:t>
      </w:r>
      <w:r>
        <w:rPr>
          <w:color w:val="000000"/>
          <w:spacing w:val="0"/>
          <w:w w:val="100"/>
          <w:position w:val="0"/>
        </w:rPr>
        <w:t>)存货期末无抵押受限情况。</w:t>
      </w:r>
    </w:p>
    <w:tbl>
      <w:tblPr>
        <w:tblOverlap w:val="never"/>
        <w:jc w:val="center"/>
        <w:tblLayout w:type="fixed"/>
      </w:tblPr>
      <w:tblGrid>
        <w:gridCol w:w="3048"/>
        <w:gridCol w:w="3269"/>
        <w:gridCol w:w="3048"/>
      </w:tblGrid>
      <w:tr>
        <w:trPr>
          <w:trHeight w:val="322"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60"/>
              <w:jc w:val="left"/>
              <w:rPr>
                <w:sz w:val="20"/>
                <w:szCs w:val="20"/>
              </w:rPr>
            </w:pPr>
            <w:bookmarkStart w:id="1040" w:name="bookmark1040"/>
            <w:r>
              <w:rPr>
                <w:rFonts w:ascii="Arial Narrow" w:eastAsia="Arial Narrow" w:hAnsi="Arial Narrow" w:cs="Arial Narrow"/>
                <w:b/>
                <w:bCs/>
                <w:color w:val="000000"/>
                <w:spacing w:val="0"/>
                <w:w w:val="100"/>
                <w:position w:val="0"/>
                <w:sz w:val="20"/>
                <w:szCs w:val="20"/>
              </w:rPr>
              <w:t>8</w:t>
            </w:r>
            <w:r>
              <w:rPr>
                <w:rFonts w:ascii="SimSun" w:eastAsia="SimSun" w:hAnsi="SimSun" w:cs="SimSun"/>
                <w:b/>
                <w:bCs/>
                <w:color w:val="000000"/>
                <w:spacing w:val="0"/>
                <w:w w:val="100"/>
                <w:position w:val="0"/>
                <w:sz w:val="20"/>
                <w:szCs w:val="20"/>
              </w:rPr>
              <w:t>、其他流动资产</w:t>
            </w:r>
            <w:bookmarkEnd w:id="1040"/>
          </w:p>
        </w:tc>
      </w:tr>
      <w:tr>
        <w:trPr>
          <w:trHeight w:val="4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预缴、待抵扣、留抵的税费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991,009,984.95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1,092,867,914.51</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80,000,000.00</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991,009,984.95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1,172,867,914.51</w:t>
            </w:r>
          </w:p>
        </w:tc>
      </w:tr>
    </w:tbl>
    <w:p>
      <w:pPr>
        <w:widowControl w:val="0"/>
        <w:spacing w:after="199" w:line="1" w:lineRule="exact"/>
      </w:pPr>
    </w:p>
    <w:p>
      <w:pPr>
        <w:pStyle w:val="Style22"/>
        <w:keepNext/>
        <w:keepLines/>
        <w:widowControl w:val="0"/>
        <w:shd w:val="clear" w:color="auto" w:fill="auto"/>
        <w:bidi w:val="0"/>
        <w:spacing w:before="0" w:after="260" w:line="240" w:lineRule="auto"/>
        <w:ind w:left="0" w:right="0" w:firstLine="560"/>
        <w:jc w:val="left"/>
        <w:rPr>
          <w:sz w:val="20"/>
          <w:szCs w:val="20"/>
        </w:rPr>
      </w:pPr>
      <w:bookmarkStart w:id="1041" w:name="bookmark1041"/>
      <w:bookmarkStart w:id="1042" w:name="bookmark1042"/>
      <w:bookmarkStart w:id="1043" w:name="bookmark1043"/>
      <w:bookmarkStart w:id="1044" w:name="bookmark1044"/>
      <w:r>
        <w:rPr>
          <w:rFonts w:ascii="Arial Narrow" w:eastAsia="Arial Narrow" w:hAnsi="Arial Narrow" w:cs="Arial Narrow"/>
          <w:color w:val="000000"/>
          <w:spacing w:val="0"/>
          <w:w w:val="100"/>
          <w:position w:val="0"/>
          <w:sz w:val="20"/>
          <w:szCs w:val="20"/>
        </w:rPr>
        <w:t>9</w:t>
      </w:r>
      <w:bookmarkEnd w:id="1043"/>
      <w:r>
        <w:rPr>
          <w:color w:val="000000"/>
          <w:spacing w:val="0"/>
          <w:w w:val="100"/>
          <w:position w:val="0"/>
          <w:sz w:val="20"/>
          <w:szCs w:val="20"/>
        </w:rPr>
        <w:t>、可供出售金融资产</w:t>
      </w:r>
      <w:bookmarkEnd w:id="1041"/>
      <w:bookmarkEnd w:id="1042"/>
      <w:bookmarkEnd w:id="1044"/>
    </w:p>
    <w:p>
      <w:pPr>
        <w:pStyle w:val="Style24"/>
        <w:keepNext w:val="0"/>
        <w:keepLines w:val="0"/>
        <w:widowControl w:val="0"/>
        <w:shd w:val="clear" w:color="auto" w:fill="auto"/>
        <w:bidi w:val="0"/>
        <w:spacing w:before="0" w:after="0" w:line="240" w:lineRule="auto"/>
        <w:ind w:left="437"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)可供出售金融资产情况</w:t>
      </w:r>
    </w:p>
    <w:tbl>
      <w:tblPr>
        <w:tblOverlap w:val="never"/>
        <w:jc w:val="center"/>
        <w:tblLayout w:type="fixed"/>
      </w:tblPr>
      <w:tblGrid>
        <w:gridCol w:w="2486"/>
        <w:gridCol w:w="2270"/>
        <w:gridCol w:w="2122"/>
        <w:gridCol w:w="2333"/>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可供出售债务工具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其中：按公允价值计量的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按成本计量的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r>
              <w:rPr>
                <w:rFonts w:ascii="SimSun" w:eastAsia="SimSun" w:hAnsi="SimSun" w:cs="SimSun"/>
                <w:color w:val="000000"/>
                <w:spacing w:val="0"/>
                <w:w w:val="100"/>
                <w:position w:val="0"/>
                <w:sz w:val="22"/>
                <w:szCs w:val="22"/>
              </w:rPr>
              <w:t>一</w:t>
            </w:r>
            <w:r>
              <w:rPr>
                <w:rFonts w:ascii="SimSun" w:eastAsia="SimSun" w:hAnsi="SimSun" w:cs="SimSun"/>
                <w:color w:val="000000"/>
                <w:spacing w:val="0"/>
                <w:w w:val="100"/>
                <w:position w:val="0"/>
                <w:sz w:val="17"/>
                <w:szCs w:val="17"/>
              </w:rPr>
              <w:t>保障基金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8" w:hRule="exact"/>
        </w:trPr>
        <w:tc>
          <w:tcPr>
            <w:gridSpan w:val="4"/>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续前表：</w:t>
            </w:r>
          </w:p>
        </w:tc>
      </w:tr>
      <w:tr>
        <w:trPr>
          <w:trHeight w:val="41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可供出售债务工具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15,212,734.67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10,841,377.30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4,371,357.37</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其中：按公允价值计量的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4,371,357.37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4,371,357.37</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按成本计量的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10,841,377.30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10,841,377.30</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r>
              <w:rPr>
                <w:rFonts w:ascii="SimSun" w:eastAsia="SimSun" w:hAnsi="SimSun" w:cs="SimSun"/>
                <w:color w:val="000000"/>
                <w:spacing w:val="0"/>
                <w:w w:val="100"/>
                <w:position w:val="0"/>
                <w:sz w:val="22"/>
                <w:szCs w:val="22"/>
              </w:rPr>
              <w:t>一</w:t>
            </w:r>
            <w:r>
              <w:rPr>
                <w:rFonts w:ascii="SimSun" w:eastAsia="SimSun" w:hAnsi="SimSun" w:cs="SimSun"/>
                <w:color w:val="000000"/>
                <w:spacing w:val="0"/>
                <w:w w:val="100"/>
                <w:position w:val="0"/>
                <w:sz w:val="17"/>
                <w:szCs w:val="17"/>
              </w:rPr>
              <w:t>保障基金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15,394,000.00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15,394,000.00</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30,606,734.67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10,841,377.30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19,765,357.37</w:t>
            </w:r>
          </w:p>
        </w:tc>
      </w:tr>
    </w:tbl>
    <w:p>
      <w:pPr>
        <w:widowControl w:val="0"/>
        <w:spacing w:after="199" w:line="1" w:lineRule="exact"/>
      </w:pPr>
    </w:p>
    <w:p>
      <w:pPr>
        <w:pStyle w:val="Style22"/>
        <w:keepNext/>
        <w:keepLines/>
        <w:widowControl w:val="0"/>
        <w:shd w:val="clear" w:color="auto" w:fill="auto"/>
        <w:bidi w:val="0"/>
        <w:spacing w:before="0" w:after="240" w:line="240" w:lineRule="auto"/>
        <w:ind w:left="0" w:right="0" w:firstLine="560"/>
        <w:jc w:val="left"/>
        <w:rPr>
          <w:sz w:val="20"/>
          <w:szCs w:val="20"/>
        </w:rPr>
      </w:pPr>
      <w:bookmarkStart w:id="1045" w:name="bookmark1045"/>
      <w:bookmarkStart w:id="1046" w:name="bookmark1046"/>
      <w:bookmarkStart w:id="1047" w:name="bookmark1047"/>
      <w:bookmarkStart w:id="1048" w:name="bookmark1048"/>
      <w:r>
        <w:rPr>
          <w:rFonts w:ascii="Arial Narrow" w:eastAsia="Arial Narrow" w:hAnsi="Arial Narrow" w:cs="Arial Narrow"/>
          <w:color w:val="000000"/>
          <w:spacing w:val="0"/>
          <w:w w:val="100"/>
          <w:position w:val="0"/>
          <w:sz w:val="20"/>
          <w:szCs w:val="20"/>
        </w:rPr>
        <w:t>1</w:t>
      </w:r>
      <w:bookmarkEnd w:id="1047"/>
      <w:r>
        <w:rPr>
          <w:rFonts w:ascii="Arial Narrow" w:eastAsia="Arial Narrow" w:hAnsi="Arial Narrow" w:cs="Arial Narrow"/>
          <w:color w:val="000000"/>
          <w:spacing w:val="0"/>
          <w:w w:val="100"/>
          <w:position w:val="0"/>
          <w:sz w:val="20"/>
          <w:szCs w:val="20"/>
        </w:rPr>
        <w:t>0</w:t>
      </w:r>
      <w:r>
        <w:rPr>
          <w:color w:val="000000"/>
          <w:spacing w:val="0"/>
          <w:w w:val="100"/>
          <w:position w:val="0"/>
          <w:sz w:val="20"/>
          <w:szCs w:val="20"/>
        </w:rPr>
        <w:t>、债权投资</w:t>
      </w:r>
      <w:bookmarkEnd w:id="1045"/>
      <w:bookmarkEnd w:id="1046"/>
      <w:bookmarkEnd w:id="1048"/>
      <w:r>
        <w:br w:type="page"/>
      </w:r>
    </w:p>
    <w:tbl>
      <w:tblPr>
        <w:tblOverlap w:val="never"/>
        <w:jc w:val="center"/>
        <w:tblLayout w:type="fixed"/>
      </w:tblPr>
      <w:tblGrid>
        <w:gridCol w:w="3571"/>
        <w:gridCol w:w="1416"/>
        <w:gridCol w:w="672"/>
        <w:gridCol w:w="1440"/>
        <w:gridCol w:w="826"/>
        <w:gridCol w:w="749"/>
        <w:gridCol w:w="782"/>
      </w:tblGrid>
      <w:tr>
        <w:trPr>
          <w:trHeight w:val="461"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51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140" w:right="0" w:firstLine="0"/>
              <w:jc w:val="left"/>
              <w:rPr>
                <w:sz w:val="17"/>
                <w:szCs w:val="17"/>
              </w:rPr>
            </w:pPr>
            <w:r>
              <w:rPr>
                <w:rFonts w:ascii="SimSun" w:eastAsia="SimSun" w:hAnsi="SimSun" w:cs="SimSun"/>
                <w:b/>
                <w:bCs/>
                <w:color w:val="000000"/>
                <w:spacing w:val="0"/>
                <w:w w:val="100"/>
                <w:position w:val="0"/>
                <w:sz w:val="17"/>
                <w:szCs w:val="17"/>
              </w:rPr>
              <w:t>减值 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b/>
                <w:bCs/>
                <w:color w:val="000000"/>
                <w:spacing w:val="0"/>
                <w:w w:val="100"/>
                <w:position w:val="0"/>
                <w:sz w:val="17"/>
                <w:szCs w:val="17"/>
              </w:rPr>
              <w:t>账面余 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减值</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准备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b/>
                <w:bCs/>
                <w:color w:val="000000"/>
                <w:spacing w:val="0"/>
                <w:w w:val="100"/>
                <w:position w:val="0"/>
                <w:sz w:val="17"/>
                <w:szCs w:val="17"/>
              </w:rPr>
              <w:t>账面 价值</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其他一保障基金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减：列示于一年内到期的非流动资产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减：列示于其他流动资产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b/>
                <w:bCs/>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600" w:right="0" w:firstLine="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w:t>
      </w:r>
      <w:r>
        <w:rPr>
          <w:color w:val="000000"/>
          <w:spacing w:val="0"/>
          <w:w w:val="100"/>
          <w:position w:val="0"/>
        </w:rPr>
        <w:t>其他</w:t>
      </w:r>
      <w:r>
        <w:rPr>
          <w:rFonts w:ascii="Arial Narrow" w:eastAsia="Arial Narrow" w:hAnsi="Arial Narrow" w:cs="Arial Narrow"/>
          <w:color w:val="000000"/>
          <w:spacing w:val="0"/>
          <w:w w:val="100"/>
          <w:position w:val="0"/>
          <w:sz w:val="18"/>
          <w:szCs w:val="18"/>
        </w:rPr>
        <w:t>-</w:t>
      </w:r>
      <w:r>
        <w:rPr>
          <w:color w:val="000000"/>
          <w:spacing w:val="0"/>
          <w:w w:val="100"/>
          <w:position w:val="0"/>
        </w:rPr>
        <w:t>保障基金'‘为本公司按信托计划的</w:t>
      </w:r>
      <w:r>
        <w:rPr>
          <w:rFonts w:ascii="Arial Narrow" w:eastAsia="Arial Narrow" w:hAnsi="Arial Narrow" w:cs="Arial Narrow"/>
          <w:color w:val="000000"/>
          <w:spacing w:val="0"/>
          <w:w w:val="100"/>
          <w:position w:val="0"/>
          <w:sz w:val="18"/>
          <w:szCs w:val="18"/>
        </w:rPr>
        <w:t>1%</w:t>
      </w:r>
      <w:r>
        <w:rPr>
          <w:color w:val="000000"/>
          <w:spacing w:val="0"/>
          <w:w w:val="100"/>
          <w:position w:val="0"/>
        </w:rPr>
        <w:t>认缴的信托公司保障基金。由于其预计可收回金额并不固定，因此作为''债</w:t>
      </w:r>
    </w:p>
    <w:p>
      <w:pPr>
        <w:widowControl w:val="0"/>
        <w:spacing w:after="279" w:line="1" w:lineRule="exact"/>
      </w:pPr>
    </w:p>
    <w:p>
      <w:pPr>
        <w:pStyle w:val="Style26"/>
        <w:keepNext w:val="0"/>
        <w:keepLines w:val="0"/>
        <w:widowControl w:val="0"/>
        <w:shd w:val="clear" w:color="auto" w:fill="auto"/>
        <w:bidi w:val="0"/>
        <w:spacing w:before="0" w:after="200" w:line="240" w:lineRule="auto"/>
        <w:ind w:left="0" w:right="0" w:firstLine="240"/>
        <w:jc w:val="left"/>
      </w:pPr>
      <w:r>
        <w:rPr>
          <w:color w:val="000000"/>
          <w:spacing w:val="0"/>
          <w:w w:val="100"/>
          <w:position w:val="0"/>
        </w:rPr>
        <w:t>权投资</w:t>
      </w:r>
      <w:r>
        <w:rPr>
          <w:rFonts w:ascii="Arial Narrow" w:eastAsia="Arial Narrow" w:hAnsi="Arial Narrow" w:cs="Arial Narrow"/>
          <w:color w:val="000000"/>
          <w:spacing w:val="0"/>
          <w:w w:val="100"/>
          <w:position w:val="0"/>
          <w:sz w:val="18"/>
          <w:szCs w:val="18"/>
        </w:rPr>
        <w:t>”</w:t>
      </w:r>
      <w:r>
        <w:rPr>
          <w:color w:val="000000"/>
          <w:spacing w:val="0"/>
          <w:w w:val="100"/>
          <w:position w:val="0"/>
        </w:rPr>
        <w:t>并按成本进行后续计量。</w:t>
      </w:r>
    </w:p>
    <w:p>
      <w:pPr>
        <w:pStyle w:val="Style22"/>
        <w:keepNext/>
        <w:keepLines/>
        <w:widowControl w:val="0"/>
        <w:shd w:val="clear" w:color="auto" w:fill="auto"/>
        <w:bidi w:val="0"/>
        <w:spacing w:before="0" w:after="320" w:line="240" w:lineRule="auto"/>
        <w:ind w:left="0" w:right="0" w:firstLine="680"/>
        <w:jc w:val="left"/>
        <w:rPr>
          <w:sz w:val="20"/>
          <w:szCs w:val="20"/>
        </w:rPr>
      </w:pPr>
      <w:bookmarkStart w:id="1049" w:name="bookmark1049"/>
      <w:bookmarkStart w:id="1050" w:name="bookmark1050"/>
      <w:bookmarkStart w:id="1051" w:name="bookmark1051"/>
      <w:bookmarkStart w:id="1052" w:name="bookmark1052"/>
      <w:r>
        <w:rPr>
          <w:rFonts w:ascii="Arial Narrow" w:eastAsia="Arial Narrow" w:hAnsi="Arial Narrow" w:cs="Arial Narrow"/>
          <w:color w:val="000000"/>
          <w:spacing w:val="0"/>
          <w:w w:val="100"/>
          <w:position w:val="0"/>
          <w:sz w:val="20"/>
          <w:szCs w:val="20"/>
        </w:rPr>
        <w:t>1</w:t>
      </w:r>
      <w:bookmarkEnd w:id="1051"/>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、长期股权投资</w:t>
      </w:r>
      <w:bookmarkEnd w:id="1049"/>
      <w:bookmarkEnd w:id="1050"/>
      <w:bookmarkEnd w:id="1052"/>
    </w:p>
    <w:p>
      <w:pPr>
        <w:pStyle w:val="Style24"/>
        <w:keepNext w:val="0"/>
        <w:keepLines w:val="0"/>
        <w:widowControl w:val="0"/>
        <w:shd w:val="clear" w:color="auto" w:fill="auto"/>
        <w:bidi w:val="0"/>
        <w:spacing w:before="0" w:after="0" w:line="240" w:lineRule="auto"/>
        <w:ind w:left="48" w:right="0" w:firstLine="0"/>
        <w:jc w:val="left"/>
      </w:pPr>
      <w:r>
        <w:rPr>
          <w:color w:val="000000"/>
          <w:spacing w:val="0"/>
          <w:w w:val="100"/>
          <w:position w:val="0"/>
          <w:u w:val="single"/>
        </w:rPr>
        <w:t>（</w:t>
      </w:r>
      <w:r>
        <w:rPr>
          <w:rFonts w:ascii="Arial Narrow" w:eastAsia="Arial Narrow" w:hAnsi="Arial Narrow" w:cs="Arial Narrow"/>
          <w:color w:val="000000"/>
          <w:spacing w:val="0"/>
          <w:w w:val="100"/>
          <w:position w:val="0"/>
          <w:sz w:val="18"/>
          <w:szCs w:val="18"/>
          <w:u w:val="single"/>
        </w:rPr>
        <w:t>1</w:t>
      </w:r>
      <w:r>
        <w:rPr>
          <w:color w:val="000000"/>
          <w:spacing w:val="0"/>
          <w:w w:val="100"/>
          <w:position w:val="0"/>
          <w:u w:val="single"/>
        </w:rPr>
        <w:t>）长期股权投资</w:t>
      </w:r>
    </w:p>
    <w:tbl>
      <w:tblPr>
        <w:tblOverlap w:val="never"/>
        <w:jc w:val="center"/>
        <w:tblLayout w:type="fixed"/>
      </w:tblPr>
      <w:tblGrid>
        <w:gridCol w:w="2371"/>
        <w:gridCol w:w="1522"/>
        <w:gridCol w:w="965"/>
        <w:gridCol w:w="648"/>
        <w:gridCol w:w="653"/>
        <w:gridCol w:w="1416"/>
        <w:gridCol w:w="710"/>
        <w:gridCol w:w="1022"/>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被投资单位</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2019.01.01</w:t>
            </w:r>
          </w:p>
        </w:tc>
        <w:tc>
          <w:tcPr>
            <w:gridSpan w:val="6"/>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本期增减变动</w:t>
            </w:r>
          </w:p>
        </w:tc>
      </w:tr>
      <w:tr>
        <w:trPr>
          <w:trHeight w:val="9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新增投资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追加投 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减少投 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权益法下确认的 投资损益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b/>
                <w:bCs/>
                <w:color w:val="000000"/>
                <w:spacing w:val="0"/>
                <w:w w:val="100"/>
                <w:position w:val="0"/>
                <w:sz w:val="17"/>
                <w:szCs w:val="17"/>
              </w:rPr>
              <w:t>其他综 合收益 调整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b/>
                <w:bCs/>
                <w:color w:val="000000"/>
                <w:spacing w:val="0"/>
                <w:w w:val="100"/>
                <w:position w:val="0"/>
                <w:sz w:val="17"/>
                <w:szCs w:val="17"/>
              </w:rPr>
              <w:t>其他权益 变动</w:t>
            </w:r>
          </w:p>
        </w:tc>
      </w:tr>
      <w:tr>
        <w:trPr>
          <w:trHeight w:val="4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深圳市深威驳运有限公司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1,434,329.17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336,204.00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中环联融（北京）投资管理有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98,457.40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-98,457.40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北京融链科技有限公司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8,437,944.95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-942,371.25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9,970,731.52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-704,624.65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422" w:right="0" w:firstLine="0"/>
        <w:jc w:val="left"/>
      </w:pPr>
      <w:r>
        <w:rPr>
          <w:color w:val="000000"/>
          <w:spacing w:val="0"/>
          <w:w w:val="100"/>
          <w:position w:val="0"/>
        </w:rPr>
        <w:t>续前表:</w:t>
      </w:r>
    </w:p>
    <w:tbl>
      <w:tblPr>
        <w:tblOverlap w:val="never"/>
        <w:jc w:val="center"/>
        <w:tblLayout w:type="fixed"/>
      </w:tblPr>
      <w:tblGrid>
        <w:gridCol w:w="2914"/>
        <w:gridCol w:w="1416"/>
        <w:gridCol w:w="1138"/>
        <w:gridCol w:w="1272"/>
        <w:gridCol w:w="1277"/>
        <w:gridCol w:w="1195"/>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被投资单位</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减值准备期末 余额</w:t>
            </w:r>
          </w:p>
        </w:tc>
      </w:tr>
      <w:tr>
        <w:trPr>
          <w:trHeight w:val="63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宣告发放现金股 利或利润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计提减值准 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转入持有待售</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深圳市深威驳运有限公司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1,770,533.17</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中环联融（北京）投资管理有限公司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北京融链科技有限公司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7,495,573.70</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9,266,106.87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26"/>
        <w:keepNext w:val="0"/>
        <w:keepLines w:val="0"/>
        <w:widowControl w:val="0"/>
        <w:shd w:val="clear" w:color="auto" w:fill="auto"/>
        <w:tabs>
          <w:tab w:pos="1150" w:val="left"/>
        </w:tabs>
        <w:bidi w:val="0"/>
        <w:spacing w:before="0" w:after="280" w:line="240" w:lineRule="auto"/>
        <w:ind w:left="0" w:right="0" w:firstLine="60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1</w:t>
      </w:r>
      <w:r>
        <w:rPr>
          <w:color w:val="000000"/>
          <w:spacing w:val="0"/>
          <w:w w:val="100"/>
          <w:position w:val="0"/>
        </w:rPr>
        <w:t>：</w:t>
        <w:tab/>
      </w:r>
      <w:r>
        <w:rPr>
          <w:rFonts w:ascii="Arial Narrow" w:eastAsia="Arial Narrow" w:hAnsi="Arial Narrow" w:cs="Arial Narrow"/>
          <w:color w:val="000000"/>
          <w:spacing w:val="0"/>
          <w:w w:val="100"/>
          <w:position w:val="0"/>
          <w:sz w:val="18"/>
          <w:szCs w:val="18"/>
        </w:rPr>
        <w:t>2017</w:t>
      </w:r>
      <w:r>
        <w:rPr>
          <w:color w:val="000000"/>
          <w:spacing w:val="0"/>
          <w:w w:val="100"/>
          <w:position w:val="0"/>
        </w:rPr>
        <w:t>年</w:t>
      </w:r>
      <w:r>
        <w:rPr>
          <w:rFonts w:ascii="Arial Narrow" w:eastAsia="Arial Narrow" w:hAnsi="Arial Narrow" w:cs="Arial Narrow"/>
          <w:color w:val="000000"/>
          <w:spacing w:val="0"/>
          <w:w w:val="100"/>
          <w:position w:val="0"/>
          <w:sz w:val="18"/>
          <w:szCs w:val="18"/>
        </w:rPr>
        <w:t>10</w:t>
      </w:r>
      <w:r>
        <w:rPr>
          <w:color w:val="000000"/>
          <w:spacing w:val="0"/>
          <w:w w:val="100"/>
          <w:position w:val="0"/>
        </w:rPr>
        <w:t>月东旭蓝天新能源股份有限公司协议增资</w:t>
      </w:r>
      <w:r>
        <w:rPr>
          <w:rFonts w:ascii="Arial Narrow" w:eastAsia="Arial Narrow" w:hAnsi="Arial Narrow" w:cs="Arial Narrow"/>
          <w:color w:val="000000"/>
          <w:spacing w:val="0"/>
          <w:w w:val="100"/>
          <w:position w:val="0"/>
          <w:sz w:val="18"/>
          <w:szCs w:val="18"/>
        </w:rPr>
        <w:t>300</w:t>
      </w:r>
      <w:r>
        <w:rPr>
          <w:color w:val="000000"/>
          <w:spacing w:val="0"/>
          <w:w w:val="100"/>
          <w:position w:val="0"/>
        </w:rPr>
        <w:t>万元收购中环联融（北京）投资管理有限公司</w:t>
      </w:r>
      <w:r>
        <w:rPr>
          <w:rFonts w:ascii="Arial Narrow" w:eastAsia="Arial Narrow" w:hAnsi="Arial Narrow" w:cs="Arial Narrow"/>
          <w:color w:val="000000"/>
          <w:spacing w:val="0"/>
          <w:w w:val="100"/>
          <w:position w:val="0"/>
          <w:sz w:val="18"/>
          <w:szCs w:val="18"/>
        </w:rPr>
        <w:t>30%</w:t>
      </w:r>
      <w:r>
        <w:rPr>
          <w:color w:val="000000"/>
          <w:spacing w:val="0"/>
          <w:w w:val="100"/>
          <w:position w:val="0"/>
        </w:rPr>
        <w:t>股权，</w:t>
      </w:r>
    </w:p>
    <w:p>
      <w:pPr>
        <w:pStyle w:val="Style26"/>
        <w:keepNext w:val="0"/>
        <w:keepLines w:val="0"/>
        <w:widowControl w:val="0"/>
        <w:shd w:val="clear" w:color="auto" w:fill="auto"/>
        <w:bidi w:val="0"/>
        <w:spacing w:before="0" w:after="280" w:line="240" w:lineRule="auto"/>
        <w:ind w:left="0" w:right="0" w:firstLine="240"/>
        <w:jc w:val="left"/>
      </w:pPr>
      <w:r>
        <w:rPr>
          <w:rFonts w:ascii="Arial Narrow" w:eastAsia="Arial Narrow" w:hAnsi="Arial Narrow" w:cs="Arial Narrow"/>
          <w:color w:val="000000"/>
          <w:spacing w:val="0"/>
          <w:w w:val="100"/>
          <w:position w:val="0"/>
          <w:sz w:val="18"/>
          <w:szCs w:val="18"/>
        </w:rPr>
        <w:t>2017</w:t>
      </w:r>
      <w:r>
        <w:rPr>
          <w:color w:val="000000"/>
          <w:spacing w:val="0"/>
          <w:w w:val="100"/>
          <w:position w:val="0"/>
        </w:rPr>
        <w:t>年</w:t>
      </w:r>
      <w:r>
        <w:rPr>
          <w:rFonts w:ascii="Arial Narrow" w:eastAsia="Arial Narrow" w:hAnsi="Arial Narrow" w:cs="Arial Narrow"/>
          <w:color w:val="000000"/>
          <w:spacing w:val="0"/>
          <w:w w:val="100"/>
          <w:position w:val="0"/>
          <w:sz w:val="18"/>
          <w:szCs w:val="18"/>
        </w:rPr>
        <w:t>11</w:t>
      </w:r>
      <w:r>
        <w:rPr>
          <w:color w:val="000000"/>
          <w:spacing w:val="0"/>
          <w:w w:val="100"/>
          <w:position w:val="0"/>
        </w:rPr>
        <w:t>月</w:t>
      </w:r>
      <w:r>
        <w:rPr>
          <w:rFonts w:ascii="Arial Narrow" w:eastAsia="Arial Narrow" w:hAnsi="Arial Narrow" w:cs="Arial Narrow"/>
          <w:color w:val="000000"/>
          <w:spacing w:val="0"/>
          <w:w w:val="100"/>
          <w:position w:val="0"/>
          <w:sz w:val="18"/>
          <w:szCs w:val="18"/>
        </w:rPr>
        <w:t>10</w:t>
      </w:r>
      <w:r>
        <w:rPr>
          <w:color w:val="000000"/>
          <w:spacing w:val="0"/>
          <w:w w:val="100"/>
          <w:position w:val="0"/>
        </w:rPr>
        <w:t>日已完成工商变更登记，截至</w:t>
      </w:r>
      <w:r>
        <w:rPr>
          <w:rFonts w:ascii="Arial Narrow" w:eastAsia="Arial Narrow" w:hAnsi="Arial Narrow" w:cs="Arial Narrow"/>
          <w:color w:val="000000"/>
          <w:spacing w:val="0"/>
          <w:w w:val="100"/>
          <w:position w:val="0"/>
          <w:sz w:val="18"/>
          <w:szCs w:val="18"/>
        </w:rPr>
        <w:t>2018</w:t>
      </w:r>
      <w:r>
        <w:rPr>
          <w:color w:val="000000"/>
          <w:spacing w:val="0"/>
          <w:w w:val="100"/>
          <w:position w:val="0"/>
        </w:rPr>
        <w:t>年</w:t>
      </w:r>
      <w:r>
        <w:rPr>
          <w:rFonts w:ascii="Arial Narrow" w:eastAsia="Arial Narrow" w:hAnsi="Arial Narrow" w:cs="Arial Narrow"/>
          <w:color w:val="000000"/>
          <w:spacing w:val="0"/>
          <w:w w:val="100"/>
          <w:position w:val="0"/>
          <w:sz w:val="18"/>
          <w:szCs w:val="18"/>
        </w:rPr>
        <w:t>6</w:t>
      </w:r>
      <w:r>
        <w:rPr>
          <w:color w:val="000000"/>
          <w:spacing w:val="0"/>
          <w:w w:val="100"/>
          <w:position w:val="0"/>
        </w:rPr>
        <w:t>月</w:t>
      </w:r>
      <w:r>
        <w:rPr>
          <w:rFonts w:ascii="Arial Narrow" w:eastAsia="Arial Narrow" w:hAnsi="Arial Narrow" w:cs="Arial Narrow"/>
          <w:color w:val="000000"/>
          <w:spacing w:val="0"/>
          <w:w w:val="100"/>
          <w:position w:val="0"/>
          <w:sz w:val="18"/>
          <w:szCs w:val="18"/>
        </w:rPr>
        <w:t>30</w:t>
      </w:r>
      <w:r>
        <w:rPr>
          <w:color w:val="000000"/>
          <w:spacing w:val="0"/>
          <w:w w:val="100"/>
          <w:position w:val="0"/>
        </w:rPr>
        <w:t>日实缴首期增资款</w:t>
      </w:r>
      <w:r>
        <w:rPr>
          <w:rFonts w:ascii="Arial Narrow" w:eastAsia="Arial Narrow" w:hAnsi="Arial Narrow" w:cs="Arial Narrow"/>
          <w:color w:val="000000"/>
          <w:spacing w:val="0"/>
          <w:w w:val="100"/>
          <w:position w:val="0"/>
          <w:sz w:val="18"/>
          <w:szCs w:val="18"/>
        </w:rPr>
        <w:t>90</w:t>
      </w:r>
      <w:r>
        <w:rPr>
          <w:color w:val="000000"/>
          <w:spacing w:val="0"/>
          <w:w w:val="100"/>
          <w:position w:val="0"/>
        </w:rPr>
        <w:t>万元。</w:t>
      </w:r>
      <w:r>
        <w:br w:type="page"/>
      </w:r>
    </w:p>
    <w:p>
      <w:pPr>
        <w:pStyle w:val="Style26"/>
        <w:keepNext w:val="0"/>
        <w:keepLines w:val="0"/>
        <w:widowControl w:val="0"/>
        <w:shd w:val="clear" w:color="auto" w:fill="auto"/>
        <w:tabs>
          <w:tab w:pos="1046" w:val="left"/>
        </w:tabs>
        <w:bidi w:val="0"/>
        <w:spacing w:before="0" w:after="280" w:line="240" w:lineRule="auto"/>
        <w:ind w:left="0" w:right="0" w:firstLine="50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2</w:t>
      </w:r>
      <w:r>
        <w:rPr>
          <w:color w:val="000000"/>
          <w:spacing w:val="0"/>
          <w:w w:val="100"/>
          <w:position w:val="0"/>
        </w:rPr>
        <w:t>:</w:t>
        <w:tab/>
      </w:r>
      <w:r>
        <w:rPr>
          <w:rFonts w:ascii="Arial Narrow" w:eastAsia="Arial Narrow" w:hAnsi="Arial Narrow" w:cs="Arial Narrow"/>
          <w:color w:val="000000"/>
          <w:spacing w:val="0"/>
          <w:w w:val="100"/>
          <w:position w:val="0"/>
          <w:sz w:val="18"/>
          <w:szCs w:val="18"/>
        </w:rPr>
        <w:t>2018</w:t>
      </w:r>
      <w:r>
        <w:rPr>
          <w:color w:val="000000"/>
          <w:spacing w:val="0"/>
          <w:w w:val="100"/>
          <w:position w:val="0"/>
        </w:rPr>
        <w:t>年</w:t>
      </w:r>
      <w:r>
        <w:rPr>
          <w:rFonts w:ascii="Arial Narrow" w:eastAsia="Arial Narrow" w:hAnsi="Arial Narrow" w:cs="Arial Narrow"/>
          <w:color w:val="000000"/>
          <w:spacing w:val="0"/>
          <w:w w:val="100"/>
          <w:position w:val="0"/>
          <w:sz w:val="18"/>
          <w:szCs w:val="18"/>
        </w:rPr>
        <w:t>6</w:t>
      </w:r>
      <w:r>
        <w:rPr>
          <w:color w:val="000000"/>
          <w:spacing w:val="0"/>
          <w:w w:val="100"/>
          <w:position w:val="0"/>
        </w:rPr>
        <w:t>月东旭蓝天新能源股份有限公司与北京融链科技有限公司签订《投资合作协议》，协议增资</w:t>
      </w:r>
      <w:r>
        <w:rPr>
          <w:rFonts w:ascii="Arial Narrow" w:eastAsia="Arial Narrow" w:hAnsi="Arial Narrow" w:cs="Arial Narrow"/>
          <w:color w:val="000000"/>
          <w:spacing w:val="0"/>
          <w:w w:val="100"/>
          <w:position w:val="0"/>
          <w:sz w:val="18"/>
          <w:szCs w:val="18"/>
        </w:rPr>
        <w:t>1500</w:t>
      </w:r>
      <w:r>
        <w:rPr>
          <w:color w:val="000000"/>
          <w:spacing w:val="0"/>
          <w:w w:val="100"/>
          <w:position w:val="0"/>
        </w:rPr>
        <w:t>万元收</w:t>
      </w:r>
    </w:p>
    <w:p>
      <w:pPr>
        <w:pStyle w:val="Style26"/>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购融链科技</w:t>
      </w:r>
      <w:r>
        <w:rPr>
          <w:rFonts w:ascii="Arial Narrow" w:eastAsia="Arial Narrow" w:hAnsi="Arial Narrow" w:cs="Arial Narrow"/>
          <w:color w:val="000000"/>
          <w:spacing w:val="0"/>
          <w:w w:val="100"/>
          <w:position w:val="0"/>
          <w:sz w:val="18"/>
          <w:szCs w:val="18"/>
        </w:rPr>
        <w:t>20%</w:t>
      </w:r>
      <w:r>
        <w:rPr>
          <w:color w:val="000000"/>
          <w:spacing w:val="0"/>
          <w:w w:val="100"/>
          <w:position w:val="0"/>
        </w:rPr>
        <w:t>股权，截至</w:t>
      </w:r>
      <w:r>
        <w:rPr>
          <w:rFonts w:ascii="Arial Narrow" w:eastAsia="Arial Narrow" w:hAnsi="Arial Narrow" w:cs="Arial Narrow"/>
          <w:color w:val="000000"/>
          <w:spacing w:val="0"/>
          <w:w w:val="100"/>
          <w:position w:val="0"/>
          <w:sz w:val="18"/>
          <w:szCs w:val="18"/>
        </w:rPr>
        <w:t>2018</w:t>
      </w:r>
      <w:r>
        <w:rPr>
          <w:color w:val="000000"/>
          <w:spacing w:val="0"/>
          <w:w w:val="100"/>
          <w:position w:val="0"/>
        </w:rPr>
        <w:t>年</w:t>
      </w:r>
      <w:r>
        <w:rPr>
          <w:rFonts w:ascii="Arial Narrow" w:eastAsia="Arial Narrow" w:hAnsi="Arial Narrow" w:cs="Arial Narrow"/>
          <w:color w:val="000000"/>
          <w:spacing w:val="0"/>
          <w:w w:val="100"/>
          <w:position w:val="0"/>
          <w:sz w:val="18"/>
          <w:szCs w:val="18"/>
        </w:rPr>
        <w:t>6</w:t>
      </w:r>
      <w:r>
        <w:rPr>
          <w:color w:val="000000"/>
          <w:spacing w:val="0"/>
          <w:w w:val="100"/>
          <w:position w:val="0"/>
        </w:rPr>
        <w:t>月</w:t>
      </w:r>
      <w:r>
        <w:rPr>
          <w:rFonts w:ascii="Arial Narrow" w:eastAsia="Arial Narrow" w:hAnsi="Arial Narrow" w:cs="Arial Narrow"/>
          <w:color w:val="000000"/>
          <w:spacing w:val="0"/>
          <w:w w:val="100"/>
          <w:position w:val="0"/>
          <w:sz w:val="18"/>
          <w:szCs w:val="18"/>
        </w:rPr>
        <w:t>30</w:t>
      </w:r>
      <w:r>
        <w:rPr>
          <w:color w:val="000000"/>
          <w:spacing w:val="0"/>
          <w:w w:val="100"/>
          <w:position w:val="0"/>
        </w:rPr>
        <w:t>日实缴首期增资款</w:t>
      </w:r>
      <w:r>
        <w:rPr>
          <w:rFonts w:ascii="Arial Narrow" w:eastAsia="Arial Narrow" w:hAnsi="Arial Narrow" w:cs="Arial Narrow"/>
          <w:color w:val="000000"/>
          <w:spacing w:val="0"/>
          <w:w w:val="100"/>
          <w:position w:val="0"/>
          <w:sz w:val="18"/>
          <w:szCs w:val="18"/>
        </w:rPr>
        <w:t>900</w:t>
      </w:r>
      <w:r>
        <w:rPr>
          <w:color w:val="000000"/>
          <w:spacing w:val="0"/>
          <w:w w:val="100"/>
          <w:position w:val="0"/>
        </w:rPr>
        <w:t>万元。</w:t>
      </w:r>
    </w:p>
    <w:p>
      <w:pPr>
        <w:pStyle w:val="Style26"/>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2</w:t>
      </w:r>
      <w:r>
        <w:rPr>
          <w:color w:val="000000"/>
          <w:spacing w:val="0"/>
          <w:w w:val="100"/>
          <w:position w:val="0"/>
        </w:rPr>
        <w:t>）长期股权投资减值准备</w:t>
      </w:r>
    </w:p>
    <w:p>
      <w:pPr>
        <w:pStyle w:val="Style33"/>
        <w:keepNext w:val="0"/>
        <w:keepLines w:val="0"/>
        <w:widowControl w:val="0"/>
        <w:shd w:val="clear" w:color="auto" w:fill="auto"/>
        <w:bidi w:val="0"/>
        <w:spacing w:before="0" w:after="280" w:line="240" w:lineRule="auto"/>
        <w:ind w:left="0" w:right="0" w:firstLine="560"/>
        <w:jc w:val="left"/>
      </w:pPr>
      <w:r>
        <w:rPr>
          <w:color w:val="000000"/>
          <w:spacing w:val="0"/>
          <w:w w:val="100"/>
          <w:position w:val="0"/>
        </w:rPr>
        <w:t>本期长期股权投资未发生减值。</w:t>
      </w:r>
    </w:p>
    <w:p>
      <w:pPr>
        <w:pStyle w:val="Style22"/>
        <w:keepNext/>
        <w:keepLines/>
        <w:widowControl w:val="0"/>
        <w:shd w:val="clear" w:color="auto" w:fill="auto"/>
        <w:bidi w:val="0"/>
        <w:spacing w:before="0" w:after="40" w:line="240" w:lineRule="auto"/>
        <w:ind w:left="0" w:right="0" w:firstLine="560"/>
        <w:jc w:val="left"/>
        <w:rPr>
          <w:sz w:val="20"/>
          <w:szCs w:val="20"/>
        </w:rPr>
      </w:pPr>
      <w:bookmarkStart w:id="1053" w:name="bookmark1053"/>
      <w:bookmarkStart w:id="1054" w:name="bookmark1054"/>
      <w:bookmarkStart w:id="1055" w:name="bookmark1055"/>
      <w:bookmarkStart w:id="1056" w:name="bookmark1056"/>
      <w:r>
        <w:rPr>
          <w:rFonts w:ascii="Arial Narrow" w:eastAsia="Arial Narrow" w:hAnsi="Arial Narrow" w:cs="Arial Narrow"/>
          <w:color w:val="000000"/>
          <w:spacing w:val="0"/>
          <w:w w:val="100"/>
          <w:position w:val="0"/>
          <w:sz w:val="20"/>
          <w:szCs w:val="20"/>
        </w:rPr>
        <w:t>1</w:t>
      </w:r>
      <w:bookmarkEnd w:id="1055"/>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、其他权益工具投资</w:t>
      </w:r>
      <w:bookmarkEnd w:id="1053"/>
      <w:bookmarkEnd w:id="1054"/>
      <w:bookmarkEnd w:id="1056"/>
    </w:p>
    <w:tbl>
      <w:tblPr>
        <w:tblOverlap w:val="never"/>
        <w:jc w:val="left"/>
        <w:tblLayout w:type="fixed"/>
      </w:tblPr>
      <w:tblGrid>
        <w:gridCol w:w="1171"/>
        <w:gridCol w:w="1363"/>
        <w:gridCol w:w="1426"/>
        <w:gridCol w:w="1171"/>
        <w:gridCol w:w="1406"/>
        <w:gridCol w:w="1219"/>
        <w:gridCol w:w="1267"/>
      </w:tblGrid>
      <w:tr>
        <w:trPr>
          <w:trHeight w:val="175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成本</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累计计入其他综 合收益的公允价 值变动</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公允价值</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本期股利收入</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指定为以公允 价值计量且其 变动计入其他 综合收益的原 因</w:t>
            </w:r>
          </w:p>
        </w:tc>
      </w:tr>
      <w:tr>
        <w:trPr>
          <w:trHeight w:val="355"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本期终止确认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期末仍持有</w:t>
            </w:r>
          </w:p>
        </w:tc>
        <w:tc>
          <w:tcPr>
            <w:vMerge/>
            <w:tcBorders>
              <w:left w:val="single" w:sz="4"/>
            </w:tcBorders>
            <w:shd w:val="clear" w:color="auto" w:fill="FFFFFF"/>
            <w:vAlign w:val="center"/>
          </w:tcPr>
          <w:p>
            <w:pPr/>
          </w:p>
        </w:tc>
      </w:tr>
      <w:tr>
        <w:trPr>
          <w:trHeight w:val="169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权益工具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2,775,282.24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4,275,282.24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管理层以非交 易目的持有</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sz w:val="18"/>
                <w:szCs w:val="18"/>
              </w:rPr>
              <w:t>1,500,000.00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2,775,282.24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4,275,282.24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79" w:line="1" w:lineRule="exact"/>
      </w:pPr>
    </w:p>
    <w:p>
      <w:pPr>
        <w:pStyle w:val="Style26"/>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1</w:t>
      </w:r>
      <w:r>
        <w:rPr>
          <w:color w:val="000000"/>
          <w:spacing w:val="0"/>
          <w:w w:val="100"/>
          <w:position w:val="0"/>
        </w:rPr>
        <w:t>：本公司持有华塑控股（证券代码：</w:t>
      </w:r>
      <w:r>
        <w:rPr>
          <w:rFonts w:ascii="Arial Narrow" w:eastAsia="Arial Narrow" w:hAnsi="Arial Narrow" w:cs="Arial Narrow"/>
          <w:color w:val="000000"/>
          <w:spacing w:val="0"/>
          <w:w w:val="100"/>
          <w:position w:val="0"/>
          <w:sz w:val="18"/>
          <w:szCs w:val="18"/>
        </w:rPr>
        <w:t>000509</w:t>
      </w:r>
      <w:r>
        <w:rPr>
          <w:color w:val="000000"/>
          <w:spacing w:val="0"/>
          <w:w w:val="100"/>
          <w:position w:val="0"/>
        </w:rPr>
        <w:t>）</w:t>
      </w:r>
      <w:r>
        <w:rPr>
          <w:rFonts w:ascii="Arial Narrow" w:eastAsia="Arial Narrow" w:hAnsi="Arial Narrow" w:cs="Arial Narrow"/>
          <w:color w:val="000000"/>
          <w:spacing w:val="0"/>
          <w:w w:val="100"/>
          <w:position w:val="0"/>
          <w:sz w:val="18"/>
          <w:szCs w:val="18"/>
        </w:rPr>
        <w:t>825,000</w:t>
      </w:r>
      <w:r>
        <w:rPr>
          <w:color w:val="000000"/>
          <w:spacing w:val="0"/>
          <w:w w:val="100"/>
          <w:position w:val="0"/>
        </w:rPr>
        <w:t>股股份，占比</w:t>
      </w:r>
      <w:r>
        <w:rPr>
          <w:rFonts w:ascii="Arial Narrow" w:eastAsia="Arial Narrow" w:hAnsi="Arial Narrow" w:cs="Arial Narrow"/>
          <w:color w:val="000000"/>
          <w:spacing w:val="0"/>
          <w:w w:val="100"/>
          <w:position w:val="0"/>
          <w:sz w:val="18"/>
          <w:szCs w:val="18"/>
        </w:rPr>
        <w:t>0.10%</w:t>
      </w:r>
      <w:r>
        <w:rPr>
          <w:color w:val="000000"/>
          <w:spacing w:val="0"/>
          <w:w w:val="100"/>
          <w:position w:val="0"/>
        </w:rPr>
        <w:t>，截至</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日，持有该股票净</w:t>
      </w:r>
    </w:p>
    <w:p>
      <w:pPr>
        <w:pStyle w:val="Style81"/>
        <w:keepNext w:val="0"/>
        <w:keepLines w:val="0"/>
        <w:widowControl w:val="0"/>
        <w:shd w:val="clear" w:color="auto" w:fill="auto"/>
        <w:bidi w:val="0"/>
        <w:spacing w:before="0" w:after="280" w:line="240" w:lineRule="auto"/>
        <w:ind w:left="0" w:right="0" w:firstLine="140"/>
        <w:jc w:val="left"/>
        <w:rPr>
          <w:sz w:val="17"/>
          <w:szCs w:val="17"/>
        </w:rPr>
      </w:pPr>
      <w:r>
        <w:rPr>
          <w:rFonts w:ascii="SimSun" w:eastAsia="SimSun" w:hAnsi="SimSun" w:cs="SimSun"/>
          <w:color w:val="000000"/>
          <w:spacing w:val="0"/>
          <w:w w:val="100"/>
          <w:position w:val="0"/>
          <w:sz w:val="17"/>
          <w:szCs w:val="17"/>
        </w:rPr>
        <w:t>值为人民币</w:t>
      </w:r>
      <w:r>
        <w:rPr>
          <w:color w:val="000000"/>
          <w:spacing w:val="0"/>
          <w:w w:val="100"/>
          <w:position w:val="0"/>
          <w:sz w:val="18"/>
          <w:szCs w:val="18"/>
        </w:rPr>
        <w:t>1,980,000.00</w:t>
      </w:r>
      <w:r>
        <w:rPr>
          <w:rFonts w:ascii="SimSun" w:eastAsia="SimSun" w:hAnsi="SimSun" w:cs="SimSun"/>
          <w:color w:val="000000"/>
          <w:spacing w:val="0"/>
          <w:w w:val="100"/>
          <w:position w:val="0"/>
          <w:sz w:val="17"/>
          <w:szCs w:val="17"/>
        </w:rPr>
        <w:t>元。</w:t>
      </w:r>
    </w:p>
    <w:p>
      <w:pPr>
        <w:pStyle w:val="Style26"/>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2</w:t>
      </w:r>
      <w:r>
        <w:rPr>
          <w:color w:val="000000"/>
          <w:spacing w:val="0"/>
          <w:w w:val="100"/>
          <w:position w:val="0"/>
        </w:rPr>
        <w:t>：本公司持有中润资源（证券代码：</w:t>
      </w:r>
      <w:r>
        <w:rPr>
          <w:rFonts w:ascii="Arial Narrow" w:eastAsia="Arial Narrow" w:hAnsi="Arial Narrow" w:cs="Arial Narrow"/>
          <w:color w:val="000000"/>
          <w:spacing w:val="0"/>
          <w:w w:val="100"/>
          <w:position w:val="0"/>
          <w:sz w:val="18"/>
          <w:szCs w:val="18"/>
        </w:rPr>
        <w:t>000506</w:t>
      </w:r>
      <w:r>
        <w:rPr>
          <w:color w:val="000000"/>
          <w:spacing w:val="0"/>
          <w:w w:val="100"/>
          <w:position w:val="0"/>
        </w:rPr>
        <w:t>）</w:t>
      </w:r>
      <w:r>
        <w:rPr>
          <w:rFonts w:ascii="Arial Narrow" w:eastAsia="Arial Narrow" w:hAnsi="Arial Narrow" w:cs="Arial Narrow"/>
          <w:color w:val="000000"/>
          <w:spacing w:val="0"/>
          <w:w w:val="100"/>
          <w:position w:val="0"/>
          <w:sz w:val="18"/>
          <w:szCs w:val="18"/>
        </w:rPr>
        <w:t>796,973</w:t>
      </w:r>
      <w:r>
        <w:rPr>
          <w:color w:val="000000"/>
          <w:spacing w:val="0"/>
          <w:w w:val="100"/>
          <w:position w:val="0"/>
        </w:rPr>
        <w:t>股股份，占比</w:t>
      </w:r>
      <w:r>
        <w:rPr>
          <w:rFonts w:ascii="Arial Narrow" w:eastAsia="Arial Narrow" w:hAnsi="Arial Narrow" w:cs="Arial Narrow"/>
          <w:color w:val="000000"/>
          <w:spacing w:val="0"/>
          <w:w w:val="100"/>
          <w:position w:val="0"/>
          <w:sz w:val="18"/>
          <w:szCs w:val="18"/>
        </w:rPr>
        <w:t>0.09%</w:t>
      </w:r>
      <w:r>
        <w:rPr>
          <w:color w:val="000000"/>
          <w:spacing w:val="0"/>
          <w:w w:val="100"/>
          <w:position w:val="0"/>
        </w:rPr>
        <w:t>，截至</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日，持有该股票净</w:t>
      </w:r>
    </w:p>
    <w:p>
      <w:pPr>
        <w:pStyle w:val="Style81"/>
        <w:keepNext w:val="0"/>
        <w:keepLines w:val="0"/>
        <w:widowControl w:val="0"/>
        <w:shd w:val="clear" w:color="auto" w:fill="auto"/>
        <w:bidi w:val="0"/>
        <w:spacing w:before="0" w:after="200" w:line="240" w:lineRule="auto"/>
        <w:ind w:left="0" w:right="0" w:firstLine="140"/>
        <w:jc w:val="left"/>
        <w:rPr>
          <w:sz w:val="17"/>
          <w:szCs w:val="17"/>
        </w:rPr>
      </w:pPr>
      <w:r>
        <w:rPr>
          <w:rFonts w:ascii="SimSun" w:eastAsia="SimSun" w:hAnsi="SimSun" w:cs="SimSun"/>
          <w:color w:val="000000"/>
          <w:spacing w:val="0"/>
          <w:w w:val="100"/>
          <w:position w:val="0"/>
          <w:sz w:val="17"/>
          <w:szCs w:val="17"/>
        </w:rPr>
        <w:t>值为人民币</w:t>
      </w:r>
      <w:r>
        <w:rPr>
          <w:color w:val="000000"/>
          <w:spacing w:val="0"/>
          <w:w w:val="100"/>
          <w:position w:val="0"/>
          <w:sz w:val="18"/>
          <w:szCs w:val="18"/>
        </w:rPr>
        <w:t>2,295,282.24</w:t>
      </w:r>
      <w:r>
        <w:rPr>
          <w:rFonts w:ascii="SimSun" w:eastAsia="SimSun" w:hAnsi="SimSun" w:cs="SimSun"/>
          <w:color w:val="000000"/>
          <w:spacing w:val="0"/>
          <w:w w:val="100"/>
          <w:position w:val="0"/>
          <w:sz w:val="17"/>
          <w:szCs w:val="17"/>
        </w:rPr>
        <w:t>元。</w:t>
      </w:r>
    </w:p>
    <w:p>
      <w:pPr>
        <w:pStyle w:val="Style22"/>
        <w:keepNext/>
        <w:keepLines/>
        <w:widowControl w:val="0"/>
        <w:shd w:val="clear" w:color="auto" w:fill="auto"/>
        <w:bidi w:val="0"/>
        <w:spacing w:before="0" w:after="40" w:line="240" w:lineRule="auto"/>
        <w:ind w:left="0" w:right="0" w:firstLine="560"/>
        <w:jc w:val="left"/>
        <w:rPr>
          <w:sz w:val="20"/>
          <w:szCs w:val="20"/>
        </w:rPr>
      </w:pPr>
      <w:bookmarkStart w:id="1057" w:name="bookmark1057"/>
      <w:bookmarkStart w:id="1058" w:name="bookmark1058"/>
      <w:bookmarkStart w:id="1059" w:name="bookmark1059"/>
      <w:bookmarkStart w:id="1060" w:name="bookmark1060"/>
      <w:r>
        <w:rPr>
          <w:rFonts w:ascii="Arial Narrow" w:eastAsia="Arial Narrow" w:hAnsi="Arial Narrow" w:cs="Arial Narrow"/>
          <w:color w:val="000000"/>
          <w:spacing w:val="0"/>
          <w:w w:val="100"/>
          <w:position w:val="0"/>
          <w:sz w:val="20"/>
          <w:szCs w:val="20"/>
        </w:rPr>
        <w:t>1</w:t>
      </w:r>
      <w:bookmarkEnd w:id="1059"/>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、其他非流动金融资产</w:t>
      </w:r>
      <w:bookmarkEnd w:id="1057"/>
      <w:bookmarkEnd w:id="1058"/>
      <w:bookmarkEnd w:id="1060"/>
    </w:p>
    <w:tbl>
      <w:tblPr>
        <w:tblOverlap w:val="never"/>
        <w:jc w:val="center"/>
        <w:tblLayout w:type="fixed"/>
      </w:tblPr>
      <w:tblGrid>
        <w:gridCol w:w="5640"/>
        <w:gridCol w:w="1843"/>
        <w:gridCol w:w="1882"/>
      </w:tblGrid>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指定为以公允价值计量且其变动计入当期损益的金融资产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64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widowControl w:val="0"/>
        <w:spacing w:line="1" w:lineRule="exact"/>
      </w:pPr>
    </w:p>
    <w:tbl>
      <w:tblPr>
        <w:tblOverlap w:val="never"/>
        <w:jc w:val="center"/>
        <w:tblLayout w:type="fixed"/>
      </w:tblPr>
      <w:tblGrid>
        <w:gridCol w:w="4958"/>
        <w:gridCol w:w="2597"/>
        <w:gridCol w:w="2362"/>
      </w:tblGrid>
      <w:tr>
        <w:trPr>
          <w:trHeight w:val="312"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40"/>
              <w:jc w:val="left"/>
              <w:rPr>
                <w:sz w:val="19"/>
                <w:szCs w:val="19"/>
              </w:rPr>
            </w:pPr>
            <w:r>
              <w:rPr>
                <w:rFonts w:ascii="SimSun" w:eastAsia="SimSun" w:hAnsi="SimSun" w:cs="SimSun"/>
                <w:color w:val="000000"/>
                <w:spacing w:val="0"/>
                <w:w w:val="100"/>
                <w:position w:val="0"/>
                <w:sz w:val="19"/>
                <w:szCs w:val="19"/>
              </w:rPr>
              <w:t>以公允价值计量且其变动计入当期损益的金融资产中权益工具投资明细如下：</w:t>
            </w:r>
          </w:p>
        </w:tc>
      </w:tr>
      <w:tr>
        <w:trPr>
          <w:trHeight w:val="413"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被投资单位</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公允价值</w:t>
            </w:r>
          </w:p>
        </w:tc>
      </w:tr>
      <w:tr>
        <w:trPr>
          <w:trHeight w:val="456"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 xml:space="preserve">2019 </w:t>
            </w:r>
            <w:r>
              <w:rPr>
                <w:rFonts w:ascii="SimSun" w:eastAsia="SimSun" w:hAnsi="SimSun" w:cs="SimSun"/>
                <w:b/>
                <w:bCs/>
                <w:color w:val="000000"/>
                <w:spacing w:val="0"/>
                <w:w w:val="100"/>
                <w:position w:val="0"/>
                <w:sz w:val="17"/>
                <w:szCs w:val="17"/>
              </w:rPr>
              <w:t>年</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 xml:space="preserve">2018 </w:t>
            </w:r>
            <w:r>
              <w:rPr>
                <w:rFonts w:ascii="SimSun" w:eastAsia="SimSun" w:hAnsi="SimSun" w:cs="SimSun"/>
                <w:b/>
                <w:bCs/>
                <w:color w:val="000000"/>
                <w:spacing w:val="0"/>
                <w:w w:val="100"/>
                <w:position w:val="0"/>
                <w:sz w:val="17"/>
                <w:szCs w:val="17"/>
              </w:rPr>
              <w:t>年</w:t>
            </w:r>
          </w:p>
        </w:tc>
      </w:tr>
    </w:tbl>
    <w:p>
      <w:pPr>
        <w:widowControl w:val="0"/>
        <w:spacing w:line="1" w:lineRule="exact"/>
      </w:pPr>
      <w:r>
        <w:br w:type="page"/>
      </w:r>
    </w:p>
    <w:tbl>
      <w:tblPr>
        <w:tblOverlap w:val="never"/>
        <w:jc w:val="center"/>
        <w:tblLayout w:type="fixed"/>
      </w:tblPr>
      <w:tblGrid>
        <w:gridCol w:w="4973"/>
        <w:gridCol w:w="2602"/>
        <w:gridCol w:w="2357"/>
      </w:tblGrid>
      <w:tr>
        <w:trPr>
          <w:trHeight w:val="427"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被投资单位</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公允价值</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 xml:space="preserve">2019 </w:t>
            </w:r>
            <w:r>
              <w:rPr>
                <w:rFonts w:ascii="SimSun" w:eastAsia="SimSun" w:hAnsi="SimSun" w:cs="SimSun"/>
                <w:b/>
                <w:bCs/>
                <w:color w:val="000000"/>
                <w:spacing w:val="0"/>
                <w:w w:val="100"/>
                <w:position w:val="0"/>
                <w:sz w:val="17"/>
                <w:szCs w:val="17"/>
              </w:rPr>
              <w:t>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 xml:space="preserve">2018 </w:t>
            </w:r>
            <w:r>
              <w:rPr>
                <w:rFonts w:ascii="SimSun" w:eastAsia="SimSun" w:hAnsi="SimSun" w:cs="SimSun"/>
                <w:b/>
                <w:bCs/>
                <w:color w:val="000000"/>
                <w:spacing w:val="0"/>
                <w:w w:val="100"/>
                <w:position w:val="0"/>
                <w:sz w:val="17"/>
                <w:szCs w:val="17"/>
              </w:rPr>
              <w:t>年</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三九胃泰股份有限公司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四川通产物业股份有限公司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长春高斯达生物科技集团股份有限公司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深运工贸翠苑旅店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33"/>
        <w:keepNext w:val="0"/>
        <w:keepLines w:val="0"/>
        <w:widowControl w:val="0"/>
        <w:shd w:val="clear" w:color="auto" w:fill="auto"/>
        <w:bidi w:val="0"/>
        <w:spacing w:before="0" w:after="260" w:line="240" w:lineRule="auto"/>
        <w:ind w:left="0" w:right="0" w:firstLine="560"/>
        <w:jc w:val="left"/>
      </w:pPr>
      <w:r>
        <w:rPr>
          <w:color w:val="000000"/>
          <w:spacing w:val="0"/>
          <w:w w:val="100"/>
          <w:position w:val="0"/>
        </w:rPr>
        <w:t>注：期末被投资单位公允价值均为</w:t>
      </w:r>
      <w:r>
        <w:rPr>
          <w:b/>
          <w:bCs/>
          <w:color w:val="000000"/>
          <w:spacing w:val="0"/>
          <w:w w:val="100"/>
          <w:position w:val="0"/>
        </w:rPr>
        <w:t>0</w:t>
      </w:r>
      <w:r>
        <w:rPr>
          <w:color w:val="000000"/>
          <w:spacing w:val="0"/>
          <w:w w:val="100"/>
          <w:position w:val="0"/>
        </w:rPr>
        <w:t>。</w:t>
      </w:r>
    </w:p>
    <w:p>
      <w:pPr>
        <w:pStyle w:val="Style22"/>
        <w:keepNext/>
        <w:keepLines/>
        <w:widowControl w:val="0"/>
        <w:shd w:val="clear" w:color="auto" w:fill="auto"/>
        <w:bidi w:val="0"/>
        <w:spacing w:before="0" w:after="260" w:line="240" w:lineRule="auto"/>
        <w:ind w:left="0" w:right="0" w:firstLine="560"/>
        <w:jc w:val="left"/>
        <w:rPr>
          <w:sz w:val="20"/>
          <w:szCs w:val="20"/>
        </w:rPr>
      </w:pPr>
      <w:bookmarkStart w:id="1061" w:name="bookmark1061"/>
      <w:bookmarkStart w:id="1062" w:name="bookmark1062"/>
      <w:bookmarkStart w:id="1063" w:name="bookmark1063"/>
      <w:bookmarkStart w:id="1064" w:name="bookmark1064"/>
      <w:r>
        <w:rPr>
          <w:rFonts w:ascii="Arial Narrow" w:eastAsia="Arial Narrow" w:hAnsi="Arial Narrow" w:cs="Arial Narrow"/>
          <w:color w:val="000000"/>
          <w:spacing w:val="0"/>
          <w:w w:val="100"/>
          <w:position w:val="0"/>
          <w:sz w:val="20"/>
          <w:szCs w:val="20"/>
        </w:rPr>
        <w:t>1</w:t>
      </w:r>
      <w:bookmarkEnd w:id="1063"/>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、投资性房地产</w:t>
      </w:r>
      <w:bookmarkEnd w:id="1061"/>
      <w:bookmarkEnd w:id="1062"/>
      <w:bookmarkEnd w:id="1064"/>
    </w:p>
    <w:p>
      <w:pPr>
        <w:pStyle w:val="Style24"/>
        <w:keepNext w:val="0"/>
        <w:keepLines w:val="0"/>
        <w:widowControl w:val="0"/>
        <w:shd w:val="clear" w:color="auto" w:fill="auto"/>
        <w:bidi w:val="0"/>
        <w:spacing w:before="0" w:after="0" w:line="240" w:lineRule="auto"/>
        <w:ind w:left="557" w:right="0" w:firstLine="0"/>
        <w:jc w:val="left"/>
        <w:rPr>
          <w:sz w:val="20"/>
          <w:szCs w:val="20"/>
        </w:rPr>
      </w:pPr>
      <w:r>
        <w:rPr>
          <w:color w:val="000000"/>
          <w:spacing w:val="0"/>
          <w:w w:val="100"/>
          <w:position w:val="0"/>
          <w:sz w:val="19"/>
          <w:szCs w:val="19"/>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19"/>
          <w:szCs w:val="19"/>
        </w:rPr>
        <w:t>）</w:t>
      </w:r>
      <w:r>
        <w:rPr>
          <w:color w:val="000000"/>
          <w:spacing w:val="0"/>
          <w:w w:val="100"/>
          <w:position w:val="0"/>
          <w:sz w:val="20"/>
          <w:szCs w:val="20"/>
        </w:rPr>
        <w:t>采用成本计量模式的投资性房地产</w:t>
      </w:r>
    </w:p>
    <w:tbl>
      <w:tblPr>
        <w:tblOverlap w:val="never"/>
        <w:jc w:val="center"/>
        <w:tblLayout w:type="fixed"/>
      </w:tblPr>
      <w:tblGrid>
        <w:gridCol w:w="3134"/>
        <w:gridCol w:w="2266"/>
        <w:gridCol w:w="1843"/>
        <w:gridCol w:w="2122"/>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1,960,901,382.12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132,960,809.85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2,093,862,191.97</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）存货转入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）固定资产</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无形资产转入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16,793,917.09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16,793,917.09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16,793,917.09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16,793,917.09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1,944,107,465.03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132,960,809.85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2,077,068,274.88</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454,647,286.51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21,407,862.29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476,055,148.80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50,139,970.40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3,297,131.41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53,437,101.81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50,139,970.40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3,297,131.41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53,437,101.81</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）固定资产</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无形资产转入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10,146,485.77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10,146,485.77</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10,146,485.77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10,146,485.77</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494,640,771.14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24,704,993.70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519,345,764.84</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18,000,000.00</w:t>
            </w: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34"/>
        <w:gridCol w:w="2266"/>
        <w:gridCol w:w="1843"/>
        <w:gridCol w:w="2122"/>
      </w:tblGrid>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）转入持有待售资产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18,000,000.00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1,431,466,693.89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108,255,816.15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1,539,722,510.04</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1,488,254,095.61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111,552,947.56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1,599,807,043.17</w:t>
            </w:r>
          </w:p>
        </w:tc>
      </w:tr>
    </w:tbl>
    <w:p>
      <w:pPr>
        <w:pStyle w:val="Style24"/>
        <w:keepNext w:val="0"/>
        <w:keepLines w:val="0"/>
        <w:widowControl w:val="0"/>
        <w:shd w:val="clear" w:color="auto" w:fill="auto"/>
        <w:bidi w:val="0"/>
        <w:spacing w:before="0" w:after="0" w:line="240" w:lineRule="auto"/>
        <w:ind w:left="494" w:right="0" w:firstLine="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1</w:t>
      </w:r>
      <w:r>
        <w:rPr>
          <w:color w:val="000000"/>
          <w:spacing w:val="0"/>
          <w:w w:val="100"/>
          <w:position w:val="0"/>
        </w:rPr>
        <w:t>:无未办妥产权证书的投资性房地产。</w:t>
      </w:r>
    </w:p>
    <w:p>
      <w:pPr>
        <w:widowControl w:val="0"/>
        <w:spacing w:after="299" w:line="1" w:lineRule="exact"/>
      </w:pPr>
    </w:p>
    <w:p>
      <w:pPr>
        <w:pStyle w:val="Style26"/>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2</w:t>
      </w:r>
      <w:r>
        <w:rPr>
          <w:color w:val="000000"/>
          <w:spacing w:val="0"/>
          <w:w w:val="100"/>
          <w:position w:val="0"/>
        </w:rPr>
        <w:t>:投资性房地产期末抵押情况详见本附注五、</w:t>
      </w:r>
      <w:r>
        <w:rPr>
          <w:rFonts w:ascii="Arial Narrow" w:eastAsia="Arial Narrow" w:hAnsi="Arial Narrow" w:cs="Arial Narrow"/>
          <w:color w:val="000000"/>
          <w:spacing w:val="0"/>
          <w:w w:val="100"/>
          <w:position w:val="0"/>
          <w:sz w:val="18"/>
          <w:szCs w:val="18"/>
        </w:rPr>
        <w:t>59</w:t>
      </w:r>
      <w:r>
        <w:rPr>
          <w:color w:val="000000"/>
          <w:spacing w:val="0"/>
          <w:w w:val="100"/>
          <w:position w:val="0"/>
        </w:rPr>
        <w:t>。</w:t>
      </w:r>
    </w:p>
    <w:p>
      <w:pPr>
        <w:pStyle w:val="Style24"/>
        <w:keepNext w:val="0"/>
        <w:keepLines w:val="0"/>
        <w:widowControl w:val="0"/>
        <w:shd w:val="clear" w:color="auto" w:fill="auto"/>
        <w:bidi w:val="0"/>
        <w:spacing w:before="0" w:after="0" w:line="240" w:lineRule="auto"/>
        <w:ind w:left="125" w:right="0" w:firstLine="0"/>
        <w:jc w:val="left"/>
        <w:rPr>
          <w:sz w:val="20"/>
          <w:szCs w:val="20"/>
        </w:rPr>
      </w:pPr>
      <w:bookmarkStart w:id="1065" w:name="bookmark1065"/>
      <w:r>
        <w:rPr>
          <w:rFonts w:ascii="Arial Narrow" w:eastAsia="Arial Narrow" w:hAnsi="Arial Narrow" w:cs="Arial Narrow"/>
          <w:b/>
          <w:bCs/>
          <w:color w:val="000000"/>
          <w:spacing w:val="0"/>
          <w:w w:val="100"/>
          <w:position w:val="0"/>
          <w:sz w:val="20"/>
          <w:szCs w:val="20"/>
        </w:rPr>
        <w:t>15</w:t>
      </w:r>
      <w:r>
        <w:rPr>
          <w:b/>
          <w:bCs/>
          <w:color w:val="000000"/>
          <w:spacing w:val="0"/>
          <w:w w:val="100"/>
          <w:position w:val="0"/>
          <w:sz w:val="20"/>
          <w:szCs w:val="20"/>
        </w:rPr>
        <w:t>、固定资产</w:t>
      </w:r>
      <w:bookmarkEnd w:id="1065"/>
    </w:p>
    <w:tbl>
      <w:tblPr>
        <w:tblOverlap w:val="never"/>
        <w:jc w:val="center"/>
        <w:tblLayout w:type="fixed"/>
      </w:tblPr>
      <w:tblGrid>
        <w:gridCol w:w="3302"/>
        <w:gridCol w:w="2971"/>
        <w:gridCol w:w="2923"/>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5,820,999,223.56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5,637,026,735.10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5,820,999,223.56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5,637,026,735.10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）固定资产及累计折旧</w:t>
      </w:r>
    </w:p>
    <w:p>
      <w:pPr>
        <w:widowControl w:val="0"/>
        <w:spacing w:after="2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①固定资产情况</w:t>
      </w:r>
    </w:p>
    <w:tbl>
      <w:tblPr>
        <w:tblOverlap w:val="never"/>
        <w:jc w:val="center"/>
        <w:tblLayout w:type="fixed"/>
      </w:tblPr>
      <w:tblGrid>
        <w:gridCol w:w="2069"/>
        <w:gridCol w:w="1421"/>
        <w:gridCol w:w="1123"/>
        <w:gridCol w:w="1051"/>
        <w:gridCol w:w="1229"/>
        <w:gridCol w:w="1051"/>
        <w:gridCol w:w="1262"/>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208,420,821.73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103,814,089.73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16,630,462.26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5,625,993,661.95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30,813,778.36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5,985,672,814.03</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840,170.50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3,187,713.69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1,948,884.19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479,473,711.26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2,229,980.93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487,680,460.57</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2,023,937.83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1,948,884.19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2,229,980.93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6,202,802.95</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）在建转固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840,170.50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1,163,775.86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479,473,711.26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481,477,657.62</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13,067,189.43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1,982,017.58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2,355,392.92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179,021.01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17,583,620.94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576,248.66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1,982,017.58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1,825,630.72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52,548.97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4,436,445.93</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）转入投资性房地产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）出售子公司减少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12,490,940.77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529,762.20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126,472.04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13,147,175.01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196,193,802.80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105,019,785.84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16,223,953.53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6,105,467,373.21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32,864,738.28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6,455,769,653.66</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26,482,956.57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9,433,452.30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8,123,139.74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286,237,434.41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10,094,800.98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340,371,784.00</w:t>
            </w:r>
          </w:p>
        </w:tc>
      </w:tr>
    </w:tbl>
    <w:p>
      <w:pPr>
        <w:widowControl w:val="0"/>
        <w:spacing w:line="1" w:lineRule="exact"/>
      </w:pPr>
      <w:r>
        <w:br w:type="page"/>
      </w:r>
    </w:p>
    <w:tbl>
      <w:tblPr>
        <w:tblOverlap w:val="never"/>
        <w:jc w:val="center"/>
        <w:tblLayout w:type="fixed"/>
      </w:tblPr>
      <w:tblGrid>
        <w:gridCol w:w="2074"/>
        <w:gridCol w:w="1421"/>
        <w:gridCol w:w="1118"/>
        <w:gridCol w:w="1051"/>
        <w:gridCol w:w="1229"/>
        <w:gridCol w:w="1051"/>
        <w:gridCol w:w="1262"/>
      </w:tblGrid>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5,543,410.78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10,371,199.00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2,123,502.53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276,633,326.89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3,611,632.25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298,283,071.45</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5,543,410.78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10,371,199.00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2,123,502.53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276,633,326.89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3,611,632.25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298,283,071.45</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9,318,863.91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487,416.07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1,965,693.13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112,452.24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11,884,425.35</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576,248.66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487,416.07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1,710,225.86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46,664.73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2,820,555.32</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）转入投资性房地产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）处置子公司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8,742,615.25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255,467.27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65,787.51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9,063,870.03</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22,707,503.44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19,317,235.23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8,280,949.14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562,870,761.30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13,593,980.99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626,770,430.10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274,294.93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8,000,000.00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8,274,294.93</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274,294.93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274,294.93</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274,294.93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274,294.93</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8,000,000.00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8,000,000.00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173,486,299.36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85,702,550.61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7,943,004.39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5,542,596,611.91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11,270,757.29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5,820,999,223.56</w:t>
            </w: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181,937,865.16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94,380,637.43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8,233,027.59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5,339,756,227.54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12,718,977.38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5,637,026,735.10</w:t>
            </w:r>
          </w:p>
        </w:tc>
      </w:tr>
    </w:tbl>
    <w:p>
      <w:pPr>
        <w:pStyle w:val="Style24"/>
        <w:keepNext w:val="0"/>
        <w:keepLines w:val="0"/>
        <w:widowControl w:val="0"/>
        <w:shd w:val="clear" w:color="auto" w:fill="auto"/>
        <w:bidi w:val="0"/>
        <w:spacing w:before="0" w:after="0" w:line="240" w:lineRule="auto"/>
        <w:ind w:left="130" w:right="0" w:firstLine="0"/>
        <w:jc w:val="left"/>
      </w:pPr>
      <w:r>
        <w:rPr>
          <w:color w:val="000000"/>
          <w:spacing w:val="0"/>
          <w:w w:val="100"/>
          <w:position w:val="0"/>
        </w:rPr>
        <w:t>注：本期期末较期初增加主要为子公司电站项目完工在建转固增加。</w:t>
      </w:r>
    </w:p>
    <w:p>
      <w:pPr>
        <w:widowControl w:val="0"/>
        <w:spacing w:after="2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494" w:right="0" w:firstLine="0"/>
        <w:jc w:val="left"/>
      </w:pPr>
      <w:r>
        <w:rPr>
          <w:color w:val="000000"/>
          <w:spacing w:val="0"/>
          <w:w w:val="100"/>
          <w:position w:val="0"/>
        </w:rPr>
        <w:t>②期末暂时闲置的固定资产情况</w:t>
      </w:r>
    </w:p>
    <w:tbl>
      <w:tblPr>
        <w:tblOverlap w:val="never"/>
        <w:jc w:val="center"/>
        <w:tblLayout w:type="fixed"/>
      </w:tblPr>
      <w:tblGrid>
        <w:gridCol w:w="1795"/>
        <w:gridCol w:w="1349"/>
        <w:gridCol w:w="1478"/>
        <w:gridCol w:w="1752"/>
        <w:gridCol w:w="1344"/>
        <w:gridCol w:w="1646"/>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账面原值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累计折旧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备注</w:t>
            </w: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电子及其他设备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13,047,861.00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4,656,425.17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391,435.83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未使用</w:t>
            </w:r>
          </w:p>
        </w:tc>
      </w:tr>
    </w:tbl>
    <w:p>
      <w:pPr>
        <w:widowControl w:val="0"/>
        <w:spacing w:after="1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182" w:right="0" w:firstLine="0"/>
        <w:jc w:val="left"/>
      </w:pPr>
      <w:r>
        <w:rPr>
          <w:color w:val="000000"/>
          <w:spacing w:val="0"/>
          <w:w w:val="100"/>
          <w:position w:val="0"/>
        </w:rPr>
        <w:t>③通过融资租赁租入的固定资产情况</w:t>
      </w:r>
    </w:p>
    <w:tbl>
      <w:tblPr>
        <w:tblOverlap w:val="never"/>
        <w:jc w:val="center"/>
        <w:tblLayout w:type="fixed"/>
      </w:tblPr>
      <w:tblGrid>
        <w:gridCol w:w="2174"/>
        <w:gridCol w:w="1838"/>
        <w:gridCol w:w="1762"/>
        <w:gridCol w:w="1781"/>
        <w:gridCol w:w="1733"/>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账面原值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累计折旧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901,255,048.11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110,845,083.76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790,409,964.35</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901,255,048.11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110,845,083.76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b/>
                <w:bCs/>
                <w:color w:val="000000"/>
                <w:spacing w:val="0"/>
                <w:w w:val="100"/>
                <w:position w:val="0"/>
                <w:sz w:val="18"/>
                <w:szCs w:val="18"/>
              </w:rPr>
              <w:t>790,409,964.35</w:t>
            </w:r>
          </w:p>
        </w:tc>
      </w:tr>
    </w:tbl>
    <w:p>
      <w:pPr>
        <w:pStyle w:val="Style24"/>
        <w:keepNext w:val="0"/>
        <w:keepLines w:val="0"/>
        <w:widowControl w:val="0"/>
        <w:shd w:val="clear" w:color="auto" w:fill="auto"/>
        <w:bidi w:val="0"/>
        <w:spacing w:before="0" w:after="0" w:line="240" w:lineRule="auto"/>
        <w:ind w:left="182" w:right="0" w:firstLine="0"/>
        <w:jc w:val="left"/>
      </w:pPr>
      <w:r>
        <w:rPr>
          <w:color w:val="000000"/>
          <w:spacing w:val="0"/>
          <w:w w:val="100"/>
          <w:position w:val="0"/>
        </w:rPr>
        <w:t>④固定资产期末抵押情况详见本附注五、</w:t>
      </w:r>
      <w:r>
        <w:rPr>
          <w:rFonts w:ascii="Arial Narrow" w:eastAsia="Arial Narrow" w:hAnsi="Arial Narrow" w:cs="Arial Narrow"/>
          <w:color w:val="000000"/>
          <w:spacing w:val="0"/>
          <w:w w:val="100"/>
          <w:position w:val="0"/>
          <w:sz w:val="18"/>
          <w:szCs w:val="18"/>
        </w:rPr>
        <w:t>59</w:t>
      </w:r>
      <w:r>
        <w:rPr>
          <w:color w:val="000000"/>
          <w:spacing w:val="0"/>
          <w:w w:val="100"/>
          <w:position w:val="0"/>
        </w:rPr>
        <w:t>。</w:t>
      </w:r>
    </w:p>
    <w:p>
      <w:pPr>
        <w:widowControl w:val="0"/>
        <w:spacing w:after="2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110" w:right="0" w:firstLine="0"/>
        <w:jc w:val="left"/>
        <w:rPr>
          <w:sz w:val="20"/>
          <w:szCs w:val="20"/>
        </w:rPr>
      </w:pPr>
      <w:bookmarkStart w:id="1066" w:name="bookmark1066"/>
      <w:r>
        <w:rPr>
          <w:rFonts w:ascii="Arial Narrow" w:eastAsia="Arial Narrow" w:hAnsi="Arial Narrow" w:cs="Arial Narrow"/>
          <w:b/>
          <w:bCs/>
          <w:color w:val="000000"/>
          <w:spacing w:val="0"/>
          <w:w w:val="100"/>
          <w:position w:val="0"/>
          <w:sz w:val="20"/>
          <w:szCs w:val="20"/>
        </w:rPr>
        <w:t>16</w:t>
      </w:r>
      <w:r>
        <w:rPr>
          <w:b/>
          <w:bCs/>
          <w:color w:val="000000"/>
          <w:spacing w:val="0"/>
          <w:w w:val="100"/>
          <w:position w:val="0"/>
          <w:sz w:val="20"/>
          <w:szCs w:val="20"/>
        </w:rPr>
        <w:t>、在建工程</w:t>
      </w:r>
      <w:bookmarkEnd w:id="1066"/>
    </w:p>
    <w:tbl>
      <w:tblPr>
        <w:tblOverlap w:val="never"/>
        <w:jc w:val="center"/>
        <w:tblLayout w:type="fixed"/>
      </w:tblPr>
      <w:tblGrid>
        <w:gridCol w:w="3331"/>
        <w:gridCol w:w="3014"/>
        <w:gridCol w:w="2798"/>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523,545,043.96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937,039,481.09</w:t>
            </w:r>
          </w:p>
        </w:tc>
      </w:tr>
    </w:tbl>
    <w:p>
      <w:pPr>
        <w:widowControl w:val="0"/>
        <w:spacing w:line="1" w:lineRule="exact"/>
      </w:pPr>
      <w:r>
        <w:br w:type="page"/>
      </w:r>
    </w:p>
    <w:tbl>
      <w:tblPr>
        <w:tblOverlap w:val="never"/>
        <w:jc w:val="center"/>
        <w:tblLayout w:type="fixed"/>
      </w:tblPr>
      <w:tblGrid>
        <w:gridCol w:w="3331"/>
        <w:gridCol w:w="3014"/>
        <w:gridCol w:w="2798"/>
      </w:tblGrid>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813,379.73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47,892.72</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524,358,423.69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937,087,373.81</w:t>
            </w:r>
          </w:p>
        </w:tc>
      </w:tr>
    </w:tbl>
    <w:p>
      <w:pPr>
        <w:widowControl w:val="0"/>
        <w:spacing w:after="1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403"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 xml:space="preserve">1 </w:t>
      </w:r>
      <w:r>
        <w:rPr>
          <w:color w:val="000000"/>
          <w:spacing w:val="0"/>
          <w:w w:val="100"/>
          <w:position w:val="0"/>
        </w:rPr>
        <w:t>)在建工程情况</w:t>
      </w:r>
    </w:p>
    <w:tbl>
      <w:tblPr>
        <w:tblOverlap w:val="never"/>
        <w:jc w:val="center"/>
        <w:tblLayout w:type="fixed"/>
      </w:tblPr>
      <w:tblGrid>
        <w:gridCol w:w="2064"/>
        <w:gridCol w:w="1262"/>
        <w:gridCol w:w="1152"/>
        <w:gridCol w:w="1248"/>
        <w:gridCol w:w="1272"/>
        <w:gridCol w:w="984"/>
        <w:gridCol w:w="1363"/>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北山大道综合用地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130,000.00</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23</w:t>
            </w:r>
            <w:r>
              <w:rPr>
                <w:rFonts w:ascii="SimSun" w:eastAsia="SimSun" w:hAnsi="SimSun" w:cs="SimSun"/>
                <w:color w:val="000000"/>
                <w:spacing w:val="0"/>
                <w:w w:val="100"/>
                <w:position w:val="0"/>
                <w:sz w:val="17"/>
                <w:szCs w:val="17"/>
              </w:rPr>
              <w:t>号地二期仓库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35,800.00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35,800.00</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金寨一期</w:t>
            </w:r>
            <w:r>
              <w:rPr>
                <w:rFonts w:ascii="Arial Narrow" w:eastAsia="Arial Narrow" w:hAnsi="Arial Narrow" w:cs="Arial Narrow"/>
                <w:color w:val="000000"/>
                <w:spacing w:val="0"/>
                <w:w w:val="100"/>
                <w:position w:val="0"/>
                <w:sz w:val="18"/>
                <w:szCs w:val="18"/>
              </w:rPr>
              <w:t>100MW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89,057,964.43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89,057,964.43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85,691,971.04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85,691,971.04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金寨二期</w:t>
            </w:r>
            <w:r>
              <w:rPr>
                <w:rFonts w:ascii="Arial Narrow" w:eastAsia="Arial Narrow" w:hAnsi="Arial Narrow" w:cs="Arial Narrow"/>
                <w:color w:val="000000"/>
                <w:spacing w:val="0"/>
                <w:w w:val="100"/>
                <w:position w:val="0"/>
                <w:sz w:val="18"/>
                <w:szCs w:val="18"/>
              </w:rPr>
              <w:t>100MW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140,135,296.36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140,135,296.36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57,824,350.98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57,824,350.98</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禹州市鸠山镇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18,746,458.71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18,746,458.71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山西中阳分布式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30,644,230.89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30,644,230.89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19,761,276.17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19,761,276.17</w:t>
            </w:r>
          </w:p>
        </w:tc>
      </w:tr>
      <w:tr>
        <w:trPr>
          <w:trHeight w:val="8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磴口县巴彦套海农场光伏</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农业电站项目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7,904,406.49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7,904,406.49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7,790,617.05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7,790,617.05</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林州东姚镇石大沟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51,115,389.34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51,115,389.34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138,915,224.37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138,915,224.37</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湖北中储粮项目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22,265,537.01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22,265,537.01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21,548,144.54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21,548,144.54</w:t>
            </w:r>
          </w:p>
        </w:tc>
      </w:tr>
      <w:tr>
        <w:trPr>
          <w:trHeight w:val="4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河北中储粮项目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62,562,447.38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62,562,447.38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62,518,986.63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62,518,986.63</w:t>
            </w:r>
          </w:p>
        </w:tc>
      </w:tr>
      <w:tr>
        <w:trPr>
          <w:trHeight w:val="122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河南卫辉唐庄乡新农村</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20MW</w:t>
            </w:r>
            <w:r>
              <w:rPr>
                <w:rFonts w:ascii="SimSun" w:eastAsia="SimSun" w:hAnsi="SimSun" w:cs="SimSun"/>
                <w:color w:val="000000"/>
                <w:spacing w:val="0"/>
                <w:w w:val="100"/>
                <w:position w:val="0"/>
                <w:sz w:val="17"/>
                <w:szCs w:val="17"/>
              </w:rPr>
              <w:t>屋顶分布式项目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61,792,746.81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61,792,746.81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87,182,067.21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87,182,067.21</w:t>
            </w:r>
          </w:p>
        </w:tc>
      </w:tr>
      <w:tr>
        <w:trPr>
          <w:trHeight w:val="89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湖南攸县</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兆瓦光伏电</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站项目</w:t>
            </w:r>
            <w:r>
              <w:rPr>
                <w:rFonts w:ascii="Arial Narrow" w:eastAsia="Arial Narrow" w:hAnsi="Arial Narrow" w:cs="Arial Narrow"/>
                <w:color w:val="000000"/>
                <w:spacing w:val="0"/>
                <w:w w:val="100"/>
                <w:position w:val="0"/>
                <w:sz w:val="18"/>
                <w:szCs w:val="18"/>
              </w:rPr>
              <w:t>(20*5)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80,538,772.00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80,538,772.00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80,449,715.40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80,449,715.40</w:t>
            </w:r>
          </w:p>
        </w:tc>
      </w:tr>
      <w:tr>
        <w:trPr>
          <w:trHeight w:val="8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海南省文昌市</w:t>
            </w:r>
            <w:r>
              <w:rPr>
                <w:rFonts w:ascii="Arial Narrow" w:eastAsia="Arial Narrow" w:hAnsi="Arial Narrow" w:cs="Arial Narrow"/>
                <w:color w:val="000000"/>
                <w:spacing w:val="0"/>
                <w:w w:val="100"/>
                <w:position w:val="0"/>
                <w:sz w:val="18"/>
                <w:szCs w:val="18"/>
              </w:rPr>
              <w:t>100MW</w:t>
            </w:r>
            <w:r>
              <w:rPr>
                <w:rFonts w:ascii="SimSun" w:eastAsia="SimSun" w:hAnsi="SimSun" w:cs="SimSun"/>
                <w:color w:val="000000"/>
                <w:spacing w:val="0"/>
                <w:w w:val="100"/>
                <w:position w:val="0"/>
                <w:sz w:val="17"/>
                <w:szCs w:val="17"/>
              </w:rPr>
              <w:t>渔光 互补项目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129,648,381.31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129,648,381.31</w:t>
            </w:r>
          </w:p>
        </w:tc>
      </w:tr>
      <w:tr>
        <w:trPr>
          <w:trHeight w:val="139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新郑旭能金马公司新马物 流中心 </w:t>
            </w:r>
            <w:r>
              <w:rPr>
                <w:rFonts w:ascii="Arial Narrow" w:eastAsia="Arial Narrow" w:hAnsi="Arial Narrow" w:cs="Arial Narrow"/>
                <w:color w:val="000000"/>
                <w:spacing w:val="0"/>
                <w:w w:val="100"/>
                <w:position w:val="0"/>
                <w:sz w:val="18"/>
                <w:szCs w:val="18"/>
              </w:rPr>
              <w:t>14MW</w:t>
            </w:r>
            <w:r>
              <w:rPr>
                <w:rFonts w:ascii="SimSun" w:eastAsia="SimSun" w:hAnsi="SimSun" w:cs="SimSun"/>
                <w:color w:val="000000"/>
                <w:spacing w:val="0"/>
                <w:w w:val="100"/>
                <w:position w:val="0"/>
                <w:sz w:val="17"/>
                <w:szCs w:val="17"/>
              </w:rPr>
              <w:t>屋顶分布式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72,605,560.70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72,605,560.70</w:t>
            </w:r>
          </w:p>
        </w:tc>
      </w:tr>
      <w:tr>
        <w:trPr>
          <w:trHeight w:val="93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湖北鸿路钢构三期</w:t>
            </w:r>
            <w:r>
              <w:rPr>
                <w:rFonts w:ascii="Arial Narrow" w:eastAsia="Arial Narrow" w:hAnsi="Arial Narrow" w:cs="Arial Narrow"/>
                <w:color w:val="000000"/>
                <w:spacing w:val="0"/>
                <w:w w:val="100"/>
                <w:position w:val="0"/>
                <w:sz w:val="18"/>
                <w:szCs w:val="18"/>
              </w:rPr>
              <w:t xml:space="preserve">27MVV </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20,153,517.41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20,153,517.41</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龙岗项目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57,438,314.33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57,438,314.33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56,024,169.61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56,024,169.61</w:t>
            </w:r>
          </w:p>
        </w:tc>
      </w:tr>
      <w:tr>
        <w:trPr>
          <w:trHeight w:val="92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安平华融产业园一期项目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29,485,428.96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29,485,428.96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069"/>
        <w:gridCol w:w="1262"/>
        <w:gridCol w:w="1152"/>
        <w:gridCol w:w="1248"/>
        <w:gridCol w:w="1272"/>
        <w:gridCol w:w="984"/>
        <w:gridCol w:w="1363"/>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r>
      <w:tr>
        <w:trPr>
          <w:trHeight w:val="89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江西泓伟-赣西危废处置 中心项目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8,115,179.34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8,115,179.34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86,615,497.24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86,615,497.24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78,179,039.96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78,179,039.96</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727,671,210.58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204,126,166.62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523,545,043.96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937,205,281.09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165,800.00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b/>
                <w:bCs/>
                <w:color w:val="000000"/>
                <w:spacing w:val="0"/>
                <w:w w:val="100"/>
                <w:position w:val="0"/>
                <w:sz w:val="18"/>
                <w:szCs w:val="18"/>
              </w:rPr>
              <w:t>937,039,481.09</w:t>
            </w:r>
          </w:p>
        </w:tc>
      </w:tr>
    </w:tbl>
    <w:p>
      <w:pPr>
        <w:pStyle w:val="Style24"/>
        <w:keepNext w:val="0"/>
        <w:keepLines w:val="0"/>
        <w:widowControl w:val="0"/>
        <w:shd w:val="clear" w:color="auto" w:fill="auto"/>
        <w:bidi w:val="0"/>
        <w:spacing w:before="0" w:after="0" w:line="240" w:lineRule="auto"/>
        <w:ind w:left="389" w:right="0" w:firstLine="0"/>
        <w:jc w:val="left"/>
      </w:pPr>
      <w:r>
        <w:rPr>
          <w:color w:val="000000"/>
          <w:spacing w:val="0"/>
          <w:w w:val="100"/>
          <w:position w:val="0"/>
        </w:rPr>
        <w:t>注：当期部分项目停工，全额计提减值备。</w:t>
      </w:r>
    </w:p>
    <w:p>
      <w:pPr>
        <w:widowControl w:val="0"/>
        <w:spacing w:after="299" w:line="1" w:lineRule="exact"/>
      </w:pPr>
    </w:p>
    <w:p>
      <w:pPr>
        <w:pStyle w:val="Style26"/>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2</w:t>
      </w:r>
      <w:r>
        <w:rPr>
          <w:color w:val="000000"/>
          <w:spacing w:val="0"/>
          <w:w w:val="100"/>
          <w:position w:val="0"/>
        </w:rPr>
        <w:t>)重要在建工程项目变动情况:</w:t>
      </w:r>
    </w:p>
    <w:p>
      <w:pPr>
        <w:pStyle w:val="Style24"/>
        <w:keepNext w:val="0"/>
        <w:keepLines w:val="0"/>
        <w:widowControl w:val="0"/>
        <w:shd w:val="clear" w:color="auto" w:fill="auto"/>
        <w:bidi w:val="0"/>
        <w:spacing w:before="0" w:after="0" w:line="240" w:lineRule="auto"/>
        <w:ind w:left="6442" w:right="0" w:firstLine="0"/>
        <w:jc w:val="left"/>
      </w:pPr>
      <w:r>
        <w:rPr>
          <w:color w:val="000000"/>
          <w:spacing w:val="0"/>
          <w:w w:val="100"/>
          <w:position w:val="0"/>
        </w:rPr>
        <w:t>单位：人民币万元</w:t>
      </w:r>
    </w:p>
    <w:tbl>
      <w:tblPr>
        <w:tblOverlap w:val="never"/>
        <w:jc w:val="center"/>
        <w:tblLayout w:type="fixed"/>
      </w:tblPr>
      <w:tblGrid>
        <w:gridCol w:w="3586"/>
        <w:gridCol w:w="1363"/>
        <w:gridCol w:w="1819"/>
        <w:gridCol w:w="1286"/>
        <w:gridCol w:w="1344"/>
      </w:tblGrid>
      <w:tr>
        <w:trPr>
          <w:trHeight w:val="9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工程名称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预算数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资金来源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b/>
                <w:bCs/>
                <w:color w:val="000000"/>
                <w:spacing w:val="0"/>
                <w:w w:val="100"/>
                <w:position w:val="0"/>
                <w:sz w:val="17"/>
                <w:szCs w:val="17"/>
              </w:rPr>
              <w:t>工程投入占</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b/>
                <w:bCs/>
                <w:color w:val="000000"/>
                <w:spacing w:val="0"/>
                <w:w w:val="100"/>
                <w:position w:val="0"/>
                <w:sz w:val="17"/>
                <w:szCs w:val="17"/>
              </w:rPr>
              <w:t>预算的比例</w:t>
            </w:r>
          </w:p>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b/>
                <w:bCs/>
                <w:color w:val="000000"/>
                <w:spacing w:val="0"/>
                <w:w w:val="100"/>
                <w:position w:val="0"/>
                <w:sz w:val="17"/>
                <w:szCs w:val="17"/>
              </w:rPr>
              <w:t>(</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b/>
                <w:bCs/>
                <w:color w:val="000000"/>
                <w:spacing w:val="0"/>
                <w:w w:val="100"/>
                <w:position w:val="0"/>
                <w:sz w:val="17"/>
                <w:szCs w:val="17"/>
              </w:rPr>
              <w:t>工程进度</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金寨一期</w:t>
            </w:r>
            <w:r>
              <w:rPr>
                <w:rFonts w:ascii="Arial Narrow" w:eastAsia="Arial Narrow" w:hAnsi="Arial Narrow" w:cs="Arial Narrow"/>
                <w:color w:val="000000"/>
                <w:spacing w:val="0"/>
                <w:w w:val="100"/>
                <w:position w:val="0"/>
                <w:sz w:val="18"/>
                <w:szCs w:val="18"/>
              </w:rPr>
              <w:t>100MW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82,433.00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募集资金</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部分转固</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金寨二期</w:t>
            </w:r>
            <w:r>
              <w:rPr>
                <w:rFonts w:ascii="Arial Narrow" w:eastAsia="Arial Narrow" w:hAnsi="Arial Narrow" w:cs="Arial Narrow"/>
                <w:color w:val="000000"/>
                <w:spacing w:val="0"/>
                <w:w w:val="100"/>
                <w:position w:val="0"/>
                <w:sz w:val="18"/>
                <w:szCs w:val="18"/>
              </w:rPr>
              <w:t>100MW</w:t>
            </w:r>
            <w:r>
              <w:rPr>
                <w:rFonts w:ascii="SimSun" w:eastAsia="SimSun" w:hAnsi="SimSun" w:cs="SimSun"/>
                <w:color w:val="000000"/>
                <w:spacing w:val="0"/>
                <w:w w:val="100"/>
                <w:position w:val="0"/>
                <w:sz w:val="17"/>
                <w:szCs w:val="17"/>
              </w:rPr>
              <w:t>光伏项目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82,433.00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募集资金</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筹建</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林州东姚镇石大沟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24,900.00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募集资金</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67.65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部分转固</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海南省文昌市</w:t>
            </w:r>
            <w:r>
              <w:rPr>
                <w:rFonts w:ascii="Arial Narrow" w:eastAsia="Arial Narrow" w:hAnsi="Arial Narrow" w:cs="Arial Narrow"/>
                <w:color w:val="000000"/>
                <w:spacing w:val="0"/>
                <w:w w:val="100"/>
                <w:position w:val="0"/>
                <w:sz w:val="18"/>
                <w:szCs w:val="18"/>
              </w:rPr>
              <w:t>100MW</w:t>
            </w:r>
            <w:r>
              <w:rPr>
                <w:rFonts w:ascii="SimSun" w:eastAsia="SimSun" w:hAnsi="SimSun" w:cs="SimSun"/>
                <w:color w:val="000000"/>
                <w:spacing w:val="0"/>
                <w:w w:val="100"/>
                <w:position w:val="0"/>
                <w:sz w:val="17"/>
                <w:szCs w:val="17"/>
              </w:rPr>
              <w:t>渔光互补项目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75,306.85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部分转固</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 xml:space="preserve">新郑旭能金马公司新马物流中心 </w:t>
            </w:r>
            <w:r>
              <w:rPr>
                <w:rFonts w:ascii="Arial Narrow" w:eastAsia="Arial Narrow" w:hAnsi="Arial Narrow" w:cs="Arial Narrow"/>
                <w:color w:val="000000"/>
                <w:spacing w:val="0"/>
                <w:w w:val="100"/>
                <w:position w:val="0"/>
                <w:sz w:val="18"/>
                <w:szCs w:val="18"/>
              </w:rPr>
              <w:t>14MW</w:t>
            </w:r>
            <w:r>
              <w:rPr>
                <w:rFonts w:ascii="SimSun" w:eastAsia="SimSun" w:hAnsi="SimSun" w:cs="SimSun"/>
                <w:color w:val="000000"/>
                <w:spacing w:val="0"/>
                <w:w w:val="100"/>
                <w:position w:val="0"/>
                <w:sz w:val="17"/>
                <w:szCs w:val="17"/>
              </w:rPr>
              <w:t>屋 顶分布式项目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7,240.00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转固</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湖北鸿路钢构三期</w:t>
            </w:r>
            <w:r>
              <w:rPr>
                <w:rFonts w:ascii="Arial Narrow" w:eastAsia="Arial Narrow" w:hAnsi="Arial Narrow" w:cs="Arial Narrow"/>
                <w:color w:val="000000"/>
                <w:spacing w:val="0"/>
                <w:w w:val="100"/>
                <w:position w:val="0"/>
                <w:sz w:val="18"/>
                <w:szCs w:val="18"/>
              </w:rPr>
              <w:t>27MW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14,536.73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部分转固</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140" w:right="0" w:firstLine="0"/>
              <w:jc w:val="left"/>
              <w:rPr>
                <w:sz w:val="17"/>
                <w:szCs w:val="17"/>
              </w:rPr>
            </w:pPr>
            <w:r>
              <w:rPr>
                <w:rFonts w:ascii="SimSun" w:eastAsia="SimSun" w:hAnsi="SimSun" w:cs="SimSun"/>
                <w:color w:val="000000"/>
                <w:spacing w:val="0"/>
                <w:w w:val="100"/>
                <w:position w:val="0"/>
                <w:sz w:val="17"/>
                <w:szCs w:val="17"/>
              </w:rPr>
              <w:t>河南卫辉唐庄乡新农村</w:t>
            </w:r>
            <w:r>
              <w:rPr>
                <w:rFonts w:ascii="Arial Narrow" w:eastAsia="Arial Narrow" w:hAnsi="Arial Narrow" w:cs="Arial Narrow"/>
                <w:color w:val="000000"/>
                <w:spacing w:val="0"/>
                <w:w w:val="100"/>
                <w:position w:val="0"/>
                <w:sz w:val="18"/>
                <w:szCs w:val="18"/>
              </w:rPr>
              <w:t>20MW</w:t>
            </w:r>
            <w:r>
              <w:rPr>
                <w:rFonts w:ascii="SimSun" w:eastAsia="SimSun" w:hAnsi="SimSun" w:cs="SimSun"/>
                <w:color w:val="000000"/>
                <w:spacing w:val="0"/>
                <w:w w:val="100"/>
                <w:position w:val="0"/>
                <w:sz w:val="17"/>
                <w:szCs w:val="17"/>
              </w:rPr>
              <w:t>屋顶分布式 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13,498.00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募集资金</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64.59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部分转固</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安平华融产业园一期项目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91,554.00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筹建</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391,901.58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216" w:right="0" w:firstLine="0"/>
        <w:jc w:val="left"/>
      </w:pPr>
      <w:r>
        <w:rPr>
          <w:color w:val="000000"/>
          <w:spacing w:val="0"/>
          <w:w w:val="100"/>
          <w:position w:val="0"/>
        </w:rPr>
        <w:t>续前表:</w:t>
      </w:r>
    </w:p>
    <w:tbl>
      <w:tblPr>
        <w:tblOverlap w:val="never"/>
        <w:jc w:val="center"/>
        <w:tblLayout w:type="fixed"/>
      </w:tblPr>
      <w:tblGrid>
        <w:gridCol w:w="2659"/>
        <w:gridCol w:w="1123"/>
        <w:gridCol w:w="1066"/>
        <w:gridCol w:w="854"/>
        <w:gridCol w:w="1022"/>
        <w:gridCol w:w="614"/>
        <w:gridCol w:w="1070"/>
        <w:gridCol w:w="955"/>
      </w:tblGrid>
      <w:tr>
        <w:trPr>
          <w:trHeight w:val="346"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工程名称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2019.01.01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94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b/>
                <w:bCs/>
                <w:color w:val="000000"/>
                <w:spacing w:val="0"/>
                <w:w w:val="100"/>
                <w:position w:val="0"/>
                <w:sz w:val="17"/>
                <w:szCs w:val="17"/>
              </w:rPr>
              <w:t>其中：利 息资本化 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转入固定 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b/>
                <w:bCs/>
                <w:color w:val="000000"/>
                <w:spacing w:val="0"/>
                <w:w w:val="100"/>
                <w:position w:val="0"/>
                <w:sz w:val="17"/>
                <w:szCs w:val="17"/>
              </w:rPr>
              <w:t>其他</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b/>
                <w:bCs/>
                <w:color w:val="000000"/>
                <w:spacing w:val="0"/>
                <w:w w:val="100"/>
                <w:position w:val="0"/>
                <w:sz w:val="17"/>
                <w:szCs w:val="17"/>
              </w:rPr>
              <w:t>其中：利 息资本化 金额</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金寨一期</w:t>
            </w:r>
            <w:r>
              <w:rPr>
                <w:rFonts w:ascii="Arial Narrow" w:eastAsia="Arial Narrow" w:hAnsi="Arial Narrow" w:cs="Arial Narrow"/>
                <w:color w:val="000000"/>
                <w:spacing w:val="0"/>
                <w:w w:val="100"/>
                <w:position w:val="0"/>
                <w:sz w:val="18"/>
                <w:szCs w:val="18"/>
              </w:rPr>
              <w:t>100MW</w:t>
            </w: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8,569.20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336.60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8,905.80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2,312.07</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金寨二期</w:t>
            </w:r>
            <w:r>
              <w:rPr>
                <w:rFonts w:ascii="Arial Narrow" w:eastAsia="Arial Narrow" w:hAnsi="Arial Narrow" w:cs="Arial Narrow"/>
                <w:color w:val="000000"/>
                <w:spacing w:val="0"/>
                <w:w w:val="100"/>
                <w:position w:val="0"/>
                <w:sz w:val="18"/>
                <w:szCs w:val="18"/>
              </w:rPr>
              <w:t>100MW</w:t>
            </w:r>
            <w:r>
              <w:rPr>
                <w:rFonts w:ascii="SimSun" w:eastAsia="SimSun" w:hAnsi="SimSun" w:cs="SimSun"/>
                <w:color w:val="000000"/>
                <w:spacing w:val="0"/>
                <w:w w:val="100"/>
                <w:position w:val="0"/>
                <w:sz w:val="17"/>
                <w:szCs w:val="17"/>
              </w:rPr>
              <w:t>光伏项目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5,782.44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8,231.09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14,013.53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1,013.16</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林州东姚镇石大沟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13,891.52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2,953.99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11,733.97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5,111.54</w:t>
            </w: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140" w:right="0" w:firstLine="0"/>
              <w:jc w:val="left"/>
              <w:rPr>
                <w:sz w:val="17"/>
                <w:szCs w:val="17"/>
              </w:rPr>
            </w:pPr>
            <w:r>
              <w:rPr>
                <w:rFonts w:ascii="SimSun" w:eastAsia="SimSun" w:hAnsi="SimSun" w:cs="SimSun"/>
                <w:color w:val="000000"/>
                <w:spacing w:val="0"/>
                <w:w w:val="100"/>
                <w:position w:val="0"/>
                <w:sz w:val="17"/>
                <w:szCs w:val="17"/>
              </w:rPr>
              <w:t>海南省文昌市</w:t>
            </w:r>
            <w:r>
              <w:rPr>
                <w:rFonts w:ascii="Arial Narrow" w:eastAsia="Arial Narrow" w:hAnsi="Arial Narrow" w:cs="Arial Narrow"/>
                <w:color w:val="000000"/>
                <w:spacing w:val="0"/>
                <w:w w:val="100"/>
                <w:position w:val="0"/>
                <w:sz w:val="18"/>
                <w:szCs w:val="18"/>
              </w:rPr>
              <w:t>100MW</w:t>
            </w:r>
            <w:r>
              <w:rPr>
                <w:rFonts w:ascii="SimSun" w:eastAsia="SimSun" w:hAnsi="SimSun" w:cs="SimSun"/>
                <w:color w:val="000000"/>
                <w:spacing w:val="0"/>
                <w:w w:val="100"/>
                <w:position w:val="0"/>
                <w:sz w:val="17"/>
                <w:szCs w:val="17"/>
              </w:rPr>
              <w:t>渔光互补 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12,964.84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13,041.13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新郑旭能金马公司新马物流中</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 xml:space="preserve">心 </w:t>
            </w:r>
            <w:r>
              <w:rPr>
                <w:rFonts w:ascii="Arial Narrow" w:eastAsia="Arial Narrow" w:hAnsi="Arial Narrow" w:cs="Arial Narrow"/>
                <w:color w:val="000000"/>
                <w:spacing w:val="0"/>
                <w:w w:val="100"/>
                <w:position w:val="0"/>
                <w:sz w:val="18"/>
                <w:szCs w:val="18"/>
              </w:rPr>
              <w:t>14MW</w:t>
            </w:r>
            <w:r>
              <w:rPr>
                <w:rFonts w:ascii="SimSun" w:eastAsia="SimSun" w:hAnsi="SimSun" w:cs="SimSun"/>
                <w:color w:val="000000"/>
                <w:spacing w:val="0"/>
                <w:w w:val="100"/>
                <w:position w:val="0"/>
                <w:sz w:val="17"/>
                <w:szCs w:val="17"/>
              </w:rPr>
              <w:t>屋顶分布式项目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7,260.56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7,260.56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湖北鸿路钢构三期</w:t>
            </w:r>
            <w:r>
              <w:rPr>
                <w:rFonts w:ascii="Arial Narrow" w:eastAsia="Arial Narrow" w:hAnsi="Arial Narrow" w:cs="Arial Narrow"/>
                <w:color w:val="000000"/>
                <w:spacing w:val="0"/>
                <w:w w:val="100"/>
                <w:position w:val="0"/>
                <w:sz w:val="18"/>
                <w:szCs w:val="18"/>
              </w:rPr>
              <w:t>27MW</w:t>
            </w: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2,015.35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873.53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2,888.88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59"/>
        <w:gridCol w:w="1123"/>
        <w:gridCol w:w="1066"/>
        <w:gridCol w:w="854"/>
        <w:gridCol w:w="1022"/>
        <w:gridCol w:w="614"/>
        <w:gridCol w:w="1070"/>
        <w:gridCol w:w="955"/>
      </w:tblGrid>
      <w:tr>
        <w:trPr>
          <w:trHeight w:val="65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sz w:val="17"/>
                <w:szCs w:val="17"/>
              </w:rPr>
              <w:t>河南卫辉唐庄乡新农村</w:t>
            </w:r>
            <w:r>
              <w:rPr>
                <w:rFonts w:ascii="Arial Narrow" w:eastAsia="Arial Narrow" w:hAnsi="Arial Narrow" w:cs="Arial Narrow"/>
                <w:color w:val="000000"/>
                <w:spacing w:val="0"/>
                <w:w w:val="100"/>
                <w:position w:val="0"/>
                <w:sz w:val="18"/>
                <w:szCs w:val="18"/>
              </w:rPr>
              <w:t>20MW</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屋顶分布式项目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8,718.21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2,538.94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6,179.27</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安平华融产业园一期项目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489.91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2,458.63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786.05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2,948.54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00" w:firstLine="0"/>
              <w:jc w:val="right"/>
            </w:pPr>
            <w:r>
              <w:rPr>
                <w:rFonts w:ascii="Arial Narrow" w:eastAsia="Arial Narrow" w:hAnsi="Arial Narrow" w:cs="Arial Narrow"/>
                <w:color w:val="000000"/>
                <w:spacing w:val="0"/>
                <w:w w:val="100"/>
                <w:position w:val="0"/>
                <w:sz w:val="18"/>
                <w:szCs w:val="18"/>
              </w:rPr>
              <w:t>786.05</w:t>
            </w: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59,692.03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14,930.13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786.05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37,463.48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37,158.68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00" w:firstLine="0"/>
              <w:jc w:val="right"/>
            </w:pPr>
            <w:r>
              <w:rPr>
                <w:rFonts w:ascii="Arial Narrow" w:eastAsia="Arial Narrow" w:hAnsi="Arial Narrow" w:cs="Arial Narrow"/>
                <w:b/>
                <w:bCs/>
                <w:color w:val="000000"/>
                <w:spacing w:val="0"/>
                <w:w w:val="100"/>
                <w:position w:val="0"/>
                <w:sz w:val="18"/>
                <w:szCs w:val="18"/>
              </w:rPr>
              <w:t>4,111.28</w:t>
            </w:r>
          </w:p>
        </w:tc>
      </w:tr>
    </w:tbl>
    <w:p>
      <w:pPr>
        <w:widowControl w:val="0"/>
        <w:spacing w:after="1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514"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3</w:t>
      </w:r>
      <w:r>
        <w:rPr>
          <w:color w:val="000000"/>
          <w:spacing w:val="0"/>
          <w:w w:val="100"/>
          <w:position w:val="0"/>
        </w:rPr>
        <w:t>)工程物资情况</w:t>
      </w:r>
    </w:p>
    <w:tbl>
      <w:tblPr>
        <w:tblOverlap w:val="never"/>
        <w:jc w:val="center"/>
        <w:tblLayout w:type="fixed"/>
      </w:tblPr>
      <w:tblGrid>
        <w:gridCol w:w="3874"/>
        <w:gridCol w:w="2688"/>
        <w:gridCol w:w="2798"/>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专用设备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813,379.73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47,892.72</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专用材料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减：工程物资减值准备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813,379.73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47,892.72</w:t>
            </w:r>
          </w:p>
        </w:tc>
      </w:tr>
    </w:tbl>
    <w:p>
      <w:pPr>
        <w:widowControl w:val="0"/>
        <w:spacing w:after="1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514"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4</w:t>
      </w:r>
      <w:r>
        <w:rPr>
          <w:color w:val="000000"/>
          <w:spacing w:val="0"/>
          <w:w w:val="100"/>
          <w:position w:val="0"/>
        </w:rPr>
        <w:t>)在建工程减值准备</w:t>
      </w:r>
    </w:p>
    <w:tbl>
      <w:tblPr>
        <w:tblOverlap w:val="never"/>
        <w:jc w:val="center"/>
        <w:tblLayout w:type="fixed"/>
      </w:tblPr>
      <w:tblGrid>
        <w:gridCol w:w="3614"/>
        <w:gridCol w:w="1262"/>
        <w:gridCol w:w="1498"/>
        <w:gridCol w:w="1200"/>
        <w:gridCol w:w="1613"/>
      </w:tblGrid>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工程名称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2019.01.01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山西中阳分布式项目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30,644,230.89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30,644,230.89</w:t>
            </w:r>
          </w:p>
        </w:tc>
      </w:tr>
      <w:tr>
        <w:trPr>
          <w:trHeight w:val="42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湖北中储粮光伏项目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22,265,537.01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22,265,537.01</w:t>
            </w:r>
          </w:p>
        </w:tc>
      </w:tr>
      <w:tr>
        <w:trPr>
          <w:trHeight w:val="42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河北中储粮光伏项目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62,562,447.38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62,562,447.38</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湖南攸县</w:t>
            </w:r>
            <w:r>
              <w:rPr>
                <w:rFonts w:ascii="Arial Narrow" w:eastAsia="Arial Narrow" w:hAnsi="Arial Narrow" w:cs="Arial Narrow"/>
                <w:color w:val="000000"/>
                <w:spacing w:val="0"/>
                <w:w w:val="100"/>
                <w:position w:val="0"/>
                <w:sz w:val="18"/>
                <w:szCs w:val="18"/>
              </w:rPr>
              <w:t>100</w:t>
            </w:r>
            <w:r>
              <w:rPr>
                <w:rFonts w:ascii="SimSun" w:eastAsia="SimSun" w:hAnsi="SimSun" w:cs="SimSun"/>
                <w:color w:val="000000"/>
                <w:spacing w:val="0"/>
                <w:w w:val="100"/>
                <w:position w:val="0"/>
                <w:sz w:val="17"/>
                <w:szCs w:val="17"/>
              </w:rPr>
              <w:t>兆瓦光伏电站项目</w:t>
            </w:r>
            <w:r>
              <w:rPr>
                <w:rFonts w:ascii="Arial Narrow" w:eastAsia="Arial Narrow" w:hAnsi="Arial Narrow" w:cs="Arial Narrow"/>
                <w:color w:val="000000"/>
                <w:spacing w:val="0"/>
                <w:w w:val="100"/>
                <w:position w:val="0"/>
                <w:sz w:val="18"/>
                <w:szCs w:val="18"/>
              </w:rPr>
              <w:t>(20*5)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80,538,772.00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80,538,772.00</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江西泓伟-赣西危废处置中心项目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8,115,179.34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8,115,179.34</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北山大道综合用地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23</w:t>
            </w:r>
            <w:r>
              <w:rPr>
                <w:rFonts w:ascii="SimSun" w:eastAsia="SimSun" w:hAnsi="SimSun" w:cs="SimSun"/>
                <w:color w:val="000000"/>
                <w:spacing w:val="0"/>
                <w:w w:val="100"/>
                <w:position w:val="0"/>
                <w:sz w:val="17"/>
                <w:szCs w:val="17"/>
              </w:rPr>
              <w:t>号地二期仓库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35,800.00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165,800.00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204,126,166.62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165,800.00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204,126,166.62</w:t>
            </w:r>
          </w:p>
        </w:tc>
      </w:tr>
    </w:tbl>
    <w:p>
      <w:pPr>
        <w:pStyle w:val="Style26"/>
        <w:keepNext w:val="0"/>
        <w:keepLines w:val="0"/>
        <w:widowControl w:val="0"/>
        <w:shd w:val="clear" w:color="auto" w:fill="auto"/>
        <w:bidi w:val="0"/>
        <w:spacing w:before="0" w:after="300" w:line="446" w:lineRule="exact"/>
        <w:ind w:left="0" w:right="0" w:firstLine="50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1</w:t>
      </w:r>
      <w:r>
        <w:rPr>
          <w:color w:val="000000"/>
          <w:spacing w:val="0"/>
          <w:w w:val="100"/>
          <w:position w:val="0"/>
        </w:rPr>
        <w:t>:山西中阳分布式项目、湖北中储粮光伏项目、河北中储粮光伏项目、湖南攸县</w:t>
      </w:r>
      <w:r>
        <w:rPr>
          <w:rFonts w:ascii="Arial Narrow" w:eastAsia="Arial Narrow" w:hAnsi="Arial Narrow" w:cs="Arial Narrow"/>
          <w:color w:val="000000"/>
          <w:spacing w:val="0"/>
          <w:w w:val="100"/>
          <w:position w:val="0"/>
          <w:sz w:val="18"/>
          <w:szCs w:val="18"/>
        </w:rPr>
        <w:t>100</w:t>
      </w:r>
      <w:r>
        <w:rPr>
          <w:color w:val="000000"/>
          <w:spacing w:val="0"/>
          <w:w w:val="100"/>
          <w:position w:val="0"/>
        </w:rPr>
        <w:t>兆瓦光伏电站项目</w:t>
      </w:r>
      <w:r>
        <w:rPr>
          <w:rFonts w:ascii="Arial Narrow" w:eastAsia="Arial Narrow" w:hAnsi="Arial Narrow" w:cs="Arial Narrow"/>
          <w:color w:val="000000"/>
          <w:spacing w:val="0"/>
          <w:w w:val="100"/>
          <w:position w:val="0"/>
          <w:sz w:val="18"/>
          <w:szCs w:val="18"/>
        </w:rPr>
        <w:t>(20*5)</w:t>
      </w:r>
      <w:r>
        <w:rPr>
          <w:color w:val="000000"/>
          <w:spacing w:val="0"/>
          <w:w w:val="100"/>
          <w:position w:val="0"/>
        </w:rPr>
        <w:t>、江西 泓伟</w:t>
      </w:r>
      <w:r>
        <w:rPr>
          <w:rFonts w:ascii="Arial Narrow" w:eastAsia="Arial Narrow" w:hAnsi="Arial Narrow" w:cs="Arial Narrow"/>
          <w:color w:val="000000"/>
          <w:spacing w:val="0"/>
          <w:w w:val="100"/>
          <w:position w:val="0"/>
          <w:sz w:val="18"/>
          <w:szCs w:val="18"/>
        </w:rPr>
        <w:t>-</w:t>
      </w:r>
      <w:r>
        <w:rPr>
          <w:color w:val="000000"/>
          <w:spacing w:val="0"/>
          <w:w w:val="100"/>
          <w:position w:val="0"/>
        </w:rPr>
        <w:t>赣西危废处置中心项目，鉴于国家政策的重大调整变化以及项目获得核准存在较大难度，项目前期投入预计无法收回， 故全额计提在建工程减值准备。</w:t>
      </w:r>
    </w:p>
    <w:p>
      <w:pPr>
        <w:pStyle w:val="Style22"/>
        <w:keepNext/>
        <w:keepLines/>
        <w:widowControl w:val="0"/>
        <w:shd w:val="clear" w:color="auto" w:fill="auto"/>
        <w:bidi w:val="0"/>
        <w:spacing w:before="0" w:after="300" w:line="240" w:lineRule="auto"/>
        <w:ind w:left="0" w:right="0" w:firstLine="500"/>
        <w:jc w:val="left"/>
        <w:rPr>
          <w:sz w:val="17"/>
          <w:szCs w:val="17"/>
        </w:rPr>
      </w:pPr>
      <w:bookmarkStart w:id="1067" w:name="bookmark1067"/>
      <w:bookmarkStart w:id="1068" w:name="bookmark1068"/>
      <w:bookmarkStart w:id="1069" w:name="bookmark1069"/>
      <w:r>
        <w:rPr>
          <w:rFonts w:ascii="Arial Narrow" w:eastAsia="Arial Narrow" w:hAnsi="Arial Narrow" w:cs="Arial Narrow"/>
          <w:color w:val="000000"/>
          <w:spacing w:val="0"/>
          <w:w w:val="100"/>
          <w:position w:val="0"/>
          <w:sz w:val="18"/>
          <w:szCs w:val="18"/>
        </w:rPr>
        <w:t>17</w:t>
      </w:r>
      <w:r>
        <w:rPr>
          <w:color w:val="000000"/>
          <w:spacing w:val="0"/>
          <w:w w:val="100"/>
          <w:position w:val="0"/>
          <w:sz w:val="17"/>
          <w:szCs w:val="17"/>
        </w:rPr>
        <w:t>、生产性生物资产</w:t>
      </w:r>
      <w:bookmarkEnd w:id="1067"/>
      <w:bookmarkEnd w:id="1068"/>
      <w:bookmarkEnd w:id="1069"/>
    </w:p>
    <w:p>
      <w:pPr>
        <w:pStyle w:val="Style26"/>
        <w:keepNext w:val="0"/>
        <w:keepLines w:val="0"/>
        <w:widowControl w:val="0"/>
        <w:shd w:val="clear" w:color="auto" w:fill="auto"/>
        <w:bidi w:val="0"/>
        <w:spacing w:before="0" w:after="80" w:line="240" w:lineRule="auto"/>
        <w:ind w:left="0" w:right="0" w:firstLine="50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)采用成本法核算的生产性生物资产:</w:t>
      </w:r>
    </w:p>
    <w:tbl>
      <w:tblPr>
        <w:tblOverlap w:val="never"/>
        <w:jc w:val="center"/>
        <w:tblLayout w:type="fixed"/>
      </w:tblPr>
      <w:tblGrid>
        <w:gridCol w:w="2054"/>
        <w:gridCol w:w="1488"/>
        <w:gridCol w:w="1421"/>
        <w:gridCol w:w="1171"/>
        <w:gridCol w:w="1171"/>
        <w:gridCol w:w="1848"/>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种植业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畜牧养殖业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林业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水产业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17,715,291.97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17,715,291.97</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、本年增加金额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6,525,437.07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6,525,437.07</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6,525,437.07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6,525,437.07</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069"/>
        <w:gridCol w:w="1483"/>
        <w:gridCol w:w="1426"/>
        <w:gridCol w:w="1171"/>
        <w:gridCol w:w="1166"/>
        <w:gridCol w:w="1853"/>
      </w:tblGrid>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、年末余额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24,240,729.04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24,240,729.04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1,042,526.13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1,042,526.13</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、本年增加金额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456,559.09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456,559.09</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456,559.09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456,559.09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、年末余额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1,499,085.22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1,499,085.22</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、本年增加金额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22,741,643.82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22,741,643.82</w:t>
            </w: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、年初账面价值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16,672,765.84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16,672,765.84</w:t>
            </w:r>
          </w:p>
        </w:tc>
      </w:tr>
    </w:tbl>
    <w:p>
      <w:pPr>
        <w:widowControl w:val="0"/>
        <w:spacing w:after="199" w:line="1" w:lineRule="exact"/>
      </w:pPr>
    </w:p>
    <w:p>
      <w:pPr>
        <w:widowControl w:val="0"/>
        <w:spacing w:line="1" w:lineRule="exact"/>
      </w:pPr>
    </w:p>
    <w:p>
      <w:pPr>
        <w:pStyle w:val="Style24"/>
        <w:keepNext w:val="0"/>
        <w:keepLines w:val="0"/>
        <w:widowControl w:val="0"/>
        <w:shd w:val="clear" w:color="auto" w:fill="auto"/>
        <w:bidi w:val="0"/>
        <w:spacing w:before="0" w:after="120" w:line="240" w:lineRule="auto"/>
        <w:ind w:left="494" w:right="0" w:firstLine="0"/>
        <w:jc w:val="left"/>
      </w:pPr>
      <w:bookmarkStart w:id="1070" w:name="bookmark1070"/>
      <w:r>
        <w:rPr>
          <w:rFonts w:ascii="Arial Narrow" w:eastAsia="Arial Narrow" w:hAnsi="Arial Narrow" w:cs="Arial Narrow"/>
          <w:b/>
          <w:bCs/>
          <w:color w:val="000000"/>
          <w:spacing w:val="0"/>
          <w:w w:val="100"/>
          <w:position w:val="0"/>
          <w:sz w:val="18"/>
          <w:szCs w:val="18"/>
        </w:rPr>
        <w:t>18</w:t>
      </w:r>
      <w:r>
        <w:rPr>
          <w:b/>
          <w:bCs/>
          <w:color w:val="000000"/>
          <w:spacing w:val="0"/>
          <w:w w:val="100"/>
          <w:position w:val="0"/>
        </w:rPr>
        <w:t>、无形资产</w:t>
      </w:r>
      <w:bookmarkEnd w:id="1070"/>
    </w:p>
    <w:p>
      <w:pPr>
        <w:pStyle w:val="Style24"/>
        <w:keepNext w:val="0"/>
        <w:keepLines w:val="0"/>
        <w:widowControl w:val="0"/>
        <w:shd w:val="clear" w:color="auto" w:fill="auto"/>
        <w:bidi w:val="0"/>
        <w:spacing w:before="0" w:after="0" w:line="240" w:lineRule="auto"/>
        <w:ind w:left="494"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 xml:space="preserve">1 </w:t>
      </w:r>
      <w:r>
        <w:rPr>
          <w:color w:val="000000"/>
          <w:spacing w:val="0"/>
          <w:w w:val="100"/>
          <w:position w:val="0"/>
        </w:rPr>
        <w:t>)无形资产情况:</w:t>
      </w:r>
    </w:p>
    <w:tbl>
      <w:tblPr>
        <w:tblOverlap w:val="never"/>
        <w:jc w:val="center"/>
        <w:tblLayout w:type="fixed"/>
      </w:tblPr>
      <w:tblGrid>
        <w:gridCol w:w="2472"/>
        <w:gridCol w:w="1618"/>
        <w:gridCol w:w="1618"/>
        <w:gridCol w:w="1483"/>
        <w:gridCol w:w="2174"/>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非专利技术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软件及其他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125,922,337.58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3,465,298.15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21,637,070.99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151,024,706.72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、本年增加金额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24,525,161.08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7,508,677.85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32,033,838.93</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24,525,161.08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831,960.17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25,357,121.25</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6,676,717.68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6,676,717.68</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、本年减少金额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12,763,287.23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12,763,287.23</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12,763,287.23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12,763,287.23</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)转入投资性房地产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)转入持有待售资产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72"/>
        <w:gridCol w:w="1618"/>
        <w:gridCol w:w="1618"/>
        <w:gridCol w:w="1483"/>
        <w:gridCol w:w="2174"/>
      </w:tblGrid>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、年末余额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137,684,211.43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3,465,298.15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29,145,748.84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170,295,258.42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8,211,605.64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924,079.36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2,884,571.71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12,020,256.71</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、本年增加金额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3,596,817.74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346,529.78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1,669,411.03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5,612,758.55</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3,596,817.74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346,529.78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1,669,411.03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5,612,758.55</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、本年减少金额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659,436.65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659,436.65</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659,436.65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659,436.65</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）转入投资性房地产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）转入持有待售资产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、年末余额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11,148,986.73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1,270,609.14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4,553,982.74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16,973,578.61</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、本年增加金额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、年末账面价值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126,535,224.70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2,194,689.01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24,591,766.10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153,321,679.81</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、年初账面价值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117,710,731.94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2,541,218.79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18,752,499.28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139,004,450.01</w:t>
            </w:r>
          </w:p>
        </w:tc>
      </w:tr>
    </w:tbl>
    <w:p>
      <w:pPr>
        <w:pStyle w:val="Style24"/>
        <w:keepNext w:val="0"/>
        <w:keepLines w:val="0"/>
        <w:widowControl w:val="0"/>
        <w:shd w:val="clear" w:color="auto" w:fill="auto"/>
        <w:bidi w:val="0"/>
        <w:spacing w:before="0" w:after="0" w:line="240" w:lineRule="auto"/>
        <w:ind w:left="494" w:right="0" w:firstLine="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1</w:t>
      </w:r>
      <w:r>
        <w:rPr>
          <w:color w:val="000000"/>
          <w:spacing w:val="0"/>
          <w:w w:val="100"/>
          <w:position w:val="0"/>
        </w:rPr>
        <w:t>:无形资产期末较期初增加的主要原因是子公司购买土地使用权以及内部研发转入增加。</w:t>
      </w:r>
    </w:p>
    <w:p>
      <w:pPr>
        <w:widowControl w:val="0"/>
        <w:spacing w:after="259" w:line="1" w:lineRule="exact"/>
      </w:pPr>
    </w:p>
    <w:p>
      <w:pPr>
        <w:pStyle w:val="Style26"/>
        <w:keepNext w:val="0"/>
        <w:keepLines w:val="0"/>
        <w:widowControl w:val="0"/>
        <w:shd w:val="clear" w:color="auto" w:fill="auto"/>
        <w:bidi w:val="0"/>
        <w:spacing w:before="0" w:after="260" w:line="240" w:lineRule="auto"/>
        <w:ind w:left="0" w:right="0" w:firstLine="50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2</w:t>
      </w:r>
      <w:r>
        <w:rPr>
          <w:color w:val="000000"/>
          <w:spacing w:val="0"/>
          <w:w w:val="100"/>
          <w:position w:val="0"/>
        </w:rPr>
        <w:t>:本期末通过公司内部研究开发形成的无形资产占无形资产余额的比例为</w:t>
      </w:r>
      <w:r>
        <w:rPr>
          <w:rFonts w:ascii="Arial Narrow" w:eastAsia="Arial Narrow" w:hAnsi="Arial Narrow" w:cs="Arial Narrow"/>
          <w:color w:val="000000"/>
          <w:spacing w:val="0"/>
          <w:w w:val="100"/>
          <w:position w:val="0"/>
          <w:sz w:val="18"/>
          <w:szCs w:val="18"/>
        </w:rPr>
        <w:t>11.91%</w:t>
      </w:r>
      <w:r>
        <w:rPr>
          <w:color w:val="000000"/>
          <w:spacing w:val="0"/>
          <w:w w:val="100"/>
          <w:position w:val="0"/>
        </w:rPr>
        <w:t>。</w:t>
      </w:r>
    </w:p>
    <w:p>
      <w:pPr>
        <w:pStyle w:val="Style26"/>
        <w:keepNext w:val="0"/>
        <w:keepLines w:val="0"/>
        <w:widowControl w:val="0"/>
        <w:shd w:val="clear" w:color="auto" w:fill="auto"/>
        <w:bidi w:val="0"/>
        <w:spacing w:before="0" w:after="260" w:line="240" w:lineRule="auto"/>
        <w:ind w:left="0" w:right="0" w:firstLine="50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3</w:t>
      </w:r>
      <w:r>
        <w:rPr>
          <w:color w:val="000000"/>
          <w:spacing w:val="0"/>
          <w:w w:val="100"/>
          <w:position w:val="0"/>
        </w:rPr>
        <w:t>：期末无形资产抵押情况详见本附注五、</w:t>
      </w:r>
      <w:r>
        <w:rPr>
          <w:rFonts w:ascii="Arial Narrow" w:eastAsia="Arial Narrow" w:hAnsi="Arial Narrow" w:cs="Arial Narrow"/>
          <w:color w:val="000000"/>
          <w:spacing w:val="0"/>
          <w:w w:val="100"/>
          <w:position w:val="0"/>
          <w:sz w:val="18"/>
          <w:szCs w:val="18"/>
        </w:rPr>
        <w:t>59</w:t>
      </w:r>
      <w:r>
        <w:rPr>
          <w:color w:val="000000"/>
          <w:spacing w:val="0"/>
          <w:w w:val="100"/>
          <w:position w:val="0"/>
        </w:rPr>
        <w:t>。</w:t>
      </w:r>
    </w:p>
    <w:p>
      <w:pPr>
        <w:pStyle w:val="Style24"/>
        <w:keepNext w:val="0"/>
        <w:keepLines w:val="0"/>
        <w:widowControl w:val="0"/>
        <w:shd w:val="clear" w:color="auto" w:fill="auto"/>
        <w:bidi w:val="0"/>
        <w:spacing w:before="0" w:after="0" w:line="240" w:lineRule="auto"/>
        <w:ind w:left="418"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2</w:t>
      </w:r>
      <w:r>
        <w:rPr>
          <w:color w:val="000000"/>
          <w:spacing w:val="0"/>
          <w:w w:val="100"/>
          <w:position w:val="0"/>
        </w:rPr>
        <w:t>）未办妥产权证书的土地使用权情况</w:t>
      </w:r>
    </w:p>
    <w:tbl>
      <w:tblPr>
        <w:tblOverlap w:val="never"/>
        <w:jc w:val="center"/>
        <w:tblLayout w:type="fixed"/>
      </w:tblPr>
      <w:tblGrid>
        <w:gridCol w:w="3322"/>
        <w:gridCol w:w="2626"/>
        <w:gridCol w:w="3264"/>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未办妥产权证书的原因</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8,638,442.77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正在办理中</w:t>
            </w:r>
          </w:p>
        </w:tc>
      </w:tr>
    </w:tbl>
    <w:p>
      <w:pPr>
        <w:widowControl w:val="0"/>
        <w:spacing w:after="259" w:line="1" w:lineRule="exact"/>
      </w:pPr>
    </w:p>
    <w:p>
      <w:pPr>
        <w:pStyle w:val="Style22"/>
        <w:keepNext/>
        <w:keepLines/>
        <w:widowControl w:val="0"/>
        <w:shd w:val="clear" w:color="auto" w:fill="auto"/>
        <w:bidi w:val="0"/>
        <w:spacing w:before="0" w:after="40" w:line="240" w:lineRule="auto"/>
        <w:ind w:left="0" w:right="0" w:firstLine="500"/>
        <w:jc w:val="left"/>
        <w:rPr>
          <w:sz w:val="17"/>
          <w:szCs w:val="17"/>
        </w:rPr>
      </w:pPr>
      <w:bookmarkStart w:id="1071" w:name="bookmark1071"/>
      <w:bookmarkStart w:id="1072" w:name="bookmark1072"/>
      <w:bookmarkStart w:id="1073" w:name="bookmark1073"/>
      <w:r>
        <w:rPr>
          <w:rFonts w:ascii="Arial Narrow" w:eastAsia="Arial Narrow" w:hAnsi="Arial Narrow" w:cs="Arial Narrow"/>
          <w:color w:val="000000"/>
          <w:spacing w:val="0"/>
          <w:w w:val="100"/>
          <w:position w:val="0"/>
          <w:sz w:val="18"/>
          <w:szCs w:val="18"/>
        </w:rPr>
        <w:t>19</w:t>
      </w:r>
      <w:r>
        <w:rPr>
          <w:color w:val="000000"/>
          <w:spacing w:val="0"/>
          <w:w w:val="100"/>
          <w:position w:val="0"/>
          <w:sz w:val="17"/>
          <w:szCs w:val="17"/>
        </w:rPr>
        <w:t>、开发支出</w:t>
      </w:r>
      <w:bookmarkEnd w:id="1071"/>
      <w:bookmarkEnd w:id="1072"/>
      <w:bookmarkEnd w:id="1073"/>
    </w:p>
    <w:tbl>
      <w:tblPr>
        <w:tblOverlap w:val="never"/>
        <w:jc w:val="center"/>
        <w:tblLayout w:type="fixed"/>
      </w:tblPr>
      <w:tblGrid>
        <w:gridCol w:w="2304"/>
        <w:gridCol w:w="1454"/>
        <w:gridCol w:w="1320"/>
        <w:gridCol w:w="528"/>
        <w:gridCol w:w="1243"/>
        <w:gridCol w:w="1186"/>
        <w:gridCol w:w="1171"/>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2019.01.01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20" w:firstLine="0"/>
              <w:jc w:val="right"/>
            </w:pPr>
            <w:r>
              <w:rPr>
                <w:rFonts w:ascii="Arial Narrow" w:eastAsia="Arial Narrow" w:hAnsi="Arial Narrow" w:cs="Arial Narrow"/>
                <w:b/>
                <w:bCs/>
                <w:color w:val="000000"/>
                <w:spacing w:val="0"/>
                <w:w w:val="100"/>
                <w:position w:val="0"/>
                <w:sz w:val="18"/>
                <w:szCs w:val="18"/>
              </w:rPr>
              <w:t>2019.12.31</w:t>
            </w:r>
          </w:p>
        </w:tc>
      </w:tr>
      <w:tr>
        <w:trPr>
          <w:trHeight w:val="47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内部开发支出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50" w:lineRule="exact"/>
              <w:ind w:left="0" w:right="0" w:firstLine="0"/>
              <w:jc w:val="center"/>
              <w:rPr>
                <w:sz w:val="17"/>
                <w:szCs w:val="17"/>
              </w:rPr>
            </w:pPr>
            <w:r>
              <w:rPr>
                <w:rFonts w:ascii="SimSun" w:eastAsia="SimSun" w:hAnsi="SimSun" w:cs="SimSun"/>
                <w:b/>
                <w:bCs/>
                <w:color w:val="000000"/>
                <w:spacing w:val="0"/>
                <w:w w:val="100"/>
                <w:position w:val="0"/>
                <w:sz w:val="17"/>
                <w:szCs w:val="17"/>
              </w:rPr>
              <w:t>确认为无形资 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转入当期损益</w:t>
            </w:r>
          </w:p>
        </w:tc>
        <w:tc>
          <w:tcPr>
            <w:vMerge/>
            <w:tcBorders>
              <w:left w:val="single" w:sz="4"/>
            </w:tcBorders>
            <w:shd w:val="clear" w:color="auto" w:fill="FFFFFF"/>
            <w:vAlign w:val="center"/>
          </w:tcPr>
          <w:p>
            <w:pPr/>
          </w:p>
        </w:tc>
      </w:tr>
      <w:tr>
        <w:trPr>
          <w:trHeight w:val="66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分布式光伏电站接入低压配</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电网系统暂态电压稳定性技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498,169.47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488,066.34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986,235.81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04"/>
        <w:gridCol w:w="1454"/>
        <w:gridCol w:w="1320"/>
        <w:gridCol w:w="528"/>
        <w:gridCol w:w="1243"/>
        <w:gridCol w:w="1186"/>
        <w:gridCol w:w="1171"/>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2019.01.01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b/>
                <w:bCs/>
                <w:color w:val="000000"/>
                <w:spacing w:val="0"/>
                <w:w w:val="100"/>
                <w:position w:val="0"/>
                <w:sz w:val="18"/>
                <w:szCs w:val="18"/>
              </w:rPr>
              <w:t>2019.12.31</w:t>
            </w:r>
          </w:p>
        </w:tc>
      </w:tr>
      <w:tr>
        <w:trPr>
          <w:trHeight w:val="47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内部开发支出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b/>
                <w:bCs/>
                <w:color w:val="000000"/>
                <w:spacing w:val="0"/>
                <w:w w:val="100"/>
                <w:position w:val="0"/>
                <w:sz w:val="17"/>
                <w:szCs w:val="17"/>
              </w:rPr>
              <w:t>确认为无形资 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转入当期损益</w:t>
            </w:r>
          </w:p>
        </w:tc>
        <w:tc>
          <w:tcPr>
            <w:vMerge/>
            <w:tcBorders>
              <w:left w:val="single" w:sz="4"/>
            </w:tcBorders>
            <w:shd w:val="clear" w:color="auto" w:fill="FFFFFF"/>
            <w:vAlign w:val="center"/>
          </w:tcPr>
          <w:p>
            <w:pP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大型光伏电站无功电压控制</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策技术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453,405.16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494,372.61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947,777.77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大型移动式光伏电站防孤岛 能力检测平台的研究与开发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581,765.09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376,844.16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958,609.25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光伏电站分层分布式自动功 率控制技术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604,480.15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700,238.08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1,304,718.23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基于组播的功率调节系统在 光伏电站的应用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741,190.51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449,217.58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1,190,408.09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间隔式光伏组件串连接方法 在地面光伏项目中的应用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388,746.27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215,856.18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172,890.09</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面向多能互补的分布式光伏 与气电混合容量规划方法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1,014,964.54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251,131.24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763,833.30</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光伏发电系统</w:t>
            </w:r>
            <w:r>
              <w:rPr>
                <w:rFonts w:ascii="Arial Narrow" w:eastAsia="Arial Narrow" w:hAnsi="Arial Narrow" w:cs="Arial Narrow"/>
                <w:color w:val="000000"/>
                <w:spacing w:val="0"/>
                <w:w w:val="100"/>
                <w:position w:val="0"/>
                <w:sz w:val="18"/>
                <w:szCs w:val="18"/>
              </w:rPr>
              <w:t>MPPT</w:t>
            </w:r>
            <w:r>
              <w:rPr>
                <w:rFonts w:ascii="SimSun" w:eastAsia="SimSun" w:hAnsi="SimSun" w:cs="SimSun"/>
                <w:color w:val="000000"/>
                <w:spacing w:val="0"/>
                <w:w w:val="100"/>
                <w:position w:val="0"/>
                <w:sz w:val="17"/>
                <w:szCs w:val="17"/>
              </w:rPr>
              <w:t>技术研 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915,421.74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233,254.40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682,167.34</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基于输出阻抗的三相</w:t>
            </w:r>
            <w:r>
              <w:rPr>
                <w:rFonts w:ascii="Arial Narrow" w:eastAsia="Arial Narrow" w:hAnsi="Arial Narrow" w:cs="Arial Narrow"/>
                <w:color w:val="000000"/>
                <w:spacing w:val="0"/>
                <w:w w:val="100"/>
                <w:position w:val="0"/>
                <w:sz w:val="18"/>
                <w:szCs w:val="18"/>
              </w:rPr>
              <w:t>LCL</w:t>
            </w:r>
            <w:r>
              <w:rPr>
                <w:rFonts w:ascii="SimSun" w:eastAsia="SimSun" w:hAnsi="SimSun" w:cs="SimSun"/>
                <w:color w:val="000000"/>
                <w:spacing w:val="0"/>
                <w:w w:val="100"/>
                <w:position w:val="0"/>
                <w:sz w:val="17"/>
                <w:szCs w:val="17"/>
              </w:rPr>
              <w:t>型 光伏逆变器稳定性分析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1,041,274.54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172,658.90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868,615.64</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基于改进型准</w:t>
            </w:r>
            <w:r>
              <w:rPr>
                <w:rFonts w:ascii="Arial Narrow" w:eastAsia="Arial Narrow" w:hAnsi="Arial Narrow" w:cs="Arial Narrow"/>
                <w:color w:val="000000"/>
                <w:spacing w:val="0"/>
                <w:w w:val="100"/>
                <w:position w:val="0"/>
                <w:sz w:val="18"/>
                <w:szCs w:val="18"/>
              </w:rPr>
              <w:t>Z</w:t>
            </w:r>
            <w:r>
              <w:rPr>
                <w:rFonts w:ascii="SimSun" w:eastAsia="SimSun" w:hAnsi="SimSun" w:cs="SimSun"/>
                <w:color w:val="000000"/>
                <w:spacing w:val="0"/>
                <w:w w:val="100"/>
                <w:position w:val="0"/>
                <w:sz w:val="17"/>
                <w:szCs w:val="17"/>
              </w:rPr>
              <w:t>源的光伏并 网发电系统关键技术研究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1,111,470.62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905,433.39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206,037.23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河道治理研究项目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816,220.48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816,220.48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矿山生态研究项目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272,073.49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272,073.49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建筑相关研究项目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544,146.99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544,146.99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土壤修复研究项目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408,110.24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408,110.24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自降温式风力发电系统研发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323,312.68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296,182.64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27,130.04</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高效海上风电基础的研究研 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304,968.22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283,577.01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21,391.21</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区域化光伏运维管理平台研 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344,590.72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319,039.89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25,550.83</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光伏发电系统运维管理平台 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400,337.31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363,972.26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36,365.05</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具有防护功能的风力发电站 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114,957.66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82,350.36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32,607.30</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光伏与农业应用研发项目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147,163.94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40,886.00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106,277.94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一种拱形屋面的光伏支架系 统研发项目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167,326.73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87,769.73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79,557.00</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一种光伏组件表面积灰清理</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装置研发项目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91,426.98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69,233.53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22,193.45</w:t>
            </w: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一种自动化光伏电场驱鸟系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191,554.83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151,982.52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39,572.31</w:t>
            </w:r>
          </w:p>
        </w:tc>
      </w:tr>
    </w:tbl>
    <w:p>
      <w:pPr>
        <w:widowControl w:val="0"/>
        <w:spacing w:line="1" w:lineRule="exact"/>
      </w:pPr>
      <w:r>
        <w:br w:type="page"/>
      </w:r>
    </w:p>
    <w:tbl>
      <w:tblPr>
        <w:tblOverlap w:val="never"/>
        <w:jc w:val="center"/>
        <w:tblLayout w:type="fixed"/>
      </w:tblPr>
      <w:tblGrid>
        <w:gridCol w:w="2304"/>
        <w:gridCol w:w="1454"/>
        <w:gridCol w:w="1320"/>
        <w:gridCol w:w="528"/>
        <w:gridCol w:w="1243"/>
        <w:gridCol w:w="1186"/>
        <w:gridCol w:w="1171"/>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2019.01.01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b/>
                <w:bCs/>
                <w:color w:val="000000"/>
                <w:spacing w:val="0"/>
                <w:w w:val="100"/>
                <w:position w:val="0"/>
                <w:sz w:val="18"/>
                <w:szCs w:val="18"/>
              </w:rPr>
              <w:t>2019.12.31</w:t>
            </w:r>
          </w:p>
        </w:tc>
      </w:tr>
      <w:tr>
        <w:trPr>
          <w:trHeight w:val="47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内部开发支出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b/>
                <w:bCs/>
                <w:color w:val="000000"/>
                <w:spacing w:val="0"/>
                <w:w w:val="100"/>
                <w:position w:val="0"/>
                <w:sz w:val="17"/>
                <w:szCs w:val="17"/>
              </w:rPr>
              <w:t>确认为无形资 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转入当期损益</w:t>
            </w:r>
          </w:p>
        </w:tc>
        <w:tc>
          <w:tcPr>
            <w:vMerge/>
            <w:tcBorders>
              <w:left w:val="single" w:sz="4"/>
            </w:tcBorders>
            <w:shd w:val="clear" w:color="auto" w:fill="FFFFFF"/>
            <w:vAlign w:val="center"/>
          </w:tcPr>
          <w:p>
            <w:pPr/>
          </w:p>
        </w:tc>
      </w:tr>
      <w:tr>
        <w:trPr>
          <w:trHeight w:val="408"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统研发项目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光伏组件的太阳能移动式电 站研发项目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80,857.41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61,624.39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19,233.02</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光伏组件自动清洁系统研发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123,517.10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95,157.52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28,359.58</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具有自清洁功能的光伏组件 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203,401.93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160,318.19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43,083.74</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一种水上光伏发电结构研发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159,569.53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116,898.67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42,670.86</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一种利用太阳能进行盐碱地 改良的装置研发项目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147,163.69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69,367.00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77,796.69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光伏光热一体化装置研发项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186,094.03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107,819.42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78,274.61</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一种光伏发电系统光伏组件 清洁系统研发项目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107,860.64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59,708.64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48,152.00</w:t>
            </w:r>
          </w:p>
        </w:tc>
      </w:tr>
      <w:tr>
        <w:trPr>
          <w:trHeight w:val="63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一种光伏发电自旋补光环保 增能装置研发项目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157,105.96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89,678.09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67,427.87</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一种生态修复污水处理系统 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131,661.98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57,425.96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74,236.02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土壤修复相关研发项目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174,614.91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88,038.80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86,576.11</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园林相关研发项目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135,490.81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67,031.47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68,459.34</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建筑相关研发项目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92,111.68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54,297.61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37,814.07</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智慧能源相关研发项目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181,596.93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106,834.38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74,762.55</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六安金寨县</w:t>
            </w:r>
            <w:r>
              <w:rPr>
                <w:rFonts w:ascii="Arial Narrow" w:eastAsia="Arial Narrow" w:hAnsi="Arial Narrow" w:cs="Arial Narrow"/>
                <w:color w:val="000000"/>
                <w:spacing w:val="0"/>
                <w:w w:val="100"/>
                <w:position w:val="0"/>
                <w:sz w:val="18"/>
                <w:szCs w:val="18"/>
              </w:rPr>
              <w:t xml:space="preserve">200MW </w:t>
            </w:r>
            <w:r>
              <w:rPr>
                <w:rFonts w:ascii="SimSun" w:eastAsia="SimSun" w:hAnsi="SimSun" w:cs="SimSun"/>
                <w:color w:val="000000"/>
                <w:spacing w:val="0"/>
                <w:w w:val="100"/>
                <w:position w:val="0"/>
                <w:sz w:val="17"/>
                <w:szCs w:val="17"/>
              </w:rPr>
              <w:t>一期组件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13,415,233.08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13,415,233.08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智能运维系统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2,247,897.62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2,247,897.62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东旭安徽大别山项目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2,717,431.48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2,717,431.48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Arial Narrow" w:eastAsia="Arial Narrow" w:hAnsi="Arial Narrow" w:cs="Arial Narrow"/>
                <w:color w:val="000000"/>
                <w:spacing w:val="0"/>
                <w:w w:val="100"/>
                <w:position w:val="0"/>
                <w:sz w:val="18"/>
                <w:szCs w:val="18"/>
              </w:rPr>
              <w:t>SCR</w:t>
            </w:r>
            <w:r>
              <w:rPr>
                <w:rFonts w:ascii="SimSun" w:eastAsia="SimSun" w:hAnsi="SimSun" w:cs="SimSun"/>
                <w:color w:val="000000"/>
                <w:spacing w:val="0"/>
                <w:w w:val="100"/>
                <w:position w:val="0"/>
                <w:sz w:val="17"/>
                <w:szCs w:val="17"/>
              </w:rPr>
              <w:t>系统研发项目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97,109.64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579,789.94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676,899.58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生态型道路及实施技术在生</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态景观中的应用研究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570,697.92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570,697.92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基于林相改造的生态林空间 结构调控技术研究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533,078.81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533,078.81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荒漠化治理-石漠化预防与 治理技术研究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516,274.90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516,274.90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砾间接触氧化技术在城市景 观水体中的应用研究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330,537.77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330,537.77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r>
        <w:trPr>
          <w:trHeight w:val="66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生态基在城市黑臭水体生态 治理中的应用研究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544,427.49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544,427.49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304"/>
        <w:gridCol w:w="1454"/>
        <w:gridCol w:w="1320"/>
        <w:gridCol w:w="523"/>
        <w:gridCol w:w="1243"/>
        <w:gridCol w:w="1186"/>
        <w:gridCol w:w="1176"/>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2019.01.01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20" w:firstLine="0"/>
              <w:jc w:val="right"/>
            </w:pPr>
            <w:r>
              <w:rPr>
                <w:rFonts w:ascii="Arial Narrow" w:eastAsia="Arial Narrow" w:hAnsi="Arial Narrow" w:cs="Arial Narrow"/>
                <w:b/>
                <w:bCs/>
                <w:color w:val="000000"/>
                <w:spacing w:val="0"/>
                <w:w w:val="100"/>
                <w:position w:val="0"/>
                <w:sz w:val="18"/>
                <w:szCs w:val="18"/>
              </w:rPr>
              <w:t>2019.12.31</w:t>
            </w:r>
          </w:p>
        </w:tc>
      </w:tr>
      <w:tr>
        <w:trPr>
          <w:trHeight w:val="47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内部开发支出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b/>
                <w:bCs/>
                <w:color w:val="000000"/>
                <w:spacing w:val="0"/>
                <w:w w:val="100"/>
                <w:position w:val="0"/>
                <w:sz w:val="17"/>
                <w:szCs w:val="17"/>
              </w:rPr>
              <w:t>确认为无形资 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转入当期损益</w:t>
            </w:r>
          </w:p>
        </w:tc>
        <w:tc>
          <w:tcPr>
            <w:vMerge/>
            <w:tcBorders>
              <w:left w:val="single" w:sz="4"/>
            </w:tcBorders>
            <w:shd w:val="clear" w:color="auto" w:fill="FFFFFF"/>
            <w:vAlign w:val="center"/>
          </w:tcPr>
          <w:p>
            <w:pPr/>
          </w:p>
        </w:tc>
      </w:tr>
      <w:tr>
        <w:trPr>
          <w:trHeight w:val="9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基于海绵城市建设理念的园 林绿化废弃物构建立体绿化 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413,011.87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413,011.87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以生态效应为核心的节约型 园林建设技术研究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335,648.87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335,648.87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矿山生态修复及规划设计技</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463,851.97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463,851.97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粘质土壤改良及植被生态恢 复技术研究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463,877.22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463,877.22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沟塘湿地对农业面源污染的 截留净化作用研究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522,526.77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522,526.77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r>
        <w:trPr>
          <w:trHeight w:val="63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沉水植被在城市公园水生态 修复系统中的应用研究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475,469.95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475,469.95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r>
        <w:trPr>
          <w:trHeight w:val="9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具有城市色彩的生态公园规 划设计及生态景观节点建设 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423,537.40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423,537.40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新型生物挡墙技术在水体生 态净化中的应用研究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305,489.15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305,489.15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城市绿地系统的雨水径流调 蓄利用及其综合效益研究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306,930.50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306,930.50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城市景观水体污染防控及生 态净化综合技术研究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338,081.31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338,081.31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海绵城市建设“海绵体”生 态净化技术研究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217,046.64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217,046.64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基于乡村振兴理念的农村污 水处理技术研究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568,042.63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568,042.63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流域非点源污染防控集成技</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489,952.00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489,952.00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基于生态理念的滨水绿地的 景观规划研究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390,357.49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390,357.49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森林公园植被恢复及景观建 设技术研究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329,011.63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329,011.63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湿地生物多样性构建技术研 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270,153.30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270,153.30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0.00</w:t>
            </w: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2,976,120.02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40,756,211.06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6,676,717.68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33,861,816.18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b/>
                <w:bCs/>
                <w:color w:val="000000"/>
                <w:spacing w:val="0"/>
                <w:w w:val="100"/>
                <w:position w:val="0"/>
                <w:sz w:val="18"/>
                <w:szCs w:val="18"/>
              </w:rPr>
              <w:t>3,193,797.22</w:t>
            </w:r>
          </w:p>
        </w:tc>
      </w:tr>
    </w:tbl>
    <w:p>
      <w:pPr>
        <w:widowControl w:val="0"/>
        <w:spacing w:after="199" w:line="1" w:lineRule="exact"/>
      </w:pPr>
    </w:p>
    <w:p>
      <w:pPr>
        <w:pStyle w:val="Style33"/>
        <w:keepNext w:val="0"/>
        <w:keepLines w:val="0"/>
        <w:widowControl w:val="0"/>
        <w:shd w:val="clear" w:color="auto" w:fill="auto"/>
        <w:bidi w:val="0"/>
        <w:spacing w:before="0" w:after="280" w:line="240" w:lineRule="auto"/>
        <w:ind w:left="0" w:right="0" w:firstLine="200"/>
        <w:jc w:val="left"/>
      </w:pPr>
      <w:r>
        <w:rPr>
          <w:color w:val="000000"/>
          <w:spacing w:val="0"/>
          <w:w w:val="100"/>
          <w:position w:val="0"/>
        </w:rPr>
        <w:t>注：公司在经过前期市场调研和项目可行性论证，报经公司批准立项后进入开发阶段，截至期末，部</w:t>
      </w:r>
    </w:p>
    <w:p>
      <w:pPr>
        <w:pStyle w:val="Style33"/>
        <w:keepNext w:val="0"/>
        <w:keepLines w:val="0"/>
        <w:widowControl w:val="0"/>
        <w:shd w:val="clear" w:color="auto" w:fill="auto"/>
        <w:bidi w:val="0"/>
        <w:spacing w:before="0" w:after="280" w:line="240" w:lineRule="auto"/>
        <w:ind w:left="0" w:right="0" w:hanging="220"/>
        <w:jc w:val="left"/>
      </w:pPr>
      <w:r>
        <w:rPr>
          <w:color w:val="000000"/>
          <w:spacing w:val="0"/>
          <w:w w:val="100"/>
          <w:position w:val="0"/>
        </w:rPr>
        <w:t>分项目已完成开发，形成无形资产。</w:t>
      </w:r>
    </w:p>
    <w:p>
      <w:pPr>
        <w:pStyle w:val="Style22"/>
        <w:keepNext/>
        <w:keepLines/>
        <w:widowControl w:val="0"/>
        <w:shd w:val="clear" w:color="auto" w:fill="auto"/>
        <w:bidi w:val="0"/>
        <w:spacing w:before="0" w:after="280" w:line="240" w:lineRule="auto"/>
        <w:ind w:left="0" w:right="0" w:firstLine="140"/>
        <w:jc w:val="left"/>
        <w:rPr>
          <w:sz w:val="17"/>
          <w:szCs w:val="17"/>
        </w:rPr>
      </w:pPr>
      <w:bookmarkStart w:id="1074" w:name="bookmark1074"/>
      <w:bookmarkStart w:id="1075" w:name="bookmark1075"/>
      <w:bookmarkStart w:id="1076" w:name="bookmark1076"/>
      <w:r>
        <w:rPr>
          <w:rFonts w:ascii="Arial Narrow" w:eastAsia="Arial Narrow" w:hAnsi="Arial Narrow" w:cs="Arial Narrow"/>
          <w:color w:val="000000"/>
          <w:spacing w:val="0"/>
          <w:w w:val="100"/>
          <w:position w:val="0"/>
          <w:sz w:val="18"/>
          <w:szCs w:val="18"/>
        </w:rPr>
        <w:t>20</w:t>
      </w:r>
      <w:r>
        <w:rPr>
          <w:color w:val="000000"/>
          <w:spacing w:val="0"/>
          <w:w w:val="100"/>
          <w:position w:val="0"/>
          <w:sz w:val="17"/>
          <w:szCs w:val="17"/>
        </w:rPr>
        <w:t>、商誉</w:t>
      </w:r>
      <w:bookmarkEnd w:id="1074"/>
      <w:bookmarkEnd w:id="1075"/>
      <w:bookmarkEnd w:id="1076"/>
      <w:r>
        <w:br w:type="page"/>
      </w:r>
    </w:p>
    <w:p>
      <w:pPr>
        <w:pStyle w:val="Style24"/>
        <w:keepNext w:val="0"/>
        <w:keepLines w:val="0"/>
        <w:widowControl w:val="0"/>
        <w:shd w:val="clear" w:color="auto" w:fill="auto"/>
        <w:bidi w:val="0"/>
        <w:spacing w:before="0" w:after="0" w:line="240" w:lineRule="auto"/>
        <w:ind w:left="437"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 xml:space="preserve">1 </w:t>
      </w:r>
      <w:r>
        <w:rPr>
          <w:color w:val="000000"/>
          <w:spacing w:val="0"/>
          <w:w w:val="100"/>
          <w:position w:val="0"/>
        </w:rPr>
        <w:t>)商誉明细情况</w:t>
      </w:r>
    </w:p>
    <w:tbl>
      <w:tblPr>
        <w:tblOverlap w:val="never"/>
        <w:jc w:val="left"/>
        <w:tblLayout w:type="fixed"/>
      </w:tblPr>
      <w:tblGrid>
        <w:gridCol w:w="2462"/>
        <w:gridCol w:w="1546"/>
        <w:gridCol w:w="1003"/>
        <w:gridCol w:w="586"/>
        <w:gridCol w:w="1243"/>
        <w:gridCol w:w="662"/>
        <w:gridCol w:w="1546"/>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b/>
                <w:bCs/>
                <w:color w:val="000000"/>
                <w:spacing w:val="0"/>
                <w:w w:val="100"/>
                <w:position w:val="0"/>
                <w:sz w:val="17"/>
                <w:szCs w:val="17"/>
              </w:rPr>
              <w:t>被投资单位名称 或形成商誉的事项</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r>
      <w:tr>
        <w:trPr>
          <w:trHeight w:val="47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b/>
                <w:bCs/>
                <w:color w:val="000000"/>
                <w:spacing w:val="0"/>
                <w:w w:val="100"/>
                <w:position w:val="0"/>
                <w:sz w:val="17"/>
                <w:szCs w:val="17"/>
              </w:rPr>
              <w:t>企业合并 形成的</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其他</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处置</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exact"/>
              <w:ind w:left="0" w:right="0" w:firstLine="0"/>
              <w:jc w:val="center"/>
              <w:rPr>
                <w:sz w:val="17"/>
                <w:szCs w:val="17"/>
              </w:rPr>
            </w:pPr>
            <w:r>
              <w:rPr>
                <w:rFonts w:ascii="SimSun" w:eastAsia="SimSun" w:hAnsi="SimSun" w:cs="SimSun"/>
                <w:b/>
                <w:bCs/>
                <w:color w:val="000000"/>
                <w:spacing w:val="0"/>
                <w:w w:val="100"/>
                <w:position w:val="0"/>
                <w:sz w:val="17"/>
                <w:szCs w:val="17"/>
              </w:rPr>
              <w:t>其他减 少</w:t>
            </w:r>
          </w:p>
        </w:tc>
        <w:tc>
          <w:tcPr>
            <w:vMerge/>
            <w:tcBorders>
              <w:left w:val="single" w:sz="4"/>
            </w:tcBorders>
            <w:shd w:val="clear" w:color="auto" w:fill="FFFFFF"/>
            <w:vAlign w:val="center"/>
          </w:tcPr>
          <w:p>
            <w:pP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深圳市鸿基物流有限公司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31,838,360.93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31,838,360.93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星景生态环保科技(苏州)有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291,621,804.35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291,621,804.35</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东旭蓝天生态环保科技有限公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34,369,770.52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34,369,770.52</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江西泓伟环境治理科技服务有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28,505,273.37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28,505,273.37</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邢台天宏祥燃气有限公司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27,425,380.94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27,425,380.94</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华融金属表面处理(安平)科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595,851.72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595,851.72</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上海安轩自动化科技有限公司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15,359,798.05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15,359,798.05</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北京中环鑫融酒店管理有限公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266,946,392.48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266,946,392.48</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广东两洋能源有限公司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4,675,424.35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4,675,424.35</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承德晟姓光伏发电有限公司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24,583,416.99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24,583,416.99</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吉林华众昊晟新能源科技有限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34,141,596.34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34,141,596.34</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张北熠彩新能源科技有限公司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106,716,015.97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106,716,015.97</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张北弘吉新能源科技有限公司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19,411,355.80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19,411,355.80</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宁夏盛唐太阳能科技有限公司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41,137,414.17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41,137,414.17</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会理弘吉新能源科技有限公司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75,493,819.37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75,493,819.37</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上海陇商供应链管理有限公司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31,292.45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31,292.45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大连旺禾粮油有限公司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1,002,852,968.80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31,869,653.38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sz w:val="18"/>
                <w:szCs w:val="18"/>
              </w:rPr>
              <w:t>970,983,314.42</w:t>
            </w:r>
          </w:p>
        </w:tc>
      </w:tr>
    </w:tbl>
    <w:p>
      <w:pPr>
        <w:widowControl w:val="0"/>
        <w:spacing w:after="239" w:line="1" w:lineRule="exact"/>
      </w:pPr>
    </w:p>
    <w:p>
      <w:pPr>
        <w:pStyle w:val="Style26"/>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注：本期处置深圳市鸿基物流有限公司、上海陇商供应链管理有限公司；注销大连旺禾粮油有限公司，导致商誉的减少。</w:t>
      </w:r>
    </w:p>
    <w:p>
      <w:pPr>
        <w:pStyle w:val="Style24"/>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w:t>
      </w:r>
      <w:r>
        <w:rPr>
          <w:rFonts w:ascii="Arial Narrow" w:eastAsia="Arial Narrow" w:hAnsi="Arial Narrow" w:cs="Arial Narrow"/>
          <w:color w:val="000000"/>
          <w:spacing w:val="0"/>
          <w:w w:val="100"/>
          <w:position w:val="0"/>
          <w:sz w:val="18"/>
          <w:szCs w:val="18"/>
        </w:rPr>
        <w:t>2</w:t>
      </w:r>
      <w:r>
        <w:rPr>
          <w:color w:val="000000"/>
          <w:spacing w:val="0"/>
          <w:w w:val="100"/>
          <w:position w:val="0"/>
        </w:rPr>
        <w:t>)商誉减值准备</w:t>
      </w:r>
    </w:p>
    <w:tbl>
      <w:tblPr>
        <w:tblOverlap w:val="never"/>
        <w:jc w:val="center"/>
        <w:tblLayout w:type="fixed"/>
      </w:tblPr>
      <w:tblGrid>
        <w:gridCol w:w="1978"/>
        <w:gridCol w:w="1666"/>
        <w:gridCol w:w="1397"/>
        <w:gridCol w:w="614"/>
        <w:gridCol w:w="1262"/>
        <w:gridCol w:w="662"/>
        <w:gridCol w:w="1570"/>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center"/>
              <w:rPr>
                <w:sz w:val="17"/>
                <w:szCs w:val="17"/>
              </w:rPr>
            </w:pPr>
            <w:r>
              <w:rPr>
                <w:rFonts w:ascii="SimSun" w:eastAsia="SimSun" w:hAnsi="SimSun" w:cs="SimSun"/>
                <w:b/>
                <w:bCs/>
                <w:color w:val="000000"/>
                <w:spacing w:val="0"/>
                <w:w w:val="100"/>
                <w:position w:val="0"/>
                <w:sz w:val="17"/>
                <w:szCs w:val="17"/>
              </w:rPr>
              <w:t>被投资单位名称 或形成商誉的事项</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2019.01.01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b/>
                <w:bCs/>
                <w:color w:val="000000"/>
                <w:spacing w:val="0"/>
                <w:w w:val="100"/>
                <w:position w:val="0"/>
                <w:sz w:val="18"/>
                <w:szCs w:val="18"/>
              </w:rPr>
              <w:t>2019.12.31</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处置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w:t>
            </w:r>
          </w:p>
        </w:tc>
        <w:tc>
          <w:tcPr>
            <w:vMerge/>
            <w:tcBorders>
              <w:left w:val="single" w:sz="4"/>
            </w:tcBorders>
            <w:shd w:val="clear" w:color="auto" w:fill="FFFFFF"/>
            <w:vAlign w:val="center"/>
          </w:tcPr>
          <w:p>
            <w:pPr/>
          </w:p>
        </w:tc>
      </w:tr>
      <w:tr>
        <w:trPr>
          <w:trHeight w:val="80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深圳市鸿基物流有限公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31,838,360.93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31,838,360.93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r>
      <w:tr>
        <w:trPr>
          <w:trHeight w:val="898"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上海陇商供应链管理有 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31,292.45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31,292.45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r>
    </w:tbl>
    <w:p>
      <w:pPr>
        <w:widowControl w:val="0"/>
        <w:spacing w:line="1" w:lineRule="exact"/>
      </w:pPr>
    </w:p>
    <w:tbl>
      <w:tblPr>
        <w:tblOverlap w:val="never"/>
        <w:jc w:val="center"/>
        <w:tblLayout w:type="fixed"/>
      </w:tblPr>
      <w:tblGrid>
        <w:gridCol w:w="1978"/>
        <w:gridCol w:w="1666"/>
        <w:gridCol w:w="1397"/>
        <w:gridCol w:w="614"/>
        <w:gridCol w:w="1262"/>
        <w:gridCol w:w="662"/>
        <w:gridCol w:w="1570"/>
      </w:tblGrid>
      <w:tr>
        <w:trPr>
          <w:trHeight w:val="81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大连旺禾粮油有限公司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r>
      <w:tr>
        <w:trPr>
          <w:trHeight w:val="82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星景生态环保科技（苏 州）有限公司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38,891,497.59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38,891,497.59</w:t>
            </w:r>
          </w:p>
        </w:tc>
      </w:tr>
      <w:tr>
        <w:trPr>
          <w:trHeight w:val="82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东旭蓝天生态环保科技</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30,635,043.70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30,635,043.70</w:t>
            </w:r>
          </w:p>
        </w:tc>
      </w:tr>
      <w:tr>
        <w:trPr>
          <w:trHeight w:val="835"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江西泓伟环境治理科技</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28,505,273.37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28,505,273.37</w:t>
            </w:r>
          </w:p>
        </w:tc>
      </w:tr>
      <w:tr>
        <w:trPr>
          <w:trHeight w:val="854"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center"/>
              <w:rPr>
                <w:sz w:val="17"/>
                <w:szCs w:val="17"/>
              </w:rPr>
            </w:pPr>
            <w:r>
              <w:rPr>
                <w:rFonts w:ascii="SimSun" w:eastAsia="SimSun" w:hAnsi="SimSun" w:cs="SimSun"/>
                <w:color w:val="000000"/>
                <w:spacing w:val="0"/>
                <w:w w:val="100"/>
                <w:position w:val="0"/>
                <w:sz w:val="17"/>
                <w:szCs w:val="17"/>
              </w:rPr>
              <w:t>上海安轩自动化科技有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5,105,016.43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5,105,016.43</w:t>
            </w:r>
          </w:p>
        </w:tc>
      </w:tr>
      <w:tr>
        <w:trPr>
          <w:trHeight w:val="821"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广东两洋能源有限公司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4,675,424.35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4,675,424.35</w:t>
            </w:r>
          </w:p>
        </w:tc>
      </w:tr>
      <w:tr>
        <w:trPr>
          <w:trHeight w:val="48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31,869,654.38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107,812,255.44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31,869,653.38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107,812,255.44</w:t>
            </w:r>
          </w:p>
        </w:tc>
      </w:tr>
    </w:tbl>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b/>
          <w:bCs/>
          <w:color w:val="000000"/>
          <w:spacing w:val="0"/>
          <w:w w:val="100"/>
          <w:position w:val="0"/>
          <w:sz w:val="20"/>
          <w:szCs w:val="20"/>
        </w:rPr>
        <w:t>1</w:t>
      </w:r>
      <w:r>
        <w:rPr>
          <w:color w:val="000000"/>
          <w:spacing w:val="0"/>
          <w:w w:val="100"/>
          <w:position w:val="0"/>
          <w:sz w:val="20"/>
          <w:szCs w:val="20"/>
        </w:rPr>
        <w:t>：商誉所在资产组或资产组组合的相关信息:</w:t>
      </w:r>
    </w:p>
    <w:p>
      <w:pPr>
        <w:pStyle w:val="Style33"/>
        <w:keepNext w:val="0"/>
        <w:keepLines w:val="0"/>
        <w:widowControl w:val="0"/>
        <w:shd w:val="clear" w:color="auto" w:fill="auto"/>
        <w:bidi w:val="0"/>
        <w:spacing w:before="0" w:after="0" w:line="498" w:lineRule="exact"/>
        <w:ind w:left="0" w:right="0" w:firstLine="480"/>
        <w:jc w:val="both"/>
      </w:pPr>
      <w:r>
        <w:rPr>
          <w:color w:val="000000"/>
          <w:spacing w:val="0"/>
          <w:w w:val="100"/>
          <w:position w:val="0"/>
        </w:rPr>
        <w:t>与商誉减值测试相关的资产组或资产组组合，是能够从企业合并的协同效应中受益的资产组或者资产 组组合。资产负债表日的测试范围为与商誉相关的最小资产组所涉及的资产及负债，具体包括营运资金和 长期资产。资产组本期没有变动。</w:t>
      </w:r>
    </w:p>
    <w:p>
      <w:pPr>
        <w:pStyle w:val="Style33"/>
        <w:keepNext w:val="0"/>
        <w:keepLines w:val="0"/>
        <w:widowControl w:val="0"/>
        <w:shd w:val="clear" w:color="auto" w:fill="auto"/>
        <w:bidi w:val="0"/>
        <w:spacing w:before="0" w:after="0" w:line="498" w:lineRule="exact"/>
        <w:ind w:left="0" w:right="0" w:firstLine="480"/>
        <w:jc w:val="both"/>
      </w:pPr>
      <w:r>
        <w:rPr>
          <w:color w:val="000000"/>
          <w:spacing w:val="0"/>
          <w:w w:val="100"/>
          <w:position w:val="0"/>
        </w:rPr>
        <w:t>注</w:t>
      </w:r>
      <w:r>
        <w:rPr>
          <w:b/>
          <w:bCs/>
          <w:color w:val="000000"/>
          <w:spacing w:val="0"/>
          <w:w w:val="100"/>
          <w:position w:val="0"/>
        </w:rPr>
        <w:t>2</w:t>
      </w:r>
      <w:r>
        <w:rPr>
          <w:color w:val="000000"/>
          <w:spacing w:val="0"/>
          <w:w w:val="100"/>
          <w:position w:val="0"/>
        </w:rPr>
        <w:t>：商誉减值测试过程、参数及商誉减值损失的确认方法：</w:t>
      </w:r>
    </w:p>
    <w:p>
      <w:pPr>
        <w:pStyle w:val="Style33"/>
        <w:keepNext w:val="0"/>
        <w:keepLines w:val="0"/>
        <w:widowControl w:val="0"/>
        <w:shd w:val="clear" w:color="auto" w:fill="auto"/>
        <w:bidi w:val="0"/>
        <w:spacing w:before="0" w:after="0" w:line="498" w:lineRule="exact"/>
        <w:ind w:left="0" w:right="0" w:firstLine="480"/>
        <w:jc w:val="both"/>
      </w:pPr>
      <w:r>
        <w:rPr>
          <w:color w:val="000000"/>
          <w:spacing w:val="0"/>
          <w:w w:val="100"/>
          <w:position w:val="0"/>
        </w:rPr>
        <w:t>六家光伏电站类的资产组可收回金额是基于光伏电站</w:t>
      </w:r>
      <w:r>
        <w:rPr>
          <w:b/>
          <w:bCs/>
          <w:color w:val="000000"/>
          <w:spacing w:val="0"/>
          <w:w w:val="100"/>
          <w:position w:val="0"/>
        </w:rPr>
        <w:t>25</w:t>
      </w:r>
      <w:r>
        <w:rPr>
          <w:color w:val="000000"/>
          <w:spacing w:val="0"/>
          <w:w w:val="100"/>
          <w:position w:val="0"/>
        </w:rPr>
        <w:t>年全周期的现金流预测，北京中环、广东两 洋和江西泓伟的资产组是以公允价值减处置费用计算的可收回金额，剩余公司资产组可收回金额是基于管 理层批准的三年至五年期预算，之后进入稳定期为基础进行估计，采用现金流量预测方法计算。</w:t>
      </w:r>
    </w:p>
    <w:p>
      <w:pPr>
        <w:pStyle w:val="Style33"/>
        <w:keepNext w:val="0"/>
        <w:keepLines w:val="0"/>
        <w:widowControl w:val="0"/>
        <w:shd w:val="clear" w:color="auto" w:fill="auto"/>
        <w:bidi w:val="0"/>
        <w:spacing w:before="0" w:after="0" w:line="498" w:lineRule="exact"/>
        <w:ind w:left="0" w:right="0" w:firstLine="480"/>
        <w:jc w:val="both"/>
      </w:pPr>
      <w:r>
        <w:rPr>
          <w:color w:val="000000"/>
          <w:spacing w:val="0"/>
          <w:w w:val="100"/>
          <w:position w:val="0"/>
        </w:rPr>
        <w:t>公司管理层采用的折现率是反映当前市场货币时间价值和相关资产组特定风险的税前利率。不同资产 组所处行业不同，折现率结果不同，六家电站类公司涉及所得税三免三减半政策折现率以区间表示，其中： 星景生态</w:t>
      </w:r>
      <w:r>
        <w:rPr>
          <w:b/>
          <w:bCs/>
          <w:color w:val="000000"/>
          <w:spacing w:val="0"/>
          <w:w w:val="100"/>
          <w:position w:val="0"/>
        </w:rPr>
        <w:t>12.22%</w:t>
      </w:r>
      <w:r>
        <w:rPr>
          <w:color w:val="000000"/>
          <w:spacing w:val="0"/>
          <w:w w:val="100"/>
          <w:position w:val="0"/>
        </w:rPr>
        <w:t>、生态环保</w:t>
      </w:r>
      <w:r>
        <w:rPr>
          <w:b/>
          <w:bCs/>
          <w:color w:val="000000"/>
          <w:spacing w:val="0"/>
          <w:w w:val="100"/>
          <w:position w:val="0"/>
        </w:rPr>
        <w:t>12.67%</w:t>
      </w:r>
      <w:r>
        <w:rPr>
          <w:color w:val="000000"/>
          <w:spacing w:val="0"/>
          <w:w w:val="100"/>
          <w:position w:val="0"/>
        </w:rPr>
        <w:t>、邢台天宏祥</w:t>
      </w:r>
      <w:r>
        <w:rPr>
          <w:b/>
          <w:bCs/>
          <w:color w:val="000000"/>
          <w:spacing w:val="0"/>
          <w:w w:val="100"/>
          <w:position w:val="0"/>
        </w:rPr>
        <w:t>12.64%</w:t>
      </w:r>
      <w:r>
        <w:rPr>
          <w:color w:val="000000"/>
          <w:spacing w:val="0"/>
          <w:w w:val="100"/>
          <w:position w:val="0"/>
        </w:rPr>
        <w:t>、华融金属</w:t>
      </w:r>
      <w:r>
        <w:rPr>
          <w:b/>
          <w:bCs/>
          <w:color w:val="000000"/>
          <w:spacing w:val="0"/>
          <w:w w:val="100"/>
          <w:position w:val="0"/>
        </w:rPr>
        <w:t>13.25%</w:t>
      </w:r>
      <w:r>
        <w:rPr>
          <w:color w:val="000000"/>
          <w:spacing w:val="0"/>
          <w:w w:val="100"/>
          <w:position w:val="0"/>
        </w:rPr>
        <w:t>、上海安轩</w:t>
      </w:r>
      <w:r>
        <w:rPr>
          <w:b/>
          <w:bCs/>
          <w:color w:val="000000"/>
          <w:spacing w:val="0"/>
          <w:w w:val="100"/>
          <w:position w:val="0"/>
        </w:rPr>
        <w:t>12.24%</w:t>
      </w:r>
      <w:r>
        <w:rPr>
          <w:color w:val="000000"/>
          <w:spacing w:val="0"/>
          <w:w w:val="100"/>
          <w:position w:val="0"/>
        </w:rPr>
        <w:t xml:space="preserve">、承德晟烨 </w:t>
      </w:r>
      <w:r>
        <w:rPr>
          <w:b/>
          <w:bCs/>
          <w:color w:val="000000"/>
          <w:spacing w:val="0"/>
          <w:w w:val="100"/>
          <w:position w:val="0"/>
        </w:rPr>
        <w:t>8.67%-9.36%</w:t>
      </w:r>
      <w:r>
        <w:rPr>
          <w:color w:val="000000"/>
          <w:spacing w:val="0"/>
          <w:w w:val="100"/>
          <w:position w:val="0"/>
        </w:rPr>
        <w:t xml:space="preserve">、吉林华众 </w:t>
      </w:r>
      <w:r>
        <w:rPr>
          <w:b/>
          <w:bCs/>
          <w:color w:val="000000"/>
          <w:spacing w:val="0"/>
          <w:w w:val="100"/>
          <w:position w:val="0"/>
        </w:rPr>
        <w:t>8.54%-9.21%</w:t>
      </w:r>
      <w:r>
        <w:rPr>
          <w:color w:val="000000"/>
          <w:spacing w:val="0"/>
          <w:w w:val="100"/>
          <w:position w:val="0"/>
        </w:rPr>
        <w:t xml:space="preserve">、张北熠彩 </w:t>
      </w:r>
      <w:r>
        <w:rPr>
          <w:b/>
          <w:bCs/>
          <w:color w:val="000000"/>
          <w:spacing w:val="0"/>
          <w:w w:val="100"/>
          <w:position w:val="0"/>
        </w:rPr>
        <w:t>8.81%-9.48%</w:t>
      </w:r>
      <w:r>
        <w:rPr>
          <w:color w:val="000000"/>
          <w:spacing w:val="0"/>
          <w:w w:val="100"/>
          <w:position w:val="0"/>
        </w:rPr>
        <w:t xml:space="preserve">、张北弘吉 </w:t>
      </w:r>
      <w:r>
        <w:rPr>
          <w:b/>
          <w:bCs/>
          <w:color w:val="000000"/>
          <w:spacing w:val="0"/>
          <w:w w:val="100"/>
          <w:position w:val="0"/>
        </w:rPr>
        <w:t>8.54%-9.21%</w:t>
      </w:r>
      <w:r>
        <w:rPr>
          <w:color w:val="000000"/>
          <w:spacing w:val="0"/>
          <w:w w:val="100"/>
          <w:position w:val="0"/>
        </w:rPr>
        <w:t xml:space="preserve">、宁夏盛唐 </w:t>
      </w:r>
      <w:r>
        <w:rPr>
          <w:b/>
          <w:bCs/>
          <w:color w:val="000000"/>
          <w:spacing w:val="0"/>
          <w:w w:val="100"/>
          <w:position w:val="0"/>
        </w:rPr>
        <w:t>8.17%-8.52%</w:t>
      </w:r>
      <w:r>
        <w:rPr>
          <w:color w:val="000000"/>
          <w:spacing w:val="0"/>
          <w:w w:val="100"/>
          <w:position w:val="0"/>
        </w:rPr>
        <w:t>、 会理弘吉</w:t>
      </w:r>
      <w:r>
        <w:rPr>
          <w:b/>
          <w:bCs/>
          <w:color w:val="000000"/>
          <w:spacing w:val="0"/>
          <w:w w:val="100"/>
          <w:position w:val="0"/>
        </w:rPr>
        <w:t>8.58%-9.48%</w:t>
      </w:r>
      <w:r>
        <w:rPr>
          <w:color w:val="000000"/>
          <w:spacing w:val="0"/>
          <w:w w:val="100"/>
          <w:position w:val="0"/>
        </w:rPr>
        <w:t>。</w:t>
      </w:r>
    </w:p>
    <w:p>
      <w:pPr>
        <w:pStyle w:val="Style33"/>
        <w:keepNext w:val="0"/>
        <w:keepLines w:val="0"/>
        <w:widowControl w:val="0"/>
        <w:shd w:val="clear" w:color="auto" w:fill="auto"/>
        <w:bidi w:val="0"/>
        <w:spacing w:before="0" w:after="0" w:line="498" w:lineRule="exact"/>
        <w:ind w:left="0" w:right="0" w:firstLine="480"/>
        <w:jc w:val="both"/>
      </w:pPr>
      <w:r>
        <w:rPr>
          <w:color w:val="000000"/>
          <w:spacing w:val="0"/>
          <w:w w:val="100"/>
          <w:position w:val="0"/>
        </w:rPr>
        <w:t>注</w:t>
      </w:r>
      <w:r>
        <w:rPr>
          <w:b/>
          <w:bCs/>
          <w:color w:val="000000"/>
          <w:spacing w:val="0"/>
          <w:w w:val="100"/>
          <w:position w:val="0"/>
        </w:rPr>
        <w:t>3</w:t>
      </w:r>
      <w:r>
        <w:rPr>
          <w:color w:val="000000"/>
          <w:spacing w:val="0"/>
          <w:w w:val="100"/>
          <w:position w:val="0"/>
        </w:rPr>
        <w:t>：商誉减值测试的结果：</w:t>
      </w:r>
    </w:p>
    <w:p>
      <w:pPr>
        <w:pStyle w:val="Style33"/>
        <w:keepNext w:val="0"/>
        <w:keepLines w:val="0"/>
        <w:widowControl w:val="0"/>
        <w:shd w:val="clear" w:color="auto" w:fill="auto"/>
        <w:bidi w:val="0"/>
        <w:spacing w:before="0" w:after="0" w:line="498" w:lineRule="exact"/>
        <w:ind w:left="0" w:right="0" w:firstLine="480"/>
        <w:jc w:val="both"/>
      </w:pPr>
      <w:r>
        <w:rPr>
          <w:color w:val="000000"/>
          <w:spacing w:val="0"/>
          <w:w w:val="100"/>
          <w:position w:val="0"/>
        </w:rPr>
        <w:t>星景生态，本期业绩不及预期，经中环评报字【</w:t>
      </w:r>
      <w:r>
        <w:rPr>
          <w:b/>
          <w:bCs/>
          <w:color w:val="000000"/>
          <w:spacing w:val="0"/>
          <w:w w:val="100"/>
          <w:position w:val="0"/>
        </w:rPr>
        <w:t>2020</w:t>
      </w:r>
      <w:r>
        <w:rPr>
          <w:color w:val="000000"/>
          <w:spacing w:val="0"/>
          <w:w w:val="100"/>
          <w:position w:val="0"/>
        </w:rPr>
        <w:t>】第</w:t>
      </w:r>
      <w:r>
        <w:rPr>
          <w:b/>
          <w:bCs/>
          <w:color w:val="000000"/>
          <w:spacing w:val="0"/>
          <w:w w:val="100"/>
          <w:position w:val="0"/>
        </w:rPr>
        <w:t>0527</w:t>
      </w:r>
      <w:r>
        <w:rPr>
          <w:color w:val="000000"/>
          <w:spacing w:val="0"/>
          <w:w w:val="100"/>
          <w:position w:val="0"/>
        </w:rPr>
        <w:t>号评估报告确认，本期期末商誉减值金 额为</w:t>
      </w:r>
      <w:r>
        <w:rPr>
          <w:b/>
          <w:bCs/>
          <w:color w:val="000000"/>
          <w:spacing w:val="0"/>
          <w:w w:val="100"/>
          <w:position w:val="0"/>
        </w:rPr>
        <w:t>38,891,497.59</w:t>
      </w:r>
      <w:r>
        <w:rPr>
          <w:color w:val="000000"/>
          <w:spacing w:val="0"/>
          <w:w w:val="100"/>
          <w:position w:val="0"/>
        </w:rPr>
        <w:t>元，本期提取商誉减值金额为</w:t>
      </w:r>
      <w:r>
        <w:rPr>
          <w:b/>
          <w:bCs/>
          <w:color w:val="000000"/>
          <w:spacing w:val="0"/>
          <w:w w:val="100"/>
          <w:position w:val="0"/>
        </w:rPr>
        <w:t>38,891,497.59</w:t>
      </w:r>
      <w:r>
        <w:rPr>
          <w:color w:val="000000"/>
          <w:spacing w:val="0"/>
          <w:w w:val="100"/>
          <w:position w:val="0"/>
        </w:rPr>
        <w:t>元。</w:t>
      </w:r>
    </w:p>
    <w:p>
      <w:pPr>
        <w:pStyle w:val="Style33"/>
        <w:keepNext w:val="0"/>
        <w:keepLines w:val="0"/>
        <w:widowControl w:val="0"/>
        <w:shd w:val="clear" w:color="auto" w:fill="auto"/>
        <w:bidi w:val="0"/>
        <w:spacing w:before="0" w:after="0" w:line="498" w:lineRule="exact"/>
        <w:ind w:left="0" w:right="0" w:firstLine="480"/>
        <w:jc w:val="both"/>
      </w:pPr>
      <w:r>
        <w:rPr>
          <w:color w:val="000000"/>
          <w:spacing w:val="0"/>
          <w:w w:val="100"/>
          <w:position w:val="0"/>
        </w:rPr>
        <w:t>生态环保，本期业绩不及预期，经中环评报字【</w:t>
      </w:r>
      <w:r>
        <w:rPr>
          <w:b/>
          <w:bCs/>
          <w:color w:val="000000"/>
          <w:spacing w:val="0"/>
          <w:w w:val="100"/>
          <w:position w:val="0"/>
        </w:rPr>
        <w:t>2020</w:t>
      </w:r>
      <w:r>
        <w:rPr>
          <w:color w:val="000000"/>
          <w:spacing w:val="0"/>
          <w:w w:val="100"/>
          <w:position w:val="0"/>
        </w:rPr>
        <w:t>】第</w:t>
      </w:r>
      <w:r>
        <w:rPr>
          <w:b/>
          <w:bCs/>
          <w:color w:val="000000"/>
          <w:spacing w:val="0"/>
          <w:w w:val="100"/>
          <w:position w:val="0"/>
        </w:rPr>
        <w:t>0526</w:t>
      </w:r>
      <w:r>
        <w:rPr>
          <w:color w:val="000000"/>
          <w:spacing w:val="0"/>
          <w:w w:val="100"/>
          <w:position w:val="0"/>
        </w:rPr>
        <w:t xml:space="preserve">号评估报告确认，本期期末商誉减值金 </w:t>
      </w:r>
      <w:r>
        <w:rPr>
          <w:color w:val="000000"/>
          <w:spacing w:val="0"/>
          <w:w w:val="100"/>
          <w:position w:val="0"/>
        </w:rPr>
        <w:t>额为</w:t>
      </w:r>
      <w:r>
        <w:rPr>
          <w:b/>
          <w:bCs/>
          <w:color w:val="000000"/>
          <w:spacing w:val="0"/>
          <w:w w:val="100"/>
          <w:position w:val="0"/>
        </w:rPr>
        <w:t>30,635,043.70</w:t>
      </w:r>
      <w:r>
        <w:rPr>
          <w:color w:val="000000"/>
          <w:spacing w:val="0"/>
          <w:w w:val="100"/>
          <w:position w:val="0"/>
        </w:rPr>
        <w:t>元，本期提取商誉减值金额为</w:t>
      </w:r>
      <w:r>
        <w:rPr>
          <w:b/>
          <w:bCs/>
          <w:color w:val="000000"/>
          <w:spacing w:val="0"/>
          <w:w w:val="100"/>
          <w:position w:val="0"/>
        </w:rPr>
        <w:t>30,635,043.70</w:t>
      </w:r>
      <w:r>
        <w:rPr>
          <w:color w:val="000000"/>
          <w:spacing w:val="0"/>
          <w:w w:val="100"/>
          <w:position w:val="0"/>
        </w:rPr>
        <w:t>元。</w:t>
      </w:r>
    </w:p>
    <w:p>
      <w:pPr>
        <w:pStyle w:val="Style33"/>
        <w:keepNext w:val="0"/>
        <w:keepLines w:val="0"/>
        <w:widowControl w:val="0"/>
        <w:shd w:val="clear" w:color="auto" w:fill="auto"/>
        <w:bidi w:val="0"/>
        <w:spacing w:before="0" w:after="0" w:line="494" w:lineRule="exact"/>
        <w:ind w:left="0" w:right="0" w:firstLine="480"/>
        <w:jc w:val="both"/>
      </w:pPr>
      <w:r>
        <w:rPr>
          <w:color w:val="000000"/>
          <w:spacing w:val="0"/>
          <w:w w:val="100"/>
          <w:position w:val="0"/>
        </w:rPr>
        <w:t>江西泓伟，本期业绩不及预期，经中环评报字【</w:t>
      </w:r>
      <w:r>
        <w:rPr>
          <w:b/>
          <w:bCs/>
          <w:color w:val="000000"/>
          <w:spacing w:val="0"/>
          <w:w w:val="100"/>
          <w:position w:val="0"/>
        </w:rPr>
        <w:t>2020</w:t>
      </w:r>
      <w:r>
        <w:rPr>
          <w:color w:val="000000"/>
          <w:spacing w:val="0"/>
          <w:w w:val="100"/>
          <w:position w:val="0"/>
        </w:rPr>
        <w:t>】第</w:t>
      </w:r>
      <w:r>
        <w:rPr>
          <w:b/>
          <w:bCs/>
          <w:color w:val="000000"/>
          <w:spacing w:val="0"/>
          <w:w w:val="100"/>
          <w:position w:val="0"/>
        </w:rPr>
        <w:t>0525</w:t>
      </w:r>
      <w:r>
        <w:rPr>
          <w:color w:val="000000"/>
          <w:spacing w:val="0"/>
          <w:w w:val="100"/>
          <w:position w:val="0"/>
        </w:rPr>
        <w:t>号评估报告确认，本期期末商誉减值金 额为</w:t>
      </w:r>
      <w:r>
        <w:rPr>
          <w:b/>
          <w:bCs/>
          <w:color w:val="000000"/>
          <w:spacing w:val="0"/>
          <w:w w:val="100"/>
          <w:position w:val="0"/>
        </w:rPr>
        <w:t>28,505,273.37</w:t>
      </w:r>
      <w:r>
        <w:rPr>
          <w:color w:val="000000"/>
          <w:spacing w:val="0"/>
          <w:w w:val="100"/>
          <w:position w:val="0"/>
        </w:rPr>
        <w:t>元，本期提取商誉减值金额为</w:t>
      </w:r>
      <w:r>
        <w:rPr>
          <w:b/>
          <w:bCs/>
          <w:color w:val="000000"/>
          <w:spacing w:val="0"/>
          <w:w w:val="100"/>
          <w:position w:val="0"/>
        </w:rPr>
        <w:t>28,505,273.37</w:t>
      </w:r>
      <w:r>
        <w:rPr>
          <w:color w:val="000000"/>
          <w:spacing w:val="0"/>
          <w:w w:val="100"/>
          <w:position w:val="0"/>
        </w:rPr>
        <w:t>元。</w:t>
      </w:r>
    </w:p>
    <w:p>
      <w:pPr>
        <w:pStyle w:val="Style33"/>
        <w:keepNext w:val="0"/>
        <w:keepLines w:val="0"/>
        <w:widowControl w:val="0"/>
        <w:shd w:val="clear" w:color="auto" w:fill="auto"/>
        <w:bidi w:val="0"/>
        <w:spacing w:before="0" w:after="0" w:line="494" w:lineRule="exact"/>
        <w:ind w:left="0" w:right="0" w:firstLine="480"/>
        <w:jc w:val="both"/>
      </w:pPr>
      <w:r>
        <w:rPr>
          <w:color w:val="000000"/>
          <w:spacing w:val="0"/>
          <w:w w:val="100"/>
          <w:position w:val="0"/>
        </w:rPr>
        <w:t>上海安轩，本期业绩不及预期，经中环评报字【</w:t>
      </w:r>
      <w:r>
        <w:rPr>
          <w:b/>
          <w:bCs/>
          <w:color w:val="000000"/>
          <w:spacing w:val="0"/>
          <w:w w:val="100"/>
          <w:position w:val="0"/>
        </w:rPr>
        <w:t>2020</w:t>
      </w:r>
      <w:r>
        <w:rPr>
          <w:color w:val="000000"/>
          <w:spacing w:val="0"/>
          <w:w w:val="100"/>
          <w:position w:val="0"/>
        </w:rPr>
        <w:t>】第</w:t>
      </w:r>
      <w:r>
        <w:rPr>
          <w:b/>
          <w:bCs/>
          <w:color w:val="000000"/>
          <w:spacing w:val="0"/>
          <w:w w:val="100"/>
          <w:position w:val="0"/>
        </w:rPr>
        <w:t>0523</w:t>
      </w:r>
      <w:r>
        <w:rPr>
          <w:color w:val="000000"/>
          <w:spacing w:val="0"/>
          <w:w w:val="100"/>
          <w:position w:val="0"/>
        </w:rPr>
        <w:t>号评估报告确认，本期期末商誉减值金 额为</w:t>
      </w:r>
      <w:r>
        <w:rPr>
          <w:b/>
          <w:bCs/>
          <w:color w:val="000000"/>
          <w:spacing w:val="0"/>
          <w:w w:val="100"/>
          <w:position w:val="0"/>
        </w:rPr>
        <w:t>5,105,016.43</w:t>
      </w:r>
      <w:r>
        <w:rPr>
          <w:color w:val="000000"/>
          <w:spacing w:val="0"/>
          <w:w w:val="100"/>
          <w:position w:val="0"/>
        </w:rPr>
        <w:t>元，本期提取商誉减值金额为</w:t>
      </w:r>
      <w:r>
        <w:rPr>
          <w:b/>
          <w:bCs/>
          <w:color w:val="000000"/>
          <w:spacing w:val="0"/>
          <w:w w:val="100"/>
          <w:position w:val="0"/>
        </w:rPr>
        <w:t>5,105,016.43</w:t>
      </w:r>
      <w:r>
        <w:rPr>
          <w:color w:val="000000"/>
          <w:spacing w:val="0"/>
          <w:w w:val="100"/>
          <w:position w:val="0"/>
        </w:rPr>
        <w:t>元。</w:t>
      </w:r>
    </w:p>
    <w:p>
      <w:pPr>
        <w:pStyle w:val="Style33"/>
        <w:keepNext w:val="0"/>
        <w:keepLines w:val="0"/>
        <w:widowControl w:val="0"/>
        <w:shd w:val="clear" w:color="auto" w:fill="auto"/>
        <w:bidi w:val="0"/>
        <w:spacing w:before="0" w:after="0" w:line="494" w:lineRule="exact"/>
        <w:ind w:left="0" w:right="0" w:firstLine="480"/>
        <w:jc w:val="both"/>
      </w:pPr>
      <w:r>
        <w:rPr>
          <w:color w:val="000000"/>
          <w:spacing w:val="0"/>
          <w:w w:val="100"/>
          <w:position w:val="0"/>
        </w:rPr>
        <w:t>广东两洋，本期业绩不及预期，经国融兴华评报字</w:t>
      </w:r>
      <w:r>
        <w:rPr>
          <w:color w:val="000000"/>
          <w:spacing w:val="0"/>
          <w:w w:val="100"/>
          <w:position w:val="0"/>
        </w:rPr>
        <w:t>［</w:t>
      </w:r>
      <w:r>
        <w:rPr>
          <w:b/>
          <w:bCs/>
          <w:color w:val="000000"/>
          <w:spacing w:val="0"/>
          <w:w w:val="100"/>
          <w:position w:val="0"/>
        </w:rPr>
        <w:t xml:space="preserve">2020 </w:t>
      </w:r>
      <w:r>
        <w:rPr>
          <w:color w:val="000000"/>
          <w:spacing w:val="0"/>
          <w:w w:val="100"/>
          <w:position w:val="0"/>
        </w:rPr>
        <w:t>］第</w:t>
      </w:r>
      <w:r>
        <w:rPr>
          <w:b/>
          <w:bCs/>
          <w:color w:val="000000"/>
          <w:spacing w:val="0"/>
          <w:w w:val="100"/>
          <w:position w:val="0"/>
        </w:rPr>
        <w:t>010134</w:t>
      </w:r>
      <w:r>
        <w:rPr>
          <w:color w:val="000000"/>
          <w:spacing w:val="0"/>
          <w:w w:val="100"/>
          <w:position w:val="0"/>
        </w:rPr>
        <w:t>号评估报告确认，本期期末商誉 减值金额为</w:t>
      </w:r>
      <w:r>
        <w:rPr>
          <w:b/>
          <w:bCs/>
          <w:color w:val="000000"/>
          <w:spacing w:val="0"/>
          <w:w w:val="100"/>
          <w:position w:val="0"/>
        </w:rPr>
        <w:t>4,675,424.35</w:t>
      </w:r>
      <w:r>
        <w:rPr>
          <w:color w:val="000000"/>
          <w:spacing w:val="0"/>
          <w:w w:val="100"/>
          <w:position w:val="0"/>
        </w:rPr>
        <w:t>元，本期提取商誉减值金额为</w:t>
      </w:r>
      <w:r>
        <w:rPr>
          <w:b/>
          <w:bCs/>
          <w:color w:val="000000"/>
          <w:spacing w:val="0"/>
          <w:w w:val="100"/>
          <w:position w:val="0"/>
        </w:rPr>
        <w:t>4,675,424.35</w:t>
      </w:r>
      <w:r>
        <w:rPr>
          <w:color w:val="000000"/>
          <w:spacing w:val="0"/>
          <w:w w:val="100"/>
          <w:position w:val="0"/>
        </w:rPr>
        <w:t>元。</w:t>
      </w:r>
    </w:p>
    <w:p>
      <w:pPr>
        <w:pStyle w:val="Style33"/>
        <w:keepNext w:val="0"/>
        <w:keepLines w:val="0"/>
        <w:widowControl w:val="0"/>
        <w:shd w:val="clear" w:color="auto" w:fill="auto"/>
        <w:bidi w:val="0"/>
        <w:spacing w:before="0" w:after="0" w:line="494" w:lineRule="exact"/>
        <w:ind w:left="0" w:right="0" w:firstLine="480"/>
        <w:jc w:val="left"/>
      </w:pPr>
      <w:r>
        <w:rPr>
          <w:color w:val="000000"/>
          <w:spacing w:val="0"/>
          <w:w w:val="100"/>
          <w:position w:val="0"/>
        </w:rPr>
        <w:t>邢台天宏祥，经中环评报字【</w:t>
      </w:r>
      <w:r>
        <w:rPr>
          <w:b/>
          <w:bCs/>
          <w:color w:val="000000"/>
          <w:spacing w:val="0"/>
          <w:w w:val="100"/>
          <w:position w:val="0"/>
        </w:rPr>
        <w:t>2020</w:t>
      </w:r>
      <w:r>
        <w:rPr>
          <w:color w:val="000000"/>
          <w:spacing w:val="0"/>
          <w:w w:val="100"/>
          <w:position w:val="0"/>
        </w:rPr>
        <w:t>】第</w:t>
      </w:r>
      <w:r>
        <w:rPr>
          <w:b/>
          <w:bCs/>
          <w:color w:val="000000"/>
          <w:spacing w:val="0"/>
          <w:w w:val="100"/>
          <w:position w:val="0"/>
        </w:rPr>
        <w:t>0528</w:t>
      </w:r>
      <w:r>
        <w:rPr>
          <w:color w:val="000000"/>
          <w:spacing w:val="0"/>
          <w:w w:val="100"/>
          <w:position w:val="0"/>
        </w:rPr>
        <w:t>号评估报告确认，商誉不存在减值迹象。</w:t>
      </w:r>
    </w:p>
    <w:p>
      <w:pPr>
        <w:pStyle w:val="Style33"/>
        <w:keepNext w:val="0"/>
        <w:keepLines w:val="0"/>
        <w:widowControl w:val="0"/>
        <w:shd w:val="clear" w:color="auto" w:fill="auto"/>
        <w:bidi w:val="0"/>
        <w:spacing w:before="0" w:after="0" w:line="494" w:lineRule="exact"/>
        <w:ind w:left="0" w:right="0" w:firstLine="480"/>
        <w:jc w:val="left"/>
      </w:pPr>
      <w:r>
        <w:rPr>
          <w:color w:val="000000"/>
          <w:spacing w:val="0"/>
          <w:w w:val="100"/>
          <w:position w:val="0"/>
        </w:rPr>
        <w:t>华融金属，经中环评报字【</w:t>
      </w:r>
      <w:r>
        <w:rPr>
          <w:b/>
          <w:bCs/>
          <w:color w:val="000000"/>
          <w:spacing w:val="0"/>
          <w:w w:val="100"/>
          <w:position w:val="0"/>
        </w:rPr>
        <w:t>2020</w:t>
      </w:r>
      <w:r>
        <w:rPr>
          <w:color w:val="000000"/>
          <w:spacing w:val="0"/>
          <w:w w:val="100"/>
          <w:position w:val="0"/>
        </w:rPr>
        <w:t>】第</w:t>
      </w:r>
      <w:r>
        <w:rPr>
          <w:b/>
          <w:bCs/>
          <w:color w:val="000000"/>
          <w:spacing w:val="0"/>
          <w:w w:val="100"/>
          <w:position w:val="0"/>
        </w:rPr>
        <w:t>0524</w:t>
      </w:r>
      <w:r>
        <w:rPr>
          <w:color w:val="000000"/>
          <w:spacing w:val="0"/>
          <w:w w:val="100"/>
          <w:position w:val="0"/>
        </w:rPr>
        <w:t>号评估报告确认，商誉不存在减值迹象。</w:t>
      </w:r>
    </w:p>
    <w:p>
      <w:pPr>
        <w:pStyle w:val="Style33"/>
        <w:keepNext w:val="0"/>
        <w:keepLines w:val="0"/>
        <w:widowControl w:val="0"/>
        <w:shd w:val="clear" w:color="auto" w:fill="auto"/>
        <w:bidi w:val="0"/>
        <w:spacing w:before="0" w:after="0" w:line="494" w:lineRule="exact"/>
        <w:ind w:left="0" w:right="0" w:firstLine="480"/>
        <w:jc w:val="left"/>
      </w:pPr>
      <w:r>
        <w:rPr>
          <w:color w:val="000000"/>
          <w:spacing w:val="0"/>
          <w:w w:val="100"/>
          <w:position w:val="0"/>
        </w:rPr>
        <w:t>北京中环，经国融兴华评报字</w:t>
      </w:r>
      <w:r>
        <w:rPr>
          <w:color w:val="000000"/>
          <w:spacing w:val="0"/>
          <w:w w:val="100"/>
          <w:position w:val="0"/>
        </w:rPr>
        <w:t>［</w:t>
      </w:r>
      <w:r>
        <w:rPr>
          <w:b/>
          <w:bCs/>
          <w:color w:val="000000"/>
          <w:spacing w:val="0"/>
          <w:w w:val="100"/>
          <w:position w:val="0"/>
        </w:rPr>
        <w:t xml:space="preserve">2020 </w:t>
      </w:r>
      <w:r>
        <w:rPr>
          <w:color w:val="000000"/>
          <w:spacing w:val="0"/>
          <w:w w:val="100"/>
          <w:position w:val="0"/>
        </w:rPr>
        <w:t>］</w:t>
      </w:r>
      <w:r>
        <w:rPr>
          <w:color w:val="000000"/>
          <w:spacing w:val="0"/>
          <w:w w:val="100"/>
          <w:position w:val="0"/>
        </w:rPr>
        <w:t>第</w:t>
      </w:r>
      <w:r>
        <w:rPr>
          <w:b/>
          <w:bCs/>
          <w:color w:val="000000"/>
          <w:spacing w:val="0"/>
          <w:w w:val="100"/>
          <w:position w:val="0"/>
        </w:rPr>
        <w:t>010132</w:t>
      </w:r>
      <w:r>
        <w:rPr>
          <w:color w:val="000000"/>
          <w:spacing w:val="0"/>
          <w:w w:val="100"/>
          <w:position w:val="0"/>
        </w:rPr>
        <w:t>号评估报告确认，商誉不存在减值迹象。</w:t>
      </w:r>
    </w:p>
    <w:p>
      <w:pPr>
        <w:pStyle w:val="Style33"/>
        <w:keepNext w:val="0"/>
        <w:keepLines w:val="0"/>
        <w:widowControl w:val="0"/>
        <w:shd w:val="clear" w:color="auto" w:fill="auto"/>
        <w:bidi w:val="0"/>
        <w:spacing w:before="0" w:after="0" w:line="494" w:lineRule="exact"/>
        <w:ind w:left="0" w:right="0" w:firstLine="480"/>
        <w:jc w:val="left"/>
      </w:pPr>
      <w:r>
        <w:rPr>
          <w:color w:val="000000"/>
          <w:spacing w:val="0"/>
          <w:w w:val="100"/>
          <w:position w:val="0"/>
        </w:rPr>
        <w:t>会理弘吉，经国融兴华评报字</w:t>
      </w:r>
      <w:r>
        <w:rPr>
          <w:color w:val="000000"/>
          <w:spacing w:val="0"/>
          <w:w w:val="100"/>
          <w:position w:val="0"/>
        </w:rPr>
        <w:t>［</w:t>
      </w:r>
      <w:r>
        <w:rPr>
          <w:b/>
          <w:bCs/>
          <w:color w:val="000000"/>
          <w:spacing w:val="0"/>
          <w:w w:val="100"/>
          <w:position w:val="0"/>
        </w:rPr>
        <w:t xml:space="preserve">2020 </w:t>
      </w:r>
      <w:r>
        <w:rPr>
          <w:color w:val="000000"/>
          <w:spacing w:val="0"/>
          <w:w w:val="100"/>
          <w:position w:val="0"/>
        </w:rPr>
        <w:t>］</w:t>
      </w:r>
      <w:r>
        <w:rPr>
          <w:color w:val="000000"/>
          <w:spacing w:val="0"/>
          <w:w w:val="100"/>
          <w:position w:val="0"/>
        </w:rPr>
        <w:t>第</w:t>
      </w:r>
      <w:r>
        <w:rPr>
          <w:b/>
          <w:bCs/>
          <w:color w:val="000000"/>
          <w:spacing w:val="0"/>
          <w:w w:val="100"/>
          <w:position w:val="0"/>
        </w:rPr>
        <w:t>010144</w:t>
      </w:r>
      <w:r>
        <w:rPr>
          <w:color w:val="000000"/>
          <w:spacing w:val="0"/>
          <w:w w:val="100"/>
          <w:position w:val="0"/>
        </w:rPr>
        <w:t>号评估报告确认，商誉不存在减值迹象。</w:t>
      </w:r>
    </w:p>
    <w:p>
      <w:pPr>
        <w:pStyle w:val="Style33"/>
        <w:keepNext w:val="0"/>
        <w:keepLines w:val="0"/>
        <w:widowControl w:val="0"/>
        <w:shd w:val="clear" w:color="auto" w:fill="auto"/>
        <w:bidi w:val="0"/>
        <w:spacing w:before="0" w:after="0" w:line="494" w:lineRule="exact"/>
        <w:ind w:left="0" w:right="0" w:firstLine="480"/>
        <w:jc w:val="left"/>
      </w:pPr>
      <w:r>
        <w:rPr>
          <w:color w:val="000000"/>
          <w:spacing w:val="0"/>
          <w:w w:val="100"/>
          <w:position w:val="0"/>
        </w:rPr>
        <w:t>承德晟烨，经国融兴华评报字</w:t>
      </w:r>
      <w:r>
        <w:rPr>
          <w:color w:val="000000"/>
          <w:spacing w:val="0"/>
          <w:w w:val="100"/>
          <w:position w:val="0"/>
        </w:rPr>
        <w:t>［</w:t>
      </w:r>
      <w:r>
        <w:rPr>
          <w:b/>
          <w:bCs/>
          <w:color w:val="000000"/>
          <w:spacing w:val="0"/>
          <w:w w:val="100"/>
          <w:position w:val="0"/>
        </w:rPr>
        <w:t xml:space="preserve">2020 </w:t>
      </w:r>
      <w:r>
        <w:rPr>
          <w:color w:val="000000"/>
          <w:spacing w:val="0"/>
          <w:w w:val="100"/>
          <w:position w:val="0"/>
        </w:rPr>
        <w:t>］</w:t>
      </w:r>
      <w:r>
        <w:rPr>
          <w:color w:val="000000"/>
          <w:spacing w:val="0"/>
          <w:w w:val="100"/>
          <w:position w:val="0"/>
        </w:rPr>
        <w:t>第</w:t>
      </w:r>
      <w:r>
        <w:rPr>
          <w:b/>
          <w:bCs/>
          <w:color w:val="000000"/>
          <w:spacing w:val="0"/>
          <w:w w:val="100"/>
          <w:position w:val="0"/>
        </w:rPr>
        <w:t>010145</w:t>
      </w:r>
      <w:r>
        <w:rPr>
          <w:color w:val="000000"/>
          <w:spacing w:val="0"/>
          <w:w w:val="100"/>
          <w:position w:val="0"/>
        </w:rPr>
        <w:t>号评估报告确认，商誉不存在减值迹象。</w:t>
      </w:r>
    </w:p>
    <w:p>
      <w:pPr>
        <w:pStyle w:val="Style33"/>
        <w:keepNext w:val="0"/>
        <w:keepLines w:val="0"/>
        <w:widowControl w:val="0"/>
        <w:shd w:val="clear" w:color="auto" w:fill="auto"/>
        <w:bidi w:val="0"/>
        <w:spacing w:before="0" w:after="0" w:line="494" w:lineRule="exact"/>
        <w:ind w:left="0" w:right="0" w:firstLine="480"/>
        <w:jc w:val="left"/>
      </w:pPr>
      <w:r>
        <w:rPr>
          <w:color w:val="000000"/>
          <w:spacing w:val="0"/>
          <w:w w:val="100"/>
          <w:position w:val="0"/>
        </w:rPr>
        <w:t>张北熠彩，经国融兴华评报字</w:t>
      </w:r>
      <w:r>
        <w:rPr>
          <w:color w:val="000000"/>
          <w:spacing w:val="0"/>
          <w:w w:val="100"/>
          <w:position w:val="0"/>
        </w:rPr>
        <w:t>［</w:t>
      </w:r>
      <w:r>
        <w:rPr>
          <w:b/>
          <w:bCs/>
          <w:color w:val="000000"/>
          <w:spacing w:val="0"/>
          <w:w w:val="100"/>
          <w:position w:val="0"/>
        </w:rPr>
        <w:t xml:space="preserve">2020 </w:t>
      </w:r>
      <w:r>
        <w:rPr>
          <w:color w:val="000000"/>
          <w:spacing w:val="0"/>
          <w:w w:val="100"/>
          <w:position w:val="0"/>
        </w:rPr>
        <w:t>］</w:t>
      </w:r>
      <w:r>
        <w:rPr>
          <w:color w:val="000000"/>
          <w:spacing w:val="0"/>
          <w:w w:val="100"/>
          <w:position w:val="0"/>
        </w:rPr>
        <w:t>第</w:t>
      </w:r>
      <w:r>
        <w:rPr>
          <w:b/>
          <w:bCs/>
          <w:color w:val="000000"/>
          <w:spacing w:val="0"/>
          <w:w w:val="100"/>
          <w:position w:val="0"/>
        </w:rPr>
        <w:t>010146</w:t>
      </w:r>
      <w:r>
        <w:rPr>
          <w:color w:val="000000"/>
          <w:spacing w:val="0"/>
          <w:w w:val="100"/>
          <w:position w:val="0"/>
        </w:rPr>
        <w:t>号评估报告确认，商誉不存在减值迹象。</w:t>
      </w:r>
    </w:p>
    <w:p>
      <w:pPr>
        <w:pStyle w:val="Style33"/>
        <w:keepNext w:val="0"/>
        <w:keepLines w:val="0"/>
        <w:widowControl w:val="0"/>
        <w:shd w:val="clear" w:color="auto" w:fill="auto"/>
        <w:bidi w:val="0"/>
        <w:spacing w:before="0" w:after="0" w:line="494" w:lineRule="exact"/>
        <w:ind w:left="0" w:right="0" w:firstLine="480"/>
        <w:jc w:val="left"/>
      </w:pPr>
      <w:r>
        <w:rPr>
          <w:color w:val="000000"/>
          <w:spacing w:val="0"/>
          <w:w w:val="100"/>
          <w:position w:val="0"/>
        </w:rPr>
        <w:t>宁夏盛唐，经国融兴华评报字</w:t>
      </w:r>
      <w:r>
        <w:rPr>
          <w:color w:val="000000"/>
          <w:spacing w:val="0"/>
          <w:w w:val="100"/>
          <w:position w:val="0"/>
        </w:rPr>
        <w:t>［</w:t>
      </w:r>
      <w:r>
        <w:rPr>
          <w:b/>
          <w:bCs/>
          <w:color w:val="000000"/>
          <w:spacing w:val="0"/>
          <w:w w:val="100"/>
          <w:position w:val="0"/>
        </w:rPr>
        <w:t xml:space="preserve">2020 </w:t>
      </w:r>
      <w:r>
        <w:rPr>
          <w:color w:val="000000"/>
          <w:spacing w:val="0"/>
          <w:w w:val="100"/>
          <w:position w:val="0"/>
        </w:rPr>
        <w:t>］</w:t>
      </w:r>
      <w:r>
        <w:rPr>
          <w:color w:val="000000"/>
          <w:spacing w:val="0"/>
          <w:w w:val="100"/>
          <w:position w:val="0"/>
        </w:rPr>
        <w:t>第</w:t>
      </w:r>
      <w:r>
        <w:rPr>
          <w:b/>
          <w:bCs/>
          <w:color w:val="000000"/>
          <w:spacing w:val="0"/>
          <w:w w:val="100"/>
          <w:position w:val="0"/>
        </w:rPr>
        <w:t>010147</w:t>
      </w:r>
      <w:r>
        <w:rPr>
          <w:color w:val="000000"/>
          <w:spacing w:val="0"/>
          <w:w w:val="100"/>
          <w:position w:val="0"/>
        </w:rPr>
        <w:t>号评估报告确认，商誉不存在减值迹象。</w:t>
      </w:r>
    </w:p>
    <w:p>
      <w:pPr>
        <w:pStyle w:val="Style33"/>
        <w:keepNext w:val="0"/>
        <w:keepLines w:val="0"/>
        <w:widowControl w:val="0"/>
        <w:shd w:val="clear" w:color="auto" w:fill="auto"/>
        <w:bidi w:val="0"/>
        <w:spacing w:before="0" w:after="0" w:line="494" w:lineRule="exact"/>
        <w:ind w:left="0" w:right="0" w:firstLine="480"/>
        <w:jc w:val="left"/>
      </w:pPr>
      <w:r>
        <w:rPr>
          <w:color w:val="000000"/>
          <w:spacing w:val="0"/>
          <w:w w:val="100"/>
          <w:position w:val="0"/>
        </w:rPr>
        <w:t>张北弘吉，经国融兴华评报字</w:t>
      </w:r>
      <w:r>
        <w:rPr>
          <w:color w:val="000000"/>
          <w:spacing w:val="0"/>
          <w:w w:val="100"/>
          <w:position w:val="0"/>
        </w:rPr>
        <w:t>［</w:t>
      </w:r>
      <w:r>
        <w:rPr>
          <w:b/>
          <w:bCs/>
          <w:color w:val="000000"/>
          <w:spacing w:val="0"/>
          <w:w w:val="100"/>
          <w:position w:val="0"/>
        </w:rPr>
        <w:t xml:space="preserve">2020 </w:t>
      </w:r>
      <w:r>
        <w:rPr>
          <w:color w:val="000000"/>
          <w:spacing w:val="0"/>
          <w:w w:val="100"/>
          <w:position w:val="0"/>
        </w:rPr>
        <w:t>］</w:t>
      </w:r>
      <w:r>
        <w:rPr>
          <w:color w:val="000000"/>
          <w:spacing w:val="0"/>
          <w:w w:val="100"/>
          <w:position w:val="0"/>
        </w:rPr>
        <w:t>第</w:t>
      </w:r>
      <w:r>
        <w:rPr>
          <w:b/>
          <w:bCs/>
          <w:color w:val="000000"/>
          <w:spacing w:val="0"/>
          <w:w w:val="100"/>
          <w:position w:val="0"/>
        </w:rPr>
        <w:t>010148</w:t>
      </w:r>
      <w:r>
        <w:rPr>
          <w:color w:val="000000"/>
          <w:spacing w:val="0"/>
          <w:w w:val="100"/>
          <w:position w:val="0"/>
        </w:rPr>
        <w:t>号评估报告确认，商誉不存在减值迹象。</w:t>
      </w:r>
    </w:p>
    <w:p>
      <w:pPr>
        <w:pStyle w:val="Style33"/>
        <w:keepNext w:val="0"/>
        <w:keepLines w:val="0"/>
        <w:widowControl w:val="0"/>
        <w:shd w:val="clear" w:color="auto" w:fill="auto"/>
        <w:bidi w:val="0"/>
        <w:spacing w:before="0" w:after="0" w:line="494" w:lineRule="exact"/>
        <w:ind w:left="0" w:right="0" w:firstLine="480"/>
        <w:jc w:val="left"/>
      </w:pPr>
      <w:r>
        <w:rPr>
          <w:color w:val="000000"/>
          <w:spacing w:val="0"/>
          <w:w w:val="100"/>
          <w:position w:val="0"/>
        </w:rPr>
        <w:t>吉林华众，经国融兴华评报字</w:t>
      </w:r>
      <w:r>
        <w:rPr>
          <w:color w:val="000000"/>
          <w:spacing w:val="0"/>
          <w:w w:val="100"/>
          <w:position w:val="0"/>
        </w:rPr>
        <w:t>［</w:t>
      </w:r>
      <w:r>
        <w:rPr>
          <w:b/>
          <w:bCs/>
          <w:color w:val="000000"/>
          <w:spacing w:val="0"/>
          <w:w w:val="100"/>
          <w:position w:val="0"/>
        </w:rPr>
        <w:t xml:space="preserve">2020 </w:t>
      </w:r>
      <w:r>
        <w:rPr>
          <w:color w:val="000000"/>
          <w:spacing w:val="0"/>
          <w:w w:val="100"/>
          <w:position w:val="0"/>
        </w:rPr>
        <w:t>］</w:t>
      </w:r>
      <w:r>
        <w:rPr>
          <w:color w:val="000000"/>
          <w:spacing w:val="0"/>
          <w:w w:val="100"/>
          <w:position w:val="0"/>
        </w:rPr>
        <w:t>第</w:t>
      </w:r>
      <w:r>
        <w:rPr>
          <w:b/>
          <w:bCs/>
          <w:color w:val="000000"/>
          <w:spacing w:val="0"/>
          <w:w w:val="100"/>
          <w:position w:val="0"/>
        </w:rPr>
        <w:t>010149</w:t>
      </w:r>
      <w:r>
        <w:rPr>
          <w:color w:val="000000"/>
          <w:spacing w:val="0"/>
          <w:w w:val="100"/>
          <w:position w:val="0"/>
        </w:rPr>
        <w:t>号评估报告确认，商誉不存在减值迹象。</w:t>
      </w:r>
    </w:p>
    <w:p>
      <w:pPr>
        <w:pStyle w:val="Style33"/>
        <w:keepNext w:val="0"/>
        <w:keepLines w:val="0"/>
        <w:widowControl w:val="0"/>
        <w:shd w:val="clear" w:color="auto" w:fill="auto"/>
        <w:bidi w:val="0"/>
        <w:spacing w:before="0" w:after="280" w:line="494" w:lineRule="exact"/>
        <w:ind w:left="0" w:right="0" w:firstLine="480"/>
        <w:jc w:val="left"/>
      </w:pPr>
      <w:r>
        <w:rPr>
          <w:color w:val="000000"/>
          <w:spacing w:val="0"/>
          <w:w w:val="100"/>
          <w:position w:val="0"/>
        </w:rPr>
        <w:t>注</w:t>
      </w:r>
      <w:r>
        <w:rPr>
          <w:b/>
          <w:bCs/>
          <w:color w:val="000000"/>
          <w:spacing w:val="0"/>
          <w:w w:val="100"/>
          <w:position w:val="0"/>
        </w:rPr>
        <w:t>4</w:t>
      </w:r>
      <w:r>
        <w:rPr>
          <w:color w:val="000000"/>
          <w:spacing w:val="0"/>
          <w:w w:val="100"/>
          <w:position w:val="0"/>
        </w:rPr>
        <w:t xml:space="preserve">:由于当期处置子公司深圳市鸿基物流有限公司及子公司上海陇商供应链管理有限公司、注销子 </w:t>
      </w:r>
      <w:r>
        <w:rPr>
          <w:color w:val="000000"/>
          <w:spacing w:val="0"/>
          <w:w w:val="100"/>
          <w:position w:val="0"/>
        </w:rPr>
        <w:t>公司大连旺禾粮油有限公司，故收购期间形成的商誉全部冲回，以前年度提取的减值准备同时冲回。</w:t>
      </w:r>
    </w:p>
    <w:p>
      <w:pPr>
        <w:pStyle w:val="Style22"/>
        <w:keepNext/>
        <w:keepLines/>
        <w:widowControl w:val="0"/>
        <w:shd w:val="clear" w:color="auto" w:fill="auto"/>
        <w:bidi w:val="0"/>
        <w:spacing w:before="0" w:after="40" w:line="240" w:lineRule="auto"/>
        <w:ind w:left="0" w:right="0" w:firstLine="420"/>
        <w:jc w:val="left"/>
        <w:rPr>
          <w:sz w:val="17"/>
          <w:szCs w:val="17"/>
        </w:rPr>
      </w:pPr>
      <w:bookmarkStart w:id="1077" w:name="bookmark1077"/>
      <w:bookmarkStart w:id="1078" w:name="bookmark1078"/>
      <w:bookmarkStart w:id="1079" w:name="bookmark1079"/>
      <w:r>
        <w:rPr>
          <w:rFonts w:ascii="Arial Narrow" w:eastAsia="Arial Narrow" w:hAnsi="Arial Narrow" w:cs="Arial Narrow"/>
          <w:color w:val="000000"/>
          <w:spacing w:val="0"/>
          <w:w w:val="100"/>
          <w:position w:val="0"/>
          <w:sz w:val="18"/>
          <w:szCs w:val="18"/>
        </w:rPr>
        <w:t>21</w:t>
      </w:r>
      <w:r>
        <w:rPr>
          <w:color w:val="000000"/>
          <w:spacing w:val="0"/>
          <w:w w:val="100"/>
          <w:position w:val="0"/>
          <w:sz w:val="17"/>
          <w:szCs w:val="17"/>
        </w:rPr>
        <w:t>、长期待摊费用</w:t>
      </w:r>
      <w:bookmarkEnd w:id="1077"/>
      <w:bookmarkEnd w:id="1078"/>
      <w:bookmarkEnd w:id="1079"/>
    </w:p>
    <w:tbl>
      <w:tblPr>
        <w:tblOverlap w:val="never"/>
        <w:jc w:val="center"/>
        <w:tblLayout w:type="fixed"/>
      </w:tblPr>
      <w:tblGrid>
        <w:gridCol w:w="2669"/>
        <w:gridCol w:w="1666"/>
        <w:gridCol w:w="1589"/>
        <w:gridCol w:w="1622"/>
        <w:gridCol w:w="1723"/>
      </w:tblGrid>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2019.01.01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租入固定资产改良支出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470,449.06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108730.10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579,179.16</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土地租赁款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118,181,449.72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15,492,139.24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20,432,825.34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113,240,763.62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融资服务费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61,094,542.15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20,629,413.18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12,479,683.26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69,244,272.07</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239,914,014.40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7,974,981.00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231,939,033.40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3,072,436.06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1,245,706.28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1,826,729.78</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422,732,891.39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b/>
                <w:bCs/>
                <w:color w:val="000000"/>
                <w:spacing w:val="0"/>
                <w:w w:val="100"/>
                <w:position w:val="0"/>
                <w:sz w:val="18"/>
                <w:szCs w:val="18"/>
              </w:rPr>
              <w:t>36,230,282.52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42,712,375.04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b/>
                <w:bCs/>
                <w:color w:val="000000"/>
                <w:spacing w:val="0"/>
                <w:w w:val="100"/>
                <w:position w:val="0"/>
                <w:sz w:val="18"/>
                <w:szCs w:val="18"/>
              </w:rPr>
              <w:t>416,250,798.87</w:t>
            </w:r>
          </w:p>
        </w:tc>
      </w:tr>
    </w:tbl>
    <w:p>
      <w:pPr>
        <w:pStyle w:val="Style24"/>
        <w:keepNext w:val="0"/>
        <w:keepLines w:val="0"/>
        <w:widowControl w:val="0"/>
        <w:shd w:val="clear" w:color="auto" w:fill="auto"/>
        <w:bidi w:val="0"/>
        <w:spacing w:before="0" w:after="0" w:line="240" w:lineRule="auto"/>
        <w:ind w:left="398" w:right="0" w:firstLine="0"/>
        <w:jc w:val="left"/>
      </w:pPr>
      <w:r>
        <w:rPr>
          <w:color w:val="000000"/>
          <w:spacing w:val="0"/>
          <w:w w:val="100"/>
          <w:position w:val="0"/>
        </w:rPr>
        <w:t>注：本期增加主要为光伏电站项目经营租入土地以及融资服务费。</w:t>
      </w:r>
    </w:p>
    <w:p>
      <w:pPr>
        <w:widowControl w:val="0"/>
        <w:spacing w:after="339" w:line="1" w:lineRule="exact"/>
      </w:pPr>
    </w:p>
    <w:p>
      <w:pPr>
        <w:pStyle w:val="Style22"/>
        <w:keepNext/>
        <w:keepLines/>
        <w:widowControl w:val="0"/>
        <w:shd w:val="clear" w:color="auto" w:fill="auto"/>
        <w:bidi w:val="0"/>
        <w:spacing w:before="0" w:after="0" w:line="240" w:lineRule="auto"/>
        <w:ind w:left="0" w:right="0" w:firstLine="420"/>
        <w:jc w:val="left"/>
        <w:rPr>
          <w:sz w:val="17"/>
          <w:szCs w:val="17"/>
        </w:rPr>
      </w:pPr>
      <w:bookmarkStart w:id="1080" w:name="bookmark1080"/>
      <w:bookmarkStart w:id="1081" w:name="bookmark1081"/>
      <w:bookmarkStart w:id="1082" w:name="bookmark1082"/>
      <w:r>
        <w:rPr>
          <w:rFonts w:ascii="Arial Narrow" w:eastAsia="Arial Narrow" w:hAnsi="Arial Narrow" w:cs="Arial Narrow"/>
          <w:color w:val="000000"/>
          <w:spacing w:val="0"/>
          <w:w w:val="100"/>
          <w:position w:val="0"/>
          <w:sz w:val="18"/>
          <w:szCs w:val="18"/>
        </w:rPr>
        <w:t>22</w:t>
      </w:r>
      <w:r>
        <w:rPr>
          <w:color w:val="000000"/>
          <w:spacing w:val="0"/>
          <w:w w:val="100"/>
          <w:position w:val="0"/>
          <w:sz w:val="17"/>
          <w:szCs w:val="17"/>
        </w:rPr>
        <w:t>、递延所得税资产和递延所得税负债</w:t>
      </w:r>
      <w:bookmarkEnd w:id="1080"/>
      <w:bookmarkEnd w:id="1081"/>
      <w:bookmarkEnd w:id="1082"/>
      <w:r>
        <w:br w:type="page"/>
      </w:r>
    </w:p>
    <w:p>
      <w:pPr>
        <w:pStyle w:val="Style24"/>
        <w:keepNext w:val="0"/>
        <w:keepLines w:val="0"/>
        <w:widowControl w:val="0"/>
        <w:shd w:val="clear" w:color="auto" w:fill="auto"/>
        <w:bidi w:val="0"/>
        <w:spacing w:before="0" w:after="0" w:line="240" w:lineRule="auto"/>
        <w:ind w:left="437"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)未经抵消的递延所得税资产</w:t>
      </w:r>
    </w:p>
    <w:tbl>
      <w:tblPr>
        <w:tblOverlap w:val="never"/>
        <w:jc w:val="center"/>
        <w:tblLayout w:type="fixed"/>
      </w:tblPr>
      <w:tblGrid>
        <w:gridCol w:w="2035"/>
        <w:gridCol w:w="1718"/>
        <w:gridCol w:w="1805"/>
        <w:gridCol w:w="1661"/>
        <w:gridCol w:w="1992"/>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可抵扣暂时性差异</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13,740,298.46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61,437,406.89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53,866,102.87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332,336,863.74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260,078.39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1,733,855.92</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477,665.27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1,910,661.07</w:t>
            </w:r>
          </w:p>
        </w:tc>
      </w:tr>
      <w:tr>
        <w:trPr>
          <w:trHeight w:val="78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内部交易形成的可抵扣</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暂时性差异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10,706,154.28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72,011,855.15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7,797,177.68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55,847,506.96</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递延收益差异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869,306.65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5,795,377.67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945,611.95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6,304,079.67</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非同一控制企业合并形 成递延所得税资产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67,385,607.87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269,542,431.48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71,220,700.53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284,882,802.12</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b/>
                <w:bCs/>
                <w:color w:val="000000"/>
                <w:spacing w:val="0"/>
                <w:w w:val="100"/>
                <w:position w:val="0"/>
                <w:sz w:val="18"/>
                <w:szCs w:val="18"/>
              </w:rPr>
              <w:t>92,701,367.26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b/>
                <w:bCs/>
                <w:color w:val="000000"/>
                <w:spacing w:val="0"/>
                <w:w w:val="100"/>
                <w:position w:val="0"/>
                <w:sz w:val="18"/>
                <w:szCs w:val="18"/>
              </w:rPr>
              <w:t>408,787,071.19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b/>
                <w:bCs/>
                <w:color w:val="000000"/>
                <w:spacing w:val="0"/>
                <w:w w:val="100"/>
                <w:position w:val="0"/>
                <w:sz w:val="18"/>
                <w:szCs w:val="18"/>
              </w:rPr>
              <w:t>134,567,336.69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b/>
                <w:bCs/>
                <w:color w:val="000000"/>
                <w:spacing w:val="0"/>
                <w:w w:val="100"/>
                <w:position w:val="0"/>
                <w:sz w:val="18"/>
                <w:szCs w:val="18"/>
              </w:rPr>
              <w:t>683,015,769.48</w:t>
            </w:r>
          </w:p>
        </w:tc>
      </w:tr>
      <w:tr>
        <w:trPr>
          <w:trHeight w:val="470" w:hRule="exact"/>
        </w:trPr>
        <w:tc>
          <w:tcPr>
            <w:gridSpan w:val="5"/>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)未经抵消的递延所得税负债</w:t>
            </w:r>
          </w:p>
        </w:tc>
      </w:tr>
      <w:tr>
        <w:trPr>
          <w:trHeight w:val="41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应纳税暂时性差异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应纳税暂时性差异</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其他权益工具公允价值 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693,820.56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2,775,282.24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可供出售金融资产公允</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717,839.34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2,871,357.37</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非同一控制下企业合并 资产评估增值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281,008,904.45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1,124,035,729.27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290,574,881.46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1,162,305,409.33</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折旧或摊销年限和税法 不一致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485,478.10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3,236,520.64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326,703.62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rFonts w:ascii="Arial Narrow" w:eastAsia="Arial Narrow" w:hAnsi="Arial Narrow" w:cs="Arial Narrow"/>
                <w:color w:val="000000"/>
                <w:spacing w:val="0"/>
                <w:w w:val="100"/>
                <w:position w:val="0"/>
                <w:sz w:val="18"/>
                <w:szCs w:val="18"/>
              </w:rPr>
              <w:t>2,178,024.12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内部交易未实现亏损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6,746,492.20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26,985,968.77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b/>
                <w:bCs/>
                <w:color w:val="000000"/>
                <w:spacing w:val="0"/>
                <w:w w:val="100"/>
                <w:position w:val="0"/>
                <w:sz w:val="18"/>
                <w:szCs w:val="18"/>
              </w:rPr>
              <w:t>288,934,695.31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b/>
                <w:bCs/>
                <w:color w:val="000000"/>
                <w:spacing w:val="0"/>
                <w:w w:val="100"/>
                <w:position w:val="0"/>
                <w:sz w:val="18"/>
                <w:szCs w:val="18"/>
              </w:rPr>
              <w:t>1,157,033,500.92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b/>
                <w:bCs/>
                <w:color w:val="000000"/>
                <w:spacing w:val="0"/>
                <w:w w:val="100"/>
                <w:position w:val="0"/>
                <w:sz w:val="18"/>
                <w:szCs w:val="18"/>
              </w:rPr>
              <w:t>291,619,424.42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b/>
                <w:bCs/>
                <w:color w:val="000000"/>
                <w:spacing w:val="0"/>
                <w:w w:val="100"/>
                <w:position w:val="0"/>
                <w:sz w:val="18"/>
                <w:szCs w:val="18"/>
              </w:rPr>
              <w:t>1,167,354,790.82</w:t>
            </w:r>
          </w:p>
        </w:tc>
      </w:tr>
    </w:tbl>
    <w:p>
      <w:pPr>
        <w:widowControl w:val="0"/>
        <w:spacing w:after="1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437"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3</w:t>
      </w:r>
      <w:r>
        <w:rPr>
          <w:color w:val="000000"/>
          <w:spacing w:val="0"/>
          <w:w w:val="100"/>
          <w:position w:val="0"/>
        </w:rPr>
        <w:t>)未确认递延所得税资产明细</w:t>
      </w:r>
    </w:p>
    <w:tbl>
      <w:tblPr>
        <w:tblOverlap w:val="never"/>
        <w:jc w:val="center"/>
        <w:tblLayout w:type="fixed"/>
      </w:tblPr>
      <w:tblGrid>
        <w:gridCol w:w="3480"/>
        <w:gridCol w:w="2837"/>
        <w:gridCol w:w="2894"/>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1,164,913,096.83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202,840,061.31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905,303,626.67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391,203,830.53</w:t>
            </w: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2,070,216,723.50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594,043,891.84</w:t>
            </w:r>
          </w:p>
        </w:tc>
      </w:tr>
    </w:tbl>
    <w:p>
      <w:pPr>
        <w:widowControl w:val="0"/>
        <w:spacing w:after="279" w:line="1" w:lineRule="exact"/>
      </w:pPr>
    </w:p>
    <w:p>
      <w:pPr>
        <w:pStyle w:val="Style26"/>
        <w:keepNext w:val="0"/>
        <w:keepLines w:val="0"/>
        <w:widowControl w:val="0"/>
        <w:shd w:val="clear" w:color="auto" w:fill="auto"/>
        <w:bidi w:val="0"/>
        <w:spacing w:before="0" w:after="280" w:line="240" w:lineRule="auto"/>
        <w:ind w:left="0" w:right="0" w:firstLine="860"/>
        <w:jc w:val="left"/>
      </w:pPr>
      <w:r>
        <w:rPr>
          <w:color w:val="000000"/>
          <w:spacing w:val="0"/>
          <w:w w:val="100"/>
          <w:position w:val="0"/>
        </w:rPr>
        <w:t>注：预计可抵扣暂时性差异未来无法转回，根据谨慎性原则未确认递延所得税资产。</w:t>
      </w:r>
    </w:p>
    <w:p>
      <w:pPr>
        <w:pStyle w:val="Style26"/>
        <w:keepNext w:val="0"/>
        <w:keepLines w:val="0"/>
        <w:widowControl w:val="0"/>
        <w:shd w:val="clear" w:color="auto" w:fill="auto"/>
        <w:bidi w:val="0"/>
        <w:spacing w:before="0" w:after="180" w:line="240" w:lineRule="auto"/>
        <w:ind w:left="0" w:right="0" w:firstLine="86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4</w:t>
      </w:r>
      <w:r>
        <w:rPr>
          <w:color w:val="000000"/>
          <w:spacing w:val="0"/>
          <w:w w:val="100"/>
          <w:position w:val="0"/>
        </w:rPr>
        <w:t>)未确认递延所得税资产的可抵扣亏损将于以下年度到期</w:t>
      </w:r>
    </w:p>
    <w:p>
      <w:pPr>
        <w:pStyle w:val="Style81"/>
        <w:keepNext w:val="0"/>
        <w:keepLines w:val="0"/>
        <w:widowControl w:val="0"/>
        <w:shd w:val="clear" w:color="auto" w:fill="auto"/>
        <w:tabs>
          <w:tab w:pos="4936" w:val="left"/>
          <w:tab w:pos="7830" w:val="left"/>
        </w:tabs>
        <w:bidi w:val="0"/>
        <w:spacing w:before="0" w:after="220" w:line="240" w:lineRule="auto"/>
        <w:ind w:left="1960" w:right="0" w:firstLine="0"/>
        <w:jc w:val="left"/>
      </w:pPr>
      <w:r>
        <w:rPr>
          <w:rFonts w:ascii="SimSun" w:eastAsia="SimSun" w:hAnsi="SimSun" w:cs="SimSun"/>
          <w:b/>
          <w:bCs/>
          <w:color w:val="000000"/>
          <w:spacing w:val="0"/>
          <w:w w:val="100"/>
          <w:position w:val="0"/>
          <w:sz w:val="17"/>
          <w:szCs w:val="17"/>
        </w:rPr>
        <w:t>年份</w:t>
        <w:tab/>
      </w:r>
      <w:r>
        <w:rPr>
          <w:b/>
          <w:bCs/>
          <w:color w:val="000000"/>
          <w:spacing w:val="0"/>
          <w:w w:val="100"/>
          <w:position w:val="0"/>
        </w:rPr>
        <w:t>2019.12.31</w:t>
        <w:tab/>
        <w:t>2018.12.31</w:t>
      </w:r>
      <w:r>
        <w:br w:type="page"/>
      </w:r>
    </w:p>
    <w:tbl>
      <w:tblPr>
        <w:tblOverlap w:val="never"/>
        <w:jc w:val="center"/>
        <w:tblLayout w:type="fixed"/>
      </w:tblPr>
      <w:tblGrid>
        <w:gridCol w:w="3576"/>
        <w:gridCol w:w="2818"/>
        <w:gridCol w:w="2971"/>
      </w:tblGrid>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34,986,375.94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20,517,837.76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43,023,315.84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176,696,143.37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104,447,073.60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64,371,881.10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105,216,086.12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95,546,583.31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103,530,979.03</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548,171,181.13</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905,303,626.67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391,203,830.53</w:t>
            </w:r>
          </w:p>
        </w:tc>
      </w:tr>
      <w:tr>
        <w:trPr>
          <w:trHeight w:val="528" w:hRule="exact"/>
        </w:trPr>
        <w:tc>
          <w:tcPr>
            <w:gridSpan w:val="3"/>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17"/>
                <w:szCs w:val="17"/>
              </w:rPr>
            </w:pPr>
            <w:bookmarkStart w:id="1083" w:name="bookmark1083"/>
            <w:r>
              <w:rPr>
                <w:rFonts w:ascii="Arial Narrow" w:eastAsia="Arial Narrow" w:hAnsi="Arial Narrow" w:cs="Arial Narrow"/>
                <w:b/>
                <w:bCs/>
                <w:color w:val="000000"/>
                <w:spacing w:val="0"/>
                <w:w w:val="100"/>
                <w:position w:val="0"/>
                <w:sz w:val="18"/>
                <w:szCs w:val="18"/>
              </w:rPr>
              <w:t>23</w:t>
            </w:r>
            <w:r>
              <w:rPr>
                <w:rFonts w:ascii="SimSun" w:eastAsia="SimSun" w:hAnsi="SimSun" w:cs="SimSun"/>
                <w:b/>
                <w:bCs/>
                <w:color w:val="000000"/>
                <w:spacing w:val="0"/>
                <w:w w:val="100"/>
                <w:position w:val="0"/>
                <w:sz w:val="17"/>
                <w:szCs w:val="17"/>
              </w:rPr>
              <w:t>、其他非流动资产</w:t>
            </w:r>
            <w:bookmarkEnd w:id="1083"/>
          </w:p>
        </w:tc>
      </w:tr>
      <w:tr>
        <w:trPr>
          <w:trHeight w:val="33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预付土地及补偿款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43,861,409.15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47,168,409.50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w:t>
            </w:r>
            <w:r>
              <w:rPr>
                <w:rFonts w:ascii="Arial Narrow" w:eastAsia="Arial Narrow" w:hAnsi="Arial Narrow" w:cs="Arial Narrow"/>
                <w:color w:val="000000"/>
                <w:spacing w:val="0"/>
                <w:w w:val="100"/>
                <w:position w:val="0"/>
                <w:sz w:val="18"/>
                <w:szCs w:val="18"/>
              </w:rPr>
              <w:t>EPC</w:t>
            </w:r>
            <w:r>
              <w:rPr>
                <w:rFonts w:ascii="SimSun" w:eastAsia="SimSun" w:hAnsi="SimSun" w:cs="SimSun"/>
                <w:color w:val="000000"/>
                <w:spacing w:val="0"/>
                <w:w w:val="100"/>
                <w:position w:val="0"/>
                <w:sz w:val="17"/>
                <w:szCs w:val="17"/>
              </w:rPr>
              <w:t>工程款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3,400,482,193.86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2,716,911,081.44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预付投资款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1,000,123,260.37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401,212,623.85</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4,444,466,863.38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3,165,292,114.79</w:t>
            </w:r>
          </w:p>
        </w:tc>
      </w:tr>
    </w:tbl>
    <w:p>
      <w:pPr>
        <w:widowControl w:val="0"/>
        <w:spacing w:after="23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389" w:right="0" w:firstLine="0"/>
        <w:jc w:val="left"/>
      </w:pPr>
      <w:r>
        <w:rPr>
          <w:color w:val="000000"/>
          <w:spacing w:val="0"/>
          <w:w w:val="100"/>
          <w:position w:val="0"/>
        </w:rPr>
        <w:t>注：期末预付</w:t>
      </w:r>
      <w:r>
        <w:rPr>
          <w:rFonts w:ascii="Arial Narrow" w:eastAsia="Arial Narrow" w:hAnsi="Arial Narrow" w:cs="Arial Narrow"/>
          <w:color w:val="000000"/>
          <w:spacing w:val="0"/>
          <w:w w:val="100"/>
          <w:position w:val="0"/>
          <w:sz w:val="18"/>
          <w:szCs w:val="18"/>
        </w:rPr>
        <w:t>EPC</w:t>
      </w:r>
      <w:r>
        <w:rPr>
          <w:color w:val="000000"/>
          <w:spacing w:val="0"/>
          <w:w w:val="100"/>
          <w:position w:val="0"/>
        </w:rPr>
        <w:t>工程款主要为光伏电站项目根据合同预付的</w:t>
      </w:r>
      <w:r>
        <w:rPr>
          <w:rFonts w:ascii="Arial Narrow" w:eastAsia="Arial Narrow" w:hAnsi="Arial Narrow" w:cs="Arial Narrow"/>
          <w:color w:val="000000"/>
          <w:spacing w:val="0"/>
          <w:w w:val="100"/>
          <w:position w:val="0"/>
          <w:sz w:val="18"/>
          <w:szCs w:val="18"/>
        </w:rPr>
        <w:t>EPC</w:t>
      </w:r>
      <w:r>
        <w:rPr>
          <w:color w:val="000000"/>
          <w:spacing w:val="0"/>
          <w:w w:val="100"/>
          <w:position w:val="0"/>
        </w:rPr>
        <w:t>工程款，预付投资款主要为已预付的</w:t>
      </w:r>
      <w:r>
        <w:rPr>
          <w:rFonts w:ascii="Arial Narrow" w:eastAsia="Arial Narrow" w:hAnsi="Arial Narrow" w:cs="Arial Narrow"/>
          <w:color w:val="000000"/>
          <w:spacing w:val="0"/>
          <w:w w:val="100"/>
          <w:position w:val="0"/>
          <w:sz w:val="18"/>
          <w:szCs w:val="18"/>
        </w:rPr>
        <w:t>PPP</w:t>
      </w:r>
      <w:r>
        <w:rPr>
          <w:color w:val="000000"/>
          <w:spacing w:val="0"/>
          <w:w w:val="100"/>
          <w:position w:val="0"/>
        </w:rPr>
        <w:t>项目公司</w:t>
      </w:r>
    </w:p>
    <w:tbl>
      <w:tblPr>
        <w:tblOverlap w:val="never"/>
        <w:jc w:val="center"/>
        <w:tblLayout w:type="fixed"/>
      </w:tblPr>
      <w:tblGrid>
        <w:gridCol w:w="3269"/>
        <w:gridCol w:w="3106"/>
        <w:gridCol w:w="2899"/>
      </w:tblGrid>
      <w:tr>
        <w:trPr>
          <w:trHeight w:val="1104" w:hRule="exact"/>
        </w:trPr>
        <w:tc>
          <w:tcPr>
            <w:gridSpan w:val="3"/>
            <w:tcBorders/>
            <w:shd w:val="clear" w:color="auto" w:fill="FFFFFF"/>
            <w:vAlign w:val="top"/>
          </w:tcPr>
          <w:p>
            <w:pPr>
              <w:pStyle w:val="Style19"/>
              <w:keepNext w:val="0"/>
              <w:keepLines w:val="0"/>
              <w:widowControl w:val="0"/>
              <w:shd w:val="clear" w:color="auto" w:fill="auto"/>
              <w:bidi w:val="0"/>
              <w:spacing w:before="0" w:after="260" w:line="240" w:lineRule="auto"/>
              <w:ind w:left="0" w:right="0" w:firstLine="0"/>
              <w:jc w:val="left"/>
              <w:rPr>
                <w:sz w:val="17"/>
                <w:szCs w:val="17"/>
              </w:rPr>
            </w:pPr>
            <w:r>
              <w:rPr>
                <w:rFonts w:ascii="SimSun" w:eastAsia="SimSun" w:hAnsi="SimSun" w:cs="SimSun"/>
                <w:color w:val="000000"/>
                <w:spacing w:val="0"/>
                <w:w w:val="100"/>
                <w:position w:val="0"/>
                <w:sz w:val="17"/>
                <w:szCs w:val="17"/>
              </w:rPr>
              <w:t>投资款及股权收购款。</w:t>
            </w:r>
          </w:p>
          <w:p>
            <w:pPr>
              <w:pStyle w:val="Style19"/>
              <w:keepNext w:val="0"/>
              <w:keepLines w:val="0"/>
              <w:widowControl w:val="0"/>
              <w:shd w:val="clear" w:color="auto" w:fill="auto"/>
              <w:bidi w:val="0"/>
              <w:spacing w:before="0" w:after="100" w:line="240" w:lineRule="auto"/>
              <w:ind w:left="0" w:right="0" w:firstLine="460"/>
              <w:jc w:val="left"/>
              <w:rPr>
                <w:sz w:val="20"/>
                <w:szCs w:val="20"/>
              </w:rPr>
            </w:pPr>
            <w:bookmarkStart w:id="1084" w:name="bookmark1084"/>
            <w:r>
              <w:rPr>
                <w:rFonts w:ascii="Arial Narrow" w:eastAsia="Arial Narrow" w:hAnsi="Arial Narrow" w:cs="Arial Narrow"/>
                <w:b/>
                <w:bCs/>
                <w:color w:val="000000"/>
                <w:spacing w:val="0"/>
                <w:w w:val="100"/>
                <w:position w:val="0"/>
                <w:sz w:val="20"/>
                <w:szCs w:val="20"/>
              </w:rPr>
              <w:t>24</w:t>
            </w:r>
            <w:r>
              <w:rPr>
                <w:rFonts w:ascii="SimSun" w:eastAsia="SimSun" w:hAnsi="SimSun" w:cs="SimSun"/>
                <w:b/>
                <w:bCs/>
                <w:color w:val="000000"/>
                <w:spacing w:val="0"/>
                <w:w w:val="100"/>
                <w:position w:val="0"/>
                <w:sz w:val="20"/>
                <w:szCs w:val="20"/>
              </w:rPr>
              <w:t>、短期借款</w:t>
            </w:r>
            <w:bookmarkEnd w:id="1084"/>
          </w:p>
          <w:p>
            <w:pPr>
              <w:pStyle w:val="Style19"/>
              <w:keepNext w:val="0"/>
              <w:keepLines w:val="0"/>
              <w:widowControl w:val="0"/>
              <w:shd w:val="clear" w:color="auto" w:fill="auto"/>
              <w:bidi w:val="0"/>
              <w:spacing w:before="0" w:after="180" w:line="240" w:lineRule="auto"/>
              <w:ind w:left="0" w:right="0" w:firstLine="40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）短期借款分类</w:t>
            </w:r>
          </w:p>
        </w:tc>
      </w:tr>
      <w:tr>
        <w:trPr>
          <w:trHeight w:val="41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保证加抵押加质押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192,520,000.00</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895,170,987.44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1,260,000,000.00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质押加保证借款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30,000,000.00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抵押加保证借款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1,350,000,000.00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1,200,000,000.00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220,000,000.00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15,088,522.68</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2,590,779,510.12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2,710,000,000.00</w:t>
            </w:r>
          </w:p>
        </w:tc>
      </w:tr>
    </w:tbl>
    <w:p>
      <w:pPr>
        <w:pStyle w:val="Style26"/>
        <w:keepNext w:val="0"/>
        <w:keepLines w:val="0"/>
        <w:widowControl w:val="0"/>
        <w:shd w:val="clear" w:color="auto" w:fill="auto"/>
        <w:bidi w:val="0"/>
        <w:spacing w:before="0" w:after="0" w:line="362" w:lineRule="exact"/>
        <w:ind w:left="0" w:right="0" w:firstLine="500"/>
        <w:jc w:val="both"/>
      </w:pPr>
      <w:r>
        <w:rPr>
          <w:color w:val="000000"/>
          <w:spacing w:val="0"/>
          <w:w w:val="100"/>
          <w:position w:val="0"/>
        </w:rPr>
        <w:t>注</w:t>
      </w:r>
      <w:r>
        <w:rPr>
          <w:rFonts w:ascii="Arial Narrow" w:eastAsia="Arial Narrow" w:hAnsi="Arial Narrow" w:cs="Arial Narrow"/>
          <w:color w:val="000000"/>
          <w:spacing w:val="0"/>
          <w:w w:val="100"/>
          <w:position w:val="0"/>
          <w:sz w:val="18"/>
          <w:szCs w:val="18"/>
        </w:rPr>
        <w:t>1</w:t>
      </w:r>
      <w:r>
        <w:rPr>
          <w:color w:val="000000"/>
          <w:spacing w:val="0"/>
          <w:w w:val="100"/>
          <w:position w:val="0"/>
        </w:rPr>
        <w:t>:抵押借款的抵押资产类别以及金额，参见附注五、</w:t>
      </w:r>
      <w:r>
        <w:rPr>
          <w:rFonts w:ascii="Arial Narrow" w:eastAsia="Arial Narrow" w:hAnsi="Arial Narrow" w:cs="Arial Narrow"/>
          <w:color w:val="000000"/>
          <w:spacing w:val="0"/>
          <w:w w:val="100"/>
          <w:position w:val="0"/>
          <w:sz w:val="18"/>
          <w:szCs w:val="18"/>
        </w:rPr>
        <w:t>59</w:t>
      </w:r>
      <w:r>
        <w:rPr>
          <w:color w:val="000000"/>
          <w:spacing w:val="0"/>
          <w:w w:val="100"/>
          <w:position w:val="0"/>
        </w:rPr>
        <w:t>。</w:t>
      </w:r>
    </w:p>
    <w:p>
      <w:pPr>
        <w:pStyle w:val="Style26"/>
        <w:keepNext w:val="0"/>
        <w:keepLines w:val="0"/>
        <w:widowControl w:val="0"/>
        <w:shd w:val="clear" w:color="auto" w:fill="auto"/>
        <w:bidi w:val="0"/>
        <w:spacing w:before="0" w:after="0" w:line="403" w:lineRule="exact"/>
        <w:ind w:left="0" w:right="0" w:firstLine="500"/>
        <w:jc w:val="both"/>
      </w:pPr>
      <w:r>
        <w:rPr>
          <w:color w:val="000000"/>
          <w:spacing w:val="0"/>
          <w:w w:val="100"/>
          <w:position w:val="0"/>
        </w:rPr>
        <w:t>注</w:t>
      </w:r>
      <w:r>
        <w:rPr>
          <w:rFonts w:ascii="Arial Narrow" w:eastAsia="Arial Narrow" w:hAnsi="Arial Narrow" w:cs="Arial Narrow"/>
          <w:color w:val="000000"/>
          <w:spacing w:val="0"/>
          <w:w w:val="100"/>
          <w:position w:val="0"/>
          <w:sz w:val="18"/>
          <w:szCs w:val="18"/>
        </w:rPr>
        <w:t>2</w:t>
      </w:r>
      <w:r>
        <w:rPr>
          <w:color w:val="000000"/>
          <w:spacing w:val="0"/>
          <w:w w:val="100"/>
          <w:position w:val="0"/>
        </w:rPr>
        <w:t>：本期短期借款中的保证借款均为本公司、控股股东东旭集团、李青及实际控制人李兆廷提供担保，东旭集团、李 兆廷及李青提供担保情况参见本附注十、</w:t>
      </w:r>
      <w:r>
        <w:rPr>
          <w:rFonts w:ascii="Arial Narrow" w:eastAsia="Arial Narrow" w:hAnsi="Arial Narrow" w:cs="Arial Narrow"/>
          <w:color w:val="000000"/>
          <w:spacing w:val="0"/>
          <w:w w:val="100"/>
          <w:position w:val="0"/>
          <w:sz w:val="18"/>
          <w:szCs w:val="18"/>
        </w:rPr>
        <w:t>5</w:t>
      </w:r>
      <w:r>
        <w:rPr>
          <w:color w:val="000000"/>
          <w:spacing w:val="0"/>
          <w:w w:val="100"/>
          <w:position w:val="0"/>
        </w:rPr>
        <w:t>。</w:t>
      </w:r>
    </w:p>
    <w:p>
      <w:pPr>
        <w:pStyle w:val="Style26"/>
        <w:keepNext w:val="0"/>
        <w:keepLines w:val="0"/>
        <w:widowControl w:val="0"/>
        <w:shd w:val="clear" w:color="auto" w:fill="auto"/>
        <w:bidi w:val="0"/>
        <w:spacing w:before="0" w:after="0" w:line="362" w:lineRule="exact"/>
        <w:ind w:left="0" w:right="0" w:firstLine="500"/>
        <w:jc w:val="both"/>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）已逾期未偿还的短期借款情况</w:t>
      </w:r>
    </w:p>
    <w:p>
      <w:pPr>
        <w:pStyle w:val="Style26"/>
        <w:keepNext w:val="0"/>
        <w:keepLines w:val="0"/>
        <w:widowControl w:val="0"/>
        <w:shd w:val="clear" w:color="auto" w:fill="auto"/>
        <w:bidi w:val="0"/>
        <w:spacing w:before="0" w:after="0" w:line="322" w:lineRule="exact"/>
        <w:ind w:left="0" w:right="0" w:firstLine="500"/>
        <w:jc w:val="both"/>
      </w:pPr>
      <w:r>
        <w:rPr>
          <w:color w:val="000000"/>
          <w:spacing w:val="0"/>
          <w:w w:val="100"/>
          <w:position w:val="0"/>
        </w:rPr>
        <w:t>截止到</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日，已逾期未偿还的短期借款总额为</w:t>
      </w:r>
      <w:r>
        <w:rPr>
          <w:rFonts w:ascii="Arial Narrow" w:eastAsia="Arial Narrow" w:hAnsi="Arial Narrow" w:cs="Arial Narrow"/>
          <w:color w:val="000000"/>
          <w:spacing w:val="0"/>
          <w:w w:val="100"/>
          <w:position w:val="0"/>
          <w:sz w:val="18"/>
          <w:szCs w:val="18"/>
        </w:rPr>
        <w:t>106,120,987.44</w:t>
      </w:r>
      <w:r>
        <w:rPr>
          <w:color w:val="000000"/>
          <w:spacing w:val="0"/>
          <w:w w:val="100"/>
          <w:position w:val="0"/>
        </w:rPr>
        <w:t>元，其中重要的已逾期未偿还的短期借款情 况如下：</w:t>
      </w:r>
      <w:r>
        <w:br w:type="page"/>
      </w:r>
    </w:p>
    <w:tbl>
      <w:tblPr>
        <w:tblOverlap w:val="never"/>
        <w:jc w:val="center"/>
        <w:tblLayout w:type="fixed"/>
      </w:tblPr>
      <w:tblGrid>
        <w:gridCol w:w="2909"/>
        <w:gridCol w:w="1843"/>
        <w:gridCol w:w="1363"/>
        <w:gridCol w:w="1594"/>
        <w:gridCol w:w="1589"/>
      </w:tblGrid>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借款单位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借款期末金额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借款利率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逾期时间（天）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逾期利率</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盛京银行天津分行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106,120,987.44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12.00%</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b/>
                <w:bCs/>
                <w:color w:val="000000"/>
                <w:spacing w:val="0"/>
                <w:w w:val="100"/>
                <w:position w:val="0"/>
                <w:sz w:val="18"/>
                <w:szCs w:val="18"/>
              </w:rPr>
              <w:t>106,120,987.44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33"/>
        <w:keepNext w:val="0"/>
        <w:keepLines w:val="0"/>
        <w:widowControl w:val="0"/>
        <w:shd w:val="clear" w:color="auto" w:fill="auto"/>
        <w:bidi w:val="0"/>
        <w:spacing w:before="0" w:after="300" w:line="240" w:lineRule="auto"/>
        <w:ind w:left="0" w:right="0" w:firstLine="560"/>
        <w:jc w:val="left"/>
      </w:pPr>
      <w:r>
        <w:rPr>
          <w:color w:val="000000"/>
          <w:spacing w:val="0"/>
          <w:w w:val="100"/>
          <w:position w:val="0"/>
        </w:rPr>
        <w:t>注：短期借款逾期利息情况见附注五、</w:t>
      </w:r>
      <w:r>
        <w:rPr>
          <w:b/>
          <w:bCs/>
          <w:color w:val="000000"/>
          <w:spacing w:val="0"/>
          <w:w w:val="100"/>
          <w:position w:val="0"/>
        </w:rPr>
        <w:t>30</w:t>
      </w:r>
      <w:r>
        <w:rPr>
          <w:color w:val="000000"/>
          <w:spacing w:val="0"/>
          <w:w w:val="100"/>
          <w:position w:val="0"/>
        </w:rPr>
        <w:t>（</w:t>
      </w:r>
      <w:r>
        <w:rPr>
          <w:b/>
          <w:bCs/>
          <w:color w:val="000000"/>
          <w:spacing w:val="0"/>
          <w:w w:val="100"/>
          <w:position w:val="0"/>
        </w:rPr>
        <w:t>1</w:t>
      </w:r>
      <w:r>
        <w:rPr>
          <w:color w:val="000000"/>
          <w:spacing w:val="0"/>
          <w:w w:val="100"/>
          <w:position w:val="0"/>
        </w:rPr>
        <w:t>）</w:t>
      </w:r>
    </w:p>
    <w:p>
      <w:pPr>
        <w:pStyle w:val="Style22"/>
        <w:keepNext/>
        <w:keepLines/>
        <w:widowControl w:val="0"/>
        <w:shd w:val="clear" w:color="auto" w:fill="auto"/>
        <w:bidi w:val="0"/>
        <w:spacing w:before="0" w:after="300" w:line="240" w:lineRule="auto"/>
        <w:ind w:left="0" w:right="0" w:firstLine="560"/>
        <w:jc w:val="left"/>
        <w:rPr>
          <w:sz w:val="20"/>
          <w:szCs w:val="20"/>
        </w:rPr>
      </w:pPr>
      <w:bookmarkStart w:id="1085" w:name="bookmark1085"/>
      <w:bookmarkStart w:id="1086" w:name="bookmark1086"/>
      <w:bookmarkStart w:id="1087" w:name="bookmark1087"/>
      <w:bookmarkStart w:id="1088" w:name="bookmark1088"/>
      <w:r>
        <w:rPr>
          <w:rFonts w:ascii="Arial Narrow" w:eastAsia="Arial Narrow" w:hAnsi="Arial Narrow" w:cs="Arial Narrow"/>
          <w:color w:val="000000"/>
          <w:spacing w:val="0"/>
          <w:w w:val="100"/>
          <w:position w:val="0"/>
          <w:sz w:val="20"/>
          <w:szCs w:val="20"/>
        </w:rPr>
        <w:t>2</w:t>
      </w:r>
      <w:bookmarkEnd w:id="1087"/>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、应付票据</w:t>
      </w:r>
      <w:bookmarkEnd w:id="1085"/>
      <w:bookmarkEnd w:id="1086"/>
      <w:bookmarkEnd w:id="1088"/>
    </w:p>
    <w:p>
      <w:pPr>
        <w:pStyle w:val="Style24"/>
        <w:keepNext w:val="0"/>
        <w:keepLines w:val="0"/>
        <w:widowControl w:val="0"/>
        <w:shd w:val="clear" w:color="auto" w:fill="auto"/>
        <w:bidi w:val="0"/>
        <w:spacing w:before="0" w:after="0" w:line="240" w:lineRule="auto"/>
        <w:ind w:left="374" w:right="0" w:firstLine="0"/>
        <w:jc w:val="left"/>
      </w:pPr>
      <w:r>
        <w:rPr>
          <w:color w:val="000000"/>
          <w:spacing w:val="0"/>
          <w:w w:val="100"/>
          <w:position w:val="0"/>
        </w:rPr>
        <w:t>应付票据分类列示：</w:t>
      </w:r>
    </w:p>
    <w:tbl>
      <w:tblPr>
        <w:tblOverlap w:val="never"/>
        <w:jc w:val="center"/>
        <w:tblLayout w:type="fixed"/>
      </w:tblPr>
      <w:tblGrid>
        <w:gridCol w:w="3437"/>
        <w:gridCol w:w="2837"/>
        <w:gridCol w:w="2971"/>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84,470,000.00</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49,619,917.50</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49,619,917.50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84,470,000.00</w:t>
            </w:r>
          </w:p>
        </w:tc>
      </w:tr>
    </w:tbl>
    <w:p>
      <w:pPr>
        <w:widowControl w:val="0"/>
        <w:spacing w:after="219" w:line="1" w:lineRule="exact"/>
      </w:pPr>
    </w:p>
    <w:p>
      <w:pPr>
        <w:pStyle w:val="Style26"/>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注：本期末无已到期未支付的应付票据。</w:t>
      </w:r>
    </w:p>
    <w:p>
      <w:pPr>
        <w:pStyle w:val="Style22"/>
        <w:keepNext/>
        <w:keepLines/>
        <w:widowControl w:val="0"/>
        <w:shd w:val="clear" w:color="auto" w:fill="auto"/>
        <w:bidi w:val="0"/>
        <w:spacing w:before="0" w:after="300" w:line="240" w:lineRule="auto"/>
        <w:ind w:left="0" w:right="0" w:firstLine="560"/>
        <w:jc w:val="left"/>
        <w:rPr>
          <w:sz w:val="20"/>
          <w:szCs w:val="20"/>
        </w:rPr>
      </w:pPr>
      <w:bookmarkStart w:id="1089" w:name="bookmark1089"/>
      <w:bookmarkStart w:id="1090" w:name="bookmark1090"/>
      <w:bookmarkStart w:id="1091" w:name="bookmark1091"/>
      <w:bookmarkStart w:id="1092" w:name="bookmark1092"/>
      <w:r>
        <w:rPr>
          <w:rFonts w:ascii="Arial Narrow" w:eastAsia="Arial Narrow" w:hAnsi="Arial Narrow" w:cs="Arial Narrow"/>
          <w:color w:val="000000"/>
          <w:spacing w:val="0"/>
          <w:w w:val="100"/>
          <w:position w:val="0"/>
          <w:sz w:val="20"/>
          <w:szCs w:val="20"/>
        </w:rPr>
        <w:t>2</w:t>
      </w:r>
      <w:bookmarkEnd w:id="1091"/>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、应付账款</w:t>
      </w:r>
      <w:bookmarkEnd w:id="1089"/>
      <w:bookmarkEnd w:id="1090"/>
      <w:bookmarkEnd w:id="1092"/>
    </w:p>
    <w:p>
      <w:pPr>
        <w:pStyle w:val="Style33"/>
        <w:keepNext w:val="0"/>
        <w:keepLines w:val="0"/>
        <w:widowControl w:val="0"/>
        <w:shd w:val="clear" w:color="auto" w:fill="auto"/>
        <w:bidi w:val="0"/>
        <w:spacing w:before="0" w:after="80" w:line="240" w:lineRule="auto"/>
        <w:ind w:left="0" w:right="0" w:firstLine="560"/>
        <w:jc w:val="left"/>
        <w:rPr>
          <w:sz w:val="19"/>
          <w:szCs w:val="19"/>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19"/>
          <w:szCs w:val="19"/>
        </w:rPr>
        <w:t>应付账款列示</w:t>
      </w:r>
    </w:p>
    <w:tbl>
      <w:tblPr>
        <w:tblOverlap w:val="never"/>
        <w:jc w:val="center"/>
        <w:tblLayout w:type="fixed"/>
      </w:tblPr>
      <w:tblGrid>
        <w:gridCol w:w="3480"/>
        <w:gridCol w:w="2837"/>
        <w:gridCol w:w="2894"/>
      </w:tblGrid>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应付及暂估材料设备工程款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3,290,599,886.06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4,270,778,749.06</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应付采购及劳务款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727,862,316.53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908,235,303.11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应付地价款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23,662,323.20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28,409,164.26</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4,712,072.42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3,660,428.64</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4,046,836,598.21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5,211,083,645.07</w:t>
            </w:r>
          </w:p>
        </w:tc>
      </w:tr>
    </w:tbl>
    <w:p>
      <w:pPr>
        <w:widowControl w:val="0"/>
        <w:spacing w:after="219" w:line="1" w:lineRule="exact"/>
      </w:pPr>
    </w:p>
    <w:p>
      <w:pPr>
        <w:pStyle w:val="Style26"/>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注：本期期末较期初减少主要为新能源、生态环保业务应付工程采购款减少。</w:t>
      </w:r>
    </w:p>
    <w:p>
      <w:pPr>
        <w:pStyle w:val="Style24"/>
        <w:keepNext w:val="0"/>
        <w:keepLines w:val="0"/>
        <w:widowControl w:val="0"/>
        <w:shd w:val="clear" w:color="auto" w:fill="auto"/>
        <w:bidi w:val="0"/>
        <w:spacing w:before="0" w:after="0" w:line="240" w:lineRule="auto"/>
        <w:ind w:left="485"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2</w:t>
      </w:r>
      <w:r>
        <w:rPr>
          <w:color w:val="000000"/>
          <w:spacing w:val="0"/>
          <w:w w:val="100"/>
          <w:position w:val="0"/>
        </w:rPr>
        <w:t>）账龄超过</w:t>
      </w:r>
      <w:r>
        <w:rPr>
          <w:rFonts w:ascii="Arial Narrow" w:eastAsia="Arial Narrow" w:hAnsi="Arial Narrow" w:cs="Arial Narrow"/>
          <w:color w:val="000000"/>
          <w:spacing w:val="0"/>
          <w:w w:val="100"/>
          <w:position w:val="0"/>
          <w:sz w:val="18"/>
          <w:szCs w:val="18"/>
        </w:rPr>
        <w:t>1</w:t>
      </w:r>
      <w:r>
        <w:rPr>
          <w:color w:val="000000"/>
          <w:spacing w:val="0"/>
          <w:w w:val="100"/>
          <w:position w:val="0"/>
        </w:rPr>
        <w:t>年的重要应付账款</w:t>
      </w:r>
    </w:p>
    <w:tbl>
      <w:tblPr>
        <w:tblOverlap w:val="never"/>
        <w:jc w:val="center"/>
        <w:tblLayout w:type="fixed"/>
      </w:tblPr>
      <w:tblGrid>
        <w:gridCol w:w="4541"/>
        <w:gridCol w:w="1848"/>
        <w:gridCol w:w="3533"/>
      </w:tblGrid>
      <w:tr>
        <w:trPr>
          <w:trHeight w:val="46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未偿还或结转的原因</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东旭建设集团有限公司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265,435,552.19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东方日升新能源股份有限公司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158,664,915.00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四川北控清洁能源工程有限公司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154,203,627.64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中建材浚鑫科技有限公司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113,452,835.62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东方日升（宁波）电力开发有限公司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113,137,503.24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青岛城投国际贸易有限公司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83,392,880.00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苏州腾晖光伏技术有限公司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70,497,650.45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4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四川雄州天府园林景观工程有限公司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45,180,632.31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bl>
    <w:p>
      <w:pPr>
        <w:widowControl w:val="0"/>
        <w:spacing w:line="1" w:lineRule="exact"/>
      </w:pPr>
      <w:r>
        <w:br w:type="page"/>
      </w:r>
    </w:p>
    <w:tbl>
      <w:tblPr>
        <w:tblOverlap w:val="never"/>
        <w:jc w:val="center"/>
        <w:tblLayout w:type="fixed"/>
      </w:tblPr>
      <w:tblGrid>
        <w:gridCol w:w="4541"/>
        <w:gridCol w:w="1848"/>
        <w:gridCol w:w="3533"/>
      </w:tblGrid>
      <w:tr>
        <w:trPr>
          <w:trHeight w:val="461"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中光建设有限公司</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44,385,185.94</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合肥聚能新能源科技有限公司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43,287,276.40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西藏富桦电力有限公司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34,928,000.00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中科恒源（益阳）新能源科技有限公司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34,040,941.98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西安顺风电力设计工程有限公司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32,064,346.85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上海赫太实业有限公司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32,000,384.00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河南英利新能源工程技术有限公司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31,812,311.44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光为绿色能源科技有限公司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29,971,943.61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重庆祥龙园林景观工程有限公司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29,160,421.59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江阴晟翔科技有限公司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28,854,816.00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河南晨屹建筑工程有限公司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27,764,640.00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中节能太阳能科技（镇江）有限公司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26,549,870.20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江苏磐石新能源开发股份有限公司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24,540,082.70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西藏云北能源科技有限公司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23,494,337.96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四川森浩达园林工程有限公司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23,452,837.89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江苏天来建设工程有限公司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21,255,360.00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泰安市三元朱农业发展有限公司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20,746,544.00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曹县顺景园林绿化工程有限公司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20,231,275.07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中国核工业二三建设有限公司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19,767,918.81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招远市市政工程有限公司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19,721,905.37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贵阳骏丰建设工程有限公司惠水分公司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16,591,682.61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西安鼎创能源科技工程有限公司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16,132,130.53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中国建筑设计咨询有限公司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14,888,217.18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南宁市创宏苗圃场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14,478,257.10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苏州市枫桥建筑工程有限公司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14,096,025.28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重庆市万旭园林绿化工程有限公司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13,940,854.29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君行天下建筑工程有限公司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13,777,706.46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江西正基电力建设有限公司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13,708,466.40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大千生态环境集团股份有限公司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13,541,409.58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江苏江南电力有限公司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13,338,100.00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浙江恒亮建设有限公司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12,924,915.60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4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诸暨铭丰建设有限公司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11,832,101.90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未达到约定的付款条件和期限</w:t>
            </w:r>
          </w:p>
        </w:tc>
      </w:tr>
    </w:tbl>
    <w:p>
      <w:pPr>
        <w:widowControl w:val="0"/>
        <w:spacing w:line="1" w:lineRule="exact"/>
      </w:pPr>
      <w:r>
        <w:br w:type="page"/>
      </w:r>
    </w:p>
    <w:tbl>
      <w:tblPr>
        <w:tblOverlap w:val="never"/>
        <w:jc w:val="center"/>
        <w:tblLayout w:type="fixed"/>
      </w:tblPr>
      <w:tblGrid>
        <w:gridCol w:w="4550"/>
        <w:gridCol w:w="1848"/>
        <w:gridCol w:w="3533"/>
      </w:tblGrid>
      <w:tr>
        <w:trPr>
          <w:trHeight w:val="461" w:hRule="exact"/>
        </w:trPr>
        <w:tc>
          <w:tcPr>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协鑫能源工程有限公司</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11,685,161.35</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弘泰城建集团有限公司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11,674,513.78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山西巨衡达建设工程有限公司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10,595,112.35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徐州市腾艺园林有限公司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10,331,801.70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1,785,532,452.37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widowControl w:val="0"/>
        <w:spacing w:line="1" w:lineRule="exact"/>
      </w:pPr>
    </w:p>
    <w:p>
      <w:pPr>
        <w:pStyle w:val="Style24"/>
        <w:keepNext w:val="0"/>
        <w:keepLines w:val="0"/>
        <w:widowControl w:val="0"/>
        <w:shd w:val="clear" w:color="auto" w:fill="auto"/>
        <w:bidi w:val="0"/>
        <w:spacing w:before="0" w:after="120" w:line="240" w:lineRule="auto"/>
        <w:ind w:left="514" w:right="0" w:firstLine="0"/>
        <w:jc w:val="left"/>
        <w:rPr>
          <w:sz w:val="20"/>
          <w:szCs w:val="20"/>
        </w:rPr>
      </w:pPr>
      <w:bookmarkStart w:id="1093" w:name="bookmark1093"/>
      <w:r>
        <w:rPr>
          <w:rFonts w:ascii="Arial Narrow" w:eastAsia="Arial Narrow" w:hAnsi="Arial Narrow" w:cs="Arial Narrow"/>
          <w:b/>
          <w:bCs/>
          <w:color w:val="000000"/>
          <w:spacing w:val="0"/>
          <w:w w:val="100"/>
          <w:position w:val="0"/>
          <w:sz w:val="20"/>
          <w:szCs w:val="20"/>
        </w:rPr>
        <w:t>27</w:t>
      </w:r>
      <w:r>
        <w:rPr>
          <w:b/>
          <w:bCs/>
          <w:color w:val="000000"/>
          <w:spacing w:val="0"/>
          <w:w w:val="100"/>
          <w:position w:val="0"/>
          <w:sz w:val="20"/>
          <w:szCs w:val="20"/>
        </w:rPr>
        <w:t>、预收款项</w:t>
      </w:r>
      <w:bookmarkEnd w:id="1093"/>
    </w:p>
    <w:p>
      <w:pPr>
        <w:pStyle w:val="Style24"/>
        <w:keepNext w:val="0"/>
        <w:keepLines w:val="0"/>
        <w:widowControl w:val="0"/>
        <w:shd w:val="clear" w:color="auto" w:fill="auto"/>
        <w:bidi w:val="0"/>
        <w:spacing w:before="0" w:after="0" w:line="240" w:lineRule="auto"/>
        <w:ind w:left="514"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)预收款项列示</w:t>
      </w:r>
    </w:p>
    <w:tbl>
      <w:tblPr>
        <w:tblOverlap w:val="never"/>
        <w:jc w:val="center"/>
        <w:tblLayout w:type="fixed"/>
      </w:tblPr>
      <w:tblGrid>
        <w:gridCol w:w="3557"/>
        <w:gridCol w:w="2837"/>
        <w:gridCol w:w="2971"/>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预收产品销售款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90,093,598.58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125,917,027.39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预收工程设备款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767,908,544.33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1,296,856,499.94</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预收物业管理费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5,636,978.93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6,505,707.23</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1,558,907.23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1,418,051.00</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865,198,029.07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1,430,697,285.56</w:t>
            </w:r>
          </w:p>
        </w:tc>
      </w:tr>
    </w:tbl>
    <w:p>
      <w:pPr>
        <w:widowControl w:val="0"/>
        <w:spacing w:after="1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514"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 xml:space="preserve">2 </w:t>
      </w:r>
      <w:r>
        <w:rPr>
          <w:color w:val="000000"/>
          <w:spacing w:val="0"/>
          <w:w w:val="100"/>
          <w:position w:val="0"/>
        </w:rPr>
        <w:t>)账龄超过</w:t>
      </w:r>
      <w:r>
        <w:rPr>
          <w:rFonts w:ascii="Arial Narrow" w:eastAsia="Arial Narrow" w:hAnsi="Arial Narrow" w:cs="Arial Narrow"/>
          <w:color w:val="000000"/>
          <w:spacing w:val="0"/>
          <w:w w:val="100"/>
          <w:position w:val="0"/>
          <w:sz w:val="18"/>
          <w:szCs w:val="18"/>
        </w:rPr>
        <w:t>1</w:t>
      </w:r>
      <w:r>
        <w:rPr>
          <w:color w:val="000000"/>
          <w:spacing w:val="0"/>
          <w:w w:val="100"/>
          <w:position w:val="0"/>
        </w:rPr>
        <w:t>年的重要预收账款</w:t>
      </w:r>
    </w:p>
    <w:tbl>
      <w:tblPr>
        <w:tblOverlap w:val="never"/>
        <w:jc w:val="center"/>
        <w:tblLayout w:type="fixed"/>
      </w:tblPr>
      <w:tblGrid>
        <w:gridCol w:w="3533"/>
        <w:gridCol w:w="2342"/>
        <w:gridCol w:w="3490"/>
      </w:tblGrid>
      <w:tr>
        <w:trPr>
          <w:trHeight w:val="432"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单位名称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未偿还或结转的原因</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沂南县睿佳太阳能科技有限公司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144,247,901.89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益阳蓝天新能源科技有限公司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87,000,000.00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中国电建集团贵州工程有限公司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77,004,777.58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临汾润州园建筑工程项目管理有限公司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23,300,987.76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伊川县佳康电力有限公司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16,906,589.70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蒙阴县盛康光伏发电有限公司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13,423,700.03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361,883,956.96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pStyle w:val="Style22"/>
        <w:keepNext/>
        <w:keepLines/>
        <w:widowControl w:val="0"/>
        <w:shd w:val="clear" w:color="auto" w:fill="auto"/>
        <w:bidi w:val="0"/>
        <w:spacing w:before="0" w:after="180" w:line="240" w:lineRule="auto"/>
        <w:ind w:left="0" w:right="0" w:firstLine="560"/>
        <w:jc w:val="left"/>
        <w:rPr>
          <w:sz w:val="20"/>
          <w:szCs w:val="20"/>
        </w:rPr>
      </w:pPr>
      <w:bookmarkStart w:id="1094" w:name="bookmark1094"/>
      <w:bookmarkStart w:id="1095" w:name="bookmark1095"/>
      <w:bookmarkStart w:id="1096" w:name="bookmark1096"/>
      <w:r>
        <w:rPr>
          <w:rFonts w:ascii="Arial Narrow" w:eastAsia="Arial Narrow" w:hAnsi="Arial Narrow" w:cs="Arial Narrow"/>
          <w:color w:val="000000"/>
          <w:spacing w:val="0"/>
          <w:w w:val="100"/>
          <w:position w:val="0"/>
          <w:sz w:val="20"/>
          <w:szCs w:val="20"/>
        </w:rPr>
        <w:t>28</w:t>
      </w:r>
      <w:r>
        <w:rPr>
          <w:color w:val="000000"/>
          <w:spacing w:val="0"/>
          <w:w w:val="100"/>
          <w:position w:val="0"/>
          <w:sz w:val="20"/>
          <w:szCs w:val="20"/>
        </w:rPr>
        <w:t>、应付职工薪酬</w:t>
      </w:r>
      <w:bookmarkEnd w:id="1094"/>
      <w:bookmarkEnd w:id="1095"/>
      <w:bookmarkEnd w:id="1096"/>
    </w:p>
    <w:p>
      <w:pPr>
        <w:pStyle w:val="Style26"/>
        <w:keepNext w:val="0"/>
        <w:keepLines w:val="0"/>
        <w:widowControl w:val="0"/>
        <w:shd w:val="clear" w:color="auto" w:fill="auto"/>
        <w:bidi w:val="0"/>
        <w:spacing w:before="0" w:after="80" w:line="240" w:lineRule="auto"/>
        <w:ind w:left="0" w:right="0" w:firstLine="50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)应付职工薪酬列示</w:t>
      </w:r>
    </w:p>
    <w:tbl>
      <w:tblPr>
        <w:tblOverlap w:val="never"/>
        <w:jc w:val="center"/>
        <w:tblLayout w:type="fixed"/>
      </w:tblPr>
      <w:tblGrid>
        <w:gridCol w:w="3024"/>
        <w:gridCol w:w="1579"/>
        <w:gridCol w:w="1637"/>
        <w:gridCol w:w="1574"/>
        <w:gridCol w:w="1550"/>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2019.01.01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b/>
                <w:bCs/>
                <w:color w:val="000000"/>
                <w:spacing w:val="0"/>
                <w:w w:val="100"/>
                <w:position w:val="0"/>
                <w:sz w:val="18"/>
                <w:szCs w:val="18"/>
              </w:rPr>
              <w:t>2019.12.31</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26,260,522.54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275,232,077.73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277,979,722.71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23,512,877.56</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二、离职后福利</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设定提存计划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599,159.68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22,366,716.71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22,549,346.37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416,530.02</w:t>
            </w:r>
          </w:p>
        </w:tc>
      </w:tr>
      <w:tr>
        <w:trPr>
          <w:trHeight w:val="422"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12,328,454.35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12,328,454.35</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26,859,682.22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309,927,248.79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312,857,523.43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60" w:firstLine="0"/>
              <w:jc w:val="right"/>
            </w:pPr>
            <w:r>
              <w:rPr>
                <w:rFonts w:ascii="Arial Narrow" w:eastAsia="Arial Narrow" w:hAnsi="Arial Narrow" w:cs="Arial Narrow"/>
                <w:b/>
                <w:bCs/>
                <w:color w:val="000000"/>
                <w:spacing w:val="0"/>
                <w:w w:val="100"/>
                <w:position w:val="0"/>
                <w:sz w:val="18"/>
                <w:szCs w:val="18"/>
              </w:rPr>
              <w:t>23,929,407.58</w:t>
            </w:r>
          </w:p>
        </w:tc>
      </w:tr>
    </w:tbl>
    <w:p>
      <w:pPr>
        <w:pStyle w:val="Style24"/>
        <w:keepNext w:val="0"/>
        <w:keepLines w:val="0"/>
        <w:widowControl w:val="0"/>
        <w:shd w:val="clear" w:color="auto" w:fill="auto"/>
        <w:bidi w:val="0"/>
        <w:spacing w:before="0" w:after="0" w:line="240" w:lineRule="auto"/>
        <w:ind w:left="514"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2</w:t>
      </w:r>
      <w:r>
        <w:rPr>
          <w:color w:val="000000"/>
          <w:spacing w:val="0"/>
          <w:w w:val="100"/>
          <w:position w:val="0"/>
        </w:rPr>
        <w:t>)短期薪酬列示</w:t>
      </w:r>
    </w:p>
    <w:p>
      <w:pPr>
        <w:widowControl w:val="0"/>
        <w:spacing w:after="79" w:line="1" w:lineRule="exact"/>
      </w:pPr>
    </w:p>
    <w:p>
      <w:pPr>
        <w:widowControl w:val="0"/>
        <w:spacing w:line="1" w:lineRule="exact"/>
      </w:pPr>
    </w:p>
    <w:tbl>
      <w:tblPr>
        <w:tblOverlap w:val="never"/>
        <w:jc w:val="center"/>
        <w:tblLayout w:type="fixed"/>
      </w:tblPr>
      <w:tblGrid>
        <w:gridCol w:w="2990"/>
        <w:gridCol w:w="1627"/>
        <w:gridCol w:w="1608"/>
        <w:gridCol w:w="1584"/>
        <w:gridCol w:w="1555"/>
      </w:tblGrid>
      <w:tr>
        <w:trPr>
          <w:trHeight w:val="442"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2019.01.01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6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、工资、奖金、津贴和补贴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21,149,456.48</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233,110,097.96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235,743,129.32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18,516,425.12</w:t>
            </w:r>
          </w:p>
        </w:tc>
      </w:tr>
    </w:tbl>
    <w:p>
      <w:pPr>
        <w:widowControl w:val="0"/>
        <w:spacing w:line="1" w:lineRule="exact"/>
      </w:pPr>
      <w:r>
        <w:br w:type="page"/>
      </w:r>
    </w:p>
    <w:tbl>
      <w:tblPr>
        <w:tblOverlap w:val="never"/>
        <w:jc w:val="center"/>
        <w:tblLayout w:type="fixed"/>
      </w:tblPr>
      <w:tblGrid>
        <w:gridCol w:w="2976"/>
        <w:gridCol w:w="1632"/>
        <w:gridCol w:w="1622"/>
        <w:gridCol w:w="1589"/>
        <w:gridCol w:w="1546"/>
      </w:tblGrid>
      <w:tr>
        <w:trPr>
          <w:trHeight w:val="461"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75,496.86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7,154,784.15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7,132,620.90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97,660.11</w:t>
            </w:r>
          </w:p>
        </w:tc>
      </w:tr>
      <w:tr>
        <w:trPr>
          <w:trHeight w:val="43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346,960.31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11,845,695.33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11,840,667.41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351,988.23</w:t>
            </w:r>
          </w:p>
        </w:tc>
      </w:tr>
      <w:tr>
        <w:trPr>
          <w:trHeight w:val="43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295,300.85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10,453,460.20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10,438,413.81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310,347.24</w:t>
            </w:r>
          </w:p>
        </w:tc>
      </w:tr>
      <w:tr>
        <w:trPr>
          <w:trHeight w:val="43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21,658.05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503,018.61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506,105.27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18,571.39</w:t>
            </w:r>
          </w:p>
        </w:tc>
      </w:tr>
      <w:tr>
        <w:trPr>
          <w:trHeight w:val="43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30,001.41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889,216.52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896,148.33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23,069.60</w:t>
            </w:r>
          </w:p>
        </w:tc>
      </w:tr>
      <w:tr>
        <w:trPr>
          <w:trHeight w:val="43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142,968.52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12,152,375.26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12,223,745.58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71,598.20</w:t>
            </w:r>
          </w:p>
        </w:tc>
      </w:tr>
      <w:tr>
        <w:trPr>
          <w:trHeight w:val="43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、工会经费和职工教育经费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4,223,671.79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2,078,914.27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1,955,380.16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4,347,205.90</w:t>
            </w:r>
          </w:p>
        </w:tc>
      </w:tr>
      <w:tr>
        <w:trPr>
          <w:trHeight w:val="43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、其他短期薪酬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321,968.58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8,890,210.76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9,084,179.34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128,000.00</w:t>
            </w:r>
          </w:p>
        </w:tc>
      </w:tr>
      <w:tr>
        <w:trPr>
          <w:trHeight w:val="4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26,260,522.54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b/>
                <w:bCs/>
                <w:color w:val="000000"/>
                <w:spacing w:val="0"/>
                <w:w w:val="100"/>
                <w:position w:val="0"/>
                <w:sz w:val="18"/>
                <w:szCs w:val="18"/>
              </w:rPr>
              <w:t>275,232,077.73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277,979,722.71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b/>
                <w:bCs/>
                <w:color w:val="000000"/>
                <w:spacing w:val="0"/>
                <w:w w:val="100"/>
                <w:position w:val="0"/>
                <w:sz w:val="18"/>
                <w:szCs w:val="18"/>
              </w:rPr>
              <w:t>23,512,877.56</w:t>
            </w:r>
          </w:p>
        </w:tc>
      </w:tr>
      <w:tr>
        <w:trPr>
          <w:trHeight w:val="418" w:hRule="exact"/>
        </w:trPr>
        <w:tc>
          <w:tcPr>
            <w:gridSpan w:val="5"/>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）设定提存计划列示</w:t>
            </w:r>
          </w:p>
        </w:tc>
      </w:tr>
      <w:tr>
        <w:trPr>
          <w:trHeight w:val="4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2019.01.01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b/>
                <w:bCs/>
                <w:color w:val="000000"/>
                <w:spacing w:val="0"/>
                <w:w w:val="100"/>
                <w:position w:val="0"/>
                <w:sz w:val="18"/>
                <w:szCs w:val="18"/>
              </w:rPr>
              <w:t>2019.12.31</w:t>
            </w:r>
          </w:p>
        </w:tc>
      </w:tr>
      <w:tr>
        <w:trPr>
          <w:trHeight w:val="422"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570,233.67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21,007,909.94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21,179,323.03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398,820.58</w:t>
            </w:r>
          </w:p>
        </w:tc>
      </w:tr>
      <w:tr>
        <w:trPr>
          <w:trHeight w:val="42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28,926.01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1,358,806.77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1,370,023.34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17,709.44</w:t>
            </w:r>
          </w:p>
        </w:tc>
      </w:tr>
      <w:tr>
        <w:trPr>
          <w:trHeight w:val="43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599,159.68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22,366,716.71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b/>
                <w:bCs/>
                <w:color w:val="000000"/>
                <w:spacing w:val="0"/>
                <w:w w:val="100"/>
                <w:position w:val="0"/>
                <w:sz w:val="18"/>
                <w:szCs w:val="18"/>
              </w:rPr>
              <w:t>22,549,346.37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b/>
                <w:bCs/>
                <w:color w:val="000000"/>
                <w:spacing w:val="0"/>
                <w:w w:val="100"/>
                <w:position w:val="0"/>
                <w:sz w:val="18"/>
                <w:szCs w:val="18"/>
              </w:rPr>
              <w:t>416,530.02</w:t>
            </w:r>
          </w:p>
        </w:tc>
      </w:tr>
      <w:tr>
        <w:trPr>
          <w:trHeight w:val="418" w:hRule="exact"/>
        </w:trPr>
        <w:tc>
          <w:tcPr>
            <w:gridSpan w:val="5"/>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）辞退福利列示</w:t>
            </w:r>
          </w:p>
        </w:tc>
      </w:tr>
      <w:tr>
        <w:trPr>
          <w:trHeight w:val="4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2019.01.01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b/>
                <w:bCs/>
                <w:color w:val="000000"/>
                <w:spacing w:val="0"/>
                <w:w w:val="100"/>
                <w:position w:val="0"/>
                <w:sz w:val="18"/>
                <w:szCs w:val="18"/>
              </w:rPr>
              <w:t>2019.12.31</w:t>
            </w:r>
          </w:p>
        </w:tc>
      </w:tr>
      <w:tr>
        <w:trPr>
          <w:trHeight w:val="422"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12,328,454.35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12,328,454.35</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2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b/>
                <w:bCs/>
                <w:color w:val="000000"/>
                <w:spacing w:val="0"/>
                <w:w w:val="100"/>
                <w:position w:val="0"/>
                <w:sz w:val="18"/>
                <w:szCs w:val="18"/>
              </w:rPr>
              <w:t>12,328,454.35</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b/>
                <w:bCs/>
                <w:color w:val="000000"/>
                <w:spacing w:val="0"/>
                <w:w w:val="100"/>
                <w:position w:val="0"/>
                <w:sz w:val="18"/>
                <w:szCs w:val="18"/>
              </w:rPr>
              <w:t>12,328,454.35</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494" w:right="0" w:firstLine="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1</w:t>
      </w:r>
      <w:r>
        <w:rPr>
          <w:color w:val="000000"/>
          <w:spacing w:val="0"/>
          <w:w w:val="100"/>
          <w:position w:val="0"/>
        </w:rPr>
        <w:t>:应付职工薪酬中无拖欠性质的工资。</w:t>
      </w:r>
    </w:p>
    <w:p>
      <w:pPr>
        <w:widowControl w:val="0"/>
        <w:spacing w:after="2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418" w:right="0" w:firstLine="0"/>
        <w:jc w:val="left"/>
        <w:rPr>
          <w:sz w:val="20"/>
          <w:szCs w:val="20"/>
        </w:rPr>
      </w:pPr>
      <w:bookmarkStart w:id="1097" w:name="bookmark1097"/>
      <w:r>
        <w:rPr>
          <w:rFonts w:ascii="Arial Narrow" w:eastAsia="Arial Narrow" w:hAnsi="Arial Narrow" w:cs="Arial Narrow"/>
          <w:b/>
          <w:bCs/>
          <w:color w:val="000000"/>
          <w:spacing w:val="0"/>
          <w:w w:val="100"/>
          <w:position w:val="0"/>
          <w:sz w:val="20"/>
          <w:szCs w:val="20"/>
        </w:rPr>
        <w:t>29</w:t>
      </w:r>
      <w:r>
        <w:rPr>
          <w:b/>
          <w:bCs/>
          <w:color w:val="000000"/>
          <w:spacing w:val="0"/>
          <w:w w:val="100"/>
          <w:position w:val="0"/>
          <w:sz w:val="20"/>
          <w:szCs w:val="20"/>
        </w:rPr>
        <w:t>、应交税费</w:t>
      </w:r>
      <w:bookmarkEnd w:id="1097"/>
    </w:p>
    <w:tbl>
      <w:tblPr>
        <w:tblOverlap w:val="never"/>
        <w:jc w:val="center"/>
        <w:tblLayout w:type="fixed"/>
      </w:tblPr>
      <w:tblGrid>
        <w:gridCol w:w="3336"/>
        <w:gridCol w:w="3264"/>
        <w:gridCol w:w="2611"/>
      </w:tblGrid>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18,659,799.98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24,576,755.45</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60,241,827.65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149,176,619.44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土地增值税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12,364,277.91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12,364,277.91</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8,021,822.91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9,703,723.65</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8,308,490.78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9,144,972.39</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3,233,872.88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1,241,185.32</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110,830,092.11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206,207,534.16</w:t>
            </w:r>
          </w:p>
        </w:tc>
      </w:tr>
      <w:tr>
        <w:trPr>
          <w:trHeight w:val="528"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20"/>
                <w:szCs w:val="20"/>
              </w:rPr>
            </w:pPr>
            <w:bookmarkStart w:id="1098" w:name="bookmark1098"/>
            <w:r>
              <w:rPr>
                <w:rFonts w:ascii="Arial Narrow" w:eastAsia="Arial Narrow" w:hAnsi="Arial Narrow" w:cs="Arial Narrow"/>
                <w:b/>
                <w:bCs/>
                <w:color w:val="000000"/>
                <w:spacing w:val="0"/>
                <w:w w:val="100"/>
                <w:position w:val="0"/>
                <w:sz w:val="20"/>
                <w:szCs w:val="20"/>
              </w:rPr>
              <w:t>30</w:t>
            </w:r>
            <w:r>
              <w:rPr>
                <w:rFonts w:ascii="SimSun" w:eastAsia="SimSun" w:hAnsi="SimSun" w:cs="SimSun"/>
                <w:b/>
                <w:bCs/>
                <w:color w:val="000000"/>
                <w:spacing w:val="0"/>
                <w:w w:val="100"/>
                <w:position w:val="0"/>
                <w:sz w:val="20"/>
                <w:szCs w:val="20"/>
              </w:rPr>
              <w:t>、其他应付款</w:t>
            </w:r>
            <w:bookmarkEnd w:id="1098"/>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tabs>
                <w:tab w:pos="3075" w:val="left"/>
              </w:tabs>
              <w:bidi w:val="0"/>
              <w:spacing w:before="0" w:after="0" w:line="240" w:lineRule="auto"/>
              <w:ind w:left="1160" w:right="0" w:firstLine="0"/>
              <w:jc w:val="left"/>
            </w:pPr>
            <w:r>
              <w:rPr>
                <w:rFonts w:ascii="Arial Narrow" w:eastAsia="Arial Narrow" w:hAnsi="Arial Narrow" w:cs="Arial Narrow"/>
                <w:b/>
                <w:bCs/>
                <w:color w:val="000000"/>
                <w:spacing w:val="0"/>
                <w:w w:val="100"/>
                <w:position w:val="0"/>
                <w:sz w:val="18"/>
                <w:szCs w:val="18"/>
              </w:rPr>
              <w:t>2019.12.31</w:t>
              <w:tab/>
            </w:r>
            <w:r>
              <w:rPr>
                <w:rFonts w:ascii="Arial Narrow" w:eastAsia="Arial Narrow" w:hAnsi="Arial Narrow" w:cs="Arial Narrow"/>
                <w:b/>
                <w:bCs/>
                <w:color w:val="000000"/>
                <w:spacing w:val="0"/>
                <w:w w:val="100"/>
                <w:position w:val="0"/>
                <w:sz w:val="18"/>
                <w:szCs w:val="18"/>
              </w:rPr>
              <w:t>|</w:t>
            </w:r>
          </w:p>
        </w:tc>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b/>
                <w:bCs/>
                <w:color w:val="000000"/>
                <w:spacing w:val="0"/>
                <w:w w:val="100"/>
                <w:position w:val="0"/>
                <w:sz w:val="18"/>
                <w:szCs w:val="18"/>
              </w:rPr>
              <w:t>2018.12.31</w:t>
            </w:r>
          </w:p>
        </w:tc>
      </w:tr>
    </w:tbl>
    <w:p>
      <w:pPr>
        <w:pStyle w:val="Style24"/>
        <w:keepNext w:val="0"/>
        <w:keepLines w:val="0"/>
        <w:widowControl w:val="0"/>
        <w:shd w:val="clear" w:color="auto" w:fill="auto"/>
        <w:tabs>
          <w:tab w:pos="4411" w:val="left"/>
          <w:tab w:pos="7286" w:val="left"/>
        </w:tabs>
        <w:bidi w:val="0"/>
        <w:spacing w:before="0" w:after="0" w:line="240" w:lineRule="auto"/>
        <w:ind w:left="1315" w:right="0" w:firstLine="0"/>
        <w:jc w:val="left"/>
        <w:rPr>
          <w:sz w:val="18"/>
          <w:szCs w:val="18"/>
        </w:rPr>
      </w:pPr>
      <w:r>
        <w:rPr>
          <w:color w:val="000000"/>
          <w:spacing w:val="0"/>
          <w:w w:val="100"/>
          <w:position w:val="0"/>
          <w:sz w:val="17"/>
          <w:szCs w:val="17"/>
        </w:rPr>
        <w:t>应付利息</w:t>
        <w:tab/>
      </w:r>
      <w:r>
        <w:rPr>
          <w:rFonts w:ascii="Arial Narrow" w:eastAsia="Arial Narrow" w:hAnsi="Arial Narrow" w:cs="Arial Narrow"/>
          <w:color w:val="000000"/>
          <w:spacing w:val="0"/>
          <w:w w:val="100"/>
          <w:position w:val="0"/>
          <w:sz w:val="18"/>
          <w:szCs w:val="18"/>
        </w:rPr>
        <w:t>14,794,673.18</w:t>
        <w:tab/>
        <w:t>148,760,425.03</w:t>
      </w:r>
    </w:p>
    <w:p>
      <w:pPr>
        <w:widowControl w:val="0"/>
        <w:spacing w:line="1" w:lineRule="exact"/>
      </w:pPr>
      <w:r>
        <w:br w:type="page"/>
      </w:r>
    </w:p>
    <w:tbl>
      <w:tblPr>
        <w:tblOverlap w:val="never"/>
        <w:jc w:val="center"/>
        <w:tblLayout w:type="fixed"/>
      </w:tblPr>
      <w:tblGrid>
        <w:gridCol w:w="3437"/>
        <w:gridCol w:w="254"/>
        <w:gridCol w:w="418"/>
        <w:gridCol w:w="2419"/>
        <w:gridCol w:w="264"/>
        <w:gridCol w:w="2822"/>
      </w:tblGrid>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rFonts w:ascii="Arial Narrow" w:eastAsia="Arial Narrow" w:hAnsi="Arial Narrow" w:cs="Arial Narrow"/>
                <w:b/>
                <w:bCs/>
                <w:color w:val="000000"/>
                <w:spacing w:val="0"/>
                <w:w w:val="100"/>
                <w:position w:val="0"/>
                <w:sz w:val="18"/>
                <w:szCs w:val="18"/>
              </w:rPr>
              <w:t>2018.12.31</w:t>
            </w:r>
          </w:p>
        </w:tc>
      </w:tr>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应付股利</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2,981,984.85</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sz w:val="18"/>
                <w:szCs w:val="18"/>
              </w:rPr>
              <w:t>1,786,039.81</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其他应付款</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691,549,194.17</w:t>
            </w:r>
          </w:p>
        </w:tc>
        <w:tc>
          <w:tcPr>
            <w:gridSpan w:val="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501,568,184.97</w:t>
            </w:r>
          </w:p>
        </w:tc>
      </w:tr>
      <w:tr>
        <w:trPr>
          <w:trHeight w:val="43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709,325,852.20</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b/>
                <w:bCs/>
                <w:color w:val="000000"/>
                <w:spacing w:val="0"/>
                <w:w w:val="100"/>
                <w:position w:val="0"/>
                <w:sz w:val="18"/>
                <w:szCs w:val="18"/>
              </w:rPr>
              <w:t>652,114,649.81</w:t>
            </w:r>
          </w:p>
        </w:tc>
      </w:tr>
      <w:tr>
        <w:trPr>
          <w:trHeight w:val="418" w:hRule="exact"/>
        </w:trPr>
        <w:tc>
          <w:tcPr>
            <w:gridSpan w:val="6"/>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)应付利息情况</w:t>
            </w:r>
          </w:p>
        </w:tc>
      </w:tr>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rFonts w:ascii="Arial Narrow" w:eastAsia="Arial Narrow" w:hAnsi="Arial Narrow" w:cs="Arial Narrow"/>
                <w:b/>
                <w:bCs/>
                <w:color w:val="000000"/>
                <w:spacing w:val="0"/>
                <w:w w:val="100"/>
                <w:position w:val="0"/>
                <w:sz w:val="18"/>
                <w:szCs w:val="18"/>
              </w:rPr>
              <w:t>2018.12.31</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长期借款应付利息</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11,268,329.26</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color w:val="000000"/>
                <w:spacing w:val="0"/>
                <w:w w:val="100"/>
                <w:position w:val="0"/>
                <w:sz w:val="18"/>
                <w:szCs w:val="18"/>
              </w:rPr>
              <w:t>134,224,233.64</w:t>
            </w:r>
          </w:p>
        </w:tc>
      </w:tr>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短期借款应付利息</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3,466,618.92</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color w:val="000000"/>
                <w:spacing w:val="0"/>
                <w:w w:val="100"/>
                <w:position w:val="0"/>
                <w:sz w:val="18"/>
                <w:szCs w:val="18"/>
              </w:rPr>
              <w:t>14,536,191.39</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长期应付款应付利息</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59,725.00</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14,794,673.18</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rFonts w:ascii="Arial Narrow" w:eastAsia="Arial Narrow" w:hAnsi="Arial Narrow" w:cs="Arial Narrow"/>
                <w:b/>
                <w:bCs/>
                <w:color w:val="000000"/>
                <w:spacing w:val="0"/>
                <w:w w:val="100"/>
                <w:position w:val="0"/>
                <w:sz w:val="18"/>
                <w:szCs w:val="18"/>
              </w:rPr>
              <w:t>148,760,425.03</w:t>
            </w:r>
          </w:p>
        </w:tc>
      </w:tr>
      <w:tr>
        <w:trPr>
          <w:trHeight w:val="418" w:hRule="exact"/>
        </w:trPr>
        <w:tc>
          <w:tcPr>
            <w:gridSpan w:val="6"/>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重要的已逾期未支付的利息情况</w:t>
            </w:r>
          </w:p>
        </w:tc>
      </w:tr>
      <w:tr>
        <w:trPr>
          <w:trHeight w:val="418" w:hRule="exact"/>
        </w:trPr>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借款单位</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逾期金额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逾期原因</w:t>
            </w:r>
          </w:p>
        </w:tc>
      </w:tr>
      <w:tr>
        <w:trPr>
          <w:trHeight w:val="422" w:hRule="exact"/>
        </w:trPr>
        <w:tc>
          <w:tcPr>
            <w:gridSpan w:val="3"/>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吉林省信托有限公司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6,273,908.33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未按约定期限还款</w:t>
            </w:r>
          </w:p>
        </w:tc>
      </w:tr>
      <w:tr>
        <w:trPr>
          <w:trHeight w:val="427" w:hRule="exact"/>
        </w:trPr>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中国信达资产管理股份有限公司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4,994,420.93</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未按约定期限还款</w:t>
            </w:r>
          </w:p>
        </w:tc>
      </w:tr>
      <w:tr>
        <w:trPr>
          <w:trHeight w:val="422" w:hRule="exact"/>
        </w:trPr>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盛京银行天津分行</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3,466,618.92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未按约定期限还款</w:t>
            </w:r>
          </w:p>
        </w:tc>
      </w:tr>
      <w:tr>
        <w:trPr>
          <w:trHeight w:val="437" w:hRule="exact"/>
        </w:trPr>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14,734,948.18</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gridSpan w:val="6"/>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)应付股利情况</w:t>
            </w:r>
          </w:p>
        </w:tc>
      </w:tr>
      <w:tr>
        <w:trPr>
          <w:trHeight w:val="413"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left"/>
            </w:pPr>
            <w:r>
              <w:rPr>
                <w:rFonts w:ascii="Arial Narrow" w:eastAsia="Arial Narrow" w:hAnsi="Arial Narrow" w:cs="Arial Narrow"/>
                <w:b/>
                <w:bCs/>
                <w:color w:val="000000"/>
                <w:spacing w:val="0"/>
                <w:w w:val="100"/>
                <w:position w:val="0"/>
                <w:sz w:val="18"/>
                <w:szCs w:val="18"/>
              </w:rPr>
              <w:t>2018.12.31</w:t>
            </w:r>
          </w:p>
        </w:tc>
      </w:tr>
      <w:tr>
        <w:trPr>
          <w:trHeight w:val="427"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原募集法人股东未领取的股利</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1,786,039.81</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rFonts w:ascii="Arial Narrow" w:eastAsia="Arial Narrow" w:hAnsi="Arial Narrow" w:cs="Arial Narrow"/>
                <w:color w:val="000000"/>
                <w:spacing w:val="0"/>
                <w:w w:val="100"/>
                <w:position w:val="0"/>
                <w:sz w:val="18"/>
                <w:szCs w:val="18"/>
              </w:rPr>
              <w:t>1,786,039.81</w:t>
            </w:r>
          </w:p>
        </w:tc>
      </w:tr>
      <w:tr>
        <w:trPr>
          <w:trHeight w:val="427"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应付少数股东股利</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1,195,945.04</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2,981,984.85</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rFonts w:ascii="Arial Narrow" w:eastAsia="Arial Narrow" w:hAnsi="Arial Narrow" w:cs="Arial Narrow"/>
                <w:b/>
                <w:bCs/>
                <w:color w:val="000000"/>
                <w:spacing w:val="0"/>
                <w:w w:val="100"/>
                <w:position w:val="0"/>
                <w:sz w:val="18"/>
                <w:szCs w:val="18"/>
              </w:rPr>
              <w:t>1,786,039.81</w:t>
            </w:r>
          </w:p>
        </w:tc>
      </w:tr>
    </w:tbl>
    <w:p>
      <w:pPr>
        <w:widowControl w:val="0"/>
        <w:spacing w:after="179" w:line="1" w:lineRule="exact"/>
      </w:pPr>
    </w:p>
    <w:p>
      <w:pPr>
        <w:pStyle w:val="Style33"/>
        <w:keepNext w:val="0"/>
        <w:keepLines w:val="0"/>
        <w:widowControl w:val="0"/>
        <w:numPr>
          <w:ilvl w:val="0"/>
          <w:numId w:val="41"/>
        </w:numPr>
        <w:shd w:val="clear" w:color="auto" w:fill="auto"/>
        <w:bidi w:val="0"/>
        <w:spacing w:before="0" w:after="280" w:line="240" w:lineRule="auto"/>
        <w:ind w:left="0" w:right="0" w:firstLine="560"/>
        <w:jc w:val="left"/>
      </w:pPr>
      <w:bookmarkStart w:id="1099" w:name="bookmark1099"/>
      <w:bookmarkEnd w:id="1099"/>
      <w:r>
        <w:rPr>
          <w:color w:val="000000"/>
          <w:spacing w:val="0"/>
          <w:w w:val="100"/>
          <w:position w:val="0"/>
        </w:rPr>
        <w:t>其他应付款</w:t>
      </w:r>
    </w:p>
    <w:tbl>
      <w:tblPr>
        <w:tblOverlap w:val="never"/>
        <w:jc w:val="center"/>
        <w:tblLayout w:type="fixed"/>
      </w:tblPr>
      <w:tblGrid>
        <w:gridCol w:w="3403"/>
        <w:gridCol w:w="3106"/>
        <w:gridCol w:w="2702"/>
      </w:tblGrid>
      <w:tr>
        <w:trPr>
          <w:trHeight w:val="298"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①按款项性质列示其他应付款</w:t>
            </w:r>
          </w:p>
        </w:tc>
      </w:tr>
      <w:tr>
        <w:trPr>
          <w:trHeight w:val="41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应付代垫款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233,627,266.80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105,828,697.66</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应付关联方往来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249,951,216.20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303,768,457.38</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应付押金及保证金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145,804,441.52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61,499,010.40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应付代收代付款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9,015,334.78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7,675,523.78</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应付股权收购款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违约金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21,415,022.88</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21,735,911.99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12,796,495.75</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691,549,194.17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501,568,184.97</w:t>
            </w:r>
          </w:p>
        </w:tc>
      </w:tr>
    </w:tbl>
    <w:p>
      <w:pPr>
        <w:spacing w:lineRule="exact" w:line="1"/>
        <w:rPr>
          <w:sz w:val="2"/>
          <w:szCs w:val="2"/>
        </w:rPr>
      </w:pPr>
      <w:r>
        <w:br w:type="page"/>
      </w:r>
    </w:p>
    <w:p>
      <w:pPr>
        <w:pStyle w:val="Style33"/>
        <w:keepNext w:val="0"/>
        <w:keepLines w:val="0"/>
        <w:widowControl w:val="0"/>
        <w:shd w:val="clear" w:color="auto" w:fill="auto"/>
        <w:bidi w:val="0"/>
        <w:spacing w:before="0" w:after="300" w:line="240" w:lineRule="auto"/>
        <w:ind w:left="0" w:right="0" w:firstLine="560"/>
        <w:jc w:val="left"/>
      </w:pPr>
      <w:r>
        <w:rPr>
          <w:color w:val="000000"/>
          <w:spacing w:val="0"/>
          <w:w w:val="100"/>
          <w:position w:val="0"/>
        </w:rPr>
        <w:t>注：违约金系东旭蓝天新能源股份有限公司及新能源投资有限公司逾期借款违约金。</w:t>
      </w:r>
    </w:p>
    <w:p>
      <w:pPr>
        <w:pStyle w:val="Style24"/>
        <w:keepNext w:val="0"/>
        <w:keepLines w:val="0"/>
        <w:widowControl w:val="0"/>
        <w:shd w:val="clear" w:color="auto" w:fill="auto"/>
        <w:bidi w:val="0"/>
        <w:spacing w:before="0" w:after="0" w:line="240" w:lineRule="auto"/>
        <w:ind w:left="504" w:right="0" w:firstLine="0"/>
        <w:jc w:val="left"/>
      </w:pPr>
      <w:r>
        <w:rPr>
          <w:color w:val="000000"/>
          <w:spacing w:val="0"/>
          <w:w w:val="100"/>
          <w:position w:val="0"/>
        </w:rPr>
        <w:t>②账龄超过</w:t>
      </w:r>
      <w:r>
        <w:rPr>
          <w:rFonts w:ascii="Arial Narrow" w:eastAsia="Arial Narrow" w:hAnsi="Arial Narrow" w:cs="Arial Narrow"/>
          <w:color w:val="000000"/>
          <w:spacing w:val="0"/>
          <w:w w:val="100"/>
          <w:position w:val="0"/>
          <w:sz w:val="18"/>
          <w:szCs w:val="18"/>
        </w:rPr>
        <w:t>1</w:t>
      </w:r>
      <w:r>
        <w:rPr>
          <w:color w:val="000000"/>
          <w:spacing w:val="0"/>
          <w:w w:val="100"/>
          <w:position w:val="0"/>
        </w:rPr>
        <w:t>年的重要其他应付款</w:t>
      </w:r>
    </w:p>
    <w:tbl>
      <w:tblPr>
        <w:tblOverlap w:val="never"/>
        <w:jc w:val="center"/>
        <w:tblLayout w:type="fixed"/>
      </w:tblPr>
      <w:tblGrid>
        <w:gridCol w:w="3845"/>
        <w:gridCol w:w="2386"/>
        <w:gridCol w:w="3134"/>
      </w:tblGrid>
      <w:tr>
        <w:trPr>
          <w:trHeight w:val="432"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单位名称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未偿还或结转的原因</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宁波东旭鸿基投资管理有限责任公司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99,738,275.79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北京晟源投资发展有限公司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29,089,100.08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22"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朱凯龙、黄小华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未达到约定的付款条件和期限</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138,827,375.87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22"/>
        <w:keepNext/>
        <w:keepLines/>
        <w:widowControl w:val="0"/>
        <w:shd w:val="clear" w:color="auto" w:fill="auto"/>
        <w:bidi w:val="0"/>
        <w:spacing w:before="0" w:after="40" w:line="240" w:lineRule="auto"/>
        <w:ind w:left="0" w:right="0" w:firstLine="560"/>
        <w:jc w:val="left"/>
        <w:rPr>
          <w:sz w:val="20"/>
          <w:szCs w:val="20"/>
        </w:rPr>
      </w:pPr>
      <w:bookmarkStart w:id="1100" w:name="bookmark1100"/>
      <w:bookmarkStart w:id="1101" w:name="bookmark1101"/>
      <w:bookmarkStart w:id="1102" w:name="bookmark1102"/>
      <w:bookmarkStart w:id="1103" w:name="bookmark1103"/>
      <w:r>
        <w:rPr>
          <w:rFonts w:ascii="Arial Narrow" w:eastAsia="Arial Narrow" w:hAnsi="Arial Narrow" w:cs="Arial Narrow"/>
          <w:color w:val="000000"/>
          <w:spacing w:val="0"/>
          <w:w w:val="100"/>
          <w:position w:val="0"/>
          <w:sz w:val="20"/>
          <w:szCs w:val="20"/>
        </w:rPr>
        <w:t>3</w:t>
      </w:r>
      <w:bookmarkEnd w:id="1102"/>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、一年内到期的非流动负债</w:t>
      </w:r>
      <w:bookmarkEnd w:id="1100"/>
      <w:bookmarkEnd w:id="1101"/>
      <w:bookmarkEnd w:id="1103"/>
    </w:p>
    <w:tbl>
      <w:tblPr>
        <w:tblOverlap w:val="never"/>
        <w:jc w:val="center"/>
        <w:tblLayout w:type="fixed"/>
      </w:tblPr>
      <w:tblGrid>
        <w:gridCol w:w="3456"/>
        <w:gridCol w:w="2952"/>
        <w:gridCol w:w="2957"/>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2,337,002,497.21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1,948,400,000.00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一年内到期的长期应付款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531,076,079.88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476,495,065.98</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一年内到期的递延收益：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616,390.00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其中：工程项目政府补助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616,390.00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长期借款的应付利息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155,911,071.80</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3,023,989,648.89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2,425,511,455.98</w:t>
            </w:r>
          </w:p>
        </w:tc>
      </w:tr>
    </w:tbl>
    <w:p>
      <w:pPr>
        <w:widowControl w:val="0"/>
        <w:spacing w:after="259" w:line="1" w:lineRule="exact"/>
      </w:pPr>
    </w:p>
    <w:p>
      <w:pPr>
        <w:pStyle w:val="Style26"/>
        <w:keepNext w:val="0"/>
        <w:keepLines w:val="0"/>
        <w:widowControl w:val="0"/>
        <w:shd w:val="clear" w:color="auto" w:fill="auto"/>
        <w:bidi w:val="0"/>
        <w:spacing w:before="0" w:after="260" w:line="240" w:lineRule="auto"/>
        <w:ind w:left="0" w:right="0" w:firstLine="50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1</w:t>
      </w:r>
      <w:r>
        <w:rPr>
          <w:color w:val="000000"/>
          <w:spacing w:val="0"/>
          <w:w w:val="100"/>
          <w:position w:val="0"/>
        </w:rPr>
        <w:t>：本期增加主要为一年内到期的长期借款的增加。</w:t>
      </w:r>
    </w:p>
    <w:p>
      <w:pPr>
        <w:pStyle w:val="Style26"/>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2</w:t>
      </w:r>
      <w:r>
        <w:rPr>
          <w:color w:val="000000"/>
          <w:spacing w:val="0"/>
          <w:w w:val="100"/>
          <w:position w:val="0"/>
        </w:rPr>
        <w:t>： 一年内到期的长期借款详见本附注五、</w:t>
      </w:r>
      <w:r>
        <w:rPr>
          <w:rFonts w:ascii="Arial Narrow" w:eastAsia="Arial Narrow" w:hAnsi="Arial Narrow" w:cs="Arial Narrow"/>
          <w:color w:val="000000"/>
          <w:spacing w:val="0"/>
          <w:w w:val="100"/>
          <w:position w:val="0"/>
          <w:sz w:val="18"/>
          <w:szCs w:val="18"/>
        </w:rPr>
        <w:t>33</w:t>
      </w:r>
      <w:r>
        <w:rPr>
          <w:color w:val="000000"/>
          <w:spacing w:val="0"/>
          <w:w w:val="100"/>
          <w:position w:val="0"/>
        </w:rPr>
        <w:t>。</w:t>
      </w:r>
    </w:p>
    <w:p>
      <w:pPr>
        <w:pStyle w:val="Style26"/>
        <w:keepNext w:val="0"/>
        <w:keepLines w:val="0"/>
        <w:widowControl w:val="0"/>
        <w:shd w:val="clear" w:color="auto" w:fill="auto"/>
        <w:bidi w:val="0"/>
        <w:spacing w:before="0" w:after="260" w:line="240" w:lineRule="auto"/>
        <w:ind w:left="0" w:right="0" w:firstLine="50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3</w:t>
      </w:r>
      <w:r>
        <w:rPr>
          <w:color w:val="000000"/>
          <w:spacing w:val="0"/>
          <w:w w:val="100"/>
          <w:position w:val="0"/>
        </w:rPr>
        <w:t>： 一年内到期的长期应付款详见本附注五、</w:t>
      </w:r>
      <w:r>
        <w:rPr>
          <w:rFonts w:ascii="Arial Narrow" w:eastAsia="Arial Narrow" w:hAnsi="Arial Narrow" w:cs="Arial Narrow"/>
          <w:color w:val="000000"/>
          <w:spacing w:val="0"/>
          <w:w w:val="100"/>
          <w:position w:val="0"/>
          <w:sz w:val="18"/>
          <w:szCs w:val="18"/>
        </w:rPr>
        <w:t>34</w:t>
      </w:r>
      <w:r>
        <w:rPr>
          <w:color w:val="000000"/>
          <w:spacing w:val="0"/>
          <w:w w:val="100"/>
          <w:position w:val="0"/>
        </w:rPr>
        <w:t>。</w:t>
      </w:r>
    </w:p>
    <w:p>
      <w:pPr>
        <w:pStyle w:val="Style33"/>
        <w:keepNext w:val="0"/>
        <w:keepLines w:val="0"/>
        <w:widowControl w:val="0"/>
        <w:shd w:val="clear" w:color="auto" w:fill="auto"/>
        <w:bidi w:val="0"/>
        <w:spacing w:before="0" w:after="260" w:line="240" w:lineRule="auto"/>
        <w:ind w:left="0" w:right="0" w:firstLine="560"/>
        <w:jc w:val="left"/>
      </w:pPr>
      <w:r>
        <w:rPr>
          <w:color w:val="000000"/>
          <w:spacing w:val="0"/>
          <w:w w:val="100"/>
          <w:position w:val="0"/>
        </w:rPr>
        <w:t>注</w:t>
      </w:r>
      <w:r>
        <w:rPr>
          <w:b/>
          <w:bCs/>
          <w:color w:val="000000"/>
          <w:spacing w:val="0"/>
          <w:w w:val="100"/>
          <w:position w:val="0"/>
        </w:rPr>
        <w:t>4</w:t>
      </w:r>
      <w:r>
        <w:rPr>
          <w:color w:val="000000"/>
          <w:spacing w:val="0"/>
          <w:w w:val="100"/>
          <w:position w:val="0"/>
        </w:rPr>
        <w:t>：截止到</w:t>
      </w:r>
      <w:r>
        <w:rPr>
          <w:b/>
          <w:bCs/>
          <w:color w:val="000000"/>
          <w:spacing w:val="0"/>
          <w:w w:val="100"/>
          <w:position w:val="0"/>
        </w:rPr>
        <w:t>2019</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日，已逾期未偿还的长期借款本金为</w:t>
      </w:r>
      <w:r>
        <w:rPr>
          <w:b/>
          <w:bCs/>
          <w:color w:val="000000"/>
          <w:spacing w:val="0"/>
          <w:w w:val="100"/>
          <w:position w:val="0"/>
        </w:rPr>
        <w:t>1,280,002,497.21</w:t>
      </w:r>
      <w:r>
        <w:rPr>
          <w:color w:val="000000"/>
          <w:spacing w:val="0"/>
          <w:w w:val="100"/>
          <w:position w:val="0"/>
        </w:rPr>
        <w:t xml:space="preserve">元，逾期应付长期 </w:t>
      </w:r>
      <w:r>
        <w:rPr>
          <w:color w:val="000000"/>
          <w:spacing w:val="0"/>
          <w:w w:val="100"/>
          <w:position w:val="0"/>
        </w:rPr>
        <w:t>借款利息见附注五、</w:t>
      </w:r>
      <w:r>
        <w:rPr>
          <w:b/>
          <w:bCs/>
          <w:color w:val="000000"/>
          <w:spacing w:val="0"/>
          <w:w w:val="100"/>
          <w:position w:val="0"/>
        </w:rPr>
        <w:t>30</w:t>
      </w:r>
      <w:r>
        <w:rPr>
          <w:color w:val="000000"/>
          <w:spacing w:val="0"/>
          <w:w w:val="100"/>
          <w:position w:val="0"/>
        </w:rPr>
        <w:t>（</w:t>
      </w:r>
      <w:r>
        <w:rPr>
          <w:b/>
          <w:bCs/>
          <w:color w:val="000000"/>
          <w:spacing w:val="0"/>
          <w:w w:val="100"/>
          <w:position w:val="0"/>
        </w:rPr>
        <w:t>1</w:t>
      </w:r>
      <w:r>
        <w:rPr>
          <w:color w:val="000000"/>
          <w:spacing w:val="0"/>
          <w:w w:val="100"/>
          <w:position w:val="0"/>
        </w:rPr>
        <w:t>）。</w:t>
      </w:r>
    </w:p>
    <w:p>
      <w:pPr>
        <w:pStyle w:val="Style22"/>
        <w:keepNext/>
        <w:keepLines/>
        <w:widowControl w:val="0"/>
        <w:shd w:val="clear" w:color="auto" w:fill="auto"/>
        <w:bidi w:val="0"/>
        <w:spacing w:before="0" w:after="40" w:line="240" w:lineRule="auto"/>
        <w:ind w:left="0" w:right="0" w:firstLine="560"/>
        <w:jc w:val="left"/>
        <w:rPr>
          <w:sz w:val="20"/>
          <w:szCs w:val="20"/>
        </w:rPr>
      </w:pPr>
      <w:bookmarkStart w:id="1104" w:name="bookmark1104"/>
      <w:bookmarkStart w:id="1105" w:name="bookmark1105"/>
      <w:bookmarkStart w:id="1106" w:name="bookmark1106"/>
      <w:bookmarkStart w:id="1107" w:name="bookmark1107"/>
      <w:r>
        <w:rPr>
          <w:rFonts w:ascii="Arial Narrow" w:eastAsia="Arial Narrow" w:hAnsi="Arial Narrow" w:cs="Arial Narrow"/>
          <w:color w:val="000000"/>
          <w:spacing w:val="0"/>
          <w:w w:val="100"/>
          <w:position w:val="0"/>
          <w:sz w:val="20"/>
          <w:szCs w:val="20"/>
        </w:rPr>
        <w:t>3</w:t>
      </w:r>
      <w:bookmarkEnd w:id="1106"/>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、其他流动负债</w:t>
      </w:r>
      <w:bookmarkEnd w:id="1104"/>
      <w:bookmarkEnd w:id="1105"/>
      <w:bookmarkEnd w:id="1107"/>
    </w:p>
    <w:tbl>
      <w:tblPr>
        <w:tblOverlap w:val="never"/>
        <w:jc w:val="center"/>
        <w:tblLayout w:type="fixed"/>
      </w:tblPr>
      <w:tblGrid>
        <w:gridCol w:w="4157"/>
        <w:gridCol w:w="2563"/>
        <w:gridCol w:w="2645"/>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待转销项税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282,328,737.02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392,165,702.14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商承背书未到期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341,846,795.70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281,910,987.54</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624,175,532.72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674,076,689.68</w:t>
            </w:r>
          </w:p>
        </w:tc>
      </w:tr>
    </w:tbl>
    <w:p>
      <w:pPr>
        <w:widowControl w:val="0"/>
        <w:spacing w:after="259" w:line="1" w:lineRule="exact"/>
      </w:pPr>
    </w:p>
    <w:p>
      <w:pPr>
        <w:pStyle w:val="Style26"/>
        <w:keepNext w:val="0"/>
        <w:keepLines w:val="0"/>
        <w:widowControl w:val="0"/>
        <w:shd w:val="clear" w:color="auto" w:fill="auto"/>
        <w:bidi w:val="0"/>
        <w:spacing w:before="0" w:after="260" w:line="240" w:lineRule="auto"/>
        <w:ind w:left="0" w:right="0" w:firstLine="500"/>
        <w:jc w:val="left"/>
      </w:pPr>
      <w:r>
        <w:rPr>
          <w:color w:val="000000"/>
          <w:spacing w:val="0"/>
          <w:w w:val="100"/>
          <w:position w:val="0"/>
        </w:rPr>
        <w:t>注:待转销项税为新能源及环保工程收入已确认但尚未发生增值税纳税义务，需于以后期间确认为销项税额的增值税额。</w:t>
      </w:r>
    </w:p>
    <w:p>
      <w:pPr>
        <w:pStyle w:val="Style22"/>
        <w:keepNext/>
        <w:keepLines/>
        <w:widowControl w:val="0"/>
        <w:shd w:val="clear" w:color="auto" w:fill="auto"/>
        <w:bidi w:val="0"/>
        <w:spacing w:before="0" w:after="300" w:line="240" w:lineRule="auto"/>
        <w:ind w:left="0" w:right="0" w:firstLine="560"/>
        <w:jc w:val="left"/>
        <w:rPr>
          <w:sz w:val="20"/>
          <w:szCs w:val="20"/>
        </w:rPr>
      </w:pPr>
      <w:bookmarkStart w:id="1108" w:name="bookmark1108"/>
      <w:bookmarkStart w:id="1109" w:name="bookmark1109"/>
      <w:bookmarkStart w:id="1110" w:name="bookmark1110"/>
      <w:bookmarkStart w:id="1111" w:name="bookmark1111"/>
      <w:r>
        <w:rPr>
          <w:rFonts w:ascii="Arial Narrow" w:eastAsia="Arial Narrow" w:hAnsi="Arial Narrow" w:cs="Arial Narrow"/>
          <w:color w:val="000000"/>
          <w:spacing w:val="0"/>
          <w:w w:val="100"/>
          <w:position w:val="0"/>
          <w:sz w:val="20"/>
          <w:szCs w:val="20"/>
        </w:rPr>
        <w:t>3</w:t>
      </w:r>
      <w:bookmarkEnd w:id="1110"/>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、长期借款</w:t>
      </w:r>
      <w:bookmarkEnd w:id="1108"/>
      <w:bookmarkEnd w:id="1109"/>
      <w:bookmarkEnd w:id="1111"/>
    </w:p>
    <w:p>
      <w:pPr>
        <w:pStyle w:val="Style24"/>
        <w:keepNext w:val="0"/>
        <w:keepLines w:val="0"/>
        <w:widowControl w:val="0"/>
        <w:shd w:val="clear" w:color="auto" w:fill="auto"/>
        <w:bidi w:val="0"/>
        <w:spacing w:before="0" w:after="0" w:line="240" w:lineRule="auto"/>
        <w:ind w:left="384"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）长期借款分类</w:t>
      </w:r>
    </w:p>
    <w:tbl>
      <w:tblPr>
        <w:tblOverlap w:val="never"/>
        <w:jc w:val="center"/>
        <w:tblLayout w:type="fixed"/>
      </w:tblPr>
      <w:tblGrid>
        <w:gridCol w:w="4584"/>
        <w:gridCol w:w="2246"/>
        <w:gridCol w:w="2342"/>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3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保证加质押借款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974,420,000.00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544,400,000.00</w:t>
            </w:r>
          </w:p>
        </w:tc>
      </w:tr>
    </w:tbl>
    <w:p>
      <w:pPr>
        <w:widowControl w:val="0"/>
        <w:spacing w:line="1" w:lineRule="exact"/>
      </w:pPr>
      <w:r>
        <w:br w:type="page"/>
      </w:r>
    </w:p>
    <w:tbl>
      <w:tblPr>
        <w:tblOverlap w:val="never"/>
        <w:jc w:val="center"/>
        <w:tblLayout w:type="fixed"/>
      </w:tblPr>
      <w:tblGrid>
        <w:gridCol w:w="4589"/>
        <w:gridCol w:w="2246"/>
        <w:gridCol w:w="2342"/>
      </w:tblGrid>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抵押加保证借款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1,104,320,859.86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1,289,250,989.52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保证加抵押加质押借款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539,400,000.00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3,546,502,497.21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3,599,000,000.00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减：一年内到期的长期借款（见本附注五、</w:t>
            </w:r>
            <w:r>
              <w:rPr>
                <w:rFonts w:ascii="Arial Narrow" w:eastAsia="Arial Narrow" w:hAnsi="Arial Narrow" w:cs="Arial Narrow"/>
                <w:color w:val="000000"/>
                <w:spacing w:val="0"/>
                <w:w w:val="100"/>
                <w:position w:val="0"/>
                <w:sz w:val="18"/>
                <w:szCs w:val="18"/>
              </w:rPr>
              <w:t>31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2,337,002,497.21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1,948,400,000.00</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3,288,240,859.86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4,023,650,989.52</w:t>
            </w:r>
          </w:p>
        </w:tc>
      </w:tr>
    </w:tbl>
    <w:p>
      <w:pPr>
        <w:pStyle w:val="Style24"/>
        <w:keepNext w:val="0"/>
        <w:keepLines w:val="0"/>
        <w:widowControl w:val="0"/>
        <w:shd w:val="clear" w:color="auto" w:fill="auto"/>
        <w:bidi w:val="0"/>
        <w:spacing w:before="0" w:after="0" w:line="240" w:lineRule="auto"/>
        <w:ind w:left="389" w:right="0" w:firstLine="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1</w:t>
      </w:r>
      <w:r>
        <w:rPr>
          <w:color w:val="000000"/>
          <w:spacing w:val="0"/>
          <w:w w:val="100"/>
          <w:position w:val="0"/>
        </w:rPr>
        <w:t>:抵押、质押借款的抵押资产类别以及金额，参见本附注五、</w:t>
      </w:r>
      <w:r>
        <w:rPr>
          <w:rFonts w:ascii="Arial Narrow" w:eastAsia="Arial Narrow" w:hAnsi="Arial Narrow" w:cs="Arial Narrow"/>
          <w:color w:val="000000"/>
          <w:spacing w:val="0"/>
          <w:w w:val="100"/>
          <w:position w:val="0"/>
          <w:sz w:val="18"/>
          <w:szCs w:val="18"/>
        </w:rPr>
        <w:t>59</w:t>
      </w:r>
      <w:r>
        <w:rPr>
          <w:color w:val="000000"/>
          <w:spacing w:val="0"/>
          <w:w w:val="100"/>
          <w:position w:val="0"/>
        </w:rPr>
        <w:t>。</w:t>
      </w:r>
    </w:p>
    <w:p>
      <w:pPr>
        <w:widowControl w:val="0"/>
        <w:spacing w:after="279" w:line="1" w:lineRule="exact"/>
      </w:pPr>
    </w:p>
    <w:p>
      <w:pPr>
        <w:pStyle w:val="Style26"/>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2</w:t>
      </w:r>
      <w:r>
        <w:rPr>
          <w:color w:val="000000"/>
          <w:spacing w:val="0"/>
          <w:w w:val="100"/>
          <w:position w:val="0"/>
        </w:rPr>
        <w:t xml:space="preserve">:本期长期借款主要为本公司控股股东东旭集团、实际控制人李兆廷及东旭国际投资集团有限公司提供担保，具体 </w:t>
      </w:r>
      <w:r>
        <w:rPr>
          <w:color w:val="000000"/>
          <w:spacing w:val="0"/>
          <w:w w:val="100"/>
          <w:position w:val="0"/>
        </w:rPr>
        <w:t>担保情况参见本附注十、</w:t>
      </w:r>
      <w:r>
        <w:rPr>
          <w:rFonts w:ascii="Arial Narrow" w:eastAsia="Arial Narrow" w:hAnsi="Arial Narrow" w:cs="Arial Narrow"/>
          <w:color w:val="000000"/>
          <w:spacing w:val="0"/>
          <w:w w:val="100"/>
          <w:position w:val="0"/>
          <w:sz w:val="18"/>
          <w:szCs w:val="18"/>
        </w:rPr>
        <w:t>5</w:t>
      </w:r>
      <w:r>
        <w:rPr>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0"/>
        <w:jc w:val="center"/>
        <w:rPr>
          <w:sz w:val="20"/>
          <w:szCs w:val="20"/>
        </w:rPr>
      </w:pPr>
      <w:bookmarkStart w:id="1112" w:name="bookmark1112"/>
      <w:r>
        <w:rPr>
          <w:rFonts w:ascii="Arial Narrow" w:eastAsia="Arial Narrow" w:hAnsi="Arial Narrow" w:cs="Arial Narrow"/>
          <w:b/>
          <w:bCs/>
          <w:color w:val="000000"/>
          <w:spacing w:val="0"/>
          <w:w w:val="100"/>
          <w:position w:val="0"/>
          <w:sz w:val="20"/>
          <w:szCs w:val="20"/>
        </w:rPr>
        <w:t>34</w:t>
      </w:r>
      <w:r>
        <w:rPr>
          <w:b/>
          <w:bCs/>
          <w:color w:val="000000"/>
          <w:spacing w:val="0"/>
          <w:w w:val="100"/>
          <w:position w:val="0"/>
          <w:sz w:val="20"/>
          <w:szCs w:val="20"/>
        </w:rPr>
        <w:t>、长期应付款</w:t>
      </w:r>
      <w:bookmarkEnd w:id="1112"/>
    </w:p>
    <w:tbl>
      <w:tblPr>
        <w:tblOverlap w:val="never"/>
        <w:jc w:val="center"/>
        <w:tblLayout w:type="fixed"/>
      </w:tblPr>
      <w:tblGrid>
        <w:gridCol w:w="4733"/>
        <w:gridCol w:w="2222"/>
        <w:gridCol w:w="2251"/>
      </w:tblGrid>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融资性售后回租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2,708,564,362.75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3,056,584,406.51</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减：未确认融资费用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387,589,969.75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488,783,370.91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减：一年内到期的长期应付款（见本附注五、</w:t>
            </w:r>
            <w:r>
              <w:rPr>
                <w:rFonts w:ascii="Arial Narrow" w:eastAsia="Arial Narrow" w:hAnsi="Arial Narrow" w:cs="Arial Narrow"/>
                <w:color w:val="000000"/>
                <w:spacing w:val="0"/>
                <w:w w:val="100"/>
                <w:position w:val="0"/>
                <w:sz w:val="18"/>
                <w:szCs w:val="18"/>
              </w:rPr>
              <w:t>31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531,076,079.88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476,495,065.98</w:t>
            </w: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0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1,789,898,313.12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2,091,305,969.62</w:t>
            </w:r>
          </w:p>
        </w:tc>
      </w:tr>
    </w:tbl>
    <w:p>
      <w:pPr>
        <w:widowControl w:val="0"/>
        <w:spacing w:after="1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130" w:right="0" w:firstLine="0"/>
        <w:jc w:val="left"/>
      </w:pPr>
      <w:r>
        <w:rPr>
          <w:color w:val="000000"/>
          <w:spacing w:val="0"/>
          <w:w w:val="100"/>
          <w:position w:val="0"/>
        </w:rPr>
        <w:t>注：本期长期应付款为本公司融资性售后回租固定资产取得的借款。明细如下:</w:t>
      </w:r>
    </w:p>
    <w:tbl>
      <w:tblPr>
        <w:tblOverlap w:val="never"/>
        <w:jc w:val="center"/>
        <w:tblLayout w:type="fixed"/>
      </w:tblPr>
      <w:tblGrid>
        <w:gridCol w:w="3278"/>
        <w:gridCol w:w="1474"/>
        <w:gridCol w:w="1454"/>
        <w:gridCol w:w="1358"/>
        <w:gridCol w:w="1642"/>
      </w:tblGrid>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出租方名称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初始金额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偿还金额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期末金额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华润租赁有限公司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574,692,875.00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42,061,000.00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532,631,875.00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江苏瀚瑞金港融资租赁有限公司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159,915,000.00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17,335,000.00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142,580,000.00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中信金融租赁有限公司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1,312,883,580.24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270,021,616.19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1,042,861,964.05</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华电融资租赁有限公司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166,167,241.04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10,438,136.68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155,729,104.36</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民生金融租赁股份有限公司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486,265,140.47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135,458,970.56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350,806,169.91</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民盛租赁有限公司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91,307,347.75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30,435,782.25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60,871,565.50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信达金融租赁有限公司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190,082,089.81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242,703,674.88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62,431,787.32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370,353,977.37</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中建投租赁（天津）有限责任公司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41,776,015.00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8,653,535.00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33,122,480.00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中建投租赁股份有限公司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33,495,117.20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13,887,890.64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19,607,226.56</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3,056,584,406.51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242,703,674.88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590,723,718.64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2,708,564,362.75</w:t>
            </w:r>
          </w:p>
        </w:tc>
      </w:tr>
    </w:tbl>
    <w:p>
      <w:pPr>
        <w:widowControl w:val="0"/>
        <w:spacing w:after="199" w:line="1" w:lineRule="exact"/>
      </w:pPr>
    </w:p>
    <w:p>
      <w:pPr>
        <w:pStyle w:val="Style33"/>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注：截止到</w:t>
      </w:r>
      <w:r>
        <w:rPr>
          <w:b/>
          <w:bCs/>
          <w:color w:val="000000"/>
          <w:spacing w:val="0"/>
          <w:w w:val="100"/>
          <w:position w:val="0"/>
        </w:rPr>
        <w:t>2019</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日，已逾期未偿还的长期应付款本金为</w:t>
      </w:r>
      <w:r>
        <w:rPr>
          <w:b/>
          <w:bCs/>
          <w:color w:val="000000"/>
          <w:spacing w:val="0"/>
          <w:w w:val="100"/>
          <w:position w:val="0"/>
        </w:rPr>
        <w:t>7,704,630.19</w:t>
      </w:r>
      <w:r>
        <w:rPr>
          <w:color w:val="000000"/>
          <w:spacing w:val="0"/>
          <w:w w:val="100"/>
          <w:position w:val="0"/>
        </w:rPr>
        <w:t>元。</w:t>
      </w:r>
    </w:p>
    <w:p>
      <w:pPr>
        <w:pStyle w:val="Style24"/>
        <w:keepNext w:val="0"/>
        <w:keepLines w:val="0"/>
        <w:widowControl w:val="0"/>
        <w:shd w:val="clear" w:color="auto" w:fill="auto"/>
        <w:bidi w:val="0"/>
        <w:spacing w:before="0" w:after="0" w:line="240" w:lineRule="auto"/>
        <w:ind w:left="480" w:right="0" w:firstLine="0"/>
        <w:jc w:val="left"/>
        <w:rPr>
          <w:sz w:val="20"/>
          <w:szCs w:val="20"/>
        </w:rPr>
      </w:pPr>
      <w:bookmarkStart w:id="1113" w:name="bookmark1113"/>
      <w:r>
        <w:rPr>
          <w:rFonts w:ascii="Arial Narrow" w:eastAsia="Arial Narrow" w:hAnsi="Arial Narrow" w:cs="Arial Narrow"/>
          <w:b/>
          <w:bCs/>
          <w:color w:val="000000"/>
          <w:spacing w:val="0"/>
          <w:w w:val="100"/>
          <w:position w:val="0"/>
          <w:sz w:val="20"/>
          <w:szCs w:val="20"/>
        </w:rPr>
        <w:t>35</w:t>
      </w:r>
      <w:r>
        <w:rPr>
          <w:b/>
          <w:bCs/>
          <w:color w:val="000000"/>
          <w:spacing w:val="0"/>
          <w:w w:val="100"/>
          <w:position w:val="0"/>
          <w:sz w:val="20"/>
          <w:szCs w:val="20"/>
        </w:rPr>
        <w:t>、预计负债</w:t>
      </w:r>
      <w:bookmarkEnd w:id="1113"/>
    </w:p>
    <w:tbl>
      <w:tblPr>
        <w:tblOverlap w:val="never"/>
        <w:jc w:val="center"/>
        <w:tblLayout w:type="fixed"/>
      </w:tblPr>
      <w:tblGrid>
        <w:gridCol w:w="3658"/>
        <w:gridCol w:w="2731"/>
        <w:gridCol w:w="2794"/>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未决诉讼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24,178,920.70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1,910,661.07</w:t>
            </w:r>
          </w:p>
        </w:tc>
      </w:tr>
    </w:tbl>
    <w:p>
      <w:pPr>
        <w:pStyle w:val="Style24"/>
        <w:keepNext w:val="0"/>
        <w:keepLines w:val="0"/>
        <w:widowControl w:val="0"/>
        <w:shd w:val="clear" w:color="auto" w:fill="auto"/>
        <w:bidi w:val="0"/>
        <w:spacing w:before="0" w:after="0" w:line="240" w:lineRule="auto"/>
        <w:ind w:left="480" w:right="0" w:firstLine="0"/>
        <w:jc w:val="left"/>
        <w:rPr>
          <w:sz w:val="20"/>
          <w:szCs w:val="20"/>
        </w:rPr>
      </w:pPr>
      <w:bookmarkStart w:id="1114" w:name="bookmark1114"/>
      <w:r>
        <w:rPr>
          <w:rFonts w:ascii="Arial Narrow" w:eastAsia="Arial Narrow" w:hAnsi="Arial Narrow" w:cs="Arial Narrow"/>
          <w:b/>
          <w:bCs/>
          <w:color w:val="000000"/>
          <w:spacing w:val="0"/>
          <w:w w:val="100"/>
          <w:position w:val="0"/>
          <w:sz w:val="20"/>
          <w:szCs w:val="20"/>
        </w:rPr>
        <w:t>36</w:t>
      </w:r>
      <w:r>
        <w:rPr>
          <w:b/>
          <w:bCs/>
          <w:color w:val="000000"/>
          <w:spacing w:val="0"/>
          <w:w w:val="100"/>
          <w:position w:val="0"/>
          <w:sz w:val="20"/>
          <w:szCs w:val="20"/>
        </w:rPr>
        <w:t>、递延收益</w:t>
      </w:r>
      <w:bookmarkEnd w:id="1114"/>
    </w:p>
    <w:p>
      <w:pPr>
        <w:widowControl w:val="0"/>
        <w:spacing w:line="1" w:lineRule="exact"/>
      </w:pPr>
      <w:r>
        <w:br w:type="page"/>
      </w:r>
    </w:p>
    <w:tbl>
      <w:tblPr>
        <w:tblOverlap w:val="never"/>
        <w:jc w:val="center"/>
        <w:tblLayout w:type="fixed"/>
      </w:tblPr>
      <w:tblGrid>
        <w:gridCol w:w="3744"/>
        <w:gridCol w:w="2726"/>
        <w:gridCol w:w="2774"/>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23,994,921.71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16,611,311.67</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减：一年内到期的政府补助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616,390.00</w:t>
            </w: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23,994,921.71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15,994,921.67</w:t>
            </w:r>
          </w:p>
        </w:tc>
      </w:tr>
    </w:tbl>
    <w:p>
      <w:pPr>
        <w:widowControl w:val="0"/>
        <w:spacing w:after="1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494" w:right="0" w:firstLine="0"/>
        <w:jc w:val="left"/>
      </w:pPr>
      <w:r>
        <w:rPr>
          <w:color w:val="000000"/>
          <w:spacing w:val="0"/>
          <w:w w:val="100"/>
          <w:position w:val="0"/>
        </w:rPr>
        <w:t>政府补助明细</w:t>
      </w:r>
    </w:p>
    <w:tbl>
      <w:tblPr>
        <w:tblOverlap w:val="never"/>
        <w:jc w:val="center"/>
        <w:tblLayout w:type="fixed"/>
      </w:tblPr>
      <w:tblGrid>
        <w:gridCol w:w="1200"/>
        <w:gridCol w:w="1248"/>
        <w:gridCol w:w="1214"/>
        <w:gridCol w:w="926"/>
        <w:gridCol w:w="1114"/>
        <w:gridCol w:w="946"/>
        <w:gridCol w:w="1320"/>
        <w:gridCol w:w="1397"/>
      </w:tblGrid>
      <w:tr>
        <w:trPr>
          <w:trHeight w:val="9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2019.01.01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本期新增补 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180" w:right="0" w:firstLine="0"/>
              <w:jc w:val="left"/>
              <w:rPr>
                <w:sz w:val="17"/>
                <w:szCs w:val="17"/>
              </w:rPr>
            </w:pPr>
            <w:r>
              <w:rPr>
                <w:rFonts w:ascii="SimSun" w:eastAsia="SimSun" w:hAnsi="SimSun" w:cs="SimSun"/>
                <w:b/>
                <w:bCs/>
                <w:color w:val="000000"/>
                <w:spacing w:val="0"/>
                <w:w w:val="100"/>
                <w:position w:val="0"/>
                <w:sz w:val="17"/>
                <w:szCs w:val="17"/>
              </w:rPr>
              <w:t>本期计 入营业 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本期计入</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本期冲减 成本费用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与资产相关</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与 收益相关</w:t>
            </w:r>
          </w:p>
        </w:tc>
      </w:tr>
      <w:tr>
        <w:trPr>
          <w:trHeight w:val="35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16,611,311.67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616,389.96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23,994,921.71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与资产相关</w:t>
            </w:r>
          </w:p>
        </w:tc>
      </w:tr>
    </w:tbl>
    <w:p>
      <w:pPr>
        <w:widowControl w:val="0"/>
        <w:spacing w:after="39" w:line="1" w:lineRule="exact"/>
      </w:pPr>
    </w:p>
    <w:p>
      <w:pPr>
        <w:pStyle w:val="Style33"/>
        <w:keepNext w:val="0"/>
        <w:keepLines w:val="0"/>
        <w:widowControl w:val="0"/>
        <w:shd w:val="clear" w:color="auto" w:fill="auto"/>
        <w:bidi w:val="0"/>
        <w:spacing w:before="0" w:after="240" w:line="240" w:lineRule="auto"/>
        <w:ind w:left="0" w:right="0" w:firstLine="560"/>
        <w:jc w:val="left"/>
      </w:pPr>
      <w:r>
        <w:rPr>
          <w:color w:val="000000"/>
          <w:spacing w:val="0"/>
          <w:w w:val="100"/>
          <w:position w:val="0"/>
        </w:rPr>
        <w:t>注：政府补助为子公司占用土地收到政府给予的补助（以上政府补贴都属于与资产相关的政府补贴）。</w:t>
      </w:r>
    </w:p>
    <w:p>
      <w:pPr>
        <w:pStyle w:val="Style22"/>
        <w:keepNext/>
        <w:keepLines/>
        <w:widowControl w:val="0"/>
        <w:shd w:val="clear" w:color="auto" w:fill="auto"/>
        <w:bidi w:val="0"/>
        <w:spacing w:before="0" w:after="40" w:line="240" w:lineRule="auto"/>
        <w:ind w:left="0" w:right="0" w:firstLine="560"/>
        <w:jc w:val="left"/>
        <w:rPr>
          <w:sz w:val="20"/>
          <w:szCs w:val="20"/>
        </w:rPr>
      </w:pPr>
      <w:bookmarkStart w:id="1115" w:name="bookmark1115"/>
      <w:bookmarkStart w:id="1116" w:name="bookmark1116"/>
      <w:bookmarkStart w:id="1117" w:name="bookmark1117"/>
      <w:r>
        <w:rPr>
          <w:rFonts w:ascii="Arial Narrow" w:eastAsia="Arial Narrow" w:hAnsi="Arial Narrow" w:cs="Arial Narrow"/>
          <w:color w:val="000000"/>
          <w:spacing w:val="0"/>
          <w:w w:val="100"/>
          <w:position w:val="0"/>
          <w:sz w:val="20"/>
          <w:szCs w:val="20"/>
        </w:rPr>
        <w:t>37</w:t>
      </w:r>
      <w:r>
        <w:rPr>
          <w:color w:val="000000"/>
          <w:spacing w:val="0"/>
          <w:w w:val="100"/>
          <w:position w:val="0"/>
          <w:sz w:val="20"/>
          <w:szCs w:val="20"/>
        </w:rPr>
        <w:t>、其他非流动负债</w:t>
      </w:r>
      <w:bookmarkEnd w:id="1115"/>
      <w:bookmarkEnd w:id="1116"/>
      <w:bookmarkEnd w:id="1117"/>
    </w:p>
    <w:tbl>
      <w:tblPr>
        <w:tblOverlap w:val="never"/>
        <w:jc w:val="center"/>
        <w:tblLayout w:type="fixed"/>
      </w:tblPr>
      <w:tblGrid>
        <w:gridCol w:w="2333"/>
        <w:gridCol w:w="2280"/>
        <w:gridCol w:w="1987"/>
        <w:gridCol w:w="2611"/>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内容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房屋维修基金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物业项目代管理基金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6,743,044.84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6,359,559.03</w:t>
            </w:r>
          </w:p>
        </w:tc>
      </w:tr>
    </w:tbl>
    <w:p>
      <w:pPr>
        <w:widowControl w:val="0"/>
        <w:spacing w:after="199" w:line="1" w:lineRule="exact"/>
      </w:pPr>
    </w:p>
    <w:p>
      <w:pPr>
        <w:pStyle w:val="Style22"/>
        <w:keepNext/>
        <w:keepLines/>
        <w:widowControl w:val="0"/>
        <w:shd w:val="clear" w:color="auto" w:fill="auto"/>
        <w:bidi w:val="0"/>
        <w:spacing w:before="0" w:after="40" w:line="240" w:lineRule="auto"/>
        <w:ind w:left="0" w:right="0" w:firstLine="560"/>
        <w:jc w:val="left"/>
        <w:rPr>
          <w:sz w:val="20"/>
          <w:szCs w:val="20"/>
        </w:rPr>
      </w:pPr>
      <w:bookmarkStart w:id="1118" w:name="bookmark1118"/>
      <w:bookmarkStart w:id="1119" w:name="bookmark1119"/>
      <w:bookmarkStart w:id="1120" w:name="bookmark1120"/>
      <w:r>
        <w:rPr>
          <w:rFonts w:ascii="Arial Narrow" w:eastAsia="Arial Narrow" w:hAnsi="Arial Narrow" w:cs="Arial Narrow"/>
          <w:color w:val="000000"/>
          <w:spacing w:val="0"/>
          <w:w w:val="100"/>
          <w:position w:val="0"/>
          <w:sz w:val="20"/>
          <w:szCs w:val="20"/>
        </w:rPr>
        <w:t>38</w:t>
      </w:r>
      <w:r>
        <w:rPr>
          <w:color w:val="000000"/>
          <w:spacing w:val="0"/>
          <w:w w:val="100"/>
          <w:position w:val="0"/>
          <w:sz w:val="20"/>
          <w:szCs w:val="20"/>
        </w:rPr>
        <w:t>、股本</w:t>
      </w:r>
      <w:bookmarkEnd w:id="1118"/>
      <w:bookmarkEnd w:id="1119"/>
      <w:bookmarkEnd w:id="1120"/>
    </w:p>
    <w:tbl>
      <w:tblPr>
        <w:tblOverlap w:val="never"/>
        <w:jc w:val="center"/>
        <w:tblLayout w:type="fixed"/>
      </w:tblPr>
      <w:tblGrid>
        <w:gridCol w:w="2333"/>
        <w:gridCol w:w="1651"/>
        <w:gridCol w:w="691"/>
        <w:gridCol w:w="494"/>
        <w:gridCol w:w="763"/>
        <w:gridCol w:w="677"/>
        <w:gridCol w:w="850"/>
        <w:gridCol w:w="1747"/>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2019.01.01</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65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发行新 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b/>
                <w:bCs/>
                <w:color w:val="000000"/>
                <w:spacing w:val="0"/>
                <w:w w:val="100"/>
                <w:position w:val="0"/>
                <w:sz w:val="17"/>
                <w:szCs w:val="17"/>
              </w:rPr>
              <w:t>公积金 转股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b/>
                <w:bCs/>
                <w:color w:val="000000"/>
                <w:spacing w:val="0"/>
                <w:w w:val="100"/>
                <w:position w:val="0"/>
                <w:sz w:val="17"/>
                <w:szCs w:val="17"/>
              </w:rPr>
              <w:t>小计</w:t>
            </w:r>
          </w:p>
        </w:tc>
        <w:tc>
          <w:tcPr>
            <w:vMerge/>
            <w:tcBorders>
              <w:left w:val="single" w:sz="4"/>
            </w:tcBorders>
            <w:shd w:val="clear" w:color="auto" w:fill="FFFFFF"/>
            <w:vAlign w:val="center"/>
          </w:tcPr>
          <w:p>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国有及国有法人持股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743,545.00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743,5</w:t>
            </w:r>
            <w:r>
              <w:rPr>
                <w:rFonts w:ascii="Arial Narrow" w:eastAsia="Arial Narrow" w:hAnsi="Arial Narrow" w:cs="Arial Narrow"/>
                <w:color w:val="000000"/>
                <w:spacing w:val="0"/>
                <w:w w:val="100"/>
                <w:position w:val="0"/>
                <w:sz w:val="18"/>
                <w:szCs w:val="18"/>
              </w:rPr>
              <w:t>45.00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境内法人持股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425,789,655.00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425,789,655.00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有限售条件股份合计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426,533,200.00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426,533,200.00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1,060,340,670.00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1,060,340,670.00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无限售条件股份合计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1,060,340,670.00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1,060,340,670.00</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1,486,873,870.00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1,486,873,870.00</w:t>
            </w:r>
          </w:p>
        </w:tc>
      </w:tr>
    </w:tbl>
    <w:p>
      <w:pPr>
        <w:widowControl w:val="0"/>
        <w:spacing w:after="199" w:line="1" w:lineRule="exact"/>
      </w:pPr>
    </w:p>
    <w:p>
      <w:pPr>
        <w:pStyle w:val="Style22"/>
        <w:keepNext/>
        <w:keepLines/>
        <w:widowControl w:val="0"/>
        <w:shd w:val="clear" w:color="auto" w:fill="auto"/>
        <w:bidi w:val="0"/>
        <w:spacing w:before="0" w:after="40" w:line="240" w:lineRule="auto"/>
        <w:ind w:left="0" w:right="0" w:firstLine="560"/>
        <w:jc w:val="left"/>
        <w:rPr>
          <w:sz w:val="20"/>
          <w:szCs w:val="20"/>
        </w:rPr>
      </w:pPr>
      <w:bookmarkStart w:id="1121" w:name="bookmark1121"/>
      <w:bookmarkStart w:id="1122" w:name="bookmark1122"/>
      <w:bookmarkStart w:id="1123" w:name="bookmark1123"/>
      <w:bookmarkStart w:id="1124" w:name="bookmark1124"/>
      <w:r>
        <w:rPr>
          <w:rFonts w:ascii="Arial Narrow" w:eastAsia="Arial Narrow" w:hAnsi="Arial Narrow" w:cs="Arial Narrow"/>
          <w:color w:val="000000"/>
          <w:spacing w:val="0"/>
          <w:w w:val="100"/>
          <w:position w:val="0"/>
          <w:sz w:val="20"/>
          <w:szCs w:val="20"/>
        </w:rPr>
        <w:t>3</w:t>
      </w:r>
      <w:bookmarkEnd w:id="1123"/>
      <w:r>
        <w:rPr>
          <w:rFonts w:ascii="Arial Narrow" w:eastAsia="Arial Narrow" w:hAnsi="Arial Narrow" w:cs="Arial Narrow"/>
          <w:color w:val="000000"/>
          <w:spacing w:val="0"/>
          <w:w w:val="100"/>
          <w:position w:val="0"/>
          <w:sz w:val="20"/>
          <w:szCs w:val="20"/>
        </w:rPr>
        <w:t>9</w:t>
      </w:r>
      <w:r>
        <w:rPr>
          <w:color w:val="000000"/>
          <w:spacing w:val="0"/>
          <w:w w:val="100"/>
          <w:position w:val="0"/>
          <w:sz w:val="20"/>
          <w:szCs w:val="20"/>
        </w:rPr>
        <w:t>、资本公积</w:t>
      </w:r>
      <w:bookmarkEnd w:id="1121"/>
      <w:bookmarkEnd w:id="1122"/>
      <w:bookmarkEnd w:id="1124"/>
    </w:p>
    <w:tbl>
      <w:tblPr>
        <w:tblOverlap w:val="never"/>
        <w:jc w:val="center"/>
        <w:tblLayout w:type="fixed"/>
      </w:tblPr>
      <w:tblGrid>
        <w:gridCol w:w="2242"/>
        <w:gridCol w:w="1886"/>
        <w:gridCol w:w="1478"/>
        <w:gridCol w:w="1608"/>
        <w:gridCol w:w="1968"/>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2019.01.01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股本溢价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10,499,105,997.93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4,619,033.03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10,494,486,964.90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181,302,966.30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181,302,966.30</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10,680,408,964.23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4,619,033.03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b/>
                <w:bCs/>
                <w:color w:val="000000"/>
                <w:spacing w:val="0"/>
                <w:w w:val="100"/>
                <w:position w:val="0"/>
                <w:sz w:val="18"/>
                <w:szCs w:val="18"/>
              </w:rPr>
              <w:t>10,675,789,931.20</w:t>
            </w:r>
          </w:p>
        </w:tc>
      </w:tr>
    </w:tbl>
    <w:p>
      <w:pPr>
        <w:widowControl w:val="0"/>
        <w:spacing w:after="199" w:line="1" w:lineRule="exact"/>
      </w:pPr>
    </w:p>
    <w:p>
      <w:pPr>
        <w:pStyle w:val="Style33"/>
        <w:keepNext w:val="0"/>
        <w:keepLines w:val="0"/>
        <w:widowControl w:val="0"/>
        <w:shd w:val="clear" w:color="auto" w:fill="auto"/>
        <w:bidi w:val="0"/>
        <w:spacing w:before="0" w:after="200" w:line="240" w:lineRule="auto"/>
        <w:ind w:left="0" w:right="0" w:firstLine="560"/>
        <w:jc w:val="left"/>
      </w:pPr>
      <w:r>
        <w:rPr>
          <w:color w:val="000000"/>
          <w:spacing w:val="0"/>
          <w:w w:val="100"/>
          <w:position w:val="0"/>
        </w:rPr>
        <w:t>注：本期非全资子公司内部股权比例变动导致股本溢价减少</w:t>
      </w:r>
      <w:r>
        <w:rPr>
          <w:b/>
          <w:bCs/>
          <w:color w:val="000000"/>
          <w:spacing w:val="0"/>
          <w:w w:val="100"/>
          <w:position w:val="0"/>
        </w:rPr>
        <w:t>4,619,033.03</w:t>
      </w:r>
      <w:r>
        <w:rPr>
          <w:color w:val="000000"/>
          <w:spacing w:val="0"/>
          <w:w w:val="100"/>
          <w:position w:val="0"/>
        </w:rPr>
        <w:t>元。</w:t>
      </w:r>
      <w:r>
        <w:br w:type="page"/>
      </w:r>
    </w:p>
    <w:p>
      <w:pPr>
        <w:pStyle w:val="Style22"/>
        <w:keepNext/>
        <w:keepLines/>
        <w:widowControl w:val="0"/>
        <w:shd w:val="clear" w:color="auto" w:fill="auto"/>
        <w:bidi w:val="0"/>
        <w:spacing w:before="0" w:after="40" w:line="240" w:lineRule="auto"/>
        <w:ind w:left="0" w:right="0" w:firstLine="560"/>
        <w:jc w:val="left"/>
        <w:rPr>
          <w:sz w:val="20"/>
          <w:szCs w:val="20"/>
        </w:rPr>
      </w:pPr>
      <w:bookmarkStart w:id="1125" w:name="bookmark1125"/>
      <w:bookmarkStart w:id="1126" w:name="bookmark1126"/>
      <w:bookmarkStart w:id="1127" w:name="bookmark1127"/>
      <w:bookmarkStart w:id="1128" w:name="bookmark1128"/>
      <w:r>
        <w:rPr>
          <w:rFonts w:ascii="Arial Narrow" w:eastAsia="Arial Narrow" w:hAnsi="Arial Narrow" w:cs="Arial Narrow"/>
          <w:color w:val="000000"/>
          <w:spacing w:val="0"/>
          <w:w w:val="100"/>
          <w:position w:val="0"/>
          <w:sz w:val="20"/>
          <w:szCs w:val="20"/>
        </w:rPr>
        <w:t>4</w:t>
      </w:r>
      <w:bookmarkEnd w:id="1127"/>
      <w:r>
        <w:rPr>
          <w:rFonts w:ascii="Arial Narrow" w:eastAsia="Arial Narrow" w:hAnsi="Arial Narrow" w:cs="Arial Narrow"/>
          <w:color w:val="000000"/>
          <w:spacing w:val="0"/>
          <w:w w:val="100"/>
          <w:position w:val="0"/>
          <w:sz w:val="20"/>
          <w:szCs w:val="20"/>
        </w:rPr>
        <w:t>0</w:t>
      </w:r>
      <w:r>
        <w:rPr>
          <w:color w:val="000000"/>
          <w:spacing w:val="0"/>
          <w:w w:val="100"/>
          <w:position w:val="0"/>
          <w:sz w:val="20"/>
          <w:szCs w:val="20"/>
        </w:rPr>
        <w:t>、其他综合收益</w:t>
      </w:r>
      <w:bookmarkEnd w:id="1125"/>
      <w:bookmarkEnd w:id="1126"/>
      <w:bookmarkEnd w:id="1128"/>
    </w:p>
    <w:tbl>
      <w:tblPr>
        <w:tblOverlap w:val="never"/>
        <w:jc w:val="center"/>
        <w:tblLayout w:type="fixed"/>
      </w:tblPr>
      <w:tblGrid>
        <w:gridCol w:w="1718"/>
        <w:gridCol w:w="1272"/>
        <w:gridCol w:w="1003"/>
        <w:gridCol w:w="1531"/>
        <w:gridCol w:w="946"/>
        <w:gridCol w:w="936"/>
        <w:gridCol w:w="854"/>
        <w:gridCol w:w="1109"/>
      </w:tblGrid>
      <w:tr>
        <w:trPr>
          <w:trHeight w:val="490"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b/>
                <w:bCs/>
                <w:color w:val="000000"/>
                <w:spacing w:val="0"/>
                <w:w w:val="100"/>
                <w:position w:val="0"/>
                <w:sz w:val="18"/>
                <w:szCs w:val="18"/>
              </w:rPr>
              <w:t>2019.01.01</w:t>
            </w:r>
          </w:p>
        </w:tc>
        <w:tc>
          <w:tcPr>
            <w:gridSpan w:val="5"/>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本期发生金额</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118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本期所得税 前发生额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减：前期计入其他 综合收益 当期转入损益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减：所得税 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b/>
                <w:bCs/>
                <w:color w:val="000000"/>
                <w:spacing w:val="0"/>
                <w:w w:val="100"/>
                <w:position w:val="0"/>
                <w:sz w:val="17"/>
                <w:szCs w:val="17"/>
              </w:rPr>
              <w:t>税后归属于 母公司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税后归属</w:t>
            </w:r>
          </w:p>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于少数股 东</w:t>
            </w:r>
          </w:p>
        </w:tc>
        <w:tc>
          <w:tcPr>
            <w:vMerge/>
            <w:tcBorders>
              <w:left w:val="single" w:sz="4"/>
            </w:tcBorders>
            <w:shd w:val="clear" w:color="auto" w:fill="FFFFFF"/>
            <w:vAlign w:val="center"/>
          </w:tcPr>
          <w:p>
            <w:pPr/>
          </w:p>
        </w:tc>
      </w:tr>
      <w:tr>
        <w:trPr>
          <w:trHeight w:val="9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一、以后不能重分类 进损益的其他综合收 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2,153,518.03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-96,075.13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-24,018.78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-72,056.35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2,081,461.68</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其中：其他权益工具 投资公允价值变动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2,153,518.03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-96,075.13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-24,018.78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-72,056.35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2,081,461.68</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二、以后将重分类进 损益的其他综合收益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-10,545.65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29,826.45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19,387.19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10,439.26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8,841.54</w:t>
            </w:r>
          </w:p>
        </w:tc>
      </w:tr>
      <w:tr>
        <w:trPr>
          <w:trHeight w:val="9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其中：可供出售金融 资产公允价值变动损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外币报表折算差额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-10,545.65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29,826.45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19,387.19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10,439.26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8,841.54</w:t>
            </w:r>
          </w:p>
        </w:tc>
      </w:tr>
      <w:tr>
        <w:trPr>
          <w:trHeight w:val="48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b/>
                <w:bCs/>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b/>
                <w:bCs/>
                <w:color w:val="000000"/>
                <w:spacing w:val="0"/>
                <w:w w:val="100"/>
                <w:position w:val="0"/>
                <w:sz w:val="18"/>
                <w:szCs w:val="18"/>
              </w:rPr>
              <w:t>2,142,972.38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b/>
                <w:bCs/>
                <w:color w:val="000000"/>
                <w:spacing w:val="0"/>
                <w:w w:val="100"/>
                <w:position w:val="0"/>
                <w:sz w:val="18"/>
                <w:szCs w:val="18"/>
              </w:rPr>
              <w:t>-66,248.68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-24,018.78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-52,669.16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10,439.26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b/>
                <w:bCs/>
                <w:color w:val="000000"/>
                <w:spacing w:val="0"/>
                <w:w w:val="100"/>
                <w:position w:val="0"/>
                <w:sz w:val="18"/>
                <w:szCs w:val="18"/>
              </w:rPr>
              <w:t>2,090,303.22</w:t>
            </w:r>
          </w:p>
        </w:tc>
      </w:tr>
    </w:tbl>
    <w:p>
      <w:pPr>
        <w:widowControl w:val="0"/>
        <w:spacing w:after="179" w:line="1" w:lineRule="exact"/>
      </w:pPr>
    </w:p>
    <w:p>
      <w:pPr>
        <w:pStyle w:val="Style22"/>
        <w:keepNext/>
        <w:keepLines/>
        <w:widowControl w:val="0"/>
        <w:shd w:val="clear" w:color="auto" w:fill="auto"/>
        <w:bidi w:val="0"/>
        <w:spacing w:before="0" w:after="40" w:line="240" w:lineRule="auto"/>
        <w:ind w:left="0" w:right="0" w:firstLine="560"/>
        <w:jc w:val="left"/>
        <w:rPr>
          <w:sz w:val="20"/>
          <w:szCs w:val="20"/>
        </w:rPr>
      </w:pPr>
      <w:bookmarkStart w:id="1129" w:name="bookmark1129"/>
      <w:bookmarkStart w:id="1130" w:name="bookmark1130"/>
      <w:bookmarkStart w:id="1131" w:name="bookmark1131"/>
      <w:bookmarkStart w:id="1132" w:name="bookmark1132"/>
      <w:r>
        <w:rPr>
          <w:rFonts w:ascii="Arial Narrow" w:eastAsia="Arial Narrow" w:hAnsi="Arial Narrow" w:cs="Arial Narrow"/>
          <w:color w:val="000000"/>
          <w:spacing w:val="0"/>
          <w:w w:val="100"/>
          <w:position w:val="0"/>
          <w:sz w:val="20"/>
          <w:szCs w:val="20"/>
        </w:rPr>
        <w:t>4</w:t>
      </w:r>
      <w:bookmarkEnd w:id="1131"/>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、盈余公积</w:t>
      </w:r>
      <w:bookmarkEnd w:id="1129"/>
      <w:bookmarkEnd w:id="1130"/>
      <w:bookmarkEnd w:id="1132"/>
    </w:p>
    <w:tbl>
      <w:tblPr>
        <w:tblOverlap w:val="never"/>
        <w:jc w:val="center"/>
        <w:tblLayout w:type="fixed"/>
      </w:tblPr>
      <w:tblGrid>
        <w:gridCol w:w="1877"/>
        <w:gridCol w:w="1824"/>
        <w:gridCol w:w="1824"/>
        <w:gridCol w:w="1829"/>
        <w:gridCol w:w="1858"/>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2019.01.01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216,091,994.43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rFonts w:ascii="Arial Narrow" w:eastAsia="Arial Narrow" w:hAnsi="Arial Narrow" w:cs="Arial Narrow"/>
                <w:color w:val="000000"/>
                <w:spacing w:val="0"/>
                <w:w w:val="100"/>
                <w:position w:val="0"/>
                <w:sz w:val="18"/>
                <w:szCs w:val="18"/>
              </w:rPr>
              <w:t>216,091,994.43</w:t>
            </w:r>
          </w:p>
        </w:tc>
      </w:tr>
    </w:tbl>
    <w:p>
      <w:pPr>
        <w:widowControl w:val="0"/>
        <w:spacing w:after="179" w:line="1" w:lineRule="exact"/>
      </w:pPr>
    </w:p>
    <w:p>
      <w:pPr>
        <w:pStyle w:val="Style33"/>
        <w:keepNext w:val="0"/>
        <w:keepLines w:val="0"/>
        <w:widowControl w:val="0"/>
        <w:shd w:val="clear" w:color="auto" w:fill="auto"/>
        <w:bidi w:val="0"/>
        <w:spacing w:before="0" w:after="260" w:line="240" w:lineRule="auto"/>
        <w:ind w:left="0" w:right="0" w:firstLine="560"/>
        <w:jc w:val="left"/>
      </w:pPr>
      <w:r>
        <w:rPr>
          <w:color w:val="000000"/>
          <w:spacing w:val="0"/>
          <w:w w:val="100"/>
          <w:position w:val="0"/>
        </w:rPr>
        <w:t>注：本期新金融工具重新计量，调减期初盈余公积</w:t>
      </w:r>
      <w:r>
        <w:rPr>
          <w:b/>
          <w:bCs/>
          <w:color w:val="000000"/>
          <w:spacing w:val="0"/>
          <w:w w:val="100"/>
          <w:position w:val="0"/>
        </w:rPr>
        <w:t>31,287.75</w:t>
      </w:r>
      <w:r>
        <w:rPr>
          <w:color w:val="000000"/>
          <w:spacing w:val="0"/>
          <w:w w:val="100"/>
          <w:position w:val="0"/>
        </w:rPr>
        <w:t>元。</w:t>
      </w:r>
    </w:p>
    <w:p>
      <w:pPr>
        <w:pStyle w:val="Style22"/>
        <w:keepNext/>
        <w:keepLines/>
        <w:widowControl w:val="0"/>
        <w:shd w:val="clear" w:color="auto" w:fill="auto"/>
        <w:bidi w:val="0"/>
        <w:spacing w:before="0" w:after="40" w:line="240" w:lineRule="auto"/>
        <w:ind w:left="0" w:right="0" w:firstLine="560"/>
        <w:jc w:val="left"/>
        <w:rPr>
          <w:sz w:val="20"/>
          <w:szCs w:val="20"/>
        </w:rPr>
      </w:pPr>
      <w:bookmarkStart w:id="1133" w:name="bookmark1133"/>
      <w:bookmarkStart w:id="1134" w:name="bookmark1134"/>
      <w:bookmarkStart w:id="1135" w:name="bookmark1135"/>
      <w:bookmarkStart w:id="1136" w:name="bookmark1136"/>
      <w:r>
        <w:rPr>
          <w:rFonts w:ascii="Arial Narrow" w:eastAsia="Arial Narrow" w:hAnsi="Arial Narrow" w:cs="Arial Narrow"/>
          <w:color w:val="000000"/>
          <w:spacing w:val="0"/>
          <w:w w:val="100"/>
          <w:position w:val="0"/>
          <w:sz w:val="20"/>
          <w:szCs w:val="20"/>
        </w:rPr>
        <w:t>4</w:t>
      </w:r>
      <w:bookmarkEnd w:id="1135"/>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、未分配利润</w:t>
      </w:r>
      <w:bookmarkEnd w:id="1133"/>
      <w:bookmarkEnd w:id="1134"/>
      <w:bookmarkEnd w:id="1136"/>
    </w:p>
    <w:tbl>
      <w:tblPr>
        <w:tblOverlap w:val="never"/>
        <w:jc w:val="center"/>
        <w:tblLayout w:type="fixed"/>
      </w:tblPr>
      <w:tblGrid>
        <w:gridCol w:w="5107"/>
        <w:gridCol w:w="2155"/>
        <w:gridCol w:w="2102"/>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调整前上年末未分配利润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2,114,893,635.75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1,079,619,148.24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调整年初未分配利润合计数（调增</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，调减</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-15,170,208.24</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调整后年初未分配利润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2,099,723,427.51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1,079,619,148.24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-957,109,228.27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1,117,732,285.03</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27,633,693.37</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111,515,540.25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54,824,104.15</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1,031,098,658.99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b/>
                <w:bCs/>
                <w:color w:val="000000"/>
                <w:spacing w:val="0"/>
                <w:w w:val="100"/>
                <w:position w:val="0"/>
                <w:sz w:val="18"/>
                <w:szCs w:val="18"/>
              </w:rPr>
              <w:t>2,114,893,635.75</w:t>
            </w:r>
          </w:p>
        </w:tc>
      </w:tr>
    </w:tbl>
    <w:p>
      <w:pPr>
        <w:widowControl w:val="0"/>
        <w:spacing w:after="179" w:line="1" w:lineRule="exact"/>
      </w:pPr>
    </w:p>
    <w:p>
      <w:pPr>
        <w:pStyle w:val="Style22"/>
        <w:keepNext/>
        <w:keepLines/>
        <w:widowControl w:val="0"/>
        <w:shd w:val="clear" w:color="auto" w:fill="auto"/>
        <w:bidi w:val="0"/>
        <w:spacing w:before="0" w:after="180" w:line="240" w:lineRule="auto"/>
        <w:ind w:left="0" w:right="0" w:firstLine="560"/>
        <w:jc w:val="left"/>
        <w:rPr>
          <w:sz w:val="20"/>
          <w:szCs w:val="20"/>
        </w:rPr>
      </w:pPr>
      <w:bookmarkStart w:id="1137" w:name="bookmark1137"/>
      <w:bookmarkStart w:id="1138" w:name="bookmark1138"/>
      <w:bookmarkStart w:id="1139" w:name="bookmark1139"/>
      <w:bookmarkStart w:id="1140" w:name="bookmark1140"/>
      <w:r>
        <w:rPr>
          <w:rFonts w:ascii="Arial Narrow" w:eastAsia="Arial Narrow" w:hAnsi="Arial Narrow" w:cs="Arial Narrow"/>
          <w:color w:val="000000"/>
          <w:spacing w:val="0"/>
          <w:w w:val="100"/>
          <w:position w:val="0"/>
          <w:sz w:val="20"/>
          <w:szCs w:val="20"/>
        </w:rPr>
        <w:t>4</w:t>
      </w:r>
      <w:bookmarkEnd w:id="1139"/>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、营业收入及营业成本</w:t>
      </w:r>
      <w:bookmarkEnd w:id="1137"/>
      <w:bookmarkEnd w:id="1138"/>
      <w:bookmarkEnd w:id="1140"/>
      <w:r>
        <w:br w:type="page"/>
      </w:r>
    </w:p>
    <w:p>
      <w:pPr>
        <w:pStyle w:val="Style24"/>
        <w:keepNext w:val="0"/>
        <w:keepLines w:val="0"/>
        <w:widowControl w:val="0"/>
        <w:shd w:val="clear" w:color="auto" w:fill="auto"/>
        <w:bidi w:val="0"/>
        <w:spacing w:before="0" w:after="0" w:line="240" w:lineRule="auto"/>
        <w:ind w:left="514"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)营业收入、营业成本:</w:t>
      </w:r>
    </w:p>
    <w:tbl>
      <w:tblPr>
        <w:tblOverlap w:val="never"/>
        <w:jc w:val="center"/>
        <w:tblLayout w:type="fixed"/>
      </w:tblPr>
      <w:tblGrid>
        <w:gridCol w:w="2150"/>
        <w:gridCol w:w="1872"/>
        <w:gridCol w:w="1829"/>
        <w:gridCol w:w="1762"/>
        <w:gridCol w:w="1752"/>
      </w:tblGrid>
      <w:tr>
        <w:trPr>
          <w:trHeight w:val="427"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成本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成本</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6,805,761,615.72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5,930,318,065.49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8,673,651,599.43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7,450,413,512.63</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2,637,865.71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1,286,936.41</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6,805,761,615.72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5,930,318,065.49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8,676,289,465.14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b/>
                <w:bCs/>
                <w:color w:val="000000"/>
                <w:spacing w:val="0"/>
                <w:w w:val="100"/>
                <w:position w:val="0"/>
                <w:sz w:val="18"/>
                <w:szCs w:val="18"/>
              </w:rPr>
              <w:t>7,451,700,449.04</w:t>
            </w:r>
          </w:p>
        </w:tc>
      </w:tr>
    </w:tbl>
    <w:p>
      <w:pPr>
        <w:widowControl w:val="0"/>
        <w:spacing w:after="1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514"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2</w:t>
      </w:r>
      <w:r>
        <w:rPr>
          <w:color w:val="000000"/>
          <w:spacing w:val="0"/>
          <w:w w:val="100"/>
          <w:position w:val="0"/>
        </w:rPr>
        <w:t>)主营业务收入及成本(分行业)列示如下:</w:t>
      </w:r>
    </w:p>
    <w:tbl>
      <w:tblPr>
        <w:tblOverlap w:val="never"/>
        <w:jc w:val="center"/>
        <w:tblLayout w:type="fixed"/>
      </w:tblPr>
      <w:tblGrid>
        <w:gridCol w:w="2150"/>
        <w:gridCol w:w="1934"/>
        <w:gridCol w:w="1795"/>
        <w:gridCol w:w="1733"/>
        <w:gridCol w:w="1752"/>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成本</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物业及房屋租赁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282,689,638.58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152,640,103.55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287,526,607.90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136,065,749.14</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新能源收入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3,633,621,814.28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2,970,467,254.51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5,043,750,344.48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4,295,337,713.63</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生态环保收入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1,005,722,474.66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938,800,842.98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3,116,624,799.46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2,802,884,142.41</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供应链收入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1,883,727,688.20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1,868,409,864.45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225,749,847.59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216,125,907.45</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6,805,761,615.72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5,930,318,065.49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8,673,651,599.43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b/>
                <w:bCs/>
                <w:color w:val="000000"/>
                <w:spacing w:val="0"/>
                <w:w w:val="100"/>
                <w:position w:val="0"/>
                <w:sz w:val="18"/>
                <w:szCs w:val="18"/>
              </w:rPr>
              <w:t>7,450,413,512.63</w:t>
            </w:r>
          </w:p>
        </w:tc>
      </w:tr>
    </w:tbl>
    <w:p>
      <w:pPr>
        <w:widowControl w:val="0"/>
        <w:spacing w:after="1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514"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3</w:t>
      </w:r>
      <w:r>
        <w:rPr>
          <w:color w:val="000000"/>
          <w:spacing w:val="0"/>
          <w:w w:val="100"/>
          <w:position w:val="0"/>
        </w:rPr>
        <w:t>)主营业务收入及成本(分产品)列示如下:</w:t>
      </w:r>
    </w:p>
    <w:tbl>
      <w:tblPr>
        <w:tblOverlap w:val="never"/>
        <w:jc w:val="center"/>
        <w:tblLayout w:type="fixed"/>
      </w:tblPr>
      <w:tblGrid>
        <w:gridCol w:w="2352"/>
        <w:gridCol w:w="1838"/>
        <w:gridCol w:w="1699"/>
        <w:gridCol w:w="1699"/>
        <w:gridCol w:w="1776"/>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主营业务成本</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物业及房屋租赁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282,689,638.58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152,640,103.55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287,526,607.90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136,065,749.14</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新能源收入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3,633,621,814.28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2,970,467,254.51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5,043,750,344.48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4,295,337,713.63</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生态环保收入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1,005,722,474.66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938,800,842.98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3,116,624,799.46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2,802,884,142.41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供应链收入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1,883,727,688.20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1,868,409,864.45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225,749,847.59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216,125,907.45</w:t>
            </w: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6,805,761,615.72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5,930,318,065.49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8,673,651,599.43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b/>
                <w:bCs/>
                <w:color w:val="000000"/>
                <w:spacing w:val="0"/>
                <w:w w:val="100"/>
                <w:position w:val="0"/>
                <w:sz w:val="18"/>
                <w:szCs w:val="18"/>
              </w:rPr>
              <w:t>7,450,413,512.63</w:t>
            </w:r>
          </w:p>
        </w:tc>
      </w:tr>
    </w:tbl>
    <w:p>
      <w:pPr>
        <w:widowControl w:val="0"/>
        <w:spacing w:after="1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514"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4</w:t>
      </w:r>
      <w:r>
        <w:rPr>
          <w:color w:val="000000"/>
          <w:spacing w:val="0"/>
          <w:w w:val="100"/>
          <w:position w:val="0"/>
        </w:rPr>
        <w:t>)主营业务收入及成本(分地区)列示如下:</w:t>
      </w:r>
    </w:p>
    <w:tbl>
      <w:tblPr>
        <w:tblOverlap w:val="never"/>
        <w:jc w:val="center"/>
        <w:tblLayout w:type="fixed"/>
      </w:tblPr>
      <w:tblGrid>
        <w:gridCol w:w="2006"/>
        <w:gridCol w:w="1949"/>
        <w:gridCol w:w="1934"/>
        <w:gridCol w:w="1699"/>
        <w:gridCol w:w="1776"/>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主营业务成本</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352,313,476.69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302,207,784.91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366,367,457.14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285,381,545.81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2,302,680,707.76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2,066,623,422.13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3,047,800,538.71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2,645,905,356.91</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2,787,407,552.47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2,493,592,621.20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3,688,729,578.51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3,222,381,894.59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170,160,383.11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56,208,683.90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212,331,052.44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140,691,602.86</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79,787,784.20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49,507,387.59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316,394,979.85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249,620,703.91</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690,535,980.32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657,655,442.73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275,525,738.57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250,107,905.84</w:t>
            </w:r>
          </w:p>
        </w:tc>
      </w:tr>
    </w:tbl>
    <w:p>
      <w:pPr>
        <w:widowControl w:val="0"/>
        <w:spacing w:line="1" w:lineRule="exact"/>
      </w:pPr>
      <w:r>
        <w:br w:type="page"/>
      </w:r>
    </w:p>
    <w:tbl>
      <w:tblPr>
        <w:tblOverlap w:val="never"/>
        <w:jc w:val="center"/>
        <w:tblLayout w:type="fixed"/>
      </w:tblPr>
      <w:tblGrid>
        <w:gridCol w:w="2006"/>
        <w:gridCol w:w="1152"/>
        <w:gridCol w:w="797"/>
        <w:gridCol w:w="1934"/>
        <w:gridCol w:w="322"/>
        <w:gridCol w:w="1378"/>
        <w:gridCol w:w="1776"/>
      </w:tblGrid>
      <w:tr>
        <w:trPr>
          <w:trHeight w:val="4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华中地区</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371,944,603.57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260,163,904.45</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754,070,262.54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645,281,271.07</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香港地区</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30,796,815.54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27,265,012.69</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12,431,991.67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11,043,231.64</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东盟地区</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10,824,182.28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8,989,153.52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欧盟地区</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9,310,129.78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8,104,652.37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6,805,761,615.72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5,930,318,065.49</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8,673,651,599.43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7,450,413,512.63</w:t>
            </w:r>
          </w:p>
        </w:tc>
      </w:tr>
      <w:tr>
        <w:trPr>
          <w:trHeight w:val="528" w:hRule="exact"/>
        </w:trPr>
        <w:tc>
          <w:tcPr>
            <w:gridSpan w:val="7"/>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rPr>
                <w:sz w:val="20"/>
                <w:szCs w:val="20"/>
              </w:rPr>
            </w:pPr>
            <w:bookmarkStart w:id="1141" w:name="bookmark1141"/>
            <w:r>
              <w:rPr>
                <w:rFonts w:ascii="Arial Narrow" w:eastAsia="Arial Narrow" w:hAnsi="Arial Narrow" w:cs="Arial Narrow"/>
                <w:b/>
                <w:bCs/>
                <w:color w:val="000000"/>
                <w:spacing w:val="0"/>
                <w:w w:val="100"/>
                <w:position w:val="0"/>
                <w:sz w:val="20"/>
                <w:szCs w:val="20"/>
              </w:rPr>
              <w:t>44</w:t>
            </w:r>
            <w:r>
              <w:rPr>
                <w:rFonts w:ascii="SimSun" w:eastAsia="SimSun" w:hAnsi="SimSun" w:cs="SimSun"/>
                <w:b/>
                <w:bCs/>
                <w:color w:val="000000"/>
                <w:spacing w:val="0"/>
                <w:w w:val="100"/>
                <w:position w:val="0"/>
                <w:sz w:val="20"/>
                <w:szCs w:val="20"/>
              </w:rPr>
              <w:t>、税金及附加</w:t>
            </w:r>
            <w:bookmarkEnd w:id="1141"/>
          </w:p>
        </w:tc>
      </w:tr>
      <w:tr>
        <w:trPr>
          <w:trHeight w:val="418"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r>
      <w:tr>
        <w:trPr>
          <w:trHeight w:val="422"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城市维护建设税</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1,632,091.23</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3,529,540.57</w:t>
            </w:r>
          </w:p>
        </w:tc>
      </w:tr>
      <w:tr>
        <w:trPr>
          <w:trHeight w:val="427"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教育费附加</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1,352,172.33</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2,686,125.44</w:t>
            </w:r>
          </w:p>
        </w:tc>
      </w:tr>
      <w:tr>
        <w:trPr>
          <w:trHeight w:val="422"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土地增值税</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328,062.61</w:t>
            </w:r>
          </w:p>
        </w:tc>
      </w:tr>
      <w:tr>
        <w:trPr>
          <w:trHeight w:val="427"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印花税</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4,461,462.56</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5,668,721.99</w:t>
            </w:r>
          </w:p>
        </w:tc>
      </w:tr>
      <w:tr>
        <w:trPr>
          <w:trHeight w:val="422"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房产税</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15,955,636.94</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4,542,278.44</w:t>
            </w:r>
          </w:p>
        </w:tc>
      </w:tr>
      <w:tr>
        <w:trPr>
          <w:trHeight w:val="427"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土地使用税</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5,915,095.62</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4,388,435.43</w:t>
            </w:r>
          </w:p>
        </w:tc>
      </w:tr>
      <w:tr>
        <w:trPr>
          <w:trHeight w:val="422"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防洪费</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366,647.65</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残保金</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528,612.97</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835,016.17</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470,206.54</w:t>
            </w:r>
          </w:p>
        </w:tc>
      </w:tr>
      <w:tr>
        <w:trPr>
          <w:trHeight w:val="437"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31,046,735.47</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pPr>
            <w:r>
              <w:rPr>
                <w:rFonts w:ascii="Arial Narrow" w:eastAsia="Arial Narrow" w:hAnsi="Arial Narrow" w:cs="Arial Narrow"/>
                <w:b/>
                <w:bCs/>
                <w:color w:val="000000"/>
                <w:spacing w:val="0"/>
                <w:w w:val="100"/>
                <w:position w:val="0"/>
                <w:sz w:val="18"/>
                <w:szCs w:val="18"/>
              </w:rPr>
              <w:t>21,613,371.02</w:t>
            </w:r>
          </w:p>
        </w:tc>
      </w:tr>
      <w:tr>
        <w:trPr>
          <w:trHeight w:val="1032" w:hRule="exact"/>
        </w:trPr>
        <w:tc>
          <w:tcPr>
            <w:gridSpan w:val="7"/>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260" w:line="240" w:lineRule="auto"/>
              <w:ind w:left="0" w:right="0" w:firstLine="560"/>
              <w:jc w:val="left"/>
              <w:rPr>
                <w:sz w:val="20"/>
                <w:szCs w:val="20"/>
              </w:rPr>
            </w:pPr>
            <w:r>
              <w:rPr>
                <w:rFonts w:ascii="SimSun" w:eastAsia="SimSun" w:hAnsi="SimSun" w:cs="SimSun"/>
                <w:color w:val="000000"/>
                <w:spacing w:val="0"/>
                <w:w w:val="100"/>
                <w:position w:val="0"/>
                <w:sz w:val="20"/>
                <w:szCs w:val="20"/>
              </w:rPr>
              <w:t>注：税金及附加本期较上年同期增加主要房产税增加所致。</w:t>
            </w:r>
          </w:p>
          <w:p>
            <w:pPr>
              <w:pStyle w:val="Style19"/>
              <w:keepNext w:val="0"/>
              <w:keepLines w:val="0"/>
              <w:widowControl w:val="0"/>
              <w:shd w:val="clear" w:color="auto" w:fill="auto"/>
              <w:bidi w:val="0"/>
              <w:spacing w:before="0" w:after="0" w:line="240" w:lineRule="auto"/>
              <w:ind w:left="0" w:right="0" w:firstLine="560"/>
              <w:jc w:val="left"/>
              <w:rPr>
                <w:sz w:val="20"/>
                <w:szCs w:val="20"/>
              </w:rPr>
            </w:pPr>
            <w:bookmarkStart w:id="1142" w:name="bookmark1142"/>
            <w:r>
              <w:rPr>
                <w:rFonts w:ascii="Arial Narrow" w:eastAsia="Arial Narrow" w:hAnsi="Arial Narrow" w:cs="Arial Narrow"/>
                <w:b/>
                <w:bCs/>
                <w:color w:val="000000"/>
                <w:spacing w:val="0"/>
                <w:w w:val="100"/>
                <w:position w:val="0"/>
                <w:sz w:val="20"/>
                <w:szCs w:val="20"/>
              </w:rPr>
              <w:t>45</w:t>
            </w:r>
            <w:r>
              <w:rPr>
                <w:rFonts w:ascii="SimSun" w:eastAsia="SimSun" w:hAnsi="SimSun" w:cs="SimSun"/>
                <w:b/>
                <w:bCs/>
                <w:color w:val="000000"/>
                <w:spacing w:val="0"/>
                <w:w w:val="100"/>
                <w:position w:val="0"/>
                <w:sz w:val="20"/>
                <w:szCs w:val="20"/>
              </w:rPr>
              <w:t>、销售费用</w:t>
            </w:r>
            <w:bookmarkEnd w:id="1142"/>
          </w:p>
        </w:tc>
      </w:tr>
      <w:tr>
        <w:trPr>
          <w:trHeight w:val="413"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r>
      <w:tr>
        <w:trPr>
          <w:trHeight w:val="427"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职工薪酬</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2,568,171.19</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9,021,255.33</w:t>
            </w:r>
          </w:p>
        </w:tc>
      </w:tr>
      <w:tr>
        <w:trPr>
          <w:trHeight w:val="422"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7"/>
                <w:szCs w:val="17"/>
              </w:rPr>
            </w:pPr>
            <w:r>
              <w:rPr>
                <w:rFonts w:ascii="SimSun" w:eastAsia="SimSun" w:hAnsi="SimSun" w:cs="SimSun"/>
                <w:color w:val="000000"/>
                <w:spacing w:val="0"/>
                <w:w w:val="100"/>
                <w:position w:val="0"/>
                <w:sz w:val="17"/>
                <w:szCs w:val="17"/>
              </w:rPr>
              <w:t>行政办公费</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10,584,087.37</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8,490,108.75</w:t>
            </w:r>
          </w:p>
        </w:tc>
      </w:tr>
      <w:tr>
        <w:trPr>
          <w:trHeight w:val="427"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60" w:right="0" w:firstLine="0"/>
              <w:jc w:val="left"/>
              <w:rPr>
                <w:sz w:val="17"/>
                <w:szCs w:val="17"/>
              </w:rPr>
            </w:pPr>
            <w:r>
              <w:rPr>
                <w:rFonts w:ascii="SimSun" w:eastAsia="SimSun" w:hAnsi="SimSun" w:cs="SimSun"/>
                <w:color w:val="000000"/>
                <w:spacing w:val="0"/>
                <w:w w:val="100"/>
                <w:position w:val="0"/>
                <w:sz w:val="17"/>
                <w:szCs w:val="17"/>
              </w:rPr>
              <w:t>推广活动费</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1,164,965.37</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both"/>
            </w:pPr>
            <w:r>
              <w:rPr>
                <w:rFonts w:ascii="Arial Narrow" w:eastAsia="Arial Narrow" w:hAnsi="Arial Narrow" w:cs="Arial Narrow"/>
                <w:color w:val="000000"/>
                <w:spacing w:val="0"/>
                <w:w w:val="100"/>
                <w:position w:val="0"/>
                <w:sz w:val="18"/>
                <w:szCs w:val="18"/>
              </w:rPr>
              <w:t>1,482,461.04</w:t>
            </w:r>
          </w:p>
        </w:tc>
      </w:tr>
      <w:tr>
        <w:trPr>
          <w:trHeight w:val="422"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其他</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288,753.94</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rFonts w:ascii="Arial Narrow" w:eastAsia="Arial Narrow" w:hAnsi="Arial Narrow" w:cs="Arial Narrow"/>
                <w:color w:val="000000"/>
                <w:spacing w:val="0"/>
                <w:w w:val="100"/>
                <w:position w:val="0"/>
                <w:sz w:val="18"/>
                <w:szCs w:val="18"/>
              </w:rPr>
              <w:t>130,531.40</w:t>
            </w:r>
          </w:p>
        </w:tc>
      </w:tr>
      <w:tr>
        <w:trPr>
          <w:trHeight w:val="437"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b/>
                <w:bCs/>
                <w:color w:val="000000"/>
                <w:spacing w:val="0"/>
                <w:w w:val="100"/>
                <w:position w:val="0"/>
                <w:sz w:val="17"/>
                <w:szCs w:val="17"/>
              </w:rPr>
              <w:t>合计</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14,605,977.87</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pPr>
            <w:r>
              <w:rPr>
                <w:rFonts w:ascii="Arial Narrow" w:eastAsia="Arial Narrow" w:hAnsi="Arial Narrow" w:cs="Arial Narrow"/>
                <w:b/>
                <w:bCs/>
                <w:color w:val="000000"/>
                <w:spacing w:val="0"/>
                <w:w w:val="100"/>
                <w:position w:val="0"/>
                <w:sz w:val="18"/>
                <w:szCs w:val="18"/>
              </w:rPr>
              <w:t>19,124,356.52</w:t>
            </w:r>
          </w:p>
        </w:tc>
      </w:tr>
      <w:tr>
        <w:trPr>
          <w:trHeight w:val="528" w:hRule="exact"/>
        </w:trPr>
        <w:tc>
          <w:tcPr>
            <w:gridSpan w:val="7"/>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rPr>
                <w:sz w:val="20"/>
                <w:szCs w:val="20"/>
              </w:rPr>
            </w:pPr>
            <w:bookmarkStart w:id="1143" w:name="bookmark1143"/>
            <w:r>
              <w:rPr>
                <w:rFonts w:ascii="Arial Narrow" w:eastAsia="Arial Narrow" w:hAnsi="Arial Narrow" w:cs="Arial Narrow"/>
                <w:b/>
                <w:bCs/>
                <w:color w:val="000000"/>
                <w:spacing w:val="0"/>
                <w:w w:val="100"/>
                <w:position w:val="0"/>
                <w:sz w:val="20"/>
                <w:szCs w:val="20"/>
              </w:rPr>
              <w:t>46</w:t>
            </w:r>
            <w:r>
              <w:rPr>
                <w:rFonts w:ascii="SimSun" w:eastAsia="SimSun" w:hAnsi="SimSun" w:cs="SimSun"/>
                <w:b/>
                <w:bCs/>
                <w:color w:val="000000"/>
                <w:spacing w:val="0"/>
                <w:w w:val="100"/>
                <w:position w:val="0"/>
                <w:sz w:val="20"/>
                <w:szCs w:val="20"/>
              </w:rPr>
              <w:t>、管理费用</w:t>
            </w:r>
            <w:bookmarkEnd w:id="1143"/>
          </w:p>
        </w:tc>
      </w:tr>
      <w:tr>
        <w:trPr>
          <w:trHeight w:val="418"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r>
      <w:tr>
        <w:trPr>
          <w:trHeight w:val="427"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职工薪酬</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161,952,934.07</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152,744,044.80</w:t>
            </w:r>
          </w:p>
        </w:tc>
      </w:tr>
      <w:tr>
        <w:trPr>
          <w:trHeight w:val="422"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行政办公费</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49,730,370.88</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pPr>
            <w:r>
              <w:rPr>
                <w:rFonts w:ascii="Arial Narrow" w:eastAsia="Arial Narrow" w:hAnsi="Arial Narrow" w:cs="Arial Narrow"/>
                <w:color w:val="000000"/>
                <w:spacing w:val="0"/>
                <w:w w:val="100"/>
                <w:position w:val="0"/>
                <w:sz w:val="18"/>
                <w:szCs w:val="18"/>
              </w:rPr>
              <w:t>72,099,019.77</w:t>
            </w:r>
          </w:p>
        </w:tc>
      </w:tr>
      <w:tr>
        <w:trPr>
          <w:trHeight w:val="427" w:hRule="exact"/>
        </w:trPr>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折旧及摊销</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9,661,918.43</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pPr>
            <w:r>
              <w:rPr>
                <w:rFonts w:ascii="Arial Narrow" w:eastAsia="Arial Narrow" w:hAnsi="Arial Narrow" w:cs="Arial Narrow"/>
                <w:color w:val="000000"/>
                <w:spacing w:val="0"/>
                <w:w w:val="100"/>
                <w:position w:val="0"/>
                <w:sz w:val="18"/>
                <w:szCs w:val="18"/>
              </w:rPr>
              <w:t>27,501,749.42</w:t>
            </w:r>
          </w:p>
        </w:tc>
      </w:tr>
      <w:tr>
        <w:trPr>
          <w:trHeight w:val="456" w:hRule="exact"/>
        </w:trPr>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中介咨询费</w:t>
            </w:r>
          </w:p>
        </w:tc>
        <w:tc>
          <w:tcPr>
            <w:gridSpan w:val="3"/>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43,167,177.38</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pPr>
            <w:r>
              <w:rPr>
                <w:rFonts w:ascii="Arial Narrow" w:eastAsia="Arial Narrow" w:hAnsi="Arial Narrow" w:cs="Arial Narrow"/>
                <w:color w:val="000000"/>
                <w:spacing w:val="0"/>
                <w:w w:val="100"/>
                <w:position w:val="0"/>
                <w:sz w:val="18"/>
                <w:szCs w:val="18"/>
              </w:rPr>
              <w:t>58,131,815.33</w:t>
            </w:r>
          </w:p>
        </w:tc>
      </w:tr>
    </w:tbl>
    <w:p>
      <w:pPr>
        <w:widowControl w:val="0"/>
        <w:spacing w:line="1" w:lineRule="exact"/>
      </w:pPr>
      <w:r>
        <w:br w:type="page"/>
      </w:r>
    </w:p>
    <w:tbl>
      <w:tblPr>
        <w:tblOverlap w:val="never"/>
        <w:jc w:val="center"/>
        <w:tblLayout w:type="fixed"/>
      </w:tblPr>
      <w:tblGrid>
        <w:gridCol w:w="3082"/>
        <w:gridCol w:w="3048"/>
        <w:gridCol w:w="3082"/>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4,679,022.23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4,744,837.91</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269,191,422.99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315,221,467.23</w:t>
            </w:r>
          </w:p>
        </w:tc>
      </w:tr>
      <w:tr>
        <w:trPr>
          <w:trHeight w:val="528" w:hRule="exact"/>
        </w:trPr>
        <w:tc>
          <w:tcPr>
            <w:gridSpan w:val="3"/>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20"/>
                <w:szCs w:val="20"/>
              </w:rPr>
            </w:pPr>
            <w:bookmarkStart w:id="1144" w:name="bookmark1144"/>
            <w:r>
              <w:rPr>
                <w:rFonts w:ascii="Arial Narrow" w:eastAsia="Arial Narrow" w:hAnsi="Arial Narrow" w:cs="Arial Narrow"/>
                <w:b/>
                <w:bCs/>
                <w:color w:val="000000"/>
                <w:spacing w:val="0"/>
                <w:w w:val="100"/>
                <w:position w:val="0"/>
                <w:sz w:val="20"/>
                <w:szCs w:val="20"/>
              </w:rPr>
              <w:t>47</w:t>
            </w:r>
            <w:r>
              <w:rPr>
                <w:rFonts w:ascii="SimSun" w:eastAsia="SimSun" w:hAnsi="SimSun" w:cs="SimSun"/>
                <w:b/>
                <w:bCs/>
                <w:color w:val="000000"/>
                <w:spacing w:val="0"/>
                <w:w w:val="100"/>
                <w:position w:val="0"/>
                <w:sz w:val="20"/>
                <w:szCs w:val="20"/>
              </w:rPr>
              <w:t>、研发费用</w:t>
            </w:r>
            <w:bookmarkEnd w:id="1144"/>
          </w:p>
        </w:tc>
      </w:tr>
      <w:tr>
        <w:trPr>
          <w:trHeight w:val="4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19,068,347.37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29,959,791.32</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折旧与摊销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4,979,571.80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2,629,976.65</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材料消耗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9,522,593.64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15,789,354.31</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1,844,461.46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2,950,132.55</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35,414,974.27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51,329,254.83</w:t>
            </w:r>
          </w:p>
        </w:tc>
      </w:tr>
      <w:tr>
        <w:trPr>
          <w:trHeight w:val="528" w:hRule="exact"/>
        </w:trPr>
        <w:tc>
          <w:tcPr>
            <w:gridSpan w:val="3"/>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20"/>
                <w:szCs w:val="20"/>
              </w:rPr>
            </w:pPr>
            <w:bookmarkStart w:id="1145" w:name="bookmark1145"/>
            <w:r>
              <w:rPr>
                <w:rFonts w:ascii="Arial Narrow" w:eastAsia="Arial Narrow" w:hAnsi="Arial Narrow" w:cs="Arial Narrow"/>
                <w:b/>
                <w:bCs/>
                <w:color w:val="000000"/>
                <w:spacing w:val="0"/>
                <w:w w:val="100"/>
                <w:position w:val="0"/>
                <w:sz w:val="20"/>
                <w:szCs w:val="20"/>
              </w:rPr>
              <w:t>48</w:t>
            </w:r>
            <w:r>
              <w:rPr>
                <w:rFonts w:ascii="SimSun" w:eastAsia="SimSun" w:hAnsi="SimSun" w:cs="SimSun"/>
                <w:b/>
                <w:bCs/>
                <w:color w:val="000000"/>
                <w:spacing w:val="0"/>
                <w:w w:val="100"/>
                <w:position w:val="0"/>
                <w:sz w:val="20"/>
                <w:szCs w:val="20"/>
              </w:rPr>
              <w:t>、财务费用</w:t>
            </w:r>
            <w:bookmarkEnd w:id="1145"/>
          </w:p>
        </w:tc>
      </w:tr>
      <w:tr>
        <w:trPr>
          <w:trHeight w:val="4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730,692,240.67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640,120,327.94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135,278,982.35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143,402,131.52</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汇兑损益</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为收益）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-431,585.58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-285,839.27</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手续费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14,758,348.84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17,837,836.75</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609,740,021.58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514,270,193.90</w:t>
            </w:r>
          </w:p>
        </w:tc>
      </w:tr>
    </w:tbl>
    <w:p>
      <w:pPr>
        <w:pStyle w:val="Style24"/>
        <w:keepNext w:val="0"/>
        <w:keepLines w:val="0"/>
        <w:widowControl w:val="0"/>
        <w:shd w:val="clear" w:color="auto" w:fill="auto"/>
        <w:bidi w:val="0"/>
        <w:spacing w:before="0" w:after="0" w:line="240" w:lineRule="auto"/>
        <w:ind w:left="466" w:right="0" w:firstLine="0"/>
        <w:jc w:val="left"/>
        <w:rPr>
          <w:sz w:val="19"/>
          <w:szCs w:val="19"/>
        </w:rPr>
      </w:pPr>
      <w:r>
        <w:rPr>
          <w:color w:val="000000"/>
          <w:spacing w:val="0"/>
          <w:w w:val="100"/>
          <w:position w:val="0"/>
          <w:sz w:val="19"/>
          <w:szCs w:val="19"/>
        </w:rPr>
        <w:t>注：财务费用本期较上期增加的主要原因为本期计提逾期借款利息。</w:t>
      </w:r>
    </w:p>
    <w:p>
      <w:pPr>
        <w:widowControl w:val="0"/>
        <w:spacing w:after="219" w:line="1" w:lineRule="exact"/>
      </w:pPr>
    </w:p>
    <w:p>
      <w:pPr>
        <w:widowControl w:val="0"/>
        <w:spacing w:line="1" w:lineRule="exact"/>
      </w:pPr>
    </w:p>
    <w:tbl>
      <w:tblPr>
        <w:tblOverlap w:val="never"/>
        <w:jc w:val="center"/>
        <w:tblLayout w:type="fixed"/>
      </w:tblPr>
      <w:tblGrid>
        <w:gridCol w:w="2746"/>
        <w:gridCol w:w="1555"/>
        <w:gridCol w:w="1843"/>
        <w:gridCol w:w="3010"/>
      </w:tblGrid>
      <w:tr>
        <w:trPr>
          <w:trHeight w:val="322" w:hRule="exact"/>
        </w:trPr>
        <w:tc>
          <w:tcPr>
            <w:gridSpan w:val="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rPr>
                <w:sz w:val="20"/>
                <w:szCs w:val="20"/>
              </w:rPr>
            </w:pPr>
            <w:bookmarkStart w:id="1146" w:name="bookmark1146"/>
            <w:r>
              <w:rPr>
                <w:rFonts w:ascii="Arial Narrow" w:eastAsia="Arial Narrow" w:hAnsi="Arial Narrow" w:cs="Arial Narrow"/>
                <w:b/>
                <w:bCs/>
                <w:color w:val="000000"/>
                <w:spacing w:val="0"/>
                <w:w w:val="100"/>
                <w:position w:val="0"/>
                <w:sz w:val="20"/>
                <w:szCs w:val="20"/>
              </w:rPr>
              <w:t>49</w:t>
            </w:r>
            <w:r>
              <w:rPr>
                <w:rFonts w:ascii="SimSun" w:eastAsia="SimSun" w:hAnsi="SimSun" w:cs="SimSun"/>
                <w:b/>
                <w:bCs/>
                <w:color w:val="000000"/>
                <w:spacing w:val="0"/>
                <w:w w:val="100"/>
                <w:position w:val="0"/>
                <w:sz w:val="20"/>
                <w:szCs w:val="20"/>
              </w:rPr>
              <w:t>、其他收益</w:t>
            </w:r>
            <w:bookmarkEnd w:id="1146"/>
          </w:p>
        </w:tc>
      </w:tr>
      <w:tr>
        <w:trPr>
          <w:trHeight w:val="4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计入当期非经常性损益的金额</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31,067,801.48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14,855,149.33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31,067,801.48</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代扣代缴个税手续费返还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164,474.63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442,028.03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164,474.63</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31,232,276.11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15,297,177.36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31,232,276.11</w:t>
            </w:r>
          </w:p>
        </w:tc>
      </w:tr>
    </w:tbl>
    <w:p>
      <w:pPr>
        <w:pStyle w:val="Style24"/>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20"/>
          <w:szCs w:val="20"/>
        </w:rPr>
        <w:t>注：其他收益</w:t>
      </w:r>
      <w:r>
        <w:rPr>
          <w:b/>
          <w:bCs/>
          <w:color w:val="000000"/>
          <w:spacing w:val="0"/>
          <w:w w:val="100"/>
          <w:position w:val="0"/>
          <w:sz w:val="20"/>
          <w:szCs w:val="20"/>
        </w:rPr>
        <w:t>-</w:t>
      </w:r>
      <w:r>
        <w:rPr>
          <w:color w:val="000000"/>
          <w:spacing w:val="0"/>
          <w:w w:val="100"/>
          <w:position w:val="0"/>
          <w:sz w:val="20"/>
          <w:szCs w:val="20"/>
        </w:rPr>
        <w:t>政府补助明细详见本附注五、</w:t>
      </w:r>
      <w:r>
        <w:rPr>
          <w:b/>
          <w:bCs/>
          <w:color w:val="000000"/>
          <w:spacing w:val="0"/>
          <w:w w:val="100"/>
          <w:position w:val="0"/>
          <w:sz w:val="20"/>
          <w:szCs w:val="20"/>
        </w:rPr>
        <w:t>61</w:t>
      </w:r>
      <w:r>
        <w:rPr>
          <w:color w:val="000000"/>
          <w:spacing w:val="0"/>
          <w:w w:val="100"/>
          <w:position w:val="0"/>
          <w:sz w:val="20"/>
          <w:szCs w:val="20"/>
        </w:rPr>
        <w:t>（</w:t>
      </w:r>
      <w:r>
        <w:rPr>
          <w:b/>
          <w:bCs/>
          <w:color w:val="000000"/>
          <w:spacing w:val="0"/>
          <w:w w:val="100"/>
          <w:position w:val="0"/>
          <w:sz w:val="20"/>
          <w:szCs w:val="20"/>
        </w:rPr>
        <w:t>2</w:t>
      </w:r>
      <w:r>
        <w:rPr>
          <w:color w:val="000000"/>
          <w:spacing w:val="0"/>
          <w:w w:val="100"/>
          <w:position w:val="0"/>
          <w:sz w:val="20"/>
          <w:szCs w:val="20"/>
        </w:rPr>
        <w:t>）</w:t>
      </w:r>
      <w:r>
        <w:rPr>
          <w:color w:val="000000"/>
          <w:spacing w:val="0"/>
          <w:w w:val="100"/>
          <w:position w:val="0"/>
          <w:sz w:val="19"/>
          <w:szCs w:val="19"/>
        </w:rPr>
        <w:t>。</w:t>
      </w:r>
    </w:p>
    <w:p>
      <w:pPr>
        <w:widowControl w:val="0"/>
        <w:spacing w:after="219" w:line="1" w:lineRule="exact"/>
      </w:pPr>
    </w:p>
    <w:p>
      <w:pPr>
        <w:widowControl w:val="0"/>
        <w:spacing w:line="1" w:lineRule="exact"/>
      </w:pPr>
    </w:p>
    <w:tbl>
      <w:tblPr>
        <w:tblOverlap w:val="never"/>
        <w:jc w:val="center"/>
        <w:tblLayout w:type="fixed"/>
      </w:tblPr>
      <w:tblGrid>
        <w:gridCol w:w="4757"/>
        <w:gridCol w:w="2150"/>
        <w:gridCol w:w="2304"/>
      </w:tblGrid>
      <w:tr>
        <w:trPr>
          <w:trHeight w:val="322"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80"/>
              <w:jc w:val="left"/>
              <w:rPr>
                <w:sz w:val="20"/>
                <w:szCs w:val="20"/>
              </w:rPr>
            </w:pPr>
            <w:bookmarkStart w:id="1147" w:name="bookmark1147"/>
            <w:r>
              <w:rPr>
                <w:rFonts w:ascii="Arial Narrow" w:eastAsia="Arial Narrow" w:hAnsi="Arial Narrow" w:cs="Arial Narrow"/>
                <w:b/>
                <w:bCs/>
                <w:color w:val="000000"/>
                <w:spacing w:val="0"/>
                <w:w w:val="100"/>
                <w:position w:val="0"/>
                <w:sz w:val="20"/>
                <w:szCs w:val="20"/>
              </w:rPr>
              <w:t>50</w:t>
            </w:r>
            <w:r>
              <w:rPr>
                <w:rFonts w:ascii="SimSun" w:eastAsia="SimSun" w:hAnsi="SimSun" w:cs="SimSun"/>
                <w:b/>
                <w:bCs/>
                <w:color w:val="000000"/>
                <w:spacing w:val="0"/>
                <w:w w:val="100"/>
                <w:position w:val="0"/>
                <w:sz w:val="20"/>
                <w:szCs w:val="20"/>
              </w:rPr>
              <w:t>、投资收益</w:t>
            </w:r>
            <w:bookmarkEnd w:id="1147"/>
          </w:p>
        </w:tc>
      </w:tr>
      <w:tr>
        <w:trPr>
          <w:trHeight w:val="4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-704,624.65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70,731.52</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18"/>
                <w:szCs w:val="18"/>
              </w:rPr>
              <w:t>100,758,534.6</w:t>
            </w:r>
            <w:r>
              <w:rPr>
                <w:color w:val="000000"/>
                <w:spacing w:val="0"/>
                <w:w w:val="100"/>
                <w:position w:val="0"/>
                <w:sz w:val="20"/>
                <w:szCs w:val="2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1,336,605,097.06</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161,620.18</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持有理财产品的投资收益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1,942,888.90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382,333.33</w:t>
            </w: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结构性理财产品收益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130,922.02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149,178.08</w:t>
            </w:r>
          </w:p>
        </w:tc>
      </w:tr>
    </w:tbl>
    <w:p>
      <w:pPr>
        <w:widowControl w:val="0"/>
        <w:spacing w:line="1" w:lineRule="exact"/>
      </w:pPr>
      <w:r>
        <w:br w:type="page"/>
      </w:r>
    </w:p>
    <w:tbl>
      <w:tblPr>
        <w:tblOverlap w:val="never"/>
        <w:jc w:val="center"/>
        <w:tblLayout w:type="fixed"/>
      </w:tblPr>
      <w:tblGrid>
        <w:gridCol w:w="2822"/>
        <w:gridCol w:w="269"/>
        <w:gridCol w:w="1440"/>
        <w:gridCol w:w="226"/>
        <w:gridCol w:w="1378"/>
        <w:gridCol w:w="773"/>
        <w:gridCol w:w="2304"/>
      </w:tblGrid>
      <w:tr>
        <w:trPr>
          <w:trHeight w:val="432" w:hRule="exact"/>
        </w:trPr>
        <w:tc>
          <w:tcPr>
            <w:gridSpan w:val="4"/>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r>
      <w:tr>
        <w:trPr>
          <w:trHeight w:val="418" w:hRule="exact"/>
        </w:trPr>
        <w:tc>
          <w:tcPr>
            <w:gridSpan w:val="4"/>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102,127,720.91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1,337,368,960.17</w:t>
            </w:r>
          </w:p>
        </w:tc>
      </w:tr>
      <w:tr>
        <w:trPr>
          <w:trHeight w:val="528" w:hRule="exact"/>
        </w:trPr>
        <w:tc>
          <w:tcPr>
            <w:gridSpan w:val="7"/>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20"/>
                <w:szCs w:val="20"/>
              </w:rPr>
            </w:pPr>
            <w:bookmarkStart w:id="1148" w:name="bookmark1148"/>
            <w:r>
              <w:rPr>
                <w:rFonts w:ascii="Arial Narrow" w:eastAsia="Arial Narrow" w:hAnsi="Arial Narrow" w:cs="Arial Narrow"/>
                <w:b/>
                <w:bCs/>
                <w:color w:val="000000"/>
                <w:spacing w:val="0"/>
                <w:w w:val="100"/>
                <w:position w:val="0"/>
                <w:sz w:val="20"/>
                <w:szCs w:val="20"/>
              </w:rPr>
              <w:t>51</w:t>
            </w:r>
            <w:r>
              <w:rPr>
                <w:rFonts w:ascii="SimSun" w:eastAsia="SimSun" w:hAnsi="SimSun" w:cs="SimSun"/>
                <w:b/>
                <w:bCs/>
                <w:color w:val="000000"/>
                <w:spacing w:val="0"/>
                <w:w w:val="100"/>
                <w:position w:val="0"/>
                <w:sz w:val="20"/>
                <w:szCs w:val="20"/>
              </w:rPr>
              <w:t>、信用减值损失</w:t>
            </w:r>
            <w:bookmarkEnd w:id="1148"/>
          </w:p>
        </w:tc>
      </w:tr>
      <w:tr>
        <w:trPr>
          <w:trHeight w:val="413"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r>
      <w:tr>
        <w:trPr>
          <w:trHeight w:val="42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应收账款坏账损失</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-44,997,697.37</w:t>
            </w:r>
          </w:p>
        </w:tc>
        <w:tc>
          <w:tcPr>
            <w:gridSpan w:val="2"/>
            <w:tcBorders>
              <w:top w:val="single" w:sz="4"/>
              <w:left w:val="single" w:sz="4"/>
            </w:tcBorders>
            <w:shd w:val="clear" w:color="auto" w:fill="FFFFFF"/>
            <w:vAlign w:val="top"/>
          </w:tcPr>
          <w:p>
            <w:pPr>
              <w:widowControl w:val="0"/>
              <w:rPr>
                <w:sz w:val="10"/>
                <w:szCs w:val="10"/>
              </w:rPr>
            </w:pPr>
          </w:p>
        </w:tc>
      </w:tr>
      <w:tr>
        <w:trPr>
          <w:trHeight w:val="42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其他应收款坏账损失</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-478,179,120.05</w:t>
            </w:r>
          </w:p>
        </w:tc>
        <w:tc>
          <w:tcPr>
            <w:gridSpan w:val="2"/>
            <w:tcBorders>
              <w:top w:val="single" w:sz="4"/>
              <w:left w:val="single" w:sz="4"/>
            </w:tcBorders>
            <w:shd w:val="clear" w:color="auto" w:fill="FFFFFF"/>
            <w:vAlign w:val="top"/>
          </w:tcPr>
          <w:p>
            <w:pPr>
              <w:widowControl w:val="0"/>
              <w:rPr>
                <w:sz w:val="10"/>
                <w:szCs w:val="10"/>
              </w:rPr>
            </w:pPr>
          </w:p>
        </w:tc>
      </w:tr>
      <w:tr>
        <w:trPr>
          <w:trHeight w:val="42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应收票据坏账损失</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3,564,947.13</w:t>
            </w:r>
          </w:p>
        </w:tc>
        <w:tc>
          <w:tcPr>
            <w:gridSpan w:val="2"/>
            <w:tcBorders>
              <w:top w:val="single" w:sz="4"/>
              <w:left w:val="single" w:sz="4"/>
            </w:tcBorders>
            <w:shd w:val="clear" w:color="auto" w:fill="FFFFFF"/>
            <w:vAlign w:val="top"/>
          </w:tcPr>
          <w:p>
            <w:pPr>
              <w:widowControl w:val="0"/>
              <w:rPr>
                <w:sz w:val="10"/>
                <w:szCs w:val="10"/>
              </w:rPr>
            </w:pPr>
          </w:p>
        </w:tc>
      </w:tr>
      <w:tr>
        <w:trPr>
          <w:trHeight w:val="43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-519,611,870.29</w:t>
            </w:r>
          </w:p>
        </w:tc>
        <w:tc>
          <w:tcPr>
            <w:gridSpan w:val="2"/>
            <w:tcBorders>
              <w:top w:val="single" w:sz="4"/>
              <w:left w:val="single" w:sz="4"/>
            </w:tcBorders>
            <w:shd w:val="clear" w:color="auto" w:fill="FFFFFF"/>
            <w:vAlign w:val="top"/>
          </w:tcPr>
          <w:p>
            <w:pPr>
              <w:widowControl w:val="0"/>
              <w:rPr>
                <w:sz w:val="10"/>
                <w:szCs w:val="10"/>
              </w:rPr>
            </w:pPr>
          </w:p>
        </w:tc>
      </w:tr>
      <w:tr>
        <w:trPr>
          <w:trHeight w:val="528" w:hRule="exact"/>
        </w:trPr>
        <w:tc>
          <w:tcPr>
            <w:gridSpan w:val="7"/>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20"/>
                <w:szCs w:val="20"/>
              </w:rPr>
            </w:pPr>
            <w:bookmarkStart w:id="1149" w:name="bookmark1149"/>
            <w:r>
              <w:rPr>
                <w:rFonts w:ascii="Arial Narrow" w:eastAsia="Arial Narrow" w:hAnsi="Arial Narrow" w:cs="Arial Narrow"/>
                <w:b/>
                <w:bCs/>
                <w:color w:val="000000"/>
                <w:spacing w:val="0"/>
                <w:w w:val="100"/>
                <w:position w:val="0"/>
                <w:sz w:val="20"/>
                <w:szCs w:val="20"/>
              </w:rPr>
              <w:t>52</w:t>
            </w:r>
            <w:r>
              <w:rPr>
                <w:rFonts w:ascii="SimSun" w:eastAsia="SimSun" w:hAnsi="SimSun" w:cs="SimSun"/>
                <w:b/>
                <w:bCs/>
                <w:color w:val="000000"/>
                <w:spacing w:val="0"/>
                <w:w w:val="100"/>
                <w:position w:val="0"/>
                <w:sz w:val="20"/>
                <w:szCs w:val="20"/>
              </w:rPr>
              <w:t>、资产减值损失</w:t>
            </w:r>
            <w:bookmarkEnd w:id="1149"/>
          </w:p>
        </w:tc>
      </w:tr>
      <w:tr>
        <w:trPr>
          <w:trHeight w:val="418"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r>
      <w:tr>
        <w:trPr>
          <w:trHeight w:val="42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坏账损失</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-275,352,819.19</w:t>
            </w:r>
          </w:p>
        </w:tc>
      </w:tr>
      <w:tr>
        <w:trPr>
          <w:trHeight w:val="42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在建工程减值损失</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-204,126,166.62</w:t>
            </w:r>
          </w:p>
        </w:tc>
        <w:tc>
          <w:tcPr>
            <w:gridSpan w:val="2"/>
            <w:tcBorders>
              <w:top w:val="single" w:sz="4"/>
              <w:left w:val="single" w:sz="4"/>
            </w:tcBorders>
            <w:shd w:val="clear" w:color="auto" w:fill="FFFFFF"/>
            <w:vAlign w:val="top"/>
          </w:tcPr>
          <w:p>
            <w:pPr>
              <w:widowControl w:val="0"/>
              <w:rPr>
                <w:sz w:val="10"/>
                <w:szCs w:val="10"/>
              </w:rPr>
            </w:pPr>
          </w:p>
        </w:tc>
      </w:tr>
      <w:tr>
        <w:trPr>
          <w:trHeight w:val="42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商誉减值损失</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-107,812,255.44</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-31,293.45</w:t>
            </w:r>
          </w:p>
        </w:tc>
      </w:tr>
      <w:tr>
        <w:trPr>
          <w:trHeight w:val="43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-311,938,422.06</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-275,384,112.64</w:t>
            </w:r>
          </w:p>
        </w:tc>
      </w:tr>
      <w:tr>
        <w:trPr>
          <w:trHeight w:val="528" w:hRule="exact"/>
        </w:trPr>
        <w:tc>
          <w:tcPr>
            <w:gridSpan w:val="7"/>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20"/>
                <w:szCs w:val="20"/>
              </w:rPr>
            </w:pPr>
            <w:bookmarkStart w:id="1150" w:name="bookmark1150"/>
            <w:r>
              <w:rPr>
                <w:rFonts w:ascii="Arial Narrow" w:eastAsia="Arial Narrow" w:hAnsi="Arial Narrow" w:cs="Arial Narrow"/>
                <w:b/>
                <w:bCs/>
                <w:color w:val="000000"/>
                <w:spacing w:val="0"/>
                <w:w w:val="100"/>
                <w:position w:val="0"/>
                <w:sz w:val="20"/>
                <w:szCs w:val="20"/>
              </w:rPr>
              <w:t>53</w:t>
            </w:r>
            <w:r>
              <w:rPr>
                <w:rFonts w:ascii="SimSun" w:eastAsia="SimSun" w:hAnsi="SimSun" w:cs="SimSun"/>
                <w:b/>
                <w:bCs/>
                <w:color w:val="000000"/>
                <w:spacing w:val="0"/>
                <w:w w:val="100"/>
                <w:position w:val="0"/>
                <w:sz w:val="20"/>
                <w:szCs w:val="20"/>
              </w:rPr>
              <w:t>、资产处置收益</w:t>
            </w:r>
            <w:bookmarkEnd w:id="1150"/>
          </w:p>
        </w:tc>
      </w:tr>
      <w:tr>
        <w:trPr>
          <w:trHeight w:val="4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计入当期非经常性损益的金额</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非流动资产处置利得合计</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-15,639.64</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1,992.91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-15,639.64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其中：固定资产处置利得</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-15,639.64</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1,992.91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-15,639.64</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-15,639.64</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1,992.91</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-15,639.64</w:t>
            </w:r>
          </w:p>
        </w:tc>
      </w:tr>
    </w:tbl>
    <w:p>
      <w:pPr>
        <w:widowControl w:val="0"/>
        <w:spacing w:after="179" w:line="1" w:lineRule="exact"/>
      </w:pPr>
    </w:p>
    <w:p>
      <w:pPr>
        <w:pStyle w:val="Style22"/>
        <w:keepNext/>
        <w:keepLines/>
        <w:widowControl w:val="0"/>
        <w:shd w:val="clear" w:color="auto" w:fill="auto"/>
        <w:bidi w:val="0"/>
        <w:spacing w:before="0" w:after="40" w:line="240" w:lineRule="auto"/>
        <w:ind w:left="0" w:right="0" w:firstLine="560"/>
        <w:jc w:val="left"/>
        <w:rPr>
          <w:sz w:val="20"/>
          <w:szCs w:val="20"/>
        </w:rPr>
      </w:pPr>
      <w:bookmarkStart w:id="1151" w:name="bookmark1151"/>
      <w:bookmarkStart w:id="1152" w:name="bookmark1152"/>
      <w:bookmarkStart w:id="1153" w:name="bookmark1153"/>
      <w:r>
        <w:rPr>
          <w:rFonts w:ascii="Arial Narrow" w:eastAsia="Arial Narrow" w:hAnsi="Arial Narrow" w:cs="Arial Narrow"/>
          <w:color w:val="000000"/>
          <w:spacing w:val="0"/>
          <w:w w:val="100"/>
          <w:position w:val="0"/>
          <w:sz w:val="20"/>
          <w:szCs w:val="20"/>
        </w:rPr>
        <w:t>54</w:t>
      </w:r>
      <w:r>
        <w:rPr>
          <w:color w:val="000000"/>
          <w:spacing w:val="0"/>
          <w:w w:val="100"/>
          <w:position w:val="0"/>
          <w:sz w:val="20"/>
          <w:szCs w:val="20"/>
        </w:rPr>
        <w:t>、营业外收入</w:t>
      </w:r>
      <w:bookmarkEnd w:id="1151"/>
      <w:bookmarkEnd w:id="1152"/>
      <w:bookmarkEnd w:id="1153"/>
    </w:p>
    <w:tbl>
      <w:tblPr>
        <w:tblOverlap w:val="never"/>
        <w:jc w:val="center"/>
        <w:tblLayout w:type="fixed"/>
      </w:tblPr>
      <w:tblGrid>
        <w:gridCol w:w="2760"/>
        <w:gridCol w:w="1718"/>
        <w:gridCol w:w="1699"/>
        <w:gridCol w:w="3034"/>
      </w:tblGrid>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计入当期非经常性损益的金额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罚款收入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24,500.01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24,500.01</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保险赔款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2,577,535.74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2,577,535.74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无需支付款项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20,000,658.18</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合同违约金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55,366.48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55,366.48</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112,317.84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58,035.03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112,317.84</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2,769,720.07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b/>
                <w:bCs/>
                <w:color w:val="000000"/>
                <w:spacing w:val="0"/>
                <w:w w:val="100"/>
                <w:position w:val="0"/>
                <w:sz w:val="18"/>
                <w:szCs w:val="18"/>
              </w:rPr>
              <w:t>30,060,343.21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2,769,720.07</w:t>
            </w:r>
          </w:p>
        </w:tc>
      </w:tr>
      <w:tr>
        <w:trPr>
          <w:trHeight w:val="528" w:hRule="exact"/>
        </w:trPr>
        <w:tc>
          <w:tcPr>
            <w:gridSpan w:val="4"/>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20"/>
                <w:szCs w:val="20"/>
              </w:rPr>
            </w:pPr>
            <w:bookmarkStart w:id="1154" w:name="bookmark1154"/>
            <w:r>
              <w:rPr>
                <w:rFonts w:ascii="Arial Narrow" w:eastAsia="Arial Narrow" w:hAnsi="Arial Narrow" w:cs="Arial Narrow"/>
                <w:b/>
                <w:bCs/>
                <w:color w:val="000000"/>
                <w:spacing w:val="0"/>
                <w:w w:val="100"/>
                <w:position w:val="0"/>
                <w:sz w:val="20"/>
                <w:szCs w:val="20"/>
              </w:rPr>
              <w:t>55</w:t>
            </w:r>
            <w:r>
              <w:rPr>
                <w:rFonts w:ascii="SimSun" w:eastAsia="SimSun" w:hAnsi="SimSun" w:cs="SimSun"/>
                <w:b/>
                <w:bCs/>
                <w:color w:val="000000"/>
                <w:spacing w:val="0"/>
                <w:w w:val="100"/>
                <w:position w:val="0"/>
                <w:sz w:val="20"/>
                <w:szCs w:val="20"/>
              </w:rPr>
              <w:t>、营业外支出</w:t>
            </w:r>
            <w:bookmarkEnd w:id="1154"/>
          </w:p>
        </w:tc>
      </w:tr>
      <w:tr>
        <w:trPr>
          <w:trHeight w:val="4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计入当期非经常性损益的金额</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7,610,473.24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7,610,473.24</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公益性捐赠支出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28,847,346.00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31,455,000.00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28,847,346.00</w:t>
            </w:r>
          </w:p>
        </w:tc>
      </w:tr>
    </w:tbl>
    <w:p>
      <w:pPr>
        <w:widowControl w:val="0"/>
        <w:spacing w:line="1" w:lineRule="exact"/>
      </w:pPr>
      <w:r>
        <w:br w:type="page"/>
      </w:r>
    </w:p>
    <w:tbl>
      <w:tblPr>
        <w:tblOverlap w:val="never"/>
        <w:jc w:val="center"/>
        <w:tblLayout w:type="fixed"/>
      </w:tblPr>
      <w:tblGrid>
        <w:gridCol w:w="2722"/>
        <w:gridCol w:w="1762"/>
        <w:gridCol w:w="1694"/>
        <w:gridCol w:w="3034"/>
      </w:tblGrid>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罚款及滞纳金支出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2,703,599.63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2,186,186.29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2,703,599.63</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业主赔偿款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5,855,896.46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1,910,661.07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5,855,896.46</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违约金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72,678,076.08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72,678,076.08</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2,483,834.80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1,226,430.38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2,483,834.80</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120,179,226.21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36,778,277.74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120,179,226.21</w:t>
            </w:r>
          </w:p>
        </w:tc>
      </w:tr>
    </w:tbl>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注：期末本公司违约金主要是对盛京银行、江苏瀚瑞金港融资租赁有限公司以及民生金融租赁股份有</w:t>
      </w:r>
    </w:p>
    <w:p>
      <w:pPr>
        <w:widowControl w:val="0"/>
        <w:spacing w:after="259" w:line="1" w:lineRule="exact"/>
      </w:pPr>
    </w:p>
    <w:p>
      <w:pPr>
        <w:pStyle w:val="Style33"/>
        <w:keepNext w:val="0"/>
        <w:keepLines w:val="0"/>
        <w:widowControl w:val="0"/>
        <w:shd w:val="clear" w:color="auto" w:fill="auto"/>
        <w:bidi w:val="0"/>
        <w:spacing w:before="0" w:after="260" w:line="240" w:lineRule="auto"/>
        <w:ind w:left="0" w:right="0" w:firstLine="140"/>
        <w:jc w:val="left"/>
      </w:pPr>
      <w:r>
        <w:rPr>
          <w:color w:val="000000"/>
          <w:spacing w:val="0"/>
          <w:w w:val="100"/>
          <w:position w:val="0"/>
        </w:rPr>
        <w:t>限公司的借款违约。</w:t>
      </w:r>
    </w:p>
    <w:p>
      <w:pPr>
        <w:pStyle w:val="Style22"/>
        <w:keepNext/>
        <w:keepLines/>
        <w:widowControl w:val="0"/>
        <w:shd w:val="clear" w:color="auto" w:fill="auto"/>
        <w:bidi w:val="0"/>
        <w:spacing w:before="0" w:after="300" w:line="240" w:lineRule="auto"/>
        <w:ind w:left="0" w:right="0" w:firstLine="560"/>
        <w:jc w:val="left"/>
        <w:rPr>
          <w:sz w:val="20"/>
          <w:szCs w:val="20"/>
        </w:rPr>
      </w:pPr>
      <w:bookmarkStart w:id="1155" w:name="bookmark1155"/>
      <w:bookmarkStart w:id="1156" w:name="bookmark1156"/>
      <w:bookmarkStart w:id="1157" w:name="bookmark1157"/>
      <w:r>
        <w:rPr>
          <w:rFonts w:ascii="Arial Narrow" w:eastAsia="Arial Narrow" w:hAnsi="Arial Narrow" w:cs="Arial Narrow"/>
          <w:color w:val="000000"/>
          <w:spacing w:val="0"/>
          <w:w w:val="100"/>
          <w:position w:val="0"/>
          <w:sz w:val="20"/>
          <w:szCs w:val="20"/>
        </w:rPr>
        <w:t>56</w:t>
      </w:r>
      <w:r>
        <w:rPr>
          <w:color w:val="000000"/>
          <w:spacing w:val="0"/>
          <w:w w:val="100"/>
          <w:position w:val="0"/>
          <w:sz w:val="20"/>
          <w:szCs w:val="20"/>
        </w:rPr>
        <w:t>、所得税费用</w:t>
      </w:r>
      <w:bookmarkEnd w:id="1155"/>
      <w:bookmarkEnd w:id="1156"/>
      <w:bookmarkEnd w:id="1157"/>
    </w:p>
    <w:p>
      <w:pPr>
        <w:pStyle w:val="Style24"/>
        <w:keepNext w:val="0"/>
        <w:keepLines w:val="0"/>
        <w:widowControl w:val="0"/>
        <w:shd w:val="clear" w:color="auto" w:fill="auto"/>
        <w:bidi w:val="0"/>
        <w:spacing w:before="0" w:after="0" w:line="240" w:lineRule="auto"/>
        <w:ind w:left="154"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）所得税费用表</w:t>
      </w:r>
    </w:p>
    <w:tbl>
      <w:tblPr>
        <w:tblOverlap w:val="never"/>
        <w:jc w:val="center"/>
        <w:tblLayout w:type="fixed"/>
      </w:tblPr>
      <w:tblGrid>
        <w:gridCol w:w="4315"/>
        <w:gridCol w:w="2645"/>
        <w:gridCol w:w="2405"/>
      </w:tblGrid>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25,244,787.40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216,991,543.56</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31,715,061.50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30,166,725.70</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56,959,848.90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247,158,269.26</w:t>
            </w:r>
          </w:p>
        </w:tc>
      </w:tr>
    </w:tbl>
    <w:p>
      <w:pPr>
        <w:widowControl w:val="0"/>
        <w:spacing w:after="1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422"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2</w:t>
      </w:r>
      <w:r>
        <w:rPr>
          <w:color w:val="000000"/>
          <w:spacing w:val="0"/>
          <w:w w:val="100"/>
          <w:position w:val="0"/>
        </w:rPr>
        <w:t>）会计利润与所得税费用调整过程</w:t>
      </w:r>
    </w:p>
    <w:tbl>
      <w:tblPr>
        <w:tblOverlap w:val="never"/>
        <w:jc w:val="center"/>
        <w:tblLayout w:type="fixed"/>
      </w:tblPr>
      <w:tblGrid>
        <w:gridCol w:w="6869"/>
        <w:gridCol w:w="2299"/>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-900,171,023.06</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-225,042,755.77</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122,812,503.63</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1,577,887.59</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调整以前期间递延所得税的影响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35,876,268.88</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-221,413,881.17</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研发费加计扣除的影响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-2,598,115.66</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246,764,401.67</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-1,889,310.40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本期未确认递延所得税资产的可抵扣暂时性差异或可抵扣亏损的影响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100,872,850.50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税收优惠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-0.37</w:t>
            </w: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所得税费用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56,959,848.90</w:t>
            </w:r>
          </w:p>
        </w:tc>
      </w:tr>
    </w:tbl>
    <w:p>
      <w:pPr>
        <w:widowControl w:val="0"/>
        <w:spacing w:after="199" w:line="1" w:lineRule="exact"/>
      </w:pPr>
    </w:p>
    <w:p>
      <w:pPr>
        <w:pStyle w:val="Style22"/>
        <w:keepNext/>
        <w:keepLines/>
        <w:widowControl w:val="0"/>
        <w:shd w:val="clear" w:color="auto" w:fill="auto"/>
        <w:bidi w:val="0"/>
        <w:spacing w:before="0" w:after="340" w:line="240" w:lineRule="auto"/>
        <w:ind w:left="0" w:right="0" w:firstLine="560"/>
        <w:jc w:val="left"/>
        <w:rPr>
          <w:sz w:val="20"/>
          <w:szCs w:val="20"/>
        </w:rPr>
      </w:pPr>
      <w:bookmarkStart w:id="1158" w:name="bookmark1158"/>
      <w:bookmarkStart w:id="1159" w:name="bookmark1159"/>
      <w:bookmarkStart w:id="1160" w:name="bookmark1160"/>
      <w:r>
        <w:rPr>
          <w:rFonts w:ascii="Arial Narrow" w:eastAsia="Arial Narrow" w:hAnsi="Arial Narrow" w:cs="Arial Narrow"/>
          <w:color w:val="000000"/>
          <w:spacing w:val="0"/>
          <w:w w:val="100"/>
          <w:position w:val="0"/>
          <w:sz w:val="20"/>
          <w:szCs w:val="20"/>
        </w:rPr>
        <w:t>57</w:t>
      </w:r>
      <w:r>
        <w:rPr>
          <w:color w:val="000000"/>
          <w:spacing w:val="0"/>
          <w:w w:val="100"/>
          <w:position w:val="0"/>
          <w:sz w:val="20"/>
          <w:szCs w:val="20"/>
        </w:rPr>
        <w:t>、现金流量表项目</w:t>
      </w:r>
      <w:bookmarkEnd w:id="1158"/>
      <w:bookmarkEnd w:id="1159"/>
      <w:bookmarkEnd w:id="1160"/>
    </w:p>
    <w:p>
      <w:pPr>
        <w:pStyle w:val="Style24"/>
        <w:keepNext w:val="0"/>
        <w:keepLines w:val="0"/>
        <w:widowControl w:val="0"/>
        <w:shd w:val="clear" w:color="auto" w:fill="auto"/>
        <w:bidi w:val="0"/>
        <w:spacing w:before="0" w:after="0" w:line="240" w:lineRule="auto"/>
        <w:ind w:left="437"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）收到的其他与经营活动有关的现金</w:t>
      </w:r>
    </w:p>
    <w:tbl>
      <w:tblPr>
        <w:tblOverlap w:val="never"/>
        <w:jc w:val="center"/>
        <w:tblLayout w:type="fixed"/>
      </w:tblPr>
      <w:tblGrid>
        <w:gridCol w:w="3480"/>
        <w:gridCol w:w="2942"/>
        <w:gridCol w:w="2789"/>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left"/>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收到外部单位往来款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141,888,097.69</w:t>
            </w:r>
          </w:p>
        </w:tc>
        <w:tc>
          <w:tcPr>
            <w:tcBorders>
              <w:top w:val="single" w:sz="4"/>
              <w:bottom w:val="single" w:sz="4"/>
            </w:tcBorders>
            <w:shd w:val="clear" w:color="auto" w:fill="FFFFFF"/>
            <w:vAlign w:val="center"/>
          </w:tcPr>
          <w:p>
            <w:pPr>
              <w:pStyle w:val="Style19"/>
              <w:keepNext w:val="0"/>
              <w:keepLines w:val="0"/>
              <w:widowControl w:val="0"/>
              <w:shd w:val="clear" w:color="auto" w:fill="auto"/>
              <w:tabs>
                <w:tab w:pos="821" w:val="left"/>
              </w:tabs>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1</w:t>
              <w:tab/>
            </w:r>
            <w:r>
              <w:rPr>
                <w:rFonts w:ascii="Arial Narrow" w:eastAsia="Arial Narrow" w:hAnsi="Arial Narrow" w:cs="Arial Narrow"/>
                <w:color w:val="000000"/>
                <w:spacing w:val="0"/>
                <w:w w:val="100"/>
                <w:position w:val="0"/>
                <w:sz w:val="18"/>
                <w:szCs w:val="18"/>
              </w:rPr>
              <w:t>380,452,447.08</w:t>
            </w:r>
          </w:p>
        </w:tc>
      </w:tr>
    </w:tbl>
    <w:p>
      <w:pPr>
        <w:widowControl w:val="0"/>
        <w:spacing w:line="1" w:lineRule="exact"/>
      </w:pPr>
      <w:r>
        <w:br w:type="page"/>
      </w:r>
    </w:p>
    <w:tbl>
      <w:tblPr>
        <w:tblOverlap w:val="never"/>
        <w:jc w:val="center"/>
        <w:tblLayout w:type="fixed"/>
      </w:tblPr>
      <w:tblGrid>
        <w:gridCol w:w="3576"/>
        <w:gridCol w:w="3067"/>
        <w:gridCol w:w="2659"/>
      </w:tblGrid>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r>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收到或退回的保证金及押金等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187,756,836.03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446,321,249.12</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收到的政府补助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38,451,411.52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16,846,665.00</w:t>
            </w:r>
          </w:p>
        </w:tc>
      </w:tr>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员工归还公务借款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2,525,356.06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1,771,325.10</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2,033,192.64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pPr>
            <w:r>
              <w:rPr>
                <w:rFonts w:ascii="Arial Narrow" w:eastAsia="Arial Narrow" w:hAnsi="Arial Narrow" w:cs="Arial Narrow"/>
                <w:color w:val="000000"/>
                <w:spacing w:val="0"/>
                <w:w w:val="100"/>
                <w:position w:val="0"/>
                <w:sz w:val="18"/>
                <w:szCs w:val="18"/>
              </w:rPr>
              <w:t>14,605,326.40</w:t>
            </w:r>
          </w:p>
        </w:tc>
      </w:tr>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2,705,458.44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60,343.21</w:t>
            </w:r>
          </w:p>
        </w:tc>
      </w:tr>
      <w:tr>
        <w:trPr>
          <w:trHeight w:val="43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375,360,352.38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860,057,355.91</w:t>
            </w:r>
          </w:p>
        </w:tc>
      </w:tr>
      <w:tr>
        <w:trPr>
          <w:trHeight w:val="610" w:hRule="exact"/>
        </w:trPr>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）支付的其他与经营活动有关的现金</w:t>
            </w:r>
          </w:p>
        </w:tc>
      </w:tr>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r>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管理费办公费用等支出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117,509,629.53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154,599,727.53</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销售费广告、代理等支出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12,037,806.68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10,103,101.19</w:t>
            </w:r>
          </w:p>
        </w:tc>
      </w:tr>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延期交房赔偿款支出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5,855,896.46</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支付代付款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597,788,439.41</w:t>
            </w:r>
          </w:p>
        </w:tc>
      </w:tr>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支付或退还的保证金押金等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570,613,606.92</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公益性捐赠支出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28,847,346.00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31,455,000.00</w:t>
            </w:r>
          </w:p>
        </w:tc>
      </w:tr>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罚款及滞纳金支出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2,703,599.63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2,186,186.29</w:t>
            </w:r>
          </w:p>
        </w:tc>
      </w:tr>
      <w:tr>
        <w:trPr>
          <w:trHeight w:val="43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166,954,278.30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1,366,746,061.34</w:t>
            </w:r>
          </w:p>
        </w:tc>
      </w:tr>
      <w:tr>
        <w:trPr>
          <w:trHeight w:val="610" w:hRule="exact"/>
        </w:trPr>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）收到的其他与投资活动有关的现金</w:t>
            </w:r>
          </w:p>
        </w:tc>
      </w:tr>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r>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往来款项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2,890,759,729.47</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收剥离子公司资金占用费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53,406,786.00</w:t>
            </w:r>
          </w:p>
        </w:tc>
      </w:tr>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2,944,166,515.47</w:t>
            </w:r>
          </w:p>
        </w:tc>
      </w:tr>
      <w:tr>
        <w:trPr>
          <w:trHeight w:val="610" w:hRule="exact"/>
        </w:trPr>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）支付的其他与投资活动有关的现金</w:t>
            </w:r>
          </w:p>
        </w:tc>
      </w:tr>
      <w:tr>
        <w:trPr>
          <w:trHeight w:val="4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财务公司存款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2,872,243,147.52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处置子公司的现金净额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9,238,390.36</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预付股权款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307,826,274.67</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代付款项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865,724,225.32</w:t>
            </w:r>
          </w:p>
        </w:tc>
      </w:tr>
      <w:tr>
        <w:trPr>
          <w:trHeight w:val="45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40" w:right="0" w:firstLine="0"/>
              <w:jc w:val="both"/>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3,192,307,812.55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865,724,225.32</w:t>
            </w:r>
          </w:p>
        </w:tc>
      </w:tr>
    </w:tbl>
    <w:p>
      <w:pPr>
        <w:pStyle w:val="Style24"/>
        <w:keepNext w:val="0"/>
        <w:keepLines w:val="0"/>
        <w:widowControl w:val="0"/>
        <w:shd w:val="clear" w:color="auto" w:fill="auto"/>
        <w:bidi w:val="0"/>
        <w:spacing w:before="0" w:after="0" w:line="240" w:lineRule="auto"/>
        <w:ind w:left="514"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5</w:t>
      </w:r>
      <w:r>
        <w:rPr>
          <w:color w:val="000000"/>
          <w:spacing w:val="0"/>
          <w:w w:val="100"/>
          <w:position w:val="0"/>
        </w:rPr>
        <w:t>）收到的其他与筹资活动有关的现金</w:t>
      </w:r>
    </w:p>
    <w:p>
      <w:pPr>
        <w:widowControl w:val="0"/>
        <w:spacing w:line="1" w:lineRule="exact"/>
      </w:pPr>
      <w:r>
        <w:br w:type="page"/>
      </w:r>
    </w:p>
    <w:tbl>
      <w:tblPr>
        <w:tblOverlap w:val="never"/>
        <w:jc w:val="center"/>
        <w:tblLayout w:type="fixed"/>
      </w:tblPr>
      <w:tblGrid>
        <w:gridCol w:w="3605"/>
        <w:gridCol w:w="3130"/>
        <w:gridCol w:w="2630"/>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资金往来款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276,125,714.47</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87,939,787.62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78,413,044.74</w:t>
            </w:r>
          </w:p>
        </w:tc>
      </w:tr>
      <w:tr>
        <w:trPr>
          <w:trHeight w:val="422"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融资租赁款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200,000,000.00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914,000,000.00</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287,939,787.62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1,268,538,759.21</w:t>
            </w:r>
          </w:p>
        </w:tc>
      </w:tr>
      <w:tr>
        <w:trPr>
          <w:trHeight w:val="610" w:hRule="exact"/>
        </w:trPr>
        <w:tc>
          <w:tcPr>
            <w:gridSpan w:val="3"/>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6</w:t>
            </w:r>
            <w:r>
              <w:rPr>
                <w:rFonts w:ascii="SimSun" w:eastAsia="SimSun" w:hAnsi="SimSun" w:cs="SimSun"/>
                <w:color w:val="000000"/>
                <w:spacing w:val="0"/>
                <w:w w:val="100"/>
                <w:position w:val="0"/>
                <w:sz w:val="17"/>
                <w:szCs w:val="17"/>
              </w:rPr>
              <w:t>）支付的其他与筹资活动有关的现金</w:t>
            </w:r>
          </w:p>
        </w:tc>
      </w:tr>
      <w:tr>
        <w:trPr>
          <w:trHeight w:val="4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支付的筹资费用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70,979,827.03</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筹资保证金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73,060,000.00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非公开发行费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3,178,780.69</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融资租赁款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590,723,718.64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302,697,887.52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资金往来款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193,345,563.44</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质押定期存款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1,000,000,000.00</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1,784,069,282.08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449,916,495.24</w:t>
            </w:r>
          </w:p>
        </w:tc>
      </w:tr>
      <w:tr>
        <w:trPr>
          <w:trHeight w:val="475" w:hRule="exact"/>
        </w:trPr>
        <w:tc>
          <w:tcPr>
            <w:gridSpan w:val="3"/>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rPr>
                <w:sz w:val="20"/>
                <w:szCs w:val="20"/>
              </w:rPr>
            </w:pPr>
            <w:bookmarkStart w:id="1161" w:name="bookmark1161"/>
            <w:r>
              <w:rPr>
                <w:rFonts w:ascii="Arial Narrow" w:eastAsia="Arial Narrow" w:hAnsi="Arial Narrow" w:cs="Arial Narrow"/>
                <w:b/>
                <w:bCs/>
                <w:color w:val="000000"/>
                <w:spacing w:val="0"/>
                <w:w w:val="100"/>
                <w:position w:val="0"/>
                <w:sz w:val="20"/>
                <w:szCs w:val="20"/>
              </w:rPr>
              <w:t>58</w:t>
            </w:r>
            <w:r>
              <w:rPr>
                <w:rFonts w:ascii="SimSun" w:eastAsia="SimSun" w:hAnsi="SimSun" w:cs="SimSun"/>
                <w:b/>
                <w:bCs/>
                <w:color w:val="000000"/>
                <w:spacing w:val="0"/>
                <w:w w:val="100"/>
                <w:position w:val="0"/>
                <w:sz w:val="20"/>
                <w:szCs w:val="20"/>
              </w:rPr>
              <w:t>、现金流量表补充资料</w:t>
            </w:r>
            <w:bookmarkEnd w:id="1161"/>
          </w:p>
        </w:tc>
      </w:tr>
    </w:tbl>
    <w:p>
      <w:pPr>
        <w:widowControl w:val="0"/>
        <w:spacing w:after="23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422"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 xml:space="preserve">1 </w:t>
      </w:r>
      <w:r>
        <w:rPr>
          <w:color w:val="000000"/>
          <w:spacing w:val="0"/>
          <w:w w:val="100"/>
          <w:position w:val="0"/>
        </w:rPr>
        <w:t>）现金流量表补充资料</w:t>
      </w:r>
    </w:p>
    <w:tbl>
      <w:tblPr>
        <w:tblOverlap w:val="never"/>
        <w:jc w:val="center"/>
        <w:tblLayout w:type="fixed"/>
      </w:tblPr>
      <w:tblGrid>
        <w:gridCol w:w="5366"/>
        <w:gridCol w:w="1934"/>
        <w:gridCol w:w="1882"/>
      </w:tblGrid>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补充资料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-957,130,871.96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rFonts w:ascii="Arial Narrow" w:eastAsia="Arial Narrow" w:hAnsi="Arial Narrow" w:cs="Arial Narrow"/>
                <w:color w:val="000000"/>
                <w:spacing w:val="0"/>
                <w:w w:val="100"/>
                <w:position w:val="0"/>
                <w:sz w:val="18"/>
                <w:szCs w:val="18"/>
              </w:rPr>
              <w:t>1,126,438,186.61</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加：信用减值准备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521,591,870.29</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311,938,422.06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275,384,112.64</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352,176,732.35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277,588,795.25</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5,612,758.55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color w:val="000000"/>
                <w:spacing w:val="0"/>
                <w:w w:val="100"/>
                <w:position w:val="0"/>
                <w:sz w:val="18"/>
                <w:szCs w:val="18"/>
              </w:rPr>
              <w:t>3,665,456.19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42,712,375.04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color w:val="000000"/>
                <w:spacing w:val="0"/>
                <w:w w:val="100"/>
                <w:position w:val="0"/>
                <w:sz w:val="18"/>
                <w:szCs w:val="18"/>
              </w:rPr>
              <w:t>39,682,364.46</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资产处置损失（收益以</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15,639.64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rFonts w:ascii="Arial Narrow" w:eastAsia="Arial Narrow" w:hAnsi="Arial Narrow" w:cs="Arial Narrow"/>
                <w:color w:val="000000"/>
                <w:spacing w:val="0"/>
                <w:w w:val="100"/>
                <w:position w:val="0"/>
                <w:sz w:val="18"/>
                <w:szCs w:val="18"/>
              </w:rPr>
              <w:t>-1,992.91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固定资产报废损失（收益以</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7,610,473.24</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公允价值变动损失（收益以</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财务费用（收益以</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609,906,134.22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529,118,320.30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投资损失（收益以</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-102,127,720.91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-1,337,368,960.17</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递延所得税资产减少（增加以</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34,375,771.83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-34,104,066.73</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递延所得税负债增加（减少以</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-2,660,710.33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color w:val="000000"/>
                <w:spacing w:val="0"/>
                <w:w w:val="100"/>
                <w:position w:val="0"/>
                <w:sz w:val="18"/>
                <w:szCs w:val="18"/>
              </w:rPr>
              <w:t>-11,393,309.27</w:t>
            </w:r>
          </w:p>
        </w:tc>
      </w:tr>
    </w:tbl>
    <w:p>
      <w:pPr>
        <w:widowControl w:val="0"/>
        <w:spacing w:line="1" w:lineRule="exact"/>
      </w:pPr>
      <w:r>
        <w:br w:type="page"/>
      </w:r>
    </w:p>
    <w:tbl>
      <w:tblPr>
        <w:tblOverlap w:val="never"/>
        <w:jc w:val="center"/>
        <w:tblLayout w:type="fixed"/>
      </w:tblPr>
      <w:tblGrid>
        <w:gridCol w:w="5366"/>
        <w:gridCol w:w="1934"/>
        <w:gridCol w:w="1882"/>
      </w:tblGrid>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存货的减少（增加以</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962,761,223.51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-2,094,372,478.88</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经营性应收项目的减少（增加以</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292,369,420.24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-5,555,158,928.91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经营性应付项目的增加（减少以</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-1,498,770,580.51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2,947,264,237.68</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580,380,937.26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b/>
                <w:bCs/>
                <w:color w:val="000000"/>
                <w:spacing w:val="0"/>
                <w:w w:val="100"/>
                <w:position w:val="0"/>
                <w:sz w:val="18"/>
                <w:szCs w:val="18"/>
              </w:rPr>
              <w:t>-3,833,258,263.74</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273,923,838.03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1,131,090,964.74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657,451,773.36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7,441,158,194.39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7,441,158,194.39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9,966,126,717.50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-6,783,706,421.03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-2,524,968,523.11</w:t>
            </w:r>
          </w:p>
        </w:tc>
      </w:tr>
    </w:tbl>
    <w:p>
      <w:pPr>
        <w:widowControl w:val="0"/>
        <w:spacing w:after="1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514"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2</w:t>
      </w:r>
      <w:r>
        <w:rPr>
          <w:color w:val="000000"/>
          <w:spacing w:val="0"/>
          <w:w w:val="100"/>
          <w:position w:val="0"/>
        </w:rPr>
        <w:t>）本期收到的处置子公司的现金净额</w:t>
      </w:r>
    </w:p>
    <w:tbl>
      <w:tblPr>
        <w:tblOverlap w:val="never"/>
        <w:jc w:val="center"/>
        <w:tblLayout w:type="fixed"/>
      </w:tblPr>
      <w:tblGrid>
        <w:gridCol w:w="6466"/>
        <w:gridCol w:w="2899"/>
      </w:tblGrid>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06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r>
      <w:tr>
        <w:trPr>
          <w:trHeight w:val="41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本期处置子公司于本年收到的现金或现金等价物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8,099,376.52</w:t>
            </w:r>
          </w:p>
        </w:tc>
      </w:tr>
      <w:tr>
        <w:trPr>
          <w:trHeight w:val="413"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其中：内蒙古旭峰光伏科技有限公司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r>
      <w:tr>
        <w:trPr>
          <w:trHeight w:val="408"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禹州市东旭新能源科技有限公司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r>
      <w:tr>
        <w:trPr>
          <w:trHeight w:val="413"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深圳市虹海假日酒店管理有限公司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r>
      <w:tr>
        <w:trPr>
          <w:trHeight w:val="413"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深圳市鸿基兆丰商业服务管理有限公司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r>
      <w:tr>
        <w:trPr>
          <w:trHeight w:val="413"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深圳市宝鹏物流有限公司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r>
      <w:tr>
        <w:trPr>
          <w:trHeight w:val="413"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深圳市鸿基物流有限公司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2.00</w:t>
            </w:r>
          </w:p>
        </w:tc>
      </w:tr>
      <w:tr>
        <w:trPr>
          <w:trHeight w:val="413"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辽宁旭红供应链管理有限公司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124.81</w:t>
            </w:r>
          </w:p>
        </w:tc>
      </w:tr>
      <w:tr>
        <w:trPr>
          <w:trHeight w:val="408"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上海陇商供应链管理有限公司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99,244.71</w:t>
            </w:r>
          </w:p>
        </w:tc>
      </w:tr>
      <w:tr>
        <w:trPr>
          <w:trHeight w:val="413"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宁夏旭通新能源科技有限公司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5,000,000.00</w:t>
            </w:r>
          </w:p>
        </w:tc>
      </w:tr>
      <w:tr>
        <w:trPr>
          <w:trHeight w:val="413"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宁夏旭卫新能源科技有限公司</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青岛旭辰节能科技有限公司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3,000,000.00</w:t>
            </w:r>
          </w:p>
        </w:tc>
      </w:tr>
      <w:tr>
        <w:trPr>
          <w:trHeight w:val="41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减：丧失控制权日子公司持有的现金及现金等价物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17,337,766.88</w:t>
            </w:r>
          </w:p>
        </w:tc>
      </w:tr>
      <w:tr>
        <w:trPr>
          <w:trHeight w:val="413"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其中：内蒙古旭峰光伏科技有限公司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11,286.18</w:t>
            </w:r>
          </w:p>
        </w:tc>
      </w:tr>
      <w:tr>
        <w:trPr>
          <w:trHeight w:val="408"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禹州市东旭新能源科技有限公司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13.00</w:t>
            </w:r>
          </w:p>
        </w:tc>
      </w:tr>
      <w:tr>
        <w:trPr>
          <w:trHeight w:val="44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深圳市虹海假日酒店管理有限公司</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466"/>
        <w:gridCol w:w="2899"/>
      </w:tblGrid>
      <w:tr>
        <w:trPr>
          <w:trHeight w:val="43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深圳市鸿基兆丰商业服务管理有限公司</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深圳市宝鹏物流有限公司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7,825,119.41</w:t>
            </w:r>
          </w:p>
        </w:tc>
      </w:tr>
      <w:tr>
        <w:trPr>
          <w:trHeight w:val="408"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深圳市鸿基物流有限公司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9,371,469.45</w:t>
            </w:r>
          </w:p>
        </w:tc>
      </w:tr>
      <w:tr>
        <w:trPr>
          <w:trHeight w:val="413"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辽宁旭红供应链管理有限公司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7.36</w:t>
            </w:r>
          </w:p>
        </w:tc>
      </w:tr>
      <w:tr>
        <w:trPr>
          <w:trHeight w:val="413"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上海陇商供应链管理有限公司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129,871.48</w:t>
            </w:r>
          </w:p>
        </w:tc>
      </w:tr>
      <w:tr>
        <w:trPr>
          <w:trHeight w:val="413"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宁夏旭通新能源科技有限公司</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宁夏旭卫新能源科技有限公司</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青岛旭辰节能科技有限公司</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处置子公司收到的现金净额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-9,238,390.36</w:t>
            </w:r>
          </w:p>
        </w:tc>
      </w:tr>
    </w:tbl>
    <w:p>
      <w:pPr>
        <w:widowControl w:val="0"/>
        <w:spacing w:after="199" w:line="1" w:lineRule="exact"/>
      </w:pPr>
    </w:p>
    <w:p>
      <w:pPr>
        <w:widowControl w:val="0"/>
        <w:spacing w:line="1" w:lineRule="exact"/>
      </w:pPr>
    </w:p>
    <w:tbl>
      <w:tblPr>
        <w:tblOverlap w:val="never"/>
        <w:jc w:val="center"/>
        <w:tblLayout w:type="fixed"/>
      </w:tblPr>
      <w:tblGrid>
        <w:gridCol w:w="5870"/>
        <w:gridCol w:w="1656"/>
        <w:gridCol w:w="1733"/>
      </w:tblGrid>
      <w:tr>
        <w:trPr>
          <w:trHeight w:val="293" w:hRule="exact"/>
        </w:trPr>
        <w:tc>
          <w:tcPr>
            <w:gridSpan w:val="3"/>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）现金和现金等价物的构成</w:t>
            </w:r>
          </w:p>
        </w:tc>
      </w:tr>
      <w:tr>
        <w:trPr>
          <w:trHeight w:val="4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657,451,773.36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7,441,158,194.39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103,238.49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106,368.36</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657,106,225.63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7,440,948,802.41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242,309.24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103,023.62</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657,451,773.36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7,441,158,194.39</w:t>
            </w: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其中：母公司或集团内子公司使用受限制的现金及现金等价物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22"/>
        <w:keepNext/>
        <w:keepLines/>
        <w:widowControl w:val="0"/>
        <w:shd w:val="clear" w:color="auto" w:fill="auto"/>
        <w:bidi w:val="0"/>
        <w:spacing w:before="0" w:after="40" w:line="240" w:lineRule="auto"/>
        <w:ind w:left="0" w:right="0" w:firstLine="560"/>
        <w:jc w:val="left"/>
        <w:rPr>
          <w:sz w:val="20"/>
          <w:szCs w:val="20"/>
        </w:rPr>
      </w:pPr>
      <w:bookmarkStart w:id="1162" w:name="bookmark1162"/>
      <w:bookmarkStart w:id="1163" w:name="bookmark1163"/>
      <w:bookmarkStart w:id="1164" w:name="bookmark1164"/>
      <w:r>
        <w:rPr>
          <w:rFonts w:ascii="Arial Narrow" w:eastAsia="Arial Narrow" w:hAnsi="Arial Narrow" w:cs="Arial Narrow"/>
          <w:color w:val="000000"/>
          <w:spacing w:val="0"/>
          <w:w w:val="100"/>
          <w:position w:val="0"/>
          <w:sz w:val="20"/>
          <w:szCs w:val="20"/>
        </w:rPr>
        <w:t>59</w:t>
      </w:r>
      <w:r>
        <w:rPr>
          <w:color w:val="000000"/>
          <w:spacing w:val="0"/>
          <w:w w:val="100"/>
          <w:position w:val="0"/>
          <w:sz w:val="20"/>
          <w:szCs w:val="20"/>
        </w:rPr>
        <w:t>、所有权或使用权受到限制的资产</w:t>
      </w:r>
      <w:bookmarkEnd w:id="1162"/>
      <w:bookmarkEnd w:id="1163"/>
      <w:bookmarkEnd w:id="1164"/>
    </w:p>
    <w:tbl>
      <w:tblPr>
        <w:tblOverlap w:val="never"/>
        <w:jc w:val="center"/>
        <w:tblLayout w:type="fixed"/>
      </w:tblPr>
      <w:tblGrid>
        <w:gridCol w:w="2429"/>
        <w:gridCol w:w="2486"/>
        <w:gridCol w:w="4464"/>
      </w:tblGrid>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受限原因</w:t>
            </w:r>
          </w:p>
        </w:tc>
      </w:tr>
      <w:tr>
        <w:trPr>
          <w:trHeight w:val="83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4,001,706,717.34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集团财务公司存款、保证金存款、司法冻结资金、银 行质押及共管资金、存出投资款</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1,489,320,508.22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抵押</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2,113,802,490.56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抵押</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49,988,693.09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抵押</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4,623,942,163.64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192,520,000.00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12,471,280,572.85</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6"/>
        <w:keepNext w:val="0"/>
        <w:keepLines w:val="0"/>
        <w:widowControl w:val="0"/>
        <w:shd w:val="clear" w:color="auto" w:fill="auto"/>
        <w:bidi w:val="0"/>
        <w:spacing w:before="0" w:after="260" w:line="240" w:lineRule="auto"/>
        <w:ind w:left="0" w:right="0" w:firstLine="500"/>
        <w:jc w:val="left"/>
      </w:pPr>
      <w:r>
        <w:rPr>
          <w:color w:val="000000"/>
          <w:spacing w:val="0"/>
          <w:w w:val="100"/>
          <w:position w:val="0"/>
        </w:rPr>
        <w:t>注：本公司用于银行贷款抵押的子公司</w:t>
      </w:r>
      <w:r>
        <w:rPr>
          <w:rFonts w:ascii="Arial Narrow" w:eastAsia="Arial Narrow" w:hAnsi="Arial Narrow" w:cs="Arial Narrow"/>
          <w:color w:val="000000"/>
          <w:spacing w:val="0"/>
          <w:w w:val="100"/>
          <w:position w:val="0"/>
          <w:sz w:val="18"/>
          <w:szCs w:val="18"/>
        </w:rPr>
        <w:t>100%</w:t>
      </w:r>
      <w:r>
        <w:rPr>
          <w:color w:val="000000"/>
          <w:spacing w:val="0"/>
          <w:w w:val="100"/>
          <w:position w:val="0"/>
        </w:rPr>
        <w:t>股权，受限金额为各子公司期末净资产金额。</w:t>
      </w:r>
    </w:p>
    <w:p>
      <w:pPr>
        <w:pStyle w:val="Style24"/>
        <w:keepNext w:val="0"/>
        <w:keepLines w:val="0"/>
        <w:widowControl w:val="0"/>
        <w:shd w:val="clear" w:color="auto" w:fill="auto"/>
        <w:bidi w:val="0"/>
        <w:spacing w:before="0" w:after="0" w:line="240" w:lineRule="auto"/>
        <w:ind w:left="494" w:right="0" w:firstLine="0"/>
        <w:jc w:val="left"/>
        <w:rPr>
          <w:sz w:val="20"/>
          <w:szCs w:val="20"/>
        </w:rPr>
      </w:pPr>
      <w:bookmarkStart w:id="1165" w:name="bookmark1165"/>
      <w:r>
        <w:rPr>
          <w:rFonts w:ascii="Arial Narrow" w:eastAsia="Arial Narrow" w:hAnsi="Arial Narrow" w:cs="Arial Narrow"/>
          <w:b/>
          <w:bCs/>
          <w:color w:val="000000"/>
          <w:spacing w:val="0"/>
          <w:w w:val="100"/>
          <w:position w:val="0"/>
          <w:sz w:val="20"/>
          <w:szCs w:val="20"/>
        </w:rPr>
        <w:t>60</w:t>
      </w:r>
      <w:r>
        <w:rPr>
          <w:b/>
          <w:bCs/>
          <w:color w:val="000000"/>
          <w:spacing w:val="0"/>
          <w:w w:val="100"/>
          <w:position w:val="0"/>
          <w:sz w:val="20"/>
          <w:szCs w:val="20"/>
        </w:rPr>
        <w:t>、外币货币性项目</w:t>
      </w:r>
      <w:bookmarkEnd w:id="1165"/>
    </w:p>
    <w:tbl>
      <w:tblPr>
        <w:tblOverlap w:val="never"/>
        <w:jc w:val="center"/>
        <w:tblLayout w:type="fixed"/>
      </w:tblPr>
      <w:tblGrid>
        <w:gridCol w:w="2779"/>
        <w:gridCol w:w="2256"/>
        <w:gridCol w:w="1819"/>
        <w:gridCol w:w="2510"/>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期末外币余额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折算汇率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期末折算人民币余额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1,682,910.51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6.9762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11,740,320.30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港元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31,719.93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0.8958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28,414.71</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11,127.63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7.8155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86,967.99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1,221,535.25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6.9762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8,521,674.21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港元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1,495,963.68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0.8958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1,340,084.26</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676,543.11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7.8155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5,287,522.68</w:t>
            </w:r>
          </w:p>
        </w:tc>
      </w:tr>
    </w:tbl>
    <w:p>
      <w:pPr>
        <w:widowControl w:val="0"/>
        <w:spacing w:after="219" w:line="1" w:lineRule="exact"/>
      </w:pPr>
    </w:p>
    <w:p>
      <w:pPr>
        <w:pStyle w:val="Style22"/>
        <w:keepNext/>
        <w:keepLines/>
        <w:widowControl w:val="0"/>
        <w:shd w:val="clear" w:color="auto" w:fill="auto"/>
        <w:bidi w:val="0"/>
        <w:spacing w:before="0" w:after="220" w:line="240" w:lineRule="auto"/>
        <w:ind w:left="0" w:right="0" w:firstLine="560"/>
        <w:jc w:val="left"/>
        <w:rPr>
          <w:sz w:val="20"/>
          <w:szCs w:val="20"/>
        </w:rPr>
      </w:pPr>
      <w:bookmarkStart w:id="1166" w:name="bookmark1166"/>
      <w:bookmarkStart w:id="1167" w:name="bookmark1167"/>
      <w:bookmarkStart w:id="1168" w:name="bookmark1168"/>
      <w:r>
        <w:rPr>
          <w:rFonts w:ascii="Arial Narrow" w:eastAsia="Arial Narrow" w:hAnsi="Arial Narrow" w:cs="Arial Narrow"/>
          <w:color w:val="000000"/>
          <w:spacing w:val="0"/>
          <w:w w:val="100"/>
          <w:position w:val="0"/>
          <w:sz w:val="20"/>
          <w:szCs w:val="20"/>
        </w:rPr>
        <w:t>61</w:t>
      </w:r>
      <w:r>
        <w:rPr>
          <w:color w:val="000000"/>
          <w:spacing w:val="0"/>
          <w:w w:val="100"/>
          <w:position w:val="0"/>
          <w:sz w:val="20"/>
          <w:szCs w:val="20"/>
        </w:rPr>
        <w:t>、政府补助</w:t>
      </w:r>
      <w:bookmarkEnd w:id="1166"/>
      <w:bookmarkEnd w:id="1167"/>
      <w:bookmarkEnd w:id="1168"/>
    </w:p>
    <w:p>
      <w:pPr>
        <w:pStyle w:val="Style24"/>
        <w:keepNext w:val="0"/>
        <w:keepLines w:val="0"/>
        <w:widowControl w:val="0"/>
        <w:shd w:val="clear" w:color="auto" w:fill="auto"/>
        <w:bidi w:val="0"/>
        <w:spacing w:before="0" w:after="0" w:line="240" w:lineRule="auto"/>
        <w:ind w:left="466"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）本期确认的政府补助</w:t>
      </w:r>
    </w:p>
    <w:tbl>
      <w:tblPr>
        <w:tblOverlap w:val="never"/>
        <w:jc w:val="center"/>
        <w:tblLayout w:type="fixed"/>
      </w:tblPr>
      <w:tblGrid>
        <w:gridCol w:w="2232"/>
        <w:gridCol w:w="1277"/>
        <w:gridCol w:w="1133"/>
        <w:gridCol w:w="706"/>
        <w:gridCol w:w="571"/>
        <w:gridCol w:w="1272"/>
        <w:gridCol w:w="571"/>
        <w:gridCol w:w="706"/>
        <w:gridCol w:w="802"/>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b/>
                <w:bCs/>
                <w:color w:val="000000"/>
                <w:spacing w:val="0"/>
                <w:w w:val="100"/>
                <w:position w:val="0"/>
                <w:sz w:val="17"/>
                <w:szCs w:val="17"/>
              </w:rPr>
              <w:t>补助项目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与资产相关</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与收益相关</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是否实</w:t>
            </w:r>
          </w:p>
          <w:p>
            <w:pPr>
              <w:pStyle w:val="Style19"/>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b/>
                <w:bCs/>
                <w:color w:val="000000"/>
                <w:spacing w:val="0"/>
                <w:w w:val="100"/>
                <w:position w:val="0"/>
                <w:sz w:val="17"/>
                <w:szCs w:val="17"/>
              </w:rPr>
              <w:t>际收到</w:t>
            </w:r>
          </w:p>
        </w:tc>
      </w:tr>
      <w:tr>
        <w:trPr>
          <w:trHeight w:val="94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冲减资</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产账面</w:t>
            </w:r>
          </w:p>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递延 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b/>
                <w:bCs/>
                <w:color w:val="000000"/>
                <w:spacing w:val="0"/>
                <w:w w:val="100"/>
                <w:position w:val="0"/>
                <w:sz w:val="17"/>
                <w:szCs w:val="17"/>
              </w:rPr>
              <w:t>营业 外收 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冲减成</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本费用</w:t>
            </w:r>
          </w:p>
        </w:tc>
        <w:tc>
          <w:tcPr>
            <w:vMerge/>
            <w:tcBorders>
              <w:left w:val="single" w:sz="4"/>
            </w:tcBorders>
            <w:shd w:val="clear" w:color="auto" w:fill="FFFFFF"/>
            <w:vAlign w:val="center"/>
          </w:tcPr>
          <w:p>
            <w:pP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企业发展金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8,000,000.00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是</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文锦渡综合楼拆迁款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93,337.08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93,337.08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财政扶持资金-拉萨市柳梧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7,836,341.27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7,836,341.27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西藏高校毕业生就业补贴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36,461.88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36,461.88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入规奖励基金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专利资助费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领军人才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小巨人企业资助经费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高端智能装备首台突破和</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示范应用专项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1,134,000.00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1,134,000.00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国家现代产业项目资金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油茶研究院建设经费补贴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510,362.50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510,362.50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是</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失业保险费返还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6,964.00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6,964.00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退耕还林生态林抚育奖补 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13,222.00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13,222.00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是</w:t>
            </w: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专家大院油茶分院项目奖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是</w:t>
            </w:r>
          </w:p>
        </w:tc>
      </w:tr>
    </w:tbl>
    <w:p>
      <w:pPr>
        <w:widowControl w:val="0"/>
        <w:spacing w:line="1" w:lineRule="exact"/>
      </w:pPr>
      <w:r>
        <w:br w:type="page"/>
      </w:r>
    </w:p>
    <w:tbl>
      <w:tblPr>
        <w:tblOverlap w:val="never"/>
        <w:jc w:val="center"/>
        <w:tblLayout w:type="fixed"/>
      </w:tblPr>
      <w:tblGrid>
        <w:gridCol w:w="2280"/>
        <w:gridCol w:w="1277"/>
        <w:gridCol w:w="778"/>
        <w:gridCol w:w="355"/>
        <w:gridCol w:w="706"/>
        <w:gridCol w:w="437"/>
        <w:gridCol w:w="134"/>
        <w:gridCol w:w="1277"/>
        <w:gridCol w:w="566"/>
        <w:gridCol w:w="590"/>
        <w:gridCol w:w="115"/>
        <w:gridCol w:w="850"/>
      </w:tblGrid>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补资金</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造林绿化科扶育奖励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234,000.00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234,000.00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农产品有机认证奖励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both"/>
              <w:rPr>
                <w:sz w:val="17"/>
                <w:szCs w:val="17"/>
              </w:rPr>
            </w:pPr>
            <w:r>
              <w:rPr>
                <w:rFonts w:ascii="SimSun" w:eastAsia="SimSun" w:hAnsi="SimSun" w:cs="SimSun"/>
                <w:color w:val="000000"/>
                <w:spacing w:val="0"/>
                <w:w w:val="100"/>
                <w:position w:val="0"/>
                <w:sz w:val="17"/>
                <w:szCs w:val="17"/>
              </w:rPr>
              <w:t>张北县工信局支持工业企 业上档项目资金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1,000,000.00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纳税贡献扶持奖励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1,842,779.73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1,842,779.73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高新技术企业奖励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180,400.00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180,400.00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高效光伏组件智能工厂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1,200,000.00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否</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140" w:right="0" w:firstLine="0"/>
              <w:jc w:val="both"/>
              <w:rPr>
                <w:sz w:val="17"/>
                <w:szCs w:val="17"/>
              </w:rPr>
            </w:pPr>
            <w:r>
              <w:rPr>
                <w:rFonts w:ascii="SimSun" w:eastAsia="SimSun" w:hAnsi="SimSun" w:cs="SimSun"/>
                <w:color w:val="000000"/>
                <w:spacing w:val="0"/>
                <w:w w:val="100"/>
                <w:position w:val="0"/>
                <w:sz w:val="17"/>
                <w:szCs w:val="17"/>
              </w:rPr>
              <w:t>安徽省洁能环保“五个一 百”重点改造项目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600,000.00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否</w:t>
            </w:r>
          </w:p>
        </w:tc>
      </w:tr>
      <w:tr>
        <w:trPr>
          <w:trHeight w:val="63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both"/>
              <w:rPr>
                <w:sz w:val="17"/>
                <w:szCs w:val="17"/>
              </w:rPr>
            </w:pPr>
            <w:r>
              <w:rPr>
                <w:rFonts w:ascii="SimSun" w:eastAsia="SimSun" w:hAnsi="SimSun" w:cs="SimSun"/>
                <w:color w:val="000000"/>
                <w:spacing w:val="0"/>
                <w:w w:val="100"/>
                <w:position w:val="0"/>
                <w:sz w:val="17"/>
                <w:szCs w:val="17"/>
              </w:rPr>
              <w:t>金寨县科技商务经济信</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2018</w:t>
            </w:r>
            <w:r>
              <w:rPr>
                <w:rFonts w:ascii="SimSun" w:eastAsia="SimSun" w:hAnsi="SimSun" w:cs="SimSun"/>
                <w:color w:val="000000"/>
                <w:spacing w:val="0"/>
                <w:w w:val="100"/>
                <w:position w:val="0"/>
                <w:sz w:val="17"/>
                <w:szCs w:val="17"/>
              </w:rPr>
              <w:t>年市外贸奖补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140" w:right="0" w:firstLine="0"/>
              <w:jc w:val="both"/>
              <w:rPr>
                <w:sz w:val="17"/>
                <w:szCs w:val="17"/>
              </w:rPr>
            </w:pP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年市级科技创新驱动 奖补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科技局机器人奖励款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1,000,000.00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物业服务企业参与基层治</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理扶持资金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集团产业转型资金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1,695,300.00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1,695,300.00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街道奖励金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141,387.91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141,387.91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专利资助费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15,300.00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15,300.00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是</w:t>
            </w:r>
          </w:p>
        </w:tc>
      </w:tr>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贷款贴息奖励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288,900.00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288,900.00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增值税进项加计抵减政策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24,553.15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24,553.15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是</w:t>
            </w:r>
          </w:p>
        </w:tc>
      </w:tr>
      <w:tr>
        <w:trPr>
          <w:trHeight w:val="9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140" w:right="0" w:firstLine="0"/>
              <w:jc w:val="left"/>
              <w:rPr>
                <w:sz w:val="17"/>
                <w:szCs w:val="17"/>
              </w:rPr>
            </w:pPr>
            <w:r>
              <w:rPr>
                <w:rFonts w:ascii="SimSun" w:eastAsia="SimSun" w:hAnsi="SimSun" w:cs="SimSun"/>
                <w:color w:val="000000"/>
                <w:spacing w:val="0"/>
                <w:w w:val="100"/>
                <w:position w:val="0"/>
                <w:sz w:val="17"/>
                <w:szCs w:val="17"/>
              </w:rPr>
              <w:t>浙江舟山群岛新区海洋产 业集聚区管理委员会财政 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723,218.00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723,218.00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金寨县总工会补助资金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是</w:t>
            </w:r>
          </w:p>
        </w:tc>
      </w:tr>
      <w:tr>
        <w:trPr>
          <w:trHeight w:val="63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both"/>
              <w:rPr>
                <w:sz w:val="17"/>
                <w:szCs w:val="17"/>
              </w:rPr>
            </w:pPr>
            <w:r>
              <w:rPr>
                <w:rFonts w:ascii="SimSun" w:eastAsia="SimSun" w:hAnsi="SimSun" w:cs="SimSun"/>
                <w:color w:val="000000"/>
                <w:spacing w:val="0"/>
                <w:w w:val="100"/>
                <w:position w:val="0"/>
                <w:sz w:val="17"/>
                <w:szCs w:val="17"/>
              </w:rPr>
              <w:t>金寨县科技商务经济信息 化局-商贸流通发展奖补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126,000.00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126,000.00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是</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实用新型专利奖励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21,840.00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21,840.00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否</w:t>
            </w:r>
          </w:p>
        </w:tc>
      </w:tr>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事级创新型企业奖励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150,000.00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研发设备补贴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120,600.00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120,600.00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否</w:t>
            </w:r>
          </w:p>
        </w:tc>
      </w:tr>
      <w:tr>
        <w:trPr>
          <w:trHeight w:val="89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both"/>
              <w:rPr>
                <w:sz w:val="17"/>
                <w:szCs w:val="17"/>
              </w:rPr>
            </w:pPr>
            <w:r>
              <w:rPr>
                <w:rFonts w:ascii="SimSun" w:eastAsia="SimSun" w:hAnsi="SimSun" w:cs="SimSun"/>
                <w:color w:val="000000"/>
                <w:spacing w:val="0"/>
                <w:w w:val="100"/>
                <w:position w:val="0"/>
                <w:sz w:val="17"/>
                <w:szCs w:val="17"/>
              </w:rPr>
              <w:t>金寨县国家高新技术企业 县级补贴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120,000.00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否</w:t>
            </w:r>
          </w:p>
        </w:tc>
      </w:tr>
      <w:tr>
        <w:trPr>
          <w:trHeight w:val="43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38,451,411.52</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30,451,411.52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gridSpan w:val="12"/>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）计入当期损益的政府补助情况</w:t>
            </w:r>
          </w:p>
        </w:tc>
      </w:tr>
      <w:tr>
        <w:trPr>
          <w:trHeight w:val="677" w:hRule="exact"/>
        </w:trPr>
        <w:tc>
          <w:tcPr>
            <w:gridSpan w:val="3"/>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补助项目</w:t>
            </w:r>
          </w:p>
        </w:tc>
        <w:tc>
          <w:tcPr>
            <w:gridSpan w:val="3"/>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b/>
                <w:bCs/>
                <w:color w:val="000000"/>
                <w:spacing w:val="0"/>
                <w:w w:val="100"/>
                <w:position w:val="0"/>
                <w:sz w:val="17"/>
                <w:szCs w:val="17"/>
              </w:rPr>
              <w:t>与资产</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收益相 关</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b/>
                <w:bCs/>
                <w:color w:val="000000"/>
                <w:spacing w:val="0"/>
                <w:w w:val="100"/>
                <w:position w:val="0"/>
                <w:sz w:val="17"/>
                <w:szCs w:val="17"/>
              </w:rPr>
              <w:t>计入其他收益</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计入营业 外收入</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冲减成 本费用</w:t>
            </w:r>
          </w:p>
        </w:tc>
      </w:tr>
    </w:tbl>
    <w:p>
      <w:pPr>
        <w:widowControl w:val="0"/>
        <w:spacing w:line="1" w:lineRule="exact"/>
      </w:pPr>
      <w:r>
        <w:br w:type="page"/>
      </w:r>
    </w:p>
    <w:tbl>
      <w:tblPr>
        <w:tblOverlap w:val="never"/>
        <w:jc w:val="center"/>
        <w:tblLayout w:type="fixed"/>
      </w:tblPr>
      <w:tblGrid>
        <w:gridCol w:w="4334"/>
        <w:gridCol w:w="1498"/>
        <w:gridCol w:w="1488"/>
        <w:gridCol w:w="1080"/>
        <w:gridCol w:w="965"/>
      </w:tblGrid>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文锦渡综合楼拆迁款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93,337.08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财政扶持资金-拉萨市柳梧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7,836,341.27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西藏高校毕业生就业补贴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36,461.88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入规奖励基金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专利资助费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领军人才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小巨人企业资助经费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高端智能装备首台突破和示范应用专项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1,134,000.00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国家现代产业项目资金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油茶研究院建设经费补贴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510,362.50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失业保险费返还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6,964.00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退耕还林生态林抚育奖补资金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13,222.00</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专家大院油茶分院项目奖补资金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造林绿化科扶育奖励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农产品有机认证奖励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张北县工信局支持工业企业上档项目资金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土地返还资金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107,688.00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设备补贴返还资金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53,742.00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多层厂房补助返还资金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454,959.96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纳税贡献扶持奖励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1,842,779.73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高新技术企业奖励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高效光伏组件智能工厂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安徽省洁能环保“五个一百”重点改造项目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金寨县科技商务经济信</w:t>
            </w:r>
            <w:r>
              <w:rPr>
                <w:rFonts w:ascii="Arial Narrow" w:eastAsia="Arial Narrow" w:hAnsi="Arial Narrow" w:cs="Arial Narrow"/>
                <w:color w:val="000000"/>
                <w:spacing w:val="0"/>
                <w:w w:val="100"/>
                <w:position w:val="0"/>
                <w:sz w:val="18"/>
                <w:szCs w:val="18"/>
              </w:rPr>
              <w:t>2018</w:t>
            </w:r>
            <w:r>
              <w:rPr>
                <w:rFonts w:ascii="SimSun" w:eastAsia="SimSun" w:hAnsi="SimSun" w:cs="SimSun"/>
                <w:color w:val="000000"/>
                <w:spacing w:val="0"/>
                <w:w w:val="100"/>
                <w:position w:val="0"/>
                <w:sz w:val="17"/>
                <w:szCs w:val="17"/>
              </w:rPr>
              <w:t>年市外贸奖补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年市级科技创新驱动奖补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科技局机器人奖励款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物业服务企业参与基层治理扶持资金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集团产业转型资金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1,695,300.00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街道奖励金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141,387.91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专利资助费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贷款贴息奖励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288,900.00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334"/>
        <w:gridCol w:w="1498"/>
        <w:gridCol w:w="1488"/>
        <w:gridCol w:w="1080"/>
        <w:gridCol w:w="965"/>
      </w:tblGrid>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增值税进项税额加计抵减政策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24,553.15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140" w:right="0" w:firstLine="0"/>
              <w:jc w:val="left"/>
              <w:rPr>
                <w:sz w:val="17"/>
                <w:szCs w:val="17"/>
              </w:rPr>
            </w:pPr>
            <w:r>
              <w:rPr>
                <w:rFonts w:ascii="SimSun" w:eastAsia="SimSun" w:hAnsi="SimSun" w:cs="SimSun"/>
                <w:color w:val="000000"/>
                <w:spacing w:val="0"/>
                <w:w w:val="100"/>
                <w:position w:val="0"/>
                <w:sz w:val="17"/>
                <w:szCs w:val="17"/>
              </w:rPr>
              <w:t>浙江舟山群岛新区海洋产业集聚区管理委员会财政 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723,218.00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金寨县总工会补助资金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金寨县科技商务经济信息化局-商贸流通发展奖补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实用新型专利奖励</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事级创新型企业奖励</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研发设备补贴</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金寨县国家高新技术企业县级补贴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31,067,801.48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10"/>
        <w:keepNext/>
        <w:keepLines/>
        <w:widowControl w:val="0"/>
        <w:shd w:val="clear" w:color="auto" w:fill="auto"/>
        <w:bidi w:val="0"/>
        <w:spacing w:before="0" w:after="300" w:line="240" w:lineRule="auto"/>
        <w:ind w:left="0" w:right="0" w:firstLine="500"/>
        <w:jc w:val="left"/>
        <w:rPr>
          <w:sz w:val="20"/>
          <w:szCs w:val="20"/>
        </w:rPr>
      </w:pPr>
      <w:bookmarkStart w:id="1169" w:name="bookmark1169"/>
      <w:bookmarkStart w:id="1170" w:name="bookmark1170"/>
      <w:bookmarkStart w:id="1171" w:name="bookmark1171"/>
      <w:bookmarkStart w:id="1172" w:name="bookmark1172"/>
      <w:r>
        <w:rPr>
          <w:color w:val="000000"/>
          <w:spacing w:val="0"/>
          <w:w w:val="100"/>
          <w:position w:val="0"/>
          <w:sz w:val="20"/>
          <w:szCs w:val="20"/>
        </w:rPr>
        <w:t>六</w:t>
      </w:r>
      <w:bookmarkEnd w:id="1171"/>
      <w:r>
        <w:rPr>
          <w:color w:val="000000"/>
          <w:spacing w:val="0"/>
          <w:w w:val="100"/>
          <w:position w:val="0"/>
          <w:sz w:val="20"/>
          <w:szCs w:val="20"/>
        </w:rPr>
        <w:t>、合并范围的变更</w:t>
      </w:r>
      <w:bookmarkEnd w:id="1169"/>
      <w:bookmarkEnd w:id="1170"/>
      <w:bookmarkEnd w:id="1172"/>
    </w:p>
    <w:p>
      <w:pPr>
        <w:pStyle w:val="Style22"/>
        <w:keepNext/>
        <w:keepLines/>
        <w:widowControl w:val="0"/>
        <w:shd w:val="clear" w:color="auto" w:fill="auto"/>
        <w:bidi w:val="0"/>
        <w:spacing w:before="0" w:after="300" w:line="240" w:lineRule="auto"/>
        <w:ind w:left="0" w:right="0" w:firstLine="500"/>
        <w:jc w:val="left"/>
        <w:rPr>
          <w:sz w:val="17"/>
          <w:szCs w:val="17"/>
        </w:rPr>
      </w:pPr>
      <w:bookmarkStart w:id="1173" w:name="bookmark1173"/>
      <w:bookmarkStart w:id="1174" w:name="bookmark1174"/>
      <w:bookmarkStart w:id="1175" w:name="bookmark1175"/>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、非同一控制下企业合并</w:t>
      </w:r>
      <w:bookmarkEnd w:id="1173"/>
      <w:bookmarkEnd w:id="1174"/>
      <w:bookmarkEnd w:id="1175"/>
    </w:p>
    <w:p>
      <w:pPr>
        <w:pStyle w:val="Style26"/>
        <w:keepNext w:val="0"/>
        <w:keepLines w:val="0"/>
        <w:widowControl w:val="0"/>
        <w:shd w:val="clear" w:color="auto" w:fill="auto"/>
        <w:bidi w:val="0"/>
        <w:spacing w:before="0" w:after="340" w:line="240" w:lineRule="auto"/>
        <w:ind w:left="0" w:right="0" w:firstLine="680"/>
        <w:jc w:val="left"/>
      </w:pPr>
      <w:r>
        <w:rPr>
          <w:color w:val="000000"/>
          <w:spacing w:val="0"/>
          <w:w w:val="100"/>
          <w:position w:val="0"/>
        </w:rPr>
        <w:t>本期无非同一控制下企业合并情况。</w:t>
      </w:r>
    </w:p>
    <w:p>
      <w:pPr>
        <w:pStyle w:val="Style22"/>
        <w:keepNext/>
        <w:keepLines/>
        <w:widowControl w:val="0"/>
        <w:shd w:val="clear" w:color="auto" w:fill="auto"/>
        <w:bidi w:val="0"/>
        <w:spacing w:before="0" w:after="40" w:line="240" w:lineRule="auto"/>
        <w:ind w:left="0" w:right="0" w:firstLine="500"/>
        <w:jc w:val="left"/>
        <w:rPr>
          <w:sz w:val="17"/>
          <w:szCs w:val="17"/>
        </w:rPr>
      </w:pPr>
      <w:bookmarkStart w:id="1176" w:name="bookmark1176"/>
      <w:bookmarkStart w:id="1177" w:name="bookmark1177"/>
      <w:bookmarkStart w:id="1178" w:name="bookmark1178"/>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、本期新设增加的子公司</w:t>
      </w:r>
      <w:bookmarkEnd w:id="1176"/>
      <w:bookmarkEnd w:id="1177"/>
      <w:bookmarkEnd w:id="1178"/>
    </w:p>
    <w:tbl>
      <w:tblPr>
        <w:tblOverlap w:val="never"/>
        <w:jc w:val="center"/>
        <w:tblLayout w:type="fixed"/>
      </w:tblPr>
      <w:tblGrid>
        <w:gridCol w:w="4536"/>
        <w:gridCol w:w="1272"/>
        <w:gridCol w:w="854"/>
        <w:gridCol w:w="931"/>
        <w:gridCol w:w="1757"/>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公司关系</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持股比例（</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17"/>
                <w:szCs w:val="17"/>
              </w:rPr>
              <w:t>）</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注册资本（万元）</w:t>
            </w:r>
          </w:p>
        </w:tc>
      </w:tr>
      <w:tr>
        <w:trPr>
          <w:trHeight w:val="42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直接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间接</w:t>
            </w:r>
          </w:p>
        </w:tc>
        <w:tc>
          <w:tcPr>
            <w:vMerge/>
            <w:tcBorders>
              <w:left w:val="single" w:sz="4"/>
            </w:tcBorders>
            <w:shd w:val="clear" w:color="auto" w:fill="FFFFFF"/>
            <w:vAlign w:val="center"/>
          </w:tcPr>
          <w:p>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安徽旭禾农业科技有限公司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2,000.00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团风县正旭新能源有限公司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长春市旭蓝新能源有限公司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安阳旭冠日冕新能源科技有限公司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1,000.00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安阳东沪龙跃新能源科技有限公司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1,000.00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青岛旭辰节能科技有限公司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20,000.00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锦州旭蓝电力新能源有限公司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80,000.00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青岛旭蓝产业基金合伙企业（有限合伙）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一级子公司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东旭鸿鼎（天津）文化旅游有限公司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一级子公司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2,000.00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东旭制胜（厦门）节能科技有限公司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一级子公司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5,000.00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海南旭通新能源科技有限公司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青岛旭阳新能源有限公司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1,000.00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平度市旭弘新能源有限公司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3,000.00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宁夏旭通新能源科技有限公司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宁夏旭卫新能源科技有限公司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承德新旭新能源科技有限公司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r>
    </w:tbl>
    <w:p>
      <w:pPr>
        <w:widowControl w:val="0"/>
        <w:spacing w:line="1" w:lineRule="exact"/>
      </w:pPr>
      <w:r>
        <w:br w:type="page"/>
      </w:r>
    </w:p>
    <w:tbl>
      <w:tblPr>
        <w:tblOverlap w:val="never"/>
        <w:jc w:val="center"/>
        <w:tblLayout w:type="fixed"/>
      </w:tblPr>
      <w:tblGrid>
        <w:gridCol w:w="4546"/>
        <w:gridCol w:w="1272"/>
        <w:gridCol w:w="854"/>
        <w:gridCol w:w="931"/>
        <w:gridCol w:w="1757"/>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公司关系</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持股比例（</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17"/>
                <w:szCs w:val="17"/>
              </w:rPr>
              <w:t>）</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注册资本（万元）</w:t>
            </w:r>
          </w:p>
        </w:tc>
      </w:tr>
      <w:tr>
        <w:trPr>
          <w:trHeight w:val="42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直接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间接</w:t>
            </w:r>
          </w:p>
        </w:tc>
        <w:tc>
          <w:tcPr>
            <w:vMerge/>
            <w:tcBorders>
              <w:left w:val="single" w:sz="4"/>
            </w:tcBorders>
            <w:shd w:val="clear" w:color="auto" w:fill="FFFFFF"/>
            <w:vAlign w:val="center"/>
          </w:tcPr>
          <w:p>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滦平县旭欣新能源科技有限公司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宁夏旭盛新能源科技有限公司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二级子公司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宁夏旭蓝新能源科技有限公司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三级子公司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r>
    </w:tbl>
    <w:p>
      <w:pPr>
        <w:widowControl w:val="0"/>
        <w:spacing w:after="239" w:line="1" w:lineRule="exact"/>
      </w:pPr>
    </w:p>
    <w:p>
      <w:pPr>
        <w:pStyle w:val="Style22"/>
        <w:keepNext/>
        <w:keepLines/>
        <w:widowControl w:val="0"/>
        <w:shd w:val="clear" w:color="auto" w:fill="auto"/>
        <w:bidi w:val="0"/>
        <w:spacing w:before="0" w:after="40" w:line="240" w:lineRule="auto"/>
        <w:ind w:left="0" w:right="0" w:firstLine="500"/>
        <w:jc w:val="left"/>
        <w:rPr>
          <w:sz w:val="17"/>
          <w:szCs w:val="17"/>
        </w:rPr>
      </w:pPr>
      <w:bookmarkStart w:id="1179" w:name="bookmark1179"/>
      <w:bookmarkStart w:id="1180" w:name="bookmark1180"/>
      <w:bookmarkStart w:id="1181" w:name="bookmark1181"/>
      <w:r>
        <w:rPr>
          <w:rFonts w:ascii="Arial Narrow" w:eastAsia="Arial Narrow" w:hAnsi="Arial Narrow" w:cs="Arial Narrow"/>
          <w:color w:val="000000"/>
          <w:spacing w:val="0"/>
          <w:w w:val="100"/>
          <w:position w:val="0"/>
          <w:sz w:val="18"/>
          <w:szCs w:val="18"/>
        </w:rPr>
        <w:t>3</w:t>
      </w:r>
      <w:r>
        <w:rPr>
          <w:color w:val="000000"/>
          <w:spacing w:val="0"/>
          <w:w w:val="100"/>
          <w:position w:val="0"/>
          <w:sz w:val="17"/>
          <w:szCs w:val="17"/>
        </w:rPr>
        <w:t>、本期减少合并范围</w:t>
      </w:r>
      <w:bookmarkEnd w:id="1179"/>
      <w:bookmarkEnd w:id="1180"/>
      <w:bookmarkEnd w:id="1181"/>
    </w:p>
    <w:tbl>
      <w:tblPr>
        <w:tblOverlap w:val="never"/>
        <w:jc w:val="center"/>
        <w:tblLayout w:type="fixed"/>
      </w:tblPr>
      <w:tblGrid>
        <w:gridCol w:w="1426"/>
        <w:gridCol w:w="1186"/>
        <w:gridCol w:w="989"/>
        <w:gridCol w:w="960"/>
        <w:gridCol w:w="1066"/>
        <w:gridCol w:w="2131"/>
        <w:gridCol w:w="1522"/>
      </w:tblGrid>
      <w:tr>
        <w:trPr>
          <w:trHeight w:val="240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股权处置价款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b/>
                <w:bCs/>
                <w:color w:val="000000"/>
                <w:spacing w:val="0"/>
                <w:w w:val="100"/>
                <w:position w:val="0"/>
                <w:sz w:val="17"/>
                <w:szCs w:val="17"/>
              </w:rPr>
              <w:t>股权处置比 例（</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股权处置方 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丧失控制权 的时点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丧失控制权时点的确定依 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处置价款与处置投 资对应的合并报表 层面享有该子公司 净资产份额的差额</w:t>
            </w:r>
          </w:p>
        </w:tc>
      </w:tr>
      <w:tr>
        <w:trPr>
          <w:trHeight w:val="124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深圳市宝鹏物流</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协议转让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权力机构批准，收到</w:t>
            </w:r>
            <w:r>
              <w:rPr>
                <w:rFonts w:ascii="Arial Narrow" w:eastAsia="Arial Narrow" w:hAnsi="Arial Narrow" w:cs="Arial Narrow"/>
                <w:color w:val="000000"/>
                <w:spacing w:val="0"/>
                <w:w w:val="100"/>
                <w:position w:val="0"/>
                <w:sz w:val="18"/>
                <w:szCs w:val="18"/>
              </w:rPr>
              <w:t>50%</w:t>
            </w:r>
            <w:r>
              <w:rPr>
                <w:rFonts w:ascii="SimSun" w:eastAsia="SimSun" w:hAnsi="SimSun" w:cs="SimSun"/>
                <w:color w:val="000000"/>
                <w:spacing w:val="0"/>
                <w:w w:val="100"/>
                <w:position w:val="0"/>
                <w:sz w:val="17"/>
                <w:szCs w:val="17"/>
              </w:rPr>
              <w:t>以 上股权转让款且完成财产 交接，收益和风险转移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20,480,848.82</w:t>
            </w:r>
          </w:p>
        </w:tc>
      </w:tr>
      <w:tr>
        <w:trPr>
          <w:trHeight w:val="124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深圳市鸿基物流</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协议转让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权力机构批准，收到</w:t>
            </w:r>
            <w:r>
              <w:rPr>
                <w:rFonts w:ascii="Arial Narrow" w:eastAsia="Arial Narrow" w:hAnsi="Arial Narrow" w:cs="Arial Narrow"/>
                <w:color w:val="000000"/>
                <w:spacing w:val="0"/>
                <w:w w:val="100"/>
                <w:position w:val="0"/>
                <w:sz w:val="18"/>
                <w:szCs w:val="18"/>
              </w:rPr>
              <w:t>50%</w:t>
            </w:r>
            <w:r>
              <w:rPr>
                <w:rFonts w:ascii="SimSun" w:eastAsia="SimSun" w:hAnsi="SimSun" w:cs="SimSun"/>
                <w:color w:val="000000"/>
                <w:spacing w:val="0"/>
                <w:w w:val="100"/>
                <w:position w:val="0"/>
                <w:sz w:val="17"/>
                <w:szCs w:val="17"/>
              </w:rPr>
              <w:t>以 上股权转让款且完成财产 交接，收益和风险转移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58,449,176.90</w:t>
            </w:r>
          </w:p>
        </w:tc>
      </w:tr>
      <w:tr>
        <w:trPr>
          <w:trHeight w:val="124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深圳市虹海假日</w:t>
            </w:r>
          </w:p>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酒店管理有限公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协议转让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2019.3.29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权力机构批准，收到</w:t>
            </w:r>
            <w:r>
              <w:rPr>
                <w:rFonts w:ascii="Arial Narrow" w:eastAsia="Arial Narrow" w:hAnsi="Arial Narrow" w:cs="Arial Narrow"/>
                <w:color w:val="000000"/>
                <w:spacing w:val="0"/>
                <w:w w:val="100"/>
                <w:position w:val="0"/>
                <w:sz w:val="18"/>
                <w:szCs w:val="18"/>
              </w:rPr>
              <w:t>50%</w:t>
            </w:r>
            <w:r>
              <w:rPr>
                <w:rFonts w:ascii="SimSun" w:eastAsia="SimSun" w:hAnsi="SimSun" w:cs="SimSun"/>
                <w:color w:val="000000"/>
                <w:spacing w:val="0"/>
                <w:w w:val="100"/>
                <w:position w:val="0"/>
                <w:sz w:val="17"/>
                <w:szCs w:val="17"/>
              </w:rPr>
              <w:t>以 上股权转让款且完成财产 交接，收益和风险转移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r>
      <w:tr>
        <w:trPr>
          <w:trHeight w:val="124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深圳市鸿基兆丰 商业服务管理有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协议转让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2019.3.29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权力机构批准，收到</w:t>
            </w:r>
            <w:r>
              <w:rPr>
                <w:rFonts w:ascii="Arial Narrow" w:eastAsia="Arial Narrow" w:hAnsi="Arial Narrow" w:cs="Arial Narrow"/>
                <w:color w:val="000000"/>
                <w:spacing w:val="0"/>
                <w:w w:val="100"/>
                <w:position w:val="0"/>
                <w:sz w:val="18"/>
                <w:szCs w:val="18"/>
              </w:rPr>
              <w:t>50%</w:t>
            </w:r>
            <w:r>
              <w:rPr>
                <w:rFonts w:ascii="SimSun" w:eastAsia="SimSun" w:hAnsi="SimSun" w:cs="SimSun"/>
                <w:color w:val="000000"/>
                <w:spacing w:val="0"/>
                <w:w w:val="100"/>
                <w:position w:val="0"/>
                <w:sz w:val="17"/>
                <w:szCs w:val="17"/>
              </w:rPr>
              <w:t>以 上股权转让款且完成财产 交接，收益和风险转移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r>
      <w:tr>
        <w:trPr>
          <w:trHeight w:val="124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内蒙古旭峰光伏 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协议转让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权力机构批准，收到</w:t>
            </w:r>
            <w:r>
              <w:rPr>
                <w:rFonts w:ascii="Arial Narrow" w:eastAsia="Arial Narrow" w:hAnsi="Arial Narrow" w:cs="Arial Narrow"/>
                <w:color w:val="000000"/>
                <w:spacing w:val="0"/>
                <w:w w:val="100"/>
                <w:position w:val="0"/>
                <w:sz w:val="18"/>
                <w:szCs w:val="18"/>
              </w:rPr>
              <w:t>50%</w:t>
            </w:r>
            <w:r>
              <w:rPr>
                <w:rFonts w:ascii="SimSun" w:eastAsia="SimSun" w:hAnsi="SimSun" w:cs="SimSun"/>
                <w:color w:val="000000"/>
                <w:spacing w:val="0"/>
                <w:w w:val="100"/>
                <w:position w:val="0"/>
                <w:sz w:val="17"/>
                <w:szCs w:val="17"/>
              </w:rPr>
              <w:t>以 上股权转让款且完成财产 交接，收益和风险转移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1,326,444.68</w:t>
            </w:r>
          </w:p>
        </w:tc>
      </w:tr>
      <w:tr>
        <w:trPr>
          <w:trHeight w:val="124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禹州市东旭新能 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协议转让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权力机构批准，收到</w:t>
            </w:r>
            <w:r>
              <w:rPr>
                <w:rFonts w:ascii="Arial Narrow" w:eastAsia="Arial Narrow" w:hAnsi="Arial Narrow" w:cs="Arial Narrow"/>
                <w:color w:val="000000"/>
                <w:spacing w:val="0"/>
                <w:w w:val="100"/>
                <w:position w:val="0"/>
                <w:sz w:val="18"/>
                <w:szCs w:val="18"/>
              </w:rPr>
              <w:t>50%</w:t>
            </w:r>
            <w:r>
              <w:rPr>
                <w:rFonts w:ascii="SimSun" w:eastAsia="SimSun" w:hAnsi="SimSun" w:cs="SimSun"/>
                <w:color w:val="000000"/>
                <w:spacing w:val="0"/>
                <w:w w:val="100"/>
                <w:position w:val="0"/>
                <w:sz w:val="17"/>
                <w:szCs w:val="17"/>
              </w:rPr>
              <w:t>以 上股权转让款且完成财产 交接，收益和风险转移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12,712,133.94</w:t>
            </w:r>
          </w:p>
        </w:tc>
      </w:tr>
      <w:tr>
        <w:trPr>
          <w:trHeight w:val="127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辽宁旭红供应链 管理有限公司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124.81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协议转让</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2019.11.30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权力机构批准，收到</w:t>
            </w:r>
            <w:r>
              <w:rPr>
                <w:rFonts w:ascii="Arial Narrow" w:eastAsia="Arial Narrow" w:hAnsi="Arial Narrow" w:cs="Arial Narrow"/>
                <w:color w:val="000000"/>
                <w:spacing w:val="0"/>
                <w:w w:val="100"/>
                <w:position w:val="0"/>
                <w:sz w:val="18"/>
                <w:szCs w:val="18"/>
              </w:rPr>
              <w:t>50%</w:t>
            </w:r>
            <w:r>
              <w:rPr>
                <w:rFonts w:ascii="SimSun" w:eastAsia="SimSun" w:hAnsi="SimSun" w:cs="SimSun"/>
                <w:color w:val="000000"/>
                <w:spacing w:val="0"/>
                <w:w w:val="100"/>
                <w:position w:val="0"/>
                <w:sz w:val="17"/>
                <w:szCs w:val="17"/>
              </w:rPr>
              <w:t>以 上股权转让款且完成财产 交接，收益和风险转移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-7.36</w:t>
            </w:r>
          </w:p>
        </w:tc>
      </w:tr>
    </w:tbl>
    <w:p>
      <w:pPr>
        <w:widowControl w:val="0"/>
        <w:spacing w:line="1" w:lineRule="exact"/>
      </w:pPr>
      <w:r>
        <w:br w:type="page"/>
      </w:r>
    </w:p>
    <w:tbl>
      <w:tblPr>
        <w:tblOverlap w:val="never"/>
        <w:jc w:val="center"/>
        <w:tblLayout w:type="fixed"/>
      </w:tblPr>
      <w:tblGrid>
        <w:gridCol w:w="1426"/>
        <w:gridCol w:w="1186"/>
        <w:gridCol w:w="989"/>
        <w:gridCol w:w="960"/>
        <w:gridCol w:w="1066"/>
        <w:gridCol w:w="2131"/>
        <w:gridCol w:w="1522"/>
      </w:tblGrid>
      <w:tr>
        <w:trPr>
          <w:trHeight w:val="127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上海陇商供应链 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99,244.71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协议转让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权力机构批准，收到</w:t>
            </w:r>
            <w:r>
              <w:rPr>
                <w:rFonts w:ascii="Arial Narrow" w:eastAsia="Arial Narrow" w:hAnsi="Arial Narrow" w:cs="Arial Narrow"/>
                <w:color w:val="000000"/>
                <w:spacing w:val="0"/>
                <w:w w:val="100"/>
                <w:position w:val="0"/>
                <w:sz w:val="18"/>
                <w:szCs w:val="18"/>
              </w:rPr>
              <w:t>50%</w:t>
            </w:r>
            <w:r>
              <w:rPr>
                <w:rFonts w:ascii="SimSun" w:eastAsia="SimSun" w:hAnsi="SimSun" w:cs="SimSun"/>
                <w:color w:val="000000"/>
                <w:spacing w:val="0"/>
                <w:w w:val="100"/>
                <w:position w:val="0"/>
                <w:sz w:val="17"/>
                <w:szCs w:val="17"/>
              </w:rPr>
              <w:t>以 上股权转让款且完成财产 交接，收益和风险转移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39,245.76</w:t>
            </w:r>
          </w:p>
        </w:tc>
      </w:tr>
      <w:tr>
        <w:trPr>
          <w:trHeight w:val="124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宁夏旭通新能源 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协议转让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权力机构批准，收到</w:t>
            </w:r>
            <w:r>
              <w:rPr>
                <w:rFonts w:ascii="Arial Narrow" w:eastAsia="Arial Narrow" w:hAnsi="Arial Narrow" w:cs="Arial Narrow"/>
                <w:color w:val="000000"/>
                <w:spacing w:val="0"/>
                <w:w w:val="100"/>
                <w:position w:val="0"/>
                <w:sz w:val="18"/>
                <w:szCs w:val="18"/>
              </w:rPr>
              <w:t>50%</w:t>
            </w:r>
            <w:r>
              <w:rPr>
                <w:rFonts w:ascii="SimSun" w:eastAsia="SimSun" w:hAnsi="SimSun" w:cs="SimSun"/>
                <w:color w:val="000000"/>
                <w:spacing w:val="0"/>
                <w:w w:val="100"/>
                <w:position w:val="0"/>
                <w:sz w:val="17"/>
                <w:szCs w:val="17"/>
              </w:rPr>
              <w:t>以 上股权转让款且完成财产 交接，收益和风险转移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4,750,689.90</w:t>
            </w:r>
          </w:p>
        </w:tc>
      </w:tr>
      <w:tr>
        <w:trPr>
          <w:trHeight w:val="124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青岛旭辰节能科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color w:val="000000"/>
                <w:spacing w:val="0"/>
                <w:w w:val="100"/>
                <w:position w:val="0"/>
                <w:sz w:val="18"/>
                <w:szCs w:val="18"/>
              </w:rPr>
              <w:t>3,000,000.00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协议转让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2019.9.30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权力机构批准，收到</w:t>
            </w:r>
            <w:r>
              <w:rPr>
                <w:rFonts w:ascii="Arial Narrow" w:eastAsia="Arial Narrow" w:hAnsi="Arial Narrow" w:cs="Arial Narrow"/>
                <w:color w:val="000000"/>
                <w:spacing w:val="0"/>
                <w:w w:val="100"/>
                <w:position w:val="0"/>
                <w:sz w:val="18"/>
                <w:szCs w:val="18"/>
              </w:rPr>
              <w:t>50%</w:t>
            </w:r>
            <w:r>
              <w:rPr>
                <w:rFonts w:ascii="SimSun" w:eastAsia="SimSun" w:hAnsi="SimSun" w:cs="SimSun"/>
                <w:color w:val="000000"/>
                <w:spacing w:val="0"/>
                <w:w w:val="100"/>
                <w:position w:val="0"/>
                <w:sz w:val="17"/>
                <w:szCs w:val="17"/>
              </w:rPr>
              <w:t>以 上股权转让款且完成财产 交接，收益和风险转移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3,000,000.00</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rFonts w:ascii="Arial Narrow" w:eastAsia="Arial Narrow" w:hAnsi="Arial Narrow" w:cs="Arial Narrow"/>
                <w:b/>
                <w:bCs/>
                <w:color w:val="000000"/>
                <w:spacing w:val="0"/>
                <w:w w:val="100"/>
                <w:position w:val="0"/>
                <w:sz w:val="18"/>
                <w:szCs w:val="18"/>
              </w:rPr>
              <w:t>8,099,376.52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b/>
                <w:bCs/>
                <w:color w:val="000000"/>
                <w:spacing w:val="0"/>
                <w:w w:val="100"/>
                <w:position w:val="0"/>
                <w:sz w:val="18"/>
                <w:szCs w:val="18"/>
              </w:rPr>
              <w:t>100,758,534.64</w:t>
            </w:r>
          </w:p>
        </w:tc>
      </w:tr>
    </w:tbl>
    <w:p>
      <w:pPr>
        <w:widowControl w:val="0"/>
        <w:spacing w:after="199" w:line="1" w:lineRule="exact"/>
      </w:pPr>
    </w:p>
    <w:p>
      <w:pPr>
        <w:pStyle w:val="Style33"/>
        <w:keepNext w:val="0"/>
        <w:keepLines w:val="0"/>
        <w:widowControl w:val="0"/>
        <w:shd w:val="clear" w:color="auto" w:fill="auto"/>
        <w:bidi w:val="0"/>
        <w:spacing w:before="0" w:after="40" w:line="240" w:lineRule="auto"/>
        <w:ind w:left="0" w:right="0" w:firstLine="480"/>
        <w:jc w:val="left"/>
      </w:pPr>
      <w:r>
        <w:rPr>
          <w:color w:val="000000"/>
          <w:spacing w:val="0"/>
          <w:w w:val="100"/>
          <w:position w:val="0"/>
        </w:rPr>
        <w:t>续前表:</w:t>
      </w:r>
    </w:p>
    <w:tbl>
      <w:tblPr>
        <w:tblOverlap w:val="never"/>
        <w:jc w:val="center"/>
        <w:tblLayout w:type="fixed"/>
      </w:tblPr>
      <w:tblGrid>
        <w:gridCol w:w="2093"/>
        <w:gridCol w:w="1186"/>
        <w:gridCol w:w="1109"/>
        <w:gridCol w:w="902"/>
        <w:gridCol w:w="1109"/>
        <w:gridCol w:w="1445"/>
        <w:gridCol w:w="1435"/>
      </w:tblGrid>
      <w:tr>
        <w:trPr>
          <w:trHeight w:val="22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b/>
                <w:bCs/>
                <w:color w:val="000000"/>
                <w:spacing w:val="0"/>
                <w:w w:val="100"/>
                <w:position w:val="0"/>
                <w:sz w:val="17"/>
                <w:szCs w:val="17"/>
              </w:rPr>
              <w:t>子公司名称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b/>
                <w:bCs/>
                <w:color w:val="000000"/>
                <w:spacing w:val="0"/>
                <w:w w:val="100"/>
                <w:position w:val="0"/>
                <w:sz w:val="17"/>
                <w:szCs w:val="17"/>
              </w:rPr>
              <w:t>丧失控制权之 日剩余股权的 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center"/>
              <w:rPr>
                <w:sz w:val="17"/>
                <w:szCs w:val="17"/>
              </w:rPr>
            </w:pPr>
            <w:r>
              <w:rPr>
                <w:rFonts w:ascii="SimSun" w:eastAsia="SimSun" w:hAnsi="SimSun" w:cs="SimSun"/>
                <w:b/>
                <w:bCs/>
                <w:color w:val="000000"/>
                <w:spacing w:val="0"/>
                <w:w w:val="100"/>
                <w:position w:val="0"/>
                <w:sz w:val="17"/>
                <w:szCs w:val="17"/>
              </w:rPr>
              <w:t>丧失控制权 之日剩余股 权的账面价 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丧失控制 权之日剩 余股权的 公允价值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b/>
                <w:bCs/>
                <w:color w:val="000000"/>
                <w:spacing w:val="0"/>
                <w:w w:val="100"/>
                <w:position w:val="0"/>
                <w:sz w:val="17"/>
                <w:szCs w:val="17"/>
              </w:rPr>
              <w:t>按照公允价 值重新计量 剩余股权产 生的利得或 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丧失控制权之日</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剩余股权公允价</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b/>
                <w:bCs/>
                <w:color w:val="000000"/>
                <w:spacing w:val="0"/>
                <w:w w:val="100"/>
                <w:position w:val="0"/>
                <w:sz w:val="17"/>
                <w:szCs w:val="17"/>
              </w:rPr>
              <w:t>值的确定方法及</w:t>
            </w:r>
          </w:p>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主要假设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与原子公司股权 投资相关的其他 综合收益转入投 资损益的金额</w:t>
            </w:r>
          </w:p>
        </w:tc>
      </w:tr>
      <w:tr>
        <w:trPr>
          <w:trHeight w:val="8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深圳市宝鹏物流有限公司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r>
      <w:tr>
        <w:trPr>
          <w:trHeight w:val="8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深圳市鸿基物流有限公司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r>
      <w:tr>
        <w:trPr>
          <w:trHeight w:val="8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深圳市虹海假日酒店管理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r>
      <w:tr>
        <w:trPr>
          <w:trHeight w:val="8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深圳市鸿基兆丰商业服务</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r>
      <w:tr>
        <w:trPr>
          <w:trHeight w:val="8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内蒙古旭峰光伏科技有限</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r>
      <w:tr>
        <w:trPr>
          <w:trHeight w:val="8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禹州市东旭新能源科技有</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r>
      <w:tr>
        <w:trPr>
          <w:trHeight w:val="8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辽宁旭红供应链管理有限</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r>
      <w:tr>
        <w:trPr>
          <w:trHeight w:val="883"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上海陇商供应链管理有限</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r>
    </w:tbl>
    <w:p>
      <w:pPr>
        <w:widowControl w:val="0"/>
        <w:spacing w:line="1" w:lineRule="exact"/>
      </w:pPr>
    </w:p>
    <w:tbl>
      <w:tblPr>
        <w:tblOverlap w:val="never"/>
        <w:jc w:val="center"/>
        <w:tblLayout w:type="fixed"/>
      </w:tblPr>
      <w:tblGrid>
        <w:gridCol w:w="2093"/>
        <w:gridCol w:w="1186"/>
        <w:gridCol w:w="1109"/>
        <w:gridCol w:w="902"/>
        <w:gridCol w:w="1109"/>
        <w:gridCol w:w="1445"/>
        <w:gridCol w:w="1435"/>
      </w:tblGrid>
      <w:tr>
        <w:trPr>
          <w:trHeight w:val="87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宁夏旭通新能源科技有限</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r>
      <w:tr>
        <w:trPr>
          <w:trHeight w:val="8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青岛旭辰节能科技有限公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r>
    </w:tbl>
    <w:p>
      <w:pPr>
        <w:pStyle w:val="Style24"/>
        <w:keepNext w:val="0"/>
        <w:keepLines w:val="0"/>
        <w:widowControl w:val="0"/>
        <w:shd w:val="clear" w:color="auto" w:fill="auto"/>
        <w:bidi w:val="0"/>
        <w:spacing w:before="0" w:after="0" w:line="501" w:lineRule="exact"/>
        <w:ind w:left="43" w:right="0" w:firstLine="0"/>
        <w:jc w:val="left"/>
      </w:pPr>
      <w:r>
        <w:rPr>
          <w:color w:val="000000"/>
          <w:spacing w:val="0"/>
          <w:w w:val="100"/>
          <w:position w:val="0"/>
        </w:rPr>
        <w:t>备注：子公司深圳市鸿基集装箱运输有限公司、深圳市鸿永通国际货运代理有限公司、宁夏旭卫新能源科技有限公司已 于本报告期出售。</w:t>
      </w:r>
    </w:p>
    <w:p>
      <w:pPr>
        <w:widowControl w:val="0"/>
        <w:spacing w:after="279" w:line="1" w:lineRule="exact"/>
      </w:pPr>
    </w:p>
    <w:p>
      <w:pPr>
        <w:pStyle w:val="Style22"/>
        <w:keepNext/>
        <w:keepLines/>
        <w:widowControl w:val="0"/>
        <w:shd w:val="clear" w:color="auto" w:fill="auto"/>
        <w:bidi w:val="0"/>
        <w:spacing w:before="0" w:after="0" w:line="523" w:lineRule="auto"/>
        <w:ind w:left="0" w:right="0" w:firstLine="480"/>
        <w:jc w:val="both"/>
        <w:rPr>
          <w:sz w:val="20"/>
          <w:szCs w:val="20"/>
        </w:rPr>
      </w:pPr>
      <w:bookmarkStart w:id="1182" w:name="bookmark1182"/>
      <w:bookmarkStart w:id="1183" w:name="bookmark1183"/>
      <w:bookmarkStart w:id="1184" w:name="bookmark1184"/>
      <w:bookmarkStart w:id="1185" w:name="bookmark1185"/>
      <w:r>
        <w:rPr>
          <w:rFonts w:ascii="Arial Narrow" w:eastAsia="Arial Narrow" w:hAnsi="Arial Narrow" w:cs="Arial Narrow"/>
          <w:color w:val="000000"/>
          <w:spacing w:val="0"/>
          <w:w w:val="100"/>
          <w:position w:val="0"/>
          <w:sz w:val="20"/>
          <w:szCs w:val="20"/>
        </w:rPr>
        <w:t>4</w:t>
      </w:r>
      <w:bookmarkEnd w:id="1184"/>
      <w:r>
        <w:rPr>
          <w:color w:val="000000"/>
          <w:spacing w:val="0"/>
          <w:w w:val="100"/>
          <w:position w:val="0"/>
          <w:sz w:val="20"/>
          <w:szCs w:val="20"/>
        </w:rPr>
        <w:t>、其他原因的合并范围变动</w:t>
      </w:r>
      <w:bookmarkEnd w:id="1182"/>
      <w:bookmarkEnd w:id="1183"/>
      <w:bookmarkEnd w:id="1185"/>
    </w:p>
    <w:p>
      <w:pPr>
        <w:pStyle w:val="Style33"/>
        <w:keepNext w:val="0"/>
        <w:keepLines w:val="0"/>
        <w:widowControl w:val="0"/>
        <w:shd w:val="clear" w:color="auto" w:fill="auto"/>
        <w:bidi w:val="0"/>
        <w:spacing w:before="0" w:after="0" w:line="501" w:lineRule="exact"/>
        <w:ind w:left="0" w:right="0" w:firstLine="480"/>
        <w:jc w:val="both"/>
      </w:pPr>
      <w:r>
        <w:rPr>
          <w:color w:val="000000"/>
          <w:spacing w:val="0"/>
          <w:w w:val="100"/>
          <w:position w:val="0"/>
        </w:rPr>
        <w:t>本公司子公司东旭鸿海环保科技有限公司、旭农农业发展有限公司、宝丰旭阳新能源有限公司、黑山 旭恒新能源科技有限公司、衡阳市旭晖新能源科技有限公司、吉林众凯新能源有限公司、靖边东旭新能源 科技有限公司、山西国山新能源有限责任公司、陕西东泉新能源科技有限公司、扎鲁特旗通宝蓝天新能源 有限公司、张家川回族自治县天旭新能源科技有限公司、宝鸡东旭新能源科技有限公司、成都旭蓉新能源 科技有限公司、大名县旭农农业科技有限公司、东港熠彩新能源科技有限公司、馆陶县旭蓝新能源有限公 司、海南晟源新能源有限公司、邯郸市峰峰矿区旭晨新能源有限公司、金寨蓝天大别山光伏科技有限公司、 岢岚县东旭新能源有限公司、聊城市东昌府区旭蓝新能源科技有限公司、林甸县旭蓝新能源科技有限公司、 临漳县旭蓝新能源科技有限公司、鲁山东旭新能源科技有限公司、鲁山旭蓝新能源有限公司、牡丹江市旭 蓝新能源有限责任公司、内蒙古旭景新能源科技有限公司、嫩江县量子新能源有限公司、宁波市旭鸿新能 源科技有限公司、农安旭阳新能源科技有限公司、平山旭蓝新能源科技有限公司、山西尚电新能源开发有 限公司、台州旭宏新能源有限公司、围场满族蒙古族自治县旭通光伏发电有限公司、新乡市旭蓝新能源技 术有限公司、宿州市旭蓝新能源有限公司、徐州市旭蓝新能源科技有限公司、烟台旭阳新能源科技有限公 司、张家口旭弘能源科技有限公司、郑州市旭蓝新能源科技有限公司、巩义市旭达新能源有限公司、建平 县旭蓝新能源科技有限公司、丹东市旭弘新能源科技有限公司、洪洞旭蓝新能源科技有限公司、安达市招 蓝新能源有限公司、安达市旭宁新能源有限公司、肇东市锦旭新能源有限公司、营口旭东新能源科技有限 公司、大庆市萨尔图区宝蓝新能源有限公司、大庆市萨尔图区宝东新能源有限公司、景县旭蓝新能源科技 有限公司、巴州正旭新能源有限公司、当阳旭天新能源科技有限公司、塔河旭阳新能源有限公司、远安东 旭阳光新能源科技有限公司、濮阳县东旭新能源科技有限公司、大庆高新区旭扬新能源有限公司、营口旭 蓝新能源科技有限公司、临沂旭辉新能源有限公司、大连旺禾粮油有限公司、团风县正旭新能源有限公司 已于本报告期注销。</w:t>
      </w:r>
      <w:r>
        <w:br w:type="page"/>
      </w:r>
    </w:p>
    <w:p>
      <w:pPr>
        <w:pStyle w:val="Style10"/>
        <w:keepNext/>
        <w:keepLines/>
        <w:widowControl w:val="0"/>
        <w:shd w:val="clear" w:color="auto" w:fill="auto"/>
        <w:bidi w:val="0"/>
        <w:spacing w:before="0" w:after="280" w:line="240" w:lineRule="auto"/>
        <w:ind w:left="0" w:right="0" w:firstLine="420"/>
        <w:jc w:val="left"/>
        <w:rPr>
          <w:sz w:val="20"/>
          <w:szCs w:val="20"/>
        </w:rPr>
      </w:pPr>
      <w:bookmarkStart w:id="1186" w:name="bookmark1186"/>
      <w:bookmarkStart w:id="1187" w:name="bookmark1187"/>
      <w:bookmarkStart w:id="1188" w:name="bookmark1188"/>
      <w:bookmarkStart w:id="1189" w:name="bookmark1189"/>
      <w:r>
        <w:rPr>
          <w:color w:val="000000"/>
          <w:spacing w:val="0"/>
          <w:w w:val="100"/>
          <w:position w:val="0"/>
          <w:sz w:val="20"/>
          <w:szCs w:val="20"/>
        </w:rPr>
        <w:t>七</w:t>
      </w:r>
      <w:bookmarkEnd w:id="1188"/>
      <w:r>
        <w:rPr>
          <w:color w:val="000000"/>
          <w:spacing w:val="0"/>
          <w:w w:val="100"/>
          <w:position w:val="0"/>
          <w:sz w:val="20"/>
          <w:szCs w:val="20"/>
        </w:rPr>
        <w:t>、在其他主体中的权益</w:t>
      </w:r>
      <w:bookmarkEnd w:id="1186"/>
      <w:bookmarkEnd w:id="1187"/>
      <w:bookmarkEnd w:id="1189"/>
    </w:p>
    <w:p>
      <w:pPr>
        <w:pStyle w:val="Style22"/>
        <w:keepNext/>
        <w:keepLines/>
        <w:widowControl w:val="0"/>
        <w:shd w:val="clear" w:color="auto" w:fill="auto"/>
        <w:bidi w:val="0"/>
        <w:spacing w:before="0" w:after="280" w:line="240" w:lineRule="auto"/>
        <w:ind w:left="0" w:right="0" w:firstLine="420"/>
        <w:jc w:val="left"/>
        <w:rPr>
          <w:sz w:val="20"/>
          <w:szCs w:val="20"/>
        </w:rPr>
      </w:pPr>
      <w:bookmarkStart w:id="1190" w:name="bookmark1190"/>
      <w:bookmarkStart w:id="1191" w:name="bookmark1191"/>
      <w:bookmarkStart w:id="1192" w:name="bookmark1192"/>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、在子公司中的权益</w:t>
      </w:r>
      <w:bookmarkEnd w:id="1190"/>
      <w:bookmarkEnd w:id="1191"/>
      <w:bookmarkEnd w:id="1192"/>
    </w:p>
    <w:p>
      <w:pPr>
        <w:pStyle w:val="Style24"/>
        <w:keepNext w:val="0"/>
        <w:keepLines w:val="0"/>
        <w:widowControl w:val="0"/>
        <w:shd w:val="clear" w:color="auto" w:fill="auto"/>
        <w:bidi w:val="0"/>
        <w:spacing w:before="0" w:after="0" w:line="240" w:lineRule="auto"/>
        <w:ind w:left="398"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 xml:space="preserve">1 </w:t>
      </w:r>
      <w:r>
        <w:rPr>
          <w:color w:val="000000"/>
          <w:spacing w:val="0"/>
          <w:w w:val="100"/>
          <w:position w:val="0"/>
        </w:rPr>
        <w:t>）企业集团的构成</w:t>
      </w:r>
    </w:p>
    <w:tbl>
      <w:tblPr>
        <w:tblOverlap w:val="never"/>
        <w:jc w:val="left"/>
        <w:tblLayout w:type="fixed"/>
      </w:tblPr>
      <w:tblGrid>
        <w:gridCol w:w="2179"/>
        <w:gridCol w:w="912"/>
        <w:gridCol w:w="946"/>
        <w:gridCol w:w="2131"/>
        <w:gridCol w:w="734"/>
        <w:gridCol w:w="893"/>
        <w:gridCol w:w="1114"/>
      </w:tblGrid>
      <w:tr>
        <w:trPr>
          <w:trHeight w:val="427"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b/>
                <w:bCs/>
                <w:color w:val="000000"/>
                <w:spacing w:val="0"/>
                <w:w w:val="100"/>
                <w:position w:val="0"/>
                <w:sz w:val="17"/>
                <w:szCs w:val="17"/>
              </w:rPr>
              <w:t>子公司名称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主要经 营地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b/>
                <w:bCs/>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业务性质</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持股比例（</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17"/>
                <w:szCs w:val="17"/>
              </w:rPr>
              <w:t>）</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取得方式</w:t>
            </w:r>
          </w:p>
        </w:tc>
      </w:tr>
      <w:tr>
        <w:trPr>
          <w:trHeight w:val="42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直接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间接</w:t>
            </w:r>
          </w:p>
        </w:tc>
        <w:tc>
          <w:tcPr>
            <w:vMerge/>
            <w:tcBorders>
              <w:left w:val="single" w:sz="4"/>
            </w:tcBorders>
            <w:shd w:val="clear" w:color="auto" w:fill="FFFFFF"/>
            <w:vAlign w:val="center"/>
          </w:tcPr>
          <w:p>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东旭蓝天智慧能源科技</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合同能源管理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both"/>
              <w:rPr>
                <w:sz w:val="17"/>
                <w:szCs w:val="17"/>
              </w:rPr>
            </w:pPr>
            <w:r>
              <w:rPr>
                <w:rFonts w:ascii="SimSun" w:eastAsia="SimSun" w:hAnsi="SimSun" w:cs="SimSun"/>
                <w:color w:val="000000"/>
                <w:spacing w:val="0"/>
                <w:w w:val="100"/>
                <w:position w:val="0"/>
                <w:sz w:val="17"/>
                <w:szCs w:val="17"/>
              </w:rPr>
              <w:t>东旭新能源投资有限公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投资兴办实业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制下合并</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深圳市东旭蓝天园林有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园林绿化工程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西藏旭阳投资管理有限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拉萨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拉萨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both"/>
              <w:rPr>
                <w:sz w:val="17"/>
                <w:szCs w:val="17"/>
              </w:rPr>
            </w:pPr>
            <w:r>
              <w:rPr>
                <w:rFonts w:ascii="SimSun" w:eastAsia="SimSun" w:hAnsi="SimSun" w:cs="SimSun"/>
                <w:color w:val="000000"/>
                <w:spacing w:val="0"/>
                <w:w w:val="100"/>
                <w:position w:val="0"/>
                <w:sz w:val="17"/>
                <w:szCs w:val="17"/>
              </w:rPr>
              <w:t>北京中环鑫融科技有限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酒店管理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制下合并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东旭储能（北京）科技有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储能技术服务、合同能源 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140" w:right="0" w:firstLine="0"/>
              <w:jc w:val="both"/>
              <w:rPr>
                <w:sz w:val="17"/>
                <w:szCs w:val="17"/>
              </w:rPr>
            </w:pPr>
            <w:r>
              <w:rPr>
                <w:rFonts w:ascii="SimSun" w:eastAsia="SimSun" w:hAnsi="SimSun" w:cs="SimSun"/>
                <w:color w:val="000000"/>
                <w:spacing w:val="0"/>
                <w:w w:val="100"/>
                <w:position w:val="0"/>
                <w:sz w:val="17"/>
                <w:szCs w:val="17"/>
              </w:rPr>
              <w:t>惠东县蓝湾酒店管理有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惠东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惠东</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酒店管理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140" w:right="0" w:firstLine="0"/>
              <w:jc w:val="both"/>
              <w:rPr>
                <w:sz w:val="17"/>
                <w:szCs w:val="17"/>
              </w:rPr>
            </w:pPr>
            <w:r>
              <w:rPr>
                <w:rFonts w:ascii="SimSun" w:eastAsia="SimSun" w:hAnsi="SimSun" w:cs="SimSun"/>
                <w:color w:val="000000"/>
                <w:spacing w:val="0"/>
                <w:w w:val="100"/>
                <w:position w:val="0"/>
                <w:sz w:val="17"/>
                <w:szCs w:val="17"/>
              </w:rPr>
              <w:t>星景生态环保科技（苏 州）有限公司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苏州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苏州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环保工程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制下合并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140" w:right="0" w:firstLine="0"/>
              <w:jc w:val="both"/>
              <w:rPr>
                <w:sz w:val="17"/>
                <w:szCs w:val="17"/>
              </w:rPr>
            </w:pPr>
            <w:r>
              <w:rPr>
                <w:rFonts w:ascii="SimSun" w:eastAsia="SimSun" w:hAnsi="SimSun" w:cs="SimSun"/>
                <w:color w:val="000000"/>
                <w:spacing w:val="0"/>
                <w:w w:val="100"/>
                <w:position w:val="0"/>
                <w:sz w:val="17"/>
                <w:szCs w:val="17"/>
              </w:rPr>
              <w:t>邢台东旭蓝天环保能源</w:t>
            </w:r>
          </w:p>
          <w:p>
            <w:pPr>
              <w:pStyle w:val="Style19"/>
              <w:keepNext w:val="0"/>
              <w:keepLines w:val="0"/>
              <w:widowControl w:val="0"/>
              <w:shd w:val="clear" w:color="auto" w:fill="auto"/>
              <w:bidi w:val="0"/>
              <w:spacing w:before="0" w:after="0" w:line="240" w:lineRule="auto"/>
              <w:ind w:left="140" w:right="0" w:firstLine="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邢台市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邢台市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环保能源技术咨询、技术 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59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both"/>
              <w:rPr>
                <w:sz w:val="17"/>
                <w:szCs w:val="17"/>
              </w:rPr>
            </w:pPr>
            <w:r>
              <w:rPr>
                <w:rFonts w:ascii="SimSun" w:eastAsia="SimSun" w:hAnsi="SimSun" w:cs="SimSun"/>
                <w:color w:val="000000"/>
                <w:spacing w:val="0"/>
                <w:w w:val="100"/>
                <w:position w:val="0"/>
                <w:sz w:val="17"/>
                <w:szCs w:val="17"/>
              </w:rPr>
              <w:t>香港鸿业发展有限公司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运输、贸易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both"/>
              <w:rPr>
                <w:sz w:val="17"/>
                <w:szCs w:val="17"/>
              </w:rPr>
            </w:pPr>
            <w:r>
              <w:rPr>
                <w:rFonts w:ascii="SimSun" w:eastAsia="SimSun" w:hAnsi="SimSun" w:cs="SimSun"/>
                <w:color w:val="000000"/>
                <w:spacing w:val="0"/>
                <w:w w:val="100"/>
                <w:position w:val="0"/>
                <w:sz w:val="17"/>
                <w:szCs w:val="17"/>
              </w:rPr>
              <w:t>福建升通网络传媒有限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福州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增值电信服务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140" w:right="0" w:firstLine="0"/>
              <w:jc w:val="both"/>
              <w:rPr>
                <w:sz w:val="17"/>
                <w:szCs w:val="17"/>
              </w:rPr>
            </w:pPr>
            <w:r>
              <w:rPr>
                <w:rFonts w:ascii="SimSun" w:eastAsia="SimSun" w:hAnsi="SimSun" w:cs="SimSun"/>
                <w:color w:val="000000"/>
                <w:spacing w:val="0"/>
                <w:w w:val="100"/>
                <w:position w:val="0"/>
                <w:sz w:val="17"/>
                <w:szCs w:val="17"/>
              </w:rPr>
              <w:t>江西泓伟环境治理科技</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分宜县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分宜县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污染治理、危废处理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制下合并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安徽东旭康图太阳能科</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金寨县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金寨县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光伏组件生产、销售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both"/>
              <w:rPr>
                <w:sz w:val="17"/>
                <w:szCs w:val="17"/>
              </w:rPr>
            </w:pPr>
            <w:r>
              <w:rPr>
                <w:rFonts w:ascii="SimSun" w:eastAsia="SimSun" w:hAnsi="SimSun" w:cs="SimSun"/>
                <w:color w:val="000000"/>
                <w:spacing w:val="0"/>
                <w:w w:val="100"/>
                <w:position w:val="0"/>
                <w:sz w:val="17"/>
                <w:szCs w:val="17"/>
              </w:rPr>
              <w:t>白水旭升新能源科技有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白水县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白水县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both"/>
              <w:rPr>
                <w:sz w:val="17"/>
                <w:szCs w:val="17"/>
              </w:rPr>
            </w:pPr>
            <w:r>
              <w:rPr>
                <w:rFonts w:ascii="SimSun" w:eastAsia="SimSun" w:hAnsi="SimSun" w:cs="SimSun"/>
                <w:color w:val="000000"/>
                <w:spacing w:val="0"/>
                <w:w w:val="100"/>
                <w:position w:val="0"/>
                <w:sz w:val="17"/>
                <w:szCs w:val="17"/>
              </w:rPr>
              <w:t>北屯市旭蓝新能源科技</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北屯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北屯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2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茶陵旭晨新能源科技有 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株洲</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株洲</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bl>
    <w:p>
      <w:pPr>
        <w:widowControl w:val="0"/>
        <w:spacing w:line="1" w:lineRule="exact"/>
      </w:pPr>
      <w:r>
        <w:br w:type="page"/>
      </w:r>
    </w:p>
    <w:tbl>
      <w:tblPr>
        <w:tblOverlap w:val="never"/>
        <w:jc w:val="left"/>
        <w:tblLayout w:type="fixed"/>
      </w:tblPr>
      <w:tblGrid>
        <w:gridCol w:w="2179"/>
        <w:gridCol w:w="912"/>
        <w:gridCol w:w="946"/>
        <w:gridCol w:w="2131"/>
        <w:gridCol w:w="734"/>
        <w:gridCol w:w="893"/>
        <w:gridCol w:w="1114"/>
      </w:tblGrid>
      <w:tr>
        <w:trPr>
          <w:trHeight w:val="739" w:hRule="exact"/>
        </w:trPr>
        <w:tc>
          <w:tcPr>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大名县旭蓝新能源有限</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大名县</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大名县</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磴口县弘吉新能源科技</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巴彦淖 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巴彦淖尔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both"/>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制下合并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鄂尔多斯市旭蓝新能源</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鄂尔多 斯市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鄂尔多斯 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鄂托克前旗晟日新能源</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鄂托克 前旗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鄂托克前 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left"/>
              <w:rPr>
                <w:sz w:val="17"/>
                <w:szCs w:val="17"/>
              </w:rPr>
            </w:pPr>
            <w:r>
              <w:rPr>
                <w:rFonts w:ascii="SimSun" w:eastAsia="SimSun" w:hAnsi="SimSun" w:cs="SimSun"/>
                <w:color w:val="000000"/>
                <w:spacing w:val="0"/>
                <w:w w:val="100"/>
                <w:position w:val="0"/>
                <w:sz w:val="17"/>
                <w:szCs w:val="17"/>
              </w:rPr>
              <w:t>高密旭蓝新能源有限公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高密市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高密市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140" w:right="0" w:firstLine="0"/>
              <w:jc w:val="left"/>
              <w:rPr>
                <w:sz w:val="17"/>
                <w:szCs w:val="17"/>
              </w:rPr>
            </w:pPr>
            <w:r>
              <w:rPr>
                <w:rFonts w:ascii="SimSun" w:eastAsia="SimSun" w:hAnsi="SimSun" w:cs="SimSun"/>
                <w:color w:val="000000"/>
                <w:spacing w:val="0"/>
                <w:w w:val="100"/>
                <w:position w:val="0"/>
                <w:sz w:val="17"/>
                <w:szCs w:val="17"/>
              </w:rPr>
              <w:t>广水市孚阳电力有限公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广水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both"/>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制下合并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left"/>
              <w:rPr>
                <w:sz w:val="17"/>
                <w:szCs w:val="17"/>
              </w:rPr>
            </w:pPr>
            <w:r>
              <w:rPr>
                <w:rFonts w:ascii="SimSun" w:eastAsia="SimSun" w:hAnsi="SimSun" w:cs="SimSun"/>
                <w:color w:val="000000"/>
                <w:spacing w:val="0"/>
                <w:w w:val="100"/>
                <w:position w:val="0"/>
                <w:sz w:val="17"/>
                <w:szCs w:val="17"/>
              </w:rPr>
              <w:t>广西南宁粒子新能源投 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南宁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南宁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both"/>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制下合并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left"/>
              <w:rPr>
                <w:sz w:val="17"/>
                <w:szCs w:val="17"/>
              </w:rPr>
            </w:pPr>
            <w:r>
              <w:rPr>
                <w:rFonts w:ascii="SimSun" w:eastAsia="SimSun" w:hAnsi="SimSun" w:cs="SimSun"/>
                <w:color w:val="000000"/>
                <w:spacing w:val="0"/>
                <w:w w:val="100"/>
                <w:position w:val="0"/>
                <w:sz w:val="17"/>
                <w:szCs w:val="17"/>
              </w:rPr>
              <w:t>河北泰泉新能源科技有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石家庄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石家庄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both"/>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制下合并</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left"/>
              <w:rPr>
                <w:sz w:val="17"/>
                <w:szCs w:val="17"/>
              </w:rPr>
            </w:pPr>
            <w:r>
              <w:rPr>
                <w:rFonts w:ascii="SimSun" w:eastAsia="SimSun" w:hAnsi="SimSun" w:cs="SimSun"/>
                <w:color w:val="000000"/>
                <w:spacing w:val="0"/>
                <w:w w:val="100"/>
                <w:position w:val="0"/>
                <w:sz w:val="17"/>
                <w:szCs w:val="17"/>
              </w:rPr>
              <w:t>衡东县旭东新能源科技</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衡东县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衡东县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衡东县旭光新能源科技</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衡东县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衡东县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衡东县旭衡新能源科技</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衡东县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衡东县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湖北东旭泰泉新能源科</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武汉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both"/>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制下合并</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金寨新皇明能源科技有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金寨县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金寨县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both"/>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制下合并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金寨旭辉新能源投资有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金寨县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金寨县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安徽东旭光伏设备有限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金寨县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金寨县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农业技术推广，农作物种 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澧县旭湘新能源开发有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澧县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澧县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both"/>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制下合并</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both"/>
              <w:rPr>
                <w:sz w:val="17"/>
                <w:szCs w:val="17"/>
              </w:rPr>
            </w:pPr>
            <w:r>
              <w:rPr>
                <w:rFonts w:ascii="SimSun" w:eastAsia="SimSun" w:hAnsi="SimSun" w:cs="SimSun"/>
                <w:color w:val="000000"/>
                <w:spacing w:val="0"/>
                <w:w w:val="100"/>
                <w:position w:val="0"/>
                <w:sz w:val="17"/>
                <w:szCs w:val="17"/>
              </w:rPr>
              <w:t>林州市旭岗新能源科技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林州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林州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both"/>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制下合并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林州市旭林新能源科技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林州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林州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both"/>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制下合并</w:t>
            </w:r>
          </w:p>
        </w:tc>
      </w:tr>
      <w:tr>
        <w:trPr>
          <w:trHeight w:val="72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林州市旭姚新能源科技 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林州</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林州</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both"/>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制下合并</w:t>
            </w:r>
          </w:p>
        </w:tc>
      </w:tr>
    </w:tbl>
    <w:p>
      <w:pPr>
        <w:widowControl w:val="0"/>
        <w:spacing w:line="1" w:lineRule="exact"/>
      </w:pPr>
      <w:r>
        <w:br w:type="page"/>
      </w:r>
    </w:p>
    <w:tbl>
      <w:tblPr>
        <w:tblOverlap w:val="never"/>
        <w:jc w:val="center"/>
        <w:tblLayout w:type="fixed"/>
      </w:tblPr>
      <w:tblGrid>
        <w:gridCol w:w="2179"/>
        <w:gridCol w:w="912"/>
        <w:gridCol w:w="946"/>
        <w:gridCol w:w="2131"/>
        <w:gridCol w:w="734"/>
        <w:gridCol w:w="893"/>
        <w:gridCol w:w="1114"/>
      </w:tblGrid>
      <w:tr>
        <w:trPr>
          <w:trHeight w:val="739" w:hRule="exact"/>
        </w:trPr>
        <w:tc>
          <w:tcPr>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龙泉市旭泉太阳能开发</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龙泉</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龙泉</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娄底旭晨新能源科技有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娄底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娄底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both"/>
              <w:rPr>
                <w:sz w:val="17"/>
                <w:szCs w:val="17"/>
              </w:rPr>
            </w:pPr>
            <w:r>
              <w:rPr>
                <w:rFonts w:ascii="SimSun" w:eastAsia="SimSun" w:hAnsi="SimSun" w:cs="SimSun"/>
                <w:color w:val="000000"/>
                <w:spacing w:val="0"/>
                <w:w w:val="100"/>
                <w:position w:val="0"/>
                <w:sz w:val="17"/>
                <w:szCs w:val="17"/>
              </w:rPr>
              <w:t>蒙城旭通新能源有限公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蒙城县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蒙城县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内蒙古昊庆新能源科技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赤峰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赤峰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内蒙古嘉旭新能源科技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乌兰察 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乌兰察布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内蒙古旭凯新能源科技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通辽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通辽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both"/>
              <w:rPr>
                <w:sz w:val="17"/>
                <w:szCs w:val="17"/>
              </w:rPr>
            </w:pPr>
            <w:r>
              <w:rPr>
                <w:rFonts w:ascii="SimSun" w:eastAsia="SimSun" w:hAnsi="SimSun" w:cs="SimSun"/>
                <w:color w:val="000000"/>
                <w:spacing w:val="0"/>
                <w:w w:val="100"/>
                <w:position w:val="0"/>
                <w:sz w:val="17"/>
                <w:szCs w:val="17"/>
              </w:rPr>
              <w:t>内蒙古旭宁盛荣新能源 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乌兰察 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乌兰察布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140" w:right="0" w:firstLine="0"/>
              <w:jc w:val="both"/>
              <w:rPr>
                <w:sz w:val="17"/>
                <w:szCs w:val="17"/>
              </w:rPr>
            </w:pPr>
            <w:r>
              <w:rPr>
                <w:rFonts w:ascii="SimSun" w:eastAsia="SimSun" w:hAnsi="SimSun" w:cs="SimSun"/>
                <w:color w:val="000000"/>
                <w:spacing w:val="0"/>
                <w:w w:val="100"/>
                <w:position w:val="0"/>
                <w:sz w:val="17"/>
                <w:szCs w:val="17"/>
              </w:rPr>
              <w:t>内蒙古旭日昇新能源科</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鄂尔多 斯市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鄂尔多斯 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both"/>
              <w:rPr>
                <w:sz w:val="17"/>
                <w:szCs w:val="17"/>
              </w:rPr>
            </w:pPr>
            <w:r>
              <w:rPr>
                <w:rFonts w:ascii="SimSun" w:eastAsia="SimSun" w:hAnsi="SimSun" w:cs="SimSun"/>
                <w:color w:val="000000"/>
                <w:spacing w:val="0"/>
                <w:w w:val="100"/>
                <w:position w:val="0"/>
                <w:sz w:val="17"/>
                <w:szCs w:val="17"/>
              </w:rPr>
              <w:t>宁夏昊阳新能源科技有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吴忠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吴忠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both"/>
              <w:rPr>
                <w:sz w:val="17"/>
                <w:szCs w:val="17"/>
              </w:rPr>
            </w:pPr>
            <w:r>
              <w:rPr>
                <w:rFonts w:ascii="SimSun" w:eastAsia="SimSun" w:hAnsi="SimSun" w:cs="SimSun"/>
                <w:color w:val="000000"/>
                <w:spacing w:val="0"/>
                <w:w w:val="100"/>
                <w:position w:val="0"/>
                <w:sz w:val="17"/>
                <w:szCs w:val="17"/>
              </w:rPr>
              <w:t>日照东旭国山新能源科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日照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日照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both"/>
              <w:rPr>
                <w:sz w:val="17"/>
                <w:szCs w:val="17"/>
              </w:rPr>
            </w:pPr>
            <w:r>
              <w:rPr>
                <w:rFonts w:ascii="SimSun" w:eastAsia="SimSun" w:hAnsi="SimSun" w:cs="SimSun"/>
                <w:color w:val="000000"/>
                <w:spacing w:val="0"/>
                <w:w w:val="100"/>
                <w:position w:val="0"/>
                <w:sz w:val="17"/>
                <w:szCs w:val="17"/>
              </w:rPr>
              <w:t>山东东旭国山泰泉新能 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日照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日照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both"/>
              <w:rPr>
                <w:sz w:val="17"/>
                <w:szCs w:val="17"/>
              </w:rPr>
            </w:pPr>
            <w:r>
              <w:rPr>
                <w:rFonts w:ascii="SimSun" w:eastAsia="SimSun" w:hAnsi="SimSun" w:cs="SimSun"/>
                <w:color w:val="000000"/>
                <w:spacing w:val="0"/>
                <w:w w:val="100"/>
                <w:position w:val="0"/>
                <w:sz w:val="17"/>
                <w:szCs w:val="17"/>
              </w:rPr>
              <w:t>山西旭泉阳光新能源科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太原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140" w:right="0" w:firstLine="0"/>
              <w:jc w:val="both"/>
              <w:rPr>
                <w:sz w:val="17"/>
                <w:szCs w:val="17"/>
              </w:rPr>
            </w:pPr>
            <w:r>
              <w:rPr>
                <w:rFonts w:ascii="SimSun" w:eastAsia="SimSun" w:hAnsi="SimSun" w:cs="SimSun"/>
                <w:color w:val="000000"/>
                <w:spacing w:val="0"/>
                <w:w w:val="100"/>
                <w:position w:val="0"/>
                <w:sz w:val="17"/>
                <w:szCs w:val="17"/>
              </w:rPr>
              <w:t>深圳市宝地投资发展有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投资兴办实业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深圳市鸿基物业管理有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深圳市龙岗鸿基发展有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物业出租及管理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四川东旭电力工程有限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成都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电力工程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140" w:right="0" w:firstLine="0"/>
              <w:jc w:val="both"/>
              <w:rPr>
                <w:sz w:val="17"/>
                <w:szCs w:val="17"/>
              </w:rPr>
            </w:pPr>
            <w:r>
              <w:rPr>
                <w:rFonts w:ascii="SimSun" w:eastAsia="SimSun" w:hAnsi="SimSun" w:cs="SimSun"/>
                <w:color w:val="000000"/>
                <w:spacing w:val="0"/>
                <w:w w:val="100"/>
                <w:position w:val="0"/>
                <w:sz w:val="17"/>
                <w:szCs w:val="17"/>
              </w:rPr>
              <w:t>台州正旭新能源有限公</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台州市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台州市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both"/>
              <w:rPr>
                <w:sz w:val="17"/>
                <w:szCs w:val="17"/>
              </w:rPr>
            </w:pPr>
            <w:r>
              <w:rPr>
                <w:rFonts w:ascii="SimSun" w:eastAsia="SimSun" w:hAnsi="SimSun" w:cs="SimSun"/>
                <w:color w:val="000000"/>
                <w:spacing w:val="0"/>
                <w:w w:val="100"/>
                <w:position w:val="0"/>
                <w:sz w:val="17"/>
                <w:szCs w:val="17"/>
              </w:rPr>
              <w:t>通榆旭阳新能源有限公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通榆县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通榆县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2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both"/>
              <w:rPr>
                <w:sz w:val="17"/>
                <w:szCs w:val="17"/>
              </w:rPr>
            </w:pPr>
            <w:r>
              <w:rPr>
                <w:rFonts w:ascii="SimSun" w:eastAsia="SimSun" w:hAnsi="SimSun" w:cs="SimSun"/>
                <w:color w:val="000000"/>
                <w:spacing w:val="0"/>
                <w:w w:val="100"/>
                <w:position w:val="0"/>
                <w:sz w:val="17"/>
                <w:szCs w:val="17"/>
              </w:rPr>
              <w:t>卫辉市晟通新能源科技</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卫辉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卫辉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2179"/>
        <w:gridCol w:w="912"/>
        <w:gridCol w:w="946"/>
        <w:gridCol w:w="2131"/>
        <w:gridCol w:w="734"/>
        <w:gridCol w:w="893"/>
        <w:gridCol w:w="1114"/>
      </w:tblGrid>
      <w:tr>
        <w:trPr>
          <w:trHeight w:val="739" w:hRule="exact"/>
        </w:trPr>
        <w:tc>
          <w:tcPr>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西藏东旭电力工程有限 公司</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拉萨</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拉萨</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电力工程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both"/>
              <w:rPr>
                <w:sz w:val="17"/>
                <w:szCs w:val="17"/>
              </w:rPr>
            </w:pPr>
            <w:r>
              <w:rPr>
                <w:rFonts w:ascii="SimSun" w:eastAsia="SimSun" w:hAnsi="SimSun" w:cs="SimSun"/>
                <w:color w:val="000000"/>
                <w:spacing w:val="0"/>
                <w:w w:val="100"/>
                <w:position w:val="0"/>
                <w:sz w:val="17"/>
                <w:szCs w:val="17"/>
              </w:rPr>
              <w:t>西藏众胜新能源科技有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拉萨市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拉萨市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光伏电站建设运营，设备 购销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仙居量子新能源科技有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仙居县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仙居县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仙桃东旭新能源科技有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仙桃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仙桃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both"/>
              <w:rPr>
                <w:sz w:val="17"/>
                <w:szCs w:val="17"/>
              </w:rPr>
            </w:pPr>
            <w:r>
              <w:rPr>
                <w:rFonts w:ascii="SimSun" w:eastAsia="SimSun" w:hAnsi="SimSun" w:cs="SimSun"/>
                <w:color w:val="000000"/>
                <w:spacing w:val="0"/>
                <w:w w:val="100"/>
                <w:position w:val="0"/>
                <w:sz w:val="17"/>
                <w:szCs w:val="17"/>
              </w:rPr>
              <w:t>阳原旭源新能源科技有</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阳原县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阳原县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140" w:right="0" w:firstLine="0"/>
              <w:jc w:val="both"/>
              <w:rPr>
                <w:sz w:val="17"/>
                <w:szCs w:val="17"/>
              </w:rPr>
            </w:pPr>
            <w:r>
              <w:rPr>
                <w:rFonts w:ascii="SimSun" w:eastAsia="SimSun" w:hAnsi="SimSun" w:cs="SimSun"/>
                <w:color w:val="000000"/>
                <w:spacing w:val="0"/>
                <w:w w:val="100"/>
                <w:position w:val="0"/>
                <w:sz w:val="17"/>
                <w:szCs w:val="17"/>
              </w:rPr>
              <w:t>永新县华明新能源有限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吉安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吉安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攸县旭晨新能源科技有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攸县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攸县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张北旭弘新能源科技有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张北县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张北县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长武东旭新能源科技有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咸阳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咸阳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both"/>
              <w:rPr>
                <w:sz w:val="17"/>
                <w:szCs w:val="17"/>
              </w:rPr>
            </w:pPr>
            <w:r>
              <w:rPr>
                <w:rFonts w:ascii="SimSun" w:eastAsia="SimSun" w:hAnsi="SimSun" w:cs="SimSun"/>
                <w:color w:val="000000"/>
                <w:spacing w:val="0"/>
                <w:w w:val="100"/>
                <w:position w:val="0"/>
                <w:sz w:val="17"/>
                <w:szCs w:val="17"/>
              </w:rPr>
              <w:t>长垣县旭阳新能源科技</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长垣县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长垣县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中阳县晟阳新能源科技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中阳县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中阳县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140" w:right="0" w:firstLine="0"/>
              <w:jc w:val="both"/>
              <w:rPr>
                <w:sz w:val="17"/>
                <w:szCs w:val="17"/>
              </w:rPr>
            </w:pPr>
            <w:r>
              <w:rPr>
                <w:rFonts w:ascii="SimSun" w:eastAsia="SimSun" w:hAnsi="SimSun" w:cs="SimSun"/>
                <w:color w:val="000000"/>
                <w:spacing w:val="0"/>
                <w:w w:val="100"/>
                <w:position w:val="0"/>
                <w:sz w:val="17"/>
                <w:szCs w:val="17"/>
              </w:rPr>
              <w:t>安徽东旭大别山农业科</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金寨县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金寨县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农业技术推广，农作物种 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河北旭贞供应链管理有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安平县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安平县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both"/>
              <w:rPr>
                <w:sz w:val="17"/>
                <w:szCs w:val="17"/>
              </w:rPr>
            </w:pPr>
            <w:r>
              <w:rPr>
                <w:rFonts w:ascii="SimSun" w:eastAsia="SimSun" w:hAnsi="SimSun" w:cs="SimSun"/>
                <w:color w:val="000000"/>
                <w:spacing w:val="0"/>
                <w:w w:val="100"/>
                <w:position w:val="0"/>
                <w:sz w:val="17"/>
                <w:szCs w:val="17"/>
              </w:rPr>
              <w:t>安阳旭蓝新能源有限公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安阳县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安阳县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滨州市旭农农业科技有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滨州市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滨州市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农作物种植、销售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both"/>
              <w:rPr>
                <w:sz w:val="17"/>
                <w:szCs w:val="17"/>
              </w:rPr>
            </w:pPr>
            <w:r>
              <w:rPr>
                <w:rFonts w:ascii="SimSun" w:eastAsia="SimSun" w:hAnsi="SimSun" w:cs="SimSun"/>
                <w:color w:val="000000"/>
                <w:spacing w:val="0"/>
                <w:w w:val="100"/>
                <w:position w:val="0"/>
                <w:sz w:val="17"/>
                <w:szCs w:val="17"/>
              </w:rPr>
              <w:t>沧州渤海新区旭启新能</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沧州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沧州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both"/>
              <w:rPr>
                <w:sz w:val="17"/>
                <w:szCs w:val="17"/>
              </w:rPr>
            </w:pPr>
            <w:r>
              <w:rPr>
                <w:rFonts w:ascii="SimSun" w:eastAsia="SimSun" w:hAnsi="SimSun" w:cs="SimSun"/>
                <w:color w:val="000000"/>
                <w:spacing w:val="0"/>
                <w:w w:val="100"/>
                <w:position w:val="0"/>
                <w:sz w:val="17"/>
                <w:szCs w:val="17"/>
              </w:rPr>
              <w:t>茌平正旭新能源有限公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聊城市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聊城市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both"/>
              <w:rPr>
                <w:sz w:val="17"/>
                <w:szCs w:val="17"/>
              </w:rPr>
            </w:pPr>
            <w:r>
              <w:rPr>
                <w:rFonts w:ascii="SimSun" w:eastAsia="SimSun" w:hAnsi="SimSun" w:cs="SimSun"/>
                <w:color w:val="000000"/>
                <w:spacing w:val="0"/>
                <w:w w:val="100"/>
                <w:position w:val="0"/>
                <w:sz w:val="17"/>
                <w:szCs w:val="17"/>
              </w:rPr>
              <w:t>赤峰旭源新能源有限公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阿鲁科</w:t>
            </w:r>
          </w:p>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尔沁旗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阿鲁科尔 沁旗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2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both"/>
              <w:rPr>
                <w:sz w:val="17"/>
                <w:szCs w:val="17"/>
              </w:rPr>
            </w:pPr>
            <w:r>
              <w:rPr>
                <w:rFonts w:ascii="SimSun" w:eastAsia="SimSun" w:hAnsi="SimSun" w:cs="SimSun"/>
                <w:color w:val="000000"/>
                <w:spacing w:val="0"/>
                <w:w w:val="100"/>
                <w:position w:val="0"/>
                <w:sz w:val="17"/>
                <w:szCs w:val="17"/>
              </w:rPr>
              <w:t>东旭鸿基建筑装饰工程</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建筑装饰装修工程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2179"/>
        <w:gridCol w:w="912"/>
        <w:gridCol w:w="946"/>
        <w:gridCol w:w="2131"/>
        <w:gridCol w:w="734"/>
        <w:gridCol w:w="893"/>
        <w:gridCol w:w="1114"/>
      </w:tblGrid>
      <w:tr>
        <w:trPr>
          <w:trHeight w:val="739" w:hRule="exact"/>
        </w:trPr>
        <w:tc>
          <w:tcPr>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东旭蓝天生态环保科技</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成都</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成都</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生态环保工程</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rPr>
                <w:sz w:val="17"/>
                <w:szCs w:val="17"/>
              </w:rPr>
            </w:pPr>
            <w:r>
              <w:rPr>
                <w:rFonts w:ascii="SimSun" w:eastAsia="SimSun" w:hAnsi="SimSun" w:cs="SimSun"/>
                <w:color w:val="000000"/>
                <w:spacing w:val="0"/>
                <w:w w:val="100"/>
                <w:position w:val="0"/>
                <w:sz w:val="17"/>
                <w:szCs w:val="17"/>
              </w:rPr>
              <w:t>东营基安光伏发电有限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东营市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东营市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left"/>
              <w:rPr>
                <w:sz w:val="17"/>
                <w:szCs w:val="17"/>
              </w:rPr>
            </w:pPr>
            <w:r>
              <w:rPr>
                <w:rFonts w:ascii="SimSun" w:eastAsia="SimSun" w:hAnsi="SimSun" w:cs="SimSun"/>
                <w:color w:val="000000"/>
                <w:spacing w:val="0"/>
                <w:w w:val="100"/>
                <w:position w:val="0"/>
                <w:sz w:val="17"/>
                <w:szCs w:val="17"/>
              </w:rPr>
              <w:t>东营市河口区旭飞光伏 发电有限公司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东营市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东营市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left"/>
              <w:rPr>
                <w:sz w:val="17"/>
                <w:szCs w:val="17"/>
              </w:rPr>
            </w:pPr>
            <w:r>
              <w:rPr>
                <w:rFonts w:ascii="SimSun" w:eastAsia="SimSun" w:hAnsi="SimSun" w:cs="SimSun"/>
                <w:color w:val="000000"/>
                <w:spacing w:val="0"/>
                <w:w w:val="100"/>
                <w:position w:val="0"/>
                <w:sz w:val="17"/>
                <w:szCs w:val="17"/>
              </w:rPr>
              <w:t>东营市旭峰新能源科技</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东营市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东营市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鄂尔多斯市旭瑞新能源</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鄂尔多 斯市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鄂尔多斯 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left"/>
              <w:rPr>
                <w:sz w:val="17"/>
                <w:szCs w:val="17"/>
              </w:rPr>
            </w:pPr>
            <w:r>
              <w:rPr>
                <w:rFonts w:ascii="SimSun" w:eastAsia="SimSun" w:hAnsi="SimSun" w:cs="SimSun"/>
                <w:color w:val="000000"/>
                <w:spacing w:val="0"/>
                <w:w w:val="100"/>
                <w:position w:val="0"/>
                <w:sz w:val="17"/>
                <w:szCs w:val="17"/>
              </w:rPr>
              <w:t>鄂州旭阳新能源有限公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鄂州市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鄂州市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left"/>
              <w:rPr>
                <w:sz w:val="17"/>
                <w:szCs w:val="17"/>
              </w:rPr>
            </w:pPr>
            <w:r>
              <w:rPr>
                <w:rFonts w:ascii="SimSun" w:eastAsia="SimSun" w:hAnsi="SimSun" w:cs="SimSun"/>
                <w:color w:val="000000"/>
                <w:spacing w:val="0"/>
                <w:w w:val="100"/>
                <w:position w:val="0"/>
                <w:sz w:val="17"/>
                <w:szCs w:val="17"/>
              </w:rPr>
              <w:t>广水市旭农农业科技有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广水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广水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农作物的种植与销售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left"/>
              <w:rPr>
                <w:sz w:val="17"/>
                <w:szCs w:val="17"/>
              </w:rPr>
            </w:pPr>
            <w:r>
              <w:rPr>
                <w:rFonts w:ascii="SimSun" w:eastAsia="SimSun" w:hAnsi="SimSun" w:cs="SimSun"/>
                <w:color w:val="000000"/>
                <w:spacing w:val="0"/>
                <w:w w:val="100"/>
                <w:position w:val="0"/>
                <w:sz w:val="17"/>
                <w:szCs w:val="17"/>
              </w:rPr>
              <w:t>广州市东旭鸿基投资有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left"/>
              <w:rPr>
                <w:sz w:val="17"/>
                <w:szCs w:val="17"/>
              </w:rPr>
            </w:pPr>
            <w:r>
              <w:rPr>
                <w:rFonts w:ascii="SimSun" w:eastAsia="SimSun" w:hAnsi="SimSun" w:cs="SimSun"/>
                <w:color w:val="000000"/>
                <w:spacing w:val="0"/>
                <w:w w:val="100"/>
                <w:position w:val="0"/>
                <w:sz w:val="17"/>
                <w:szCs w:val="17"/>
              </w:rPr>
              <w:t>哈尔滨旭宁新能源科技</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哈尔滨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哈尔滨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海南旭蓝农业科技发展</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文昌市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文昌市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农业科技、生物科技领域</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内的技术开发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海南旭蓝新能源科技有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文昌市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文昌市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合肥旭阳新能源科技有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合肥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合肥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葫芦岛市旭蓝新能源有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葫芦岛 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葫芦岛市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140" w:right="0" w:firstLine="0"/>
              <w:jc w:val="both"/>
              <w:rPr>
                <w:sz w:val="17"/>
                <w:szCs w:val="17"/>
              </w:rPr>
            </w:pPr>
            <w:r>
              <w:rPr>
                <w:rFonts w:ascii="SimSun" w:eastAsia="SimSun" w:hAnsi="SimSun" w:cs="SimSun"/>
                <w:color w:val="000000"/>
                <w:spacing w:val="0"/>
                <w:w w:val="100"/>
                <w:position w:val="0"/>
                <w:sz w:val="17"/>
                <w:szCs w:val="17"/>
              </w:rPr>
              <w:t>华融金属表面处理（安 平）科技有限公司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安平县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安平县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金属及非金属表面处理 的研发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140" w:right="0" w:firstLine="0"/>
              <w:jc w:val="both"/>
              <w:rPr>
                <w:sz w:val="17"/>
                <w:szCs w:val="17"/>
              </w:rPr>
            </w:pPr>
            <w:r>
              <w:rPr>
                <w:rFonts w:ascii="SimSun" w:eastAsia="SimSun" w:hAnsi="SimSun" w:cs="SimSun"/>
                <w:color w:val="000000"/>
                <w:spacing w:val="0"/>
                <w:w w:val="100"/>
                <w:position w:val="0"/>
                <w:sz w:val="17"/>
                <w:szCs w:val="17"/>
              </w:rPr>
              <w:t>霍尔果斯东旭新能源科</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霍尔果 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霍尔果斯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胶州市旭蓝新能源科技</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胶州市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胶州市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黎城县旭黎新能源科技</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黎城县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黎城县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太阳能发电系统的开发、 咨询、设计施工及工程总 承包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龙泉市旭农农业科技有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龙泉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龙泉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农业技术研发；农业技术 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2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both"/>
              <w:rPr>
                <w:sz w:val="17"/>
                <w:szCs w:val="17"/>
              </w:rPr>
            </w:pPr>
            <w:r>
              <w:rPr>
                <w:rFonts w:ascii="SimSun" w:eastAsia="SimSun" w:hAnsi="SimSun" w:cs="SimSun"/>
                <w:color w:val="000000"/>
                <w:spacing w:val="0"/>
                <w:w w:val="100"/>
                <w:position w:val="0"/>
                <w:sz w:val="17"/>
                <w:szCs w:val="17"/>
              </w:rPr>
              <w:t>陆丰旭能新能源有限公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陆丰市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陆丰市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2179"/>
        <w:gridCol w:w="912"/>
        <w:gridCol w:w="946"/>
        <w:gridCol w:w="2131"/>
        <w:gridCol w:w="734"/>
        <w:gridCol w:w="893"/>
        <w:gridCol w:w="1114"/>
      </w:tblGrid>
      <w:tr>
        <w:trPr>
          <w:trHeight w:val="739" w:hRule="exact"/>
        </w:trPr>
        <w:tc>
          <w:tcPr>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南乐东旭新能源科技有 限公司</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南乐县</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南乐县</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both"/>
              <w:rPr>
                <w:sz w:val="17"/>
                <w:szCs w:val="17"/>
              </w:rPr>
            </w:pPr>
            <w:r>
              <w:rPr>
                <w:rFonts w:ascii="SimSun" w:eastAsia="SimSun" w:hAnsi="SimSun" w:cs="SimSun"/>
                <w:color w:val="000000"/>
                <w:spacing w:val="0"/>
                <w:w w:val="100"/>
                <w:position w:val="0"/>
                <w:sz w:val="17"/>
                <w:szCs w:val="17"/>
              </w:rPr>
              <w:t>南召旭能新能源有限公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南召县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南召县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140" w:right="0" w:firstLine="0"/>
              <w:jc w:val="both"/>
              <w:rPr>
                <w:sz w:val="17"/>
                <w:szCs w:val="17"/>
              </w:rPr>
            </w:pPr>
            <w:r>
              <w:rPr>
                <w:rFonts w:ascii="SimSun" w:eastAsia="SimSun" w:hAnsi="SimSun" w:cs="SimSun"/>
                <w:color w:val="000000"/>
                <w:spacing w:val="0"/>
                <w:w w:val="100"/>
                <w:position w:val="0"/>
                <w:sz w:val="17"/>
                <w:szCs w:val="17"/>
              </w:rPr>
              <w:t>南召育开新能源有限公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南召县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南召县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内蒙古旭光新能源科技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鄂尔多 斯市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鄂尔多斯 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内蒙古旭森光伏发电有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赤峰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赤峰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内蒙古旭鑫新能源科技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巴彦淖 尔市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巴彦淖尔 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140" w:right="0" w:firstLine="0"/>
              <w:jc w:val="both"/>
              <w:rPr>
                <w:sz w:val="17"/>
                <w:szCs w:val="17"/>
              </w:rPr>
            </w:pPr>
            <w:r>
              <w:rPr>
                <w:rFonts w:ascii="SimSun" w:eastAsia="SimSun" w:hAnsi="SimSun" w:cs="SimSun"/>
                <w:color w:val="000000"/>
                <w:spacing w:val="0"/>
                <w:w w:val="100"/>
                <w:position w:val="0"/>
                <w:sz w:val="17"/>
                <w:szCs w:val="17"/>
              </w:rPr>
              <w:t>宁夏菲斯克旭元新能源 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青铜峡 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青铜峡市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both"/>
              <w:rPr>
                <w:sz w:val="17"/>
                <w:szCs w:val="17"/>
              </w:rPr>
            </w:pPr>
            <w:r>
              <w:rPr>
                <w:rFonts w:ascii="SimSun" w:eastAsia="SimSun" w:hAnsi="SimSun" w:cs="SimSun"/>
                <w:color w:val="000000"/>
                <w:spacing w:val="0"/>
                <w:w w:val="100"/>
                <w:position w:val="0"/>
                <w:sz w:val="17"/>
                <w:szCs w:val="17"/>
              </w:rPr>
              <w:t>宁远县旭弘电力有限公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宁远县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宁远县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140" w:right="0" w:firstLine="0"/>
              <w:jc w:val="both"/>
              <w:rPr>
                <w:sz w:val="17"/>
                <w:szCs w:val="17"/>
              </w:rPr>
            </w:pPr>
            <w:r>
              <w:rPr>
                <w:rFonts w:ascii="SimSun" w:eastAsia="SimSun" w:hAnsi="SimSun" w:cs="SimSun"/>
                <w:color w:val="000000"/>
                <w:spacing w:val="0"/>
                <w:w w:val="100"/>
                <w:position w:val="0"/>
                <w:sz w:val="17"/>
                <w:szCs w:val="17"/>
              </w:rPr>
              <w:t>沁阳市旭辉新能源科技</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沁阳市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沁阳市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汝南县旭蓝新能源有限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汝南县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汝南县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both"/>
              <w:rPr>
                <w:sz w:val="17"/>
                <w:szCs w:val="17"/>
              </w:rPr>
            </w:pPr>
            <w:r>
              <w:rPr>
                <w:rFonts w:ascii="SimSun" w:eastAsia="SimSun" w:hAnsi="SimSun" w:cs="SimSun"/>
                <w:color w:val="000000"/>
                <w:spacing w:val="0"/>
                <w:w w:val="100"/>
                <w:position w:val="0"/>
                <w:sz w:val="17"/>
                <w:szCs w:val="17"/>
              </w:rPr>
              <w:t>三门振旭新能源科技有</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三门县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三门县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山西旭晖光伏电力有限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蒲县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蒲县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both"/>
              <w:rPr>
                <w:sz w:val="17"/>
                <w:szCs w:val="17"/>
              </w:rPr>
            </w:pPr>
            <w:r>
              <w:rPr>
                <w:rFonts w:ascii="SimSun" w:eastAsia="SimSun" w:hAnsi="SimSun" w:cs="SimSun"/>
                <w:color w:val="000000"/>
                <w:spacing w:val="0"/>
                <w:w w:val="100"/>
                <w:position w:val="0"/>
                <w:sz w:val="17"/>
                <w:szCs w:val="17"/>
              </w:rPr>
              <w:t>上海安轩自动化科技有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自动化科技领域内的技 术开发、销售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制下合并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both"/>
              <w:rPr>
                <w:sz w:val="17"/>
                <w:szCs w:val="17"/>
              </w:rPr>
            </w:pPr>
            <w:r>
              <w:rPr>
                <w:rFonts w:ascii="SimSun" w:eastAsia="SimSun" w:hAnsi="SimSun" w:cs="SimSun"/>
                <w:color w:val="000000"/>
                <w:spacing w:val="0"/>
                <w:w w:val="100"/>
                <w:position w:val="0"/>
                <w:sz w:val="17"/>
                <w:szCs w:val="17"/>
              </w:rPr>
              <w:t>尚义县旭蓝新能源科技</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尚义县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尚义县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both"/>
              <w:rPr>
                <w:sz w:val="17"/>
                <w:szCs w:val="17"/>
              </w:rPr>
            </w:pPr>
            <w:r>
              <w:rPr>
                <w:rFonts w:ascii="SimSun" w:eastAsia="SimSun" w:hAnsi="SimSun" w:cs="SimSun"/>
                <w:color w:val="000000"/>
                <w:spacing w:val="0"/>
                <w:w w:val="100"/>
                <w:position w:val="0"/>
                <w:sz w:val="17"/>
                <w:szCs w:val="17"/>
              </w:rPr>
              <w:t>绍兴旭蓝新能源有限公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杭州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沈阳旭森新能源科技有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沈阳市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沈阳市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十堰旭蓝新能源科技有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十堰市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十堰市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朔州旭蓝新能源科技有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朔州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朔州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2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140" w:right="0" w:firstLine="0"/>
              <w:jc w:val="both"/>
              <w:rPr>
                <w:sz w:val="17"/>
                <w:szCs w:val="17"/>
              </w:rPr>
            </w:pPr>
            <w:r>
              <w:rPr>
                <w:rFonts w:ascii="SimSun" w:eastAsia="SimSun" w:hAnsi="SimSun" w:cs="SimSun"/>
                <w:color w:val="000000"/>
                <w:spacing w:val="0"/>
                <w:w w:val="100"/>
                <w:position w:val="0"/>
                <w:sz w:val="17"/>
                <w:szCs w:val="17"/>
              </w:rPr>
              <w:t>旭能盛远（天津）科技有 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天津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建筑材料销售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2179"/>
        <w:gridCol w:w="912"/>
        <w:gridCol w:w="946"/>
        <w:gridCol w:w="2131"/>
        <w:gridCol w:w="734"/>
        <w:gridCol w:w="893"/>
        <w:gridCol w:w="1114"/>
      </w:tblGrid>
      <w:tr>
        <w:trPr>
          <w:trHeight w:val="739" w:hRule="exact"/>
        </w:trPr>
        <w:tc>
          <w:tcPr>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天津旭阳光伏发电有限 公司</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天津</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天津</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both"/>
              <w:rPr>
                <w:sz w:val="17"/>
                <w:szCs w:val="17"/>
              </w:rPr>
            </w:pPr>
            <w:r>
              <w:rPr>
                <w:rFonts w:ascii="SimSun" w:eastAsia="SimSun" w:hAnsi="SimSun" w:cs="SimSun"/>
                <w:color w:val="000000"/>
                <w:spacing w:val="0"/>
                <w:w w:val="100"/>
                <w:position w:val="0"/>
                <w:sz w:val="17"/>
                <w:szCs w:val="17"/>
              </w:rPr>
              <w:t>团风旭通新能源有限公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团风县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团风县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140" w:right="0" w:firstLine="0"/>
              <w:jc w:val="both"/>
              <w:rPr>
                <w:sz w:val="17"/>
                <w:szCs w:val="17"/>
              </w:rPr>
            </w:pPr>
            <w:r>
              <w:rPr>
                <w:rFonts w:ascii="SimSun" w:eastAsia="SimSun" w:hAnsi="SimSun" w:cs="SimSun"/>
                <w:color w:val="000000"/>
                <w:spacing w:val="0"/>
                <w:w w:val="100"/>
                <w:position w:val="0"/>
                <w:sz w:val="17"/>
                <w:szCs w:val="17"/>
              </w:rPr>
              <w:t>汪清县振发投资有限公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汪清县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汪清县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93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140" w:right="0" w:firstLine="0"/>
              <w:jc w:val="both"/>
              <w:rPr>
                <w:sz w:val="17"/>
                <w:szCs w:val="17"/>
              </w:rPr>
            </w:pPr>
            <w:r>
              <w:rPr>
                <w:rFonts w:ascii="SimSun" w:eastAsia="SimSun" w:hAnsi="SimSun" w:cs="SimSun"/>
                <w:color w:val="000000"/>
                <w:spacing w:val="0"/>
                <w:w w:val="100"/>
                <w:position w:val="0"/>
                <w:sz w:val="17"/>
                <w:szCs w:val="17"/>
              </w:rPr>
              <w:t>西安国际港务区旭祥新 能源有限公司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99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新泰旭蓝能源科技有限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新泰市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新泰市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96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新泰旭农农业科技有限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新泰市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新泰市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农林产品种植、仓储、销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96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140" w:right="0" w:firstLine="0"/>
              <w:jc w:val="both"/>
              <w:rPr>
                <w:sz w:val="17"/>
                <w:szCs w:val="17"/>
              </w:rPr>
            </w:pPr>
            <w:r>
              <w:rPr>
                <w:rFonts w:ascii="SimSun" w:eastAsia="SimSun" w:hAnsi="SimSun" w:cs="SimSun"/>
                <w:color w:val="000000"/>
                <w:spacing w:val="0"/>
                <w:w w:val="100"/>
                <w:position w:val="0"/>
                <w:sz w:val="17"/>
                <w:szCs w:val="17"/>
              </w:rPr>
              <w:t>新田县弘吉电力有限公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新田县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新田县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风电、光伏发电站建设、</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运行维护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新野旭蓝新能源科技有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新野县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新野县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both"/>
              <w:rPr>
                <w:sz w:val="17"/>
                <w:szCs w:val="17"/>
              </w:rPr>
            </w:pPr>
            <w:r>
              <w:rPr>
                <w:rFonts w:ascii="SimSun" w:eastAsia="SimSun" w:hAnsi="SimSun" w:cs="SimSun"/>
                <w:color w:val="000000"/>
                <w:spacing w:val="0"/>
                <w:w w:val="100"/>
                <w:position w:val="0"/>
                <w:sz w:val="17"/>
                <w:szCs w:val="17"/>
              </w:rPr>
              <w:t>新郑市旭能新能源有限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新郑市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新郑市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140" w:right="0" w:firstLine="0"/>
              <w:jc w:val="both"/>
              <w:rPr>
                <w:sz w:val="17"/>
                <w:szCs w:val="17"/>
              </w:rPr>
            </w:pPr>
            <w:r>
              <w:rPr>
                <w:rFonts w:ascii="SimSun" w:eastAsia="SimSun" w:hAnsi="SimSun" w:cs="SimSun"/>
                <w:color w:val="000000"/>
                <w:spacing w:val="0"/>
                <w:w w:val="100"/>
                <w:position w:val="0"/>
                <w:sz w:val="17"/>
                <w:szCs w:val="17"/>
              </w:rPr>
              <w:t>邢台天宏祥燃气有限公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邢台市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邢台市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燃气供应、燃气设施维护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延边旭农农业科技有限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汪清县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汪清县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农林产品种植、仓储、销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9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银川旭力新能源科技有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银川市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银川市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both"/>
              <w:rPr>
                <w:sz w:val="17"/>
                <w:szCs w:val="17"/>
              </w:rPr>
            </w:pPr>
            <w:r>
              <w:rPr>
                <w:rFonts w:ascii="SimSun" w:eastAsia="SimSun" w:hAnsi="SimSun" w:cs="SimSun"/>
                <w:color w:val="000000"/>
                <w:spacing w:val="0"/>
                <w:w w:val="100"/>
                <w:position w:val="0"/>
                <w:sz w:val="17"/>
                <w:szCs w:val="17"/>
              </w:rPr>
              <w:t>玉门市东旭储能科技有 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玉门市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玉门市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储能技术服务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10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both"/>
              <w:rPr>
                <w:sz w:val="17"/>
                <w:szCs w:val="17"/>
              </w:rPr>
            </w:pPr>
            <w:r>
              <w:rPr>
                <w:rFonts w:ascii="SimSun" w:eastAsia="SimSun" w:hAnsi="SimSun" w:cs="SimSun"/>
                <w:color w:val="000000"/>
                <w:spacing w:val="0"/>
                <w:w w:val="100"/>
                <w:position w:val="0"/>
                <w:sz w:val="17"/>
                <w:szCs w:val="17"/>
              </w:rPr>
              <w:t>郧西县旭阳新能源科技</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郧西县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郧西县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85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both"/>
              <w:rPr>
                <w:sz w:val="17"/>
                <w:szCs w:val="17"/>
              </w:rPr>
            </w:pPr>
            <w:r>
              <w:rPr>
                <w:rFonts w:ascii="SimSun" w:eastAsia="SimSun" w:hAnsi="SimSun" w:cs="SimSun"/>
                <w:color w:val="000000"/>
                <w:spacing w:val="0"/>
                <w:w w:val="100"/>
                <w:position w:val="0"/>
                <w:sz w:val="17"/>
                <w:szCs w:val="17"/>
              </w:rPr>
              <w:t>长春市旭春新能源有限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长春市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长春市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859"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长沙旭欣新能源科技有 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长沙</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2179"/>
        <w:gridCol w:w="912"/>
        <w:gridCol w:w="946"/>
        <w:gridCol w:w="2131"/>
        <w:gridCol w:w="734"/>
        <w:gridCol w:w="893"/>
        <w:gridCol w:w="1114"/>
      </w:tblGrid>
      <w:tr>
        <w:trPr>
          <w:trHeight w:val="878" w:hRule="exact"/>
        </w:trPr>
        <w:tc>
          <w:tcPr>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both"/>
              <w:rPr>
                <w:sz w:val="17"/>
                <w:szCs w:val="17"/>
              </w:rPr>
            </w:pPr>
            <w:r>
              <w:rPr>
                <w:rFonts w:ascii="SimSun" w:eastAsia="SimSun" w:hAnsi="SimSun" w:cs="SimSun"/>
                <w:color w:val="000000"/>
                <w:spacing w:val="0"/>
                <w:w w:val="100"/>
                <w:position w:val="0"/>
                <w:sz w:val="17"/>
                <w:szCs w:val="17"/>
              </w:rPr>
              <w:t>舟山旭蓝新能源有限公 司</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舟山市</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舟山市</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涞源县旭曦新能源科技</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保定市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保定市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制下合并</w:t>
            </w: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both"/>
              <w:rPr>
                <w:sz w:val="17"/>
                <w:szCs w:val="17"/>
              </w:rPr>
            </w:pPr>
            <w:r>
              <w:rPr>
                <w:rFonts w:ascii="SimSun" w:eastAsia="SimSun" w:hAnsi="SimSun" w:cs="SimSun"/>
                <w:color w:val="000000"/>
                <w:spacing w:val="0"/>
                <w:w w:val="100"/>
                <w:position w:val="0"/>
                <w:sz w:val="17"/>
                <w:szCs w:val="17"/>
              </w:rPr>
              <w:t>宁波梅山保税港区信控 东旭新能源投资合伙企 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结构化主体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both"/>
              <w:rPr>
                <w:sz w:val="17"/>
                <w:szCs w:val="17"/>
              </w:rPr>
            </w:pPr>
            <w:r>
              <w:rPr>
                <w:rFonts w:ascii="SimSun" w:eastAsia="SimSun" w:hAnsi="SimSun" w:cs="SimSun"/>
                <w:color w:val="000000"/>
                <w:spacing w:val="0"/>
                <w:w w:val="100"/>
                <w:position w:val="0"/>
                <w:sz w:val="17"/>
                <w:szCs w:val="17"/>
              </w:rPr>
              <w:t>信金东旭二期新能源投 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结构化主体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广州南粤趋势创新投资 中心（有限合伙）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结构化主体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both"/>
              <w:rPr>
                <w:sz w:val="17"/>
                <w:szCs w:val="17"/>
              </w:rPr>
            </w:pPr>
            <w:r>
              <w:rPr>
                <w:rFonts w:ascii="SimSun" w:eastAsia="SimSun" w:hAnsi="SimSun" w:cs="SimSun"/>
                <w:color w:val="000000"/>
                <w:spacing w:val="0"/>
                <w:w w:val="100"/>
                <w:position w:val="0"/>
                <w:sz w:val="17"/>
                <w:szCs w:val="17"/>
              </w:rPr>
              <w:t>宁波梅山保税港区东信</w:t>
            </w:r>
          </w:p>
          <w:p>
            <w:pPr>
              <w:pStyle w:val="Style19"/>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旭新能源投资合伙企业</w:t>
            </w:r>
          </w:p>
          <w:p>
            <w:pPr>
              <w:pStyle w:val="Style19"/>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结构化主体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140" w:right="0" w:firstLine="0"/>
              <w:jc w:val="both"/>
              <w:rPr>
                <w:sz w:val="17"/>
                <w:szCs w:val="17"/>
              </w:rPr>
            </w:pPr>
            <w:r>
              <w:rPr>
                <w:rFonts w:ascii="SimSun" w:eastAsia="SimSun" w:hAnsi="SimSun" w:cs="SimSun"/>
                <w:color w:val="000000"/>
                <w:spacing w:val="0"/>
                <w:w w:val="100"/>
                <w:position w:val="0"/>
                <w:sz w:val="17"/>
                <w:szCs w:val="17"/>
              </w:rPr>
              <w:t>杭州旭海鼎杭投资管理 合伙企业（有限合伙）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结构化主体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both"/>
              <w:rPr>
                <w:sz w:val="17"/>
                <w:szCs w:val="17"/>
              </w:rPr>
            </w:pPr>
            <w:r>
              <w:rPr>
                <w:rFonts w:ascii="SimSun" w:eastAsia="SimSun" w:hAnsi="SimSun" w:cs="SimSun"/>
                <w:color w:val="000000"/>
                <w:spacing w:val="0"/>
                <w:w w:val="100"/>
                <w:position w:val="0"/>
                <w:sz w:val="17"/>
                <w:szCs w:val="17"/>
              </w:rPr>
              <w:t>河北天环建筑工程有限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石家庄 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石家庄市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建筑工程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both"/>
              <w:rPr>
                <w:sz w:val="17"/>
                <w:szCs w:val="17"/>
              </w:rPr>
            </w:pPr>
            <w:r>
              <w:rPr>
                <w:rFonts w:ascii="SimSun" w:eastAsia="SimSun" w:hAnsi="SimSun" w:cs="SimSun"/>
                <w:color w:val="000000"/>
                <w:spacing w:val="0"/>
                <w:w w:val="100"/>
                <w:position w:val="0"/>
                <w:sz w:val="17"/>
                <w:szCs w:val="17"/>
              </w:rPr>
              <w:t>无锡安轩自动化科技有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无锡市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无锡市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自动化科技领域内的技 术开发、销售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麦盖提旭蓝新能源有限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麦盖提 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麦盖提县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驻马店市旭蓝太阳能发 电有限公司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驻马店 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驻马店市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both"/>
              <w:rPr>
                <w:sz w:val="17"/>
                <w:szCs w:val="17"/>
              </w:rPr>
            </w:pPr>
            <w:r>
              <w:rPr>
                <w:rFonts w:ascii="SimSun" w:eastAsia="SimSun" w:hAnsi="SimSun" w:cs="SimSun"/>
                <w:color w:val="000000"/>
                <w:spacing w:val="0"/>
                <w:w w:val="100"/>
                <w:position w:val="0"/>
                <w:sz w:val="17"/>
                <w:szCs w:val="17"/>
              </w:rPr>
              <w:t>景德镇旭景新能源科技</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景德镇 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景德镇市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乌兰察布旭晨新能源科</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8" w:lineRule="exact"/>
              <w:ind w:left="0" w:right="0" w:firstLine="0"/>
              <w:jc w:val="center"/>
              <w:rPr>
                <w:sz w:val="17"/>
                <w:szCs w:val="17"/>
              </w:rPr>
            </w:pPr>
            <w:r>
              <w:rPr>
                <w:rFonts w:ascii="SimSun" w:eastAsia="SimSun" w:hAnsi="SimSun" w:cs="SimSun"/>
                <w:color w:val="000000"/>
                <w:spacing w:val="0"/>
                <w:w w:val="100"/>
                <w:position w:val="0"/>
                <w:sz w:val="17"/>
                <w:szCs w:val="17"/>
              </w:rPr>
              <w:t>乌兰察 布市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乌兰察布 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化德旭通新能源科技有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center"/>
              <w:rPr>
                <w:sz w:val="17"/>
                <w:szCs w:val="17"/>
              </w:rPr>
            </w:pPr>
            <w:r>
              <w:rPr>
                <w:rFonts w:ascii="SimSun" w:eastAsia="SimSun" w:hAnsi="SimSun" w:cs="SimSun"/>
                <w:color w:val="000000"/>
                <w:spacing w:val="0"/>
                <w:w w:val="100"/>
                <w:position w:val="0"/>
                <w:sz w:val="17"/>
                <w:szCs w:val="17"/>
              </w:rPr>
              <w:t>乌兰察 布市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乌兰察布 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140" w:right="0" w:firstLine="0"/>
              <w:jc w:val="both"/>
              <w:rPr>
                <w:sz w:val="17"/>
                <w:szCs w:val="17"/>
              </w:rPr>
            </w:pPr>
            <w:r>
              <w:rPr>
                <w:rFonts w:ascii="SimSun" w:eastAsia="SimSun" w:hAnsi="SimSun" w:cs="SimSun"/>
                <w:color w:val="000000"/>
                <w:spacing w:val="0"/>
                <w:w w:val="100"/>
                <w:position w:val="0"/>
                <w:sz w:val="17"/>
                <w:szCs w:val="17"/>
              </w:rPr>
              <w:t>中方县旭弘电力有限公</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中方县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中方县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安达市旭达新能源有限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安达市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安达市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both"/>
              <w:rPr>
                <w:sz w:val="17"/>
                <w:szCs w:val="17"/>
              </w:rPr>
            </w:pPr>
            <w:r>
              <w:rPr>
                <w:rFonts w:ascii="SimSun" w:eastAsia="SimSun" w:hAnsi="SimSun" w:cs="SimSun"/>
                <w:color w:val="000000"/>
                <w:spacing w:val="0"/>
                <w:w w:val="100"/>
                <w:position w:val="0"/>
                <w:sz w:val="17"/>
                <w:szCs w:val="17"/>
              </w:rPr>
              <w:t>安达市旭蓝新能源有限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安达市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安达市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2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140" w:right="0" w:firstLine="0"/>
              <w:jc w:val="both"/>
              <w:rPr>
                <w:sz w:val="17"/>
                <w:szCs w:val="17"/>
              </w:rPr>
            </w:pPr>
            <w:r>
              <w:rPr>
                <w:rFonts w:ascii="SimSun" w:eastAsia="SimSun" w:hAnsi="SimSun" w:cs="SimSun"/>
                <w:color w:val="000000"/>
                <w:spacing w:val="0"/>
                <w:w w:val="100"/>
                <w:position w:val="0"/>
                <w:sz w:val="17"/>
                <w:szCs w:val="17"/>
              </w:rPr>
              <w:t>大庆市红岗区旭峰新能</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源有限公司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大庆市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大庆市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2179"/>
        <w:gridCol w:w="912"/>
        <w:gridCol w:w="946"/>
        <w:gridCol w:w="2131"/>
        <w:gridCol w:w="734"/>
        <w:gridCol w:w="893"/>
        <w:gridCol w:w="1114"/>
      </w:tblGrid>
      <w:tr>
        <w:trPr>
          <w:trHeight w:val="739" w:hRule="exact"/>
        </w:trPr>
        <w:tc>
          <w:tcPr>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大庆市红岗区旭通新能</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源有限公司</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大庆市</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大庆市</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大庆高新区旭宏新能源</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大庆市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大庆市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both"/>
              <w:rPr>
                <w:sz w:val="17"/>
                <w:szCs w:val="17"/>
              </w:rPr>
            </w:pPr>
            <w:r>
              <w:rPr>
                <w:rFonts w:ascii="SimSun" w:eastAsia="SimSun" w:hAnsi="SimSun" w:cs="SimSun"/>
                <w:color w:val="000000"/>
                <w:spacing w:val="0"/>
                <w:w w:val="100"/>
                <w:position w:val="0"/>
                <w:sz w:val="17"/>
                <w:szCs w:val="17"/>
              </w:rPr>
              <w:t>南阳永召新能源有限公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南阳市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南阳市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张北旭阳新能源科技有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张北县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张北县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张北旭源新能源科技有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张北县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张北县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张北旭光新能源科技有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张北县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张北县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张北旭炎光热发电有限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张北县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张北县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高安旭瑞新能源科技有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宜春市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宜春市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both"/>
              <w:rPr>
                <w:sz w:val="17"/>
                <w:szCs w:val="17"/>
              </w:rPr>
            </w:pPr>
            <w:r>
              <w:rPr>
                <w:rFonts w:ascii="SimSun" w:eastAsia="SimSun" w:hAnsi="SimSun" w:cs="SimSun"/>
                <w:color w:val="000000"/>
                <w:spacing w:val="0"/>
                <w:w w:val="100"/>
                <w:position w:val="0"/>
                <w:sz w:val="17"/>
                <w:szCs w:val="17"/>
              </w:rPr>
              <w:t>蓝天绿迅（苏州）新能源</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苏州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苏州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96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东营旭蓝光伏发电有限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东营市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东营市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97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天津旭新新能源科技有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天津市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天津市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both"/>
              <w:rPr>
                <w:sz w:val="17"/>
                <w:szCs w:val="17"/>
              </w:rPr>
            </w:pPr>
            <w:r>
              <w:rPr>
                <w:rFonts w:ascii="SimSun" w:eastAsia="SimSun" w:hAnsi="SimSun" w:cs="SimSun"/>
                <w:color w:val="000000"/>
                <w:spacing w:val="0"/>
                <w:w w:val="100"/>
                <w:position w:val="0"/>
                <w:sz w:val="17"/>
                <w:szCs w:val="17"/>
              </w:rPr>
              <w:t>汪清旭阳新能源有限公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汪清县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汪清县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both"/>
              <w:rPr>
                <w:sz w:val="17"/>
                <w:szCs w:val="17"/>
              </w:rPr>
            </w:pPr>
            <w:r>
              <w:rPr>
                <w:rFonts w:ascii="SimSun" w:eastAsia="SimSun" w:hAnsi="SimSun" w:cs="SimSun"/>
                <w:color w:val="000000"/>
                <w:spacing w:val="0"/>
                <w:w w:val="100"/>
                <w:position w:val="0"/>
                <w:sz w:val="17"/>
                <w:szCs w:val="17"/>
              </w:rPr>
              <w:t>河北旭昂供应链管理有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石家庄 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石家庄市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供应链管理服务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59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both"/>
              <w:rPr>
                <w:sz w:val="17"/>
                <w:szCs w:val="17"/>
              </w:rPr>
            </w:pPr>
            <w:r>
              <w:rPr>
                <w:rFonts w:ascii="SimSun" w:eastAsia="SimSun" w:hAnsi="SimSun" w:cs="SimSun"/>
                <w:color w:val="000000"/>
                <w:spacing w:val="0"/>
                <w:w w:val="100"/>
                <w:position w:val="0"/>
                <w:sz w:val="17"/>
                <w:szCs w:val="17"/>
              </w:rPr>
              <w:t>张北旭弘电力有限公司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张北县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张北县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深圳旭能新能源科技有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合同能源管理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both"/>
              <w:rPr>
                <w:sz w:val="17"/>
                <w:szCs w:val="17"/>
              </w:rPr>
            </w:pPr>
            <w:r>
              <w:rPr>
                <w:rFonts w:ascii="SimSun" w:eastAsia="SimSun" w:hAnsi="SimSun" w:cs="SimSun"/>
                <w:color w:val="000000"/>
                <w:spacing w:val="0"/>
                <w:w w:val="100"/>
                <w:position w:val="0"/>
                <w:sz w:val="17"/>
                <w:szCs w:val="17"/>
              </w:rPr>
              <w:t>陕西旭能智慧能源科技</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合同能源管理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扬州旭可新能源科技有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扬州市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扬州市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both"/>
              <w:rPr>
                <w:sz w:val="17"/>
                <w:szCs w:val="17"/>
              </w:rPr>
            </w:pPr>
            <w:r>
              <w:rPr>
                <w:rFonts w:ascii="SimSun" w:eastAsia="SimSun" w:hAnsi="SimSun" w:cs="SimSun"/>
                <w:color w:val="000000"/>
                <w:spacing w:val="0"/>
                <w:w w:val="100"/>
                <w:position w:val="0"/>
                <w:sz w:val="17"/>
                <w:szCs w:val="17"/>
              </w:rPr>
              <w:t>金寨县旭鼎新能源科技</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金寨县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金寨县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合同能源管理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60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大连旭木贸易有限公司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大连市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大连市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贸易咨询服务;供应链管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2179"/>
        <w:gridCol w:w="912"/>
        <w:gridCol w:w="946"/>
        <w:gridCol w:w="2131"/>
        <w:gridCol w:w="734"/>
        <w:gridCol w:w="893"/>
        <w:gridCol w:w="1114"/>
      </w:tblGrid>
      <w:tr>
        <w:trPr>
          <w:trHeight w:val="624"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张家港保税区鑫升优贸</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张家港</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张家港市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供应链管理服务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日照旭华贸易有限公司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日照市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日照市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贸易信息咨询，供应链管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天津旭红供应链管理有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天津市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天津市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供应链管理服务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96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both"/>
              <w:rPr>
                <w:sz w:val="17"/>
                <w:szCs w:val="17"/>
              </w:rPr>
            </w:pPr>
            <w:r>
              <w:rPr>
                <w:rFonts w:ascii="SimSun" w:eastAsia="SimSun" w:hAnsi="SimSun" w:cs="SimSun"/>
                <w:color w:val="000000"/>
                <w:spacing w:val="0"/>
                <w:w w:val="100"/>
                <w:position w:val="0"/>
                <w:sz w:val="17"/>
                <w:szCs w:val="17"/>
              </w:rPr>
              <w:t>太原旭木贸易有限公司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太原市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太原市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97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黑龙江两洋能源科技有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佳木斯 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佳木斯市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新能源技术开发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江苏旭嘉环保科技有限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徐州市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徐州市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环保技术研发，生态环境</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治理服务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承德晟烨光伏发电有限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承德市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承德市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140" w:right="0" w:firstLine="0"/>
              <w:jc w:val="both"/>
              <w:rPr>
                <w:sz w:val="17"/>
                <w:szCs w:val="17"/>
              </w:rPr>
            </w:pPr>
            <w:r>
              <w:rPr>
                <w:rFonts w:ascii="SimSun" w:eastAsia="SimSun" w:hAnsi="SimSun" w:cs="SimSun"/>
                <w:color w:val="000000"/>
                <w:spacing w:val="0"/>
                <w:w w:val="100"/>
                <w:position w:val="0"/>
                <w:sz w:val="17"/>
                <w:szCs w:val="17"/>
              </w:rPr>
              <w:t>会理弘吉新能源科技有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会理县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会理县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both"/>
              <w:rPr>
                <w:sz w:val="17"/>
                <w:szCs w:val="17"/>
              </w:rPr>
            </w:pPr>
            <w:r>
              <w:rPr>
                <w:rFonts w:ascii="SimSun" w:eastAsia="SimSun" w:hAnsi="SimSun" w:cs="SimSun"/>
                <w:color w:val="000000"/>
                <w:spacing w:val="0"/>
                <w:w w:val="100"/>
                <w:position w:val="0"/>
                <w:sz w:val="17"/>
                <w:szCs w:val="17"/>
              </w:rPr>
              <w:t>吉林华众昊晟新能源科</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洮南市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洮南市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宁夏盛唐太阳能科技有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灵武市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灵武市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both"/>
              <w:rPr>
                <w:sz w:val="17"/>
                <w:szCs w:val="17"/>
              </w:rPr>
            </w:pPr>
            <w:r>
              <w:rPr>
                <w:rFonts w:ascii="SimSun" w:eastAsia="SimSun" w:hAnsi="SimSun" w:cs="SimSun"/>
                <w:color w:val="000000"/>
                <w:spacing w:val="0"/>
                <w:w w:val="100"/>
                <w:position w:val="0"/>
                <w:sz w:val="17"/>
                <w:szCs w:val="17"/>
              </w:rPr>
              <w:t>张北弘吉新能源科技有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张北县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张北县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140" w:right="0" w:firstLine="0"/>
              <w:jc w:val="both"/>
              <w:rPr>
                <w:sz w:val="17"/>
                <w:szCs w:val="17"/>
              </w:rPr>
            </w:pPr>
            <w:r>
              <w:rPr>
                <w:rFonts w:ascii="SimSun" w:eastAsia="SimSun" w:hAnsi="SimSun" w:cs="SimSun"/>
                <w:color w:val="000000"/>
                <w:spacing w:val="0"/>
                <w:w w:val="100"/>
                <w:position w:val="0"/>
                <w:sz w:val="17"/>
                <w:szCs w:val="17"/>
              </w:rPr>
              <w:t>张北熠彩新能源科技有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张北县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张北县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both"/>
              <w:rPr>
                <w:sz w:val="17"/>
                <w:szCs w:val="17"/>
              </w:rPr>
            </w:pPr>
            <w:r>
              <w:rPr>
                <w:rFonts w:ascii="SimSun" w:eastAsia="SimSun" w:hAnsi="SimSun" w:cs="SimSun"/>
                <w:color w:val="000000"/>
                <w:spacing w:val="0"/>
                <w:w w:val="100"/>
                <w:position w:val="0"/>
                <w:sz w:val="17"/>
                <w:szCs w:val="17"/>
              </w:rPr>
              <w:t>广东两洋能源有限公司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商品贸易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both"/>
              <w:rPr>
                <w:sz w:val="17"/>
                <w:szCs w:val="17"/>
              </w:rPr>
            </w:pPr>
            <w:r>
              <w:rPr>
                <w:rFonts w:ascii="SimSun" w:eastAsia="SimSun" w:hAnsi="SimSun" w:cs="SimSun"/>
                <w:color w:val="000000"/>
                <w:spacing w:val="0"/>
                <w:w w:val="100"/>
                <w:position w:val="0"/>
                <w:sz w:val="17"/>
                <w:szCs w:val="17"/>
              </w:rPr>
              <w:t>浙江两洋能源有限公司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舟山市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舟山市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商品贸易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both"/>
              <w:rPr>
                <w:sz w:val="17"/>
                <w:szCs w:val="17"/>
              </w:rPr>
            </w:pPr>
            <w:r>
              <w:rPr>
                <w:rFonts w:ascii="SimSun" w:eastAsia="SimSun" w:hAnsi="SimSun" w:cs="SimSun"/>
                <w:color w:val="000000"/>
                <w:spacing w:val="0"/>
                <w:w w:val="100"/>
                <w:position w:val="0"/>
                <w:sz w:val="17"/>
                <w:szCs w:val="17"/>
              </w:rPr>
              <w:t>香港两洋资源有限公司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商品贸易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非同一控</w:t>
            </w:r>
          </w:p>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制下合并</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锦州旭蓝电力新能源有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锦州市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锦州市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140" w:right="0" w:firstLine="0"/>
              <w:jc w:val="both"/>
              <w:rPr>
                <w:sz w:val="17"/>
                <w:szCs w:val="17"/>
              </w:rPr>
            </w:pPr>
            <w:r>
              <w:rPr>
                <w:rFonts w:ascii="SimSun" w:eastAsia="SimSun" w:hAnsi="SimSun" w:cs="SimSun"/>
                <w:color w:val="000000"/>
                <w:spacing w:val="0"/>
                <w:w w:val="100"/>
                <w:position w:val="0"/>
                <w:sz w:val="17"/>
                <w:szCs w:val="17"/>
              </w:rPr>
              <w:t>安徽旭禾农业科技有限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六安市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六安市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农林产品种植、仓储、销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r>
        <w:trPr>
          <w:trHeight w:val="60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both"/>
              <w:rPr>
                <w:sz w:val="17"/>
                <w:szCs w:val="17"/>
              </w:rPr>
            </w:pPr>
            <w:r>
              <w:rPr>
                <w:rFonts w:ascii="SimSun" w:eastAsia="SimSun" w:hAnsi="SimSun" w:cs="SimSun"/>
                <w:color w:val="000000"/>
                <w:spacing w:val="0"/>
                <w:w w:val="100"/>
                <w:position w:val="0"/>
                <w:sz w:val="17"/>
                <w:szCs w:val="17"/>
              </w:rPr>
              <w:t>长春市旭蓝新能源有限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长春市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长春市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设立</w:t>
            </w:r>
          </w:p>
        </w:tc>
      </w:tr>
    </w:tbl>
    <w:p>
      <w:pPr>
        <w:widowControl w:val="0"/>
        <w:spacing w:line="1" w:lineRule="exact"/>
      </w:pPr>
      <w:r>
        <w:br w:type="page"/>
      </w:r>
    </w:p>
    <w:p>
      <w:pPr>
        <w:pStyle w:val="Style24"/>
        <w:keepNext w:val="0"/>
        <w:keepLines w:val="0"/>
        <w:widowControl w:val="0"/>
        <w:shd w:val="clear" w:color="auto" w:fill="auto"/>
        <w:bidi w:val="0"/>
        <w:spacing w:before="0" w:after="0" w:line="240" w:lineRule="auto"/>
        <w:ind w:left="130" w:right="0" w:firstLine="0"/>
        <w:jc w:val="left"/>
      </w:pPr>
      <w:r>
        <w:rPr>
          <w:color w:val="000000"/>
          <w:spacing w:val="0"/>
          <w:w w:val="100"/>
          <w:position w:val="0"/>
        </w:rPr>
        <w:t>公司</w:t>
      </w:r>
    </w:p>
    <w:tbl>
      <w:tblPr>
        <w:tblOverlap w:val="never"/>
        <w:jc w:val="left"/>
        <w:tblLayout w:type="fixed"/>
      </w:tblPr>
      <w:tblGrid>
        <w:gridCol w:w="2184"/>
        <w:gridCol w:w="917"/>
        <w:gridCol w:w="946"/>
        <w:gridCol w:w="2131"/>
        <w:gridCol w:w="734"/>
        <w:gridCol w:w="893"/>
        <w:gridCol w:w="1114"/>
      </w:tblGrid>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安阳旭冠日冕新能源科</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安阳市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安阳市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安阳东沪龙跃新能源科</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安阳市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安阳市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left"/>
              <w:rPr>
                <w:sz w:val="17"/>
                <w:szCs w:val="17"/>
              </w:rPr>
            </w:pPr>
            <w:r>
              <w:rPr>
                <w:rFonts w:ascii="SimSun" w:eastAsia="SimSun" w:hAnsi="SimSun" w:cs="SimSun"/>
                <w:color w:val="000000"/>
                <w:spacing w:val="0"/>
                <w:w w:val="100"/>
                <w:position w:val="0"/>
                <w:sz w:val="17"/>
                <w:szCs w:val="17"/>
              </w:rPr>
              <w:t>青岛旭蓝产业基金合伙 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青岛市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青岛市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产业基金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140" w:right="0" w:firstLine="0"/>
              <w:jc w:val="left"/>
              <w:rPr>
                <w:sz w:val="17"/>
                <w:szCs w:val="17"/>
              </w:rPr>
            </w:pPr>
            <w:r>
              <w:rPr>
                <w:rFonts w:ascii="SimSun" w:eastAsia="SimSun" w:hAnsi="SimSun" w:cs="SimSun"/>
                <w:color w:val="000000"/>
                <w:spacing w:val="0"/>
                <w:w w:val="100"/>
                <w:position w:val="0"/>
                <w:sz w:val="17"/>
                <w:szCs w:val="17"/>
              </w:rPr>
              <w:t>东旭鸿鼎（天津）文化旅</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游有限公司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天津市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天津市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商务服务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东旭制胜（厦门）节能科</w:t>
            </w:r>
          </w:p>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厦门市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厦门市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技能技术服务、商品贸易</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7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both"/>
              <w:rPr>
                <w:sz w:val="17"/>
                <w:szCs w:val="17"/>
              </w:rPr>
            </w:pPr>
            <w:r>
              <w:rPr>
                <w:rFonts w:ascii="SimSun" w:eastAsia="SimSun" w:hAnsi="SimSun" w:cs="SimSun"/>
                <w:color w:val="000000"/>
                <w:spacing w:val="0"/>
                <w:w w:val="100"/>
                <w:position w:val="0"/>
                <w:sz w:val="17"/>
                <w:szCs w:val="17"/>
              </w:rPr>
              <w:t>海南旭通新能源科技有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儋州市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儋州市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both"/>
              <w:rPr>
                <w:sz w:val="17"/>
                <w:szCs w:val="17"/>
              </w:rPr>
            </w:pPr>
            <w:r>
              <w:rPr>
                <w:rFonts w:ascii="SimSun" w:eastAsia="SimSun" w:hAnsi="SimSun" w:cs="SimSun"/>
                <w:color w:val="000000"/>
                <w:spacing w:val="0"/>
                <w:w w:val="100"/>
                <w:position w:val="0"/>
                <w:sz w:val="17"/>
                <w:szCs w:val="17"/>
              </w:rPr>
              <w:t>青岛旭阳新能源有限公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青岛市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青岛市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both"/>
              <w:rPr>
                <w:sz w:val="17"/>
                <w:szCs w:val="17"/>
              </w:rPr>
            </w:pPr>
            <w:r>
              <w:rPr>
                <w:rFonts w:ascii="SimSun" w:eastAsia="SimSun" w:hAnsi="SimSun" w:cs="SimSun"/>
                <w:color w:val="000000"/>
                <w:spacing w:val="0"/>
                <w:w w:val="100"/>
                <w:position w:val="0"/>
                <w:sz w:val="17"/>
                <w:szCs w:val="17"/>
              </w:rPr>
              <w:t>平度市旭弘新能源有限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平度市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平度市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both"/>
              <w:rPr>
                <w:sz w:val="17"/>
                <w:szCs w:val="17"/>
              </w:rPr>
            </w:pPr>
            <w:r>
              <w:rPr>
                <w:rFonts w:ascii="SimSun" w:eastAsia="SimSun" w:hAnsi="SimSun" w:cs="SimSun"/>
                <w:color w:val="000000"/>
                <w:spacing w:val="0"/>
                <w:w w:val="100"/>
                <w:position w:val="0"/>
                <w:sz w:val="17"/>
                <w:szCs w:val="17"/>
              </w:rPr>
              <w:t>承德新旭新能源科技有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承德市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承德市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140" w:right="0" w:firstLine="0"/>
              <w:jc w:val="both"/>
              <w:rPr>
                <w:sz w:val="17"/>
                <w:szCs w:val="17"/>
              </w:rPr>
            </w:pPr>
            <w:r>
              <w:rPr>
                <w:rFonts w:ascii="SimSun" w:eastAsia="SimSun" w:hAnsi="SimSun" w:cs="SimSun"/>
                <w:color w:val="000000"/>
                <w:spacing w:val="0"/>
                <w:w w:val="100"/>
                <w:position w:val="0"/>
                <w:sz w:val="17"/>
                <w:szCs w:val="17"/>
              </w:rPr>
              <w:t>滦平县旭欣新能源科技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滦平县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滦平县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both"/>
              <w:rPr>
                <w:sz w:val="17"/>
                <w:szCs w:val="17"/>
              </w:rPr>
            </w:pPr>
            <w:r>
              <w:rPr>
                <w:rFonts w:ascii="SimSun" w:eastAsia="SimSun" w:hAnsi="SimSun" w:cs="SimSun"/>
                <w:color w:val="000000"/>
                <w:spacing w:val="0"/>
                <w:w w:val="100"/>
                <w:position w:val="0"/>
                <w:sz w:val="17"/>
                <w:szCs w:val="17"/>
              </w:rPr>
              <w:t>莱芜市旭蓝新能源有限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莱芜市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莱芜市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both"/>
              <w:rPr>
                <w:sz w:val="17"/>
                <w:szCs w:val="17"/>
              </w:rPr>
            </w:pPr>
            <w:r>
              <w:rPr>
                <w:rFonts w:ascii="SimSun" w:eastAsia="SimSun" w:hAnsi="SimSun" w:cs="SimSun"/>
                <w:color w:val="000000"/>
                <w:spacing w:val="0"/>
                <w:w w:val="100"/>
                <w:position w:val="0"/>
                <w:sz w:val="17"/>
                <w:szCs w:val="17"/>
              </w:rPr>
              <w:t>宁夏旭盛新能源科技有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中卫市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中卫市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r>
        <w:trPr>
          <w:trHeight w:val="744"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140" w:right="0" w:firstLine="0"/>
              <w:jc w:val="both"/>
              <w:rPr>
                <w:sz w:val="17"/>
                <w:szCs w:val="17"/>
              </w:rPr>
            </w:pPr>
            <w:r>
              <w:rPr>
                <w:rFonts w:ascii="SimSun" w:eastAsia="SimSun" w:hAnsi="SimSun" w:cs="SimSun"/>
                <w:color w:val="000000"/>
                <w:spacing w:val="0"/>
                <w:w w:val="100"/>
                <w:position w:val="0"/>
                <w:sz w:val="17"/>
                <w:szCs w:val="17"/>
              </w:rPr>
              <w:t>宁夏旭蓝新能源科技有 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中卫市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中卫市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光伏电站建设运营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设立</w:t>
            </w:r>
          </w:p>
        </w:tc>
      </w:tr>
    </w:tbl>
    <w:p>
      <w:pPr>
        <w:pStyle w:val="Style24"/>
        <w:keepNext w:val="0"/>
        <w:keepLines w:val="0"/>
        <w:widowControl w:val="0"/>
        <w:shd w:val="clear" w:color="auto" w:fill="auto"/>
        <w:bidi w:val="0"/>
        <w:spacing w:before="0" w:after="0" w:line="240" w:lineRule="auto"/>
        <w:ind w:left="403" w:right="0" w:firstLine="0"/>
        <w:jc w:val="left"/>
      </w:pPr>
      <w:r>
        <w:rPr>
          <w:color w:val="000000"/>
          <w:spacing w:val="0"/>
          <w:w w:val="100"/>
          <w:position w:val="0"/>
        </w:rPr>
        <w:t>注</w:t>
      </w:r>
      <w:r>
        <w:rPr>
          <w:color w:val="000000"/>
          <w:spacing w:val="0"/>
          <w:w w:val="100"/>
          <w:position w:val="0"/>
          <w:sz w:val="20"/>
          <w:szCs w:val="20"/>
        </w:rPr>
        <w:t>：（</w:t>
      </w:r>
      <w:r>
        <w:rPr>
          <w:rFonts w:ascii="Arial Narrow" w:eastAsia="Arial Narrow" w:hAnsi="Arial Narrow" w:cs="Arial Narrow"/>
          <w:color w:val="000000"/>
          <w:spacing w:val="0"/>
          <w:w w:val="100"/>
          <w:position w:val="0"/>
          <w:sz w:val="18"/>
          <w:szCs w:val="18"/>
        </w:rPr>
        <w:t xml:space="preserve">1 </w:t>
      </w:r>
      <w:r>
        <w:rPr>
          <w:color w:val="000000"/>
          <w:spacing w:val="0"/>
          <w:w w:val="100"/>
          <w:position w:val="0"/>
        </w:rPr>
        <w:t>）本期纳入合并范围的重要的结构化主体控制的依据如下:</w:t>
      </w:r>
    </w:p>
    <w:p>
      <w:pPr>
        <w:pStyle w:val="Style26"/>
        <w:keepNext w:val="0"/>
        <w:keepLines w:val="0"/>
        <w:widowControl w:val="0"/>
        <w:shd w:val="clear" w:color="auto" w:fill="auto"/>
        <w:bidi w:val="0"/>
        <w:spacing w:before="0" w:after="0" w:line="501" w:lineRule="exact"/>
        <w:ind w:left="0" w:right="0" w:firstLine="420"/>
        <w:jc w:val="both"/>
      </w:pPr>
      <w:r>
        <w:rPr>
          <w:rFonts w:ascii="Arial Narrow" w:eastAsia="Arial Narrow" w:hAnsi="Arial Narrow" w:cs="Arial Narrow"/>
          <w:color w:val="000000"/>
          <w:spacing w:val="0"/>
          <w:w w:val="100"/>
          <w:position w:val="0"/>
          <w:sz w:val="18"/>
          <w:szCs w:val="18"/>
        </w:rPr>
        <w:t>2016</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 xml:space="preserve">21 </w:t>
      </w:r>
      <w:r>
        <w:rPr>
          <w:rFonts w:ascii="Arial" w:eastAsia="Arial" w:hAnsi="Arial" w:cs="Arial"/>
          <w:color w:val="000000"/>
          <w:spacing w:val="0"/>
          <w:w w:val="100"/>
          <w:position w:val="0"/>
          <w:sz w:val="18"/>
          <w:szCs w:val="18"/>
        </w:rPr>
        <w:t>0</w:t>
      </w:r>
      <w:r>
        <w:rPr>
          <w:color w:val="000000"/>
          <w:spacing w:val="0"/>
          <w:w w:val="100"/>
          <w:position w:val="0"/>
        </w:rPr>
        <w:t>，本公司与信达金控（宁波）投资管理有限公司（以下简称“信达金控”）、国投泰康信托有限公司（以 下简称“国投泰康”）共同投资设立宁波梅山保税港区信控东旭新能源投资合伙企业（有限合伙）（以下简称“宁波信控新 能源合伙”）。</w:t>
      </w:r>
      <w:r>
        <w:rPr>
          <w:rFonts w:ascii="Arial Narrow" w:eastAsia="Arial Narrow" w:hAnsi="Arial Narrow" w:cs="Arial Narrow"/>
          <w:color w:val="000000"/>
          <w:spacing w:val="0"/>
          <w:w w:val="100"/>
          <w:position w:val="0"/>
          <w:sz w:val="18"/>
          <w:szCs w:val="18"/>
        </w:rPr>
        <w:t>2017</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月，信达金控作为普通合伙人出资</w:t>
      </w:r>
      <w:r>
        <w:rPr>
          <w:rFonts w:ascii="Arial Narrow" w:eastAsia="Arial Narrow" w:hAnsi="Arial Narrow" w:cs="Arial Narrow"/>
          <w:color w:val="000000"/>
          <w:spacing w:val="0"/>
          <w:w w:val="100"/>
          <w:position w:val="0"/>
          <w:sz w:val="18"/>
          <w:szCs w:val="18"/>
        </w:rPr>
        <w:t>100</w:t>
      </w:r>
      <w:r>
        <w:rPr>
          <w:color w:val="000000"/>
          <w:spacing w:val="0"/>
          <w:w w:val="100"/>
          <w:position w:val="0"/>
        </w:rPr>
        <w:t>万元，国投泰康信托有限公司作为优先级有限合伙人出资</w:t>
      </w:r>
      <w:r>
        <w:rPr>
          <w:rFonts w:ascii="Arial Narrow" w:eastAsia="Arial Narrow" w:hAnsi="Arial Narrow" w:cs="Arial Narrow"/>
          <w:color w:val="000000"/>
          <w:spacing w:val="0"/>
          <w:w w:val="100"/>
          <w:position w:val="0"/>
          <w:sz w:val="18"/>
          <w:szCs w:val="18"/>
        </w:rPr>
        <w:t xml:space="preserve">10 </w:t>
      </w:r>
      <w:r>
        <w:rPr>
          <w:color w:val="000000"/>
          <w:spacing w:val="0"/>
          <w:w w:val="100"/>
          <w:position w:val="0"/>
        </w:rPr>
        <w:t>亿元，本公司作为劣后级有限合伙人出资</w:t>
      </w:r>
      <w:r>
        <w:rPr>
          <w:rFonts w:ascii="Arial Narrow" w:eastAsia="Arial Narrow" w:hAnsi="Arial Narrow" w:cs="Arial Narrow"/>
          <w:color w:val="000000"/>
          <w:spacing w:val="0"/>
          <w:w w:val="100"/>
          <w:position w:val="0"/>
          <w:sz w:val="18"/>
          <w:szCs w:val="18"/>
        </w:rPr>
        <w:t>5</w:t>
      </w:r>
      <w:r>
        <w:rPr>
          <w:color w:val="000000"/>
          <w:spacing w:val="0"/>
          <w:w w:val="100"/>
          <w:position w:val="0"/>
        </w:rPr>
        <w:t>亿元。</w:t>
      </w:r>
      <w:r>
        <w:rPr>
          <w:rFonts w:ascii="Arial Narrow" w:eastAsia="Arial Narrow" w:hAnsi="Arial Narrow" w:cs="Arial Narrow"/>
          <w:color w:val="000000"/>
          <w:spacing w:val="0"/>
          <w:w w:val="100"/>
          <w:position w:val="0"/>
          <w:sz w:val="18"/>
          <w:szCs w:val="18"/>
        </w:rPr>
        <w:t>2017</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 xml:space="preserve">6 </w:t>
      </w:r>
      <w:r>
        <w:rPr>
          <w:rFonts w:ascii="Arial" w:eastAsia="Arial" w:hAnsi="Arial" w:cs="Arial"/>
          <w:color w:val="000000"/>
          <w:spacing w:val="0"/>
          <w:w w:val="100"/>
          <w:position w:val="0"/>
          <w:sz w:val="18"/>
          <w:szCs w:val="18"/>
        </w:rPr>
        <w:t>0,</w:t>
      </w:r>
      <w:r>
        <w:rPr>
          <w:color w:val="000000"/>
          <w:spacing w:val="0"/>
          <w:w w:val="100"/>
          <w:position w:val="0"/>
        </w:rPr>
        <w:t>公司全资子公司东旭新能源投资有限公司向其融资人民 币</w:t>
      </w:r>
      <w:r>
        <w:rPr>
          <w:rFonts w:ascii="Arial Narrow" w:eastAsia="Arial Narrow" w:hAnsi="Arial Narrow" w:cs="Arial Narrow"/>
          <w:color w:val="000000"/>
          <w:spacing w:val="0"/>
          <w:w w:val="100"/>
          <w:position w:val="0"/>
          <w:sz w:val="18"/>
          <w:szCs w:val="18"/>
        </w:rPr>
        <w:t>15</w:t>
      </w:r>
      <w:r>
        <w:rPr>
          <w:color w:val="000000"/>
          <w:spacing w:val="0"/>
          <w:w w:val="100"/>
          <w:position w:val="0"/>
        </w:rPr>
        <w:t>亿元，由于在国投泰康投资期内合伙企业若不能按时足额分配国投泰康投资预期收益等情形下，公司需按相关协议约 定条件受让国投泰康持有的合伙企业份额，因此该有限合伙企业属于本公司控制的结构化主体，纳入合并范围。</w:t>
      </w:r>
    </w:p>
    <w:p>
      <w:pPr>
        <w:pStyle w:val="Style26"/>
        <w:keepNext w:val="0"/>
        <w:keepLines w:val="0"/>
        <w:widowControl w:val="0"/>
        <w:shd w:val="clear" w:color="auto" w:fill="auto"/>
        <w:bidi w:val="0"/>
        <w:spacing w:before="0" w:after="0" w:line="501" w:lineRule="exact"/>
        <w:ind w:left="0" w:right="0" w:firstLine="420"/>
        <w:jc w:val="both"/>
      </w:pPr>
      <w:r>
        <w:rPr>
          <w:rFonts w:ascii="Arial Narrow" w:eastAsia="Arial Narrow" w:hAnsi="Arial Narrow" w:cs="Arial Narrow"/>
          <w:color w:val="000000"/>
          <w:spacing w:val="0"/>
          <w:w w:val="100"/>
          <w:position w:val="0"/>
          <w:sz w:val="18"/>
          <w:szCs w:val="18"/>
        </w:rPr>
        <w:t>2017</w:t>
      </w:r>
      <w:r>
        <w:rPr>
          <w:color w:val="000000"/>
          <w:spacing w:val="0"/>
          <w:w w:val="100"/>
          <w:position w:val="0"/>
        </w:rPr>
        <w:t>年</w:t>
      </w:r>
      <w:r>
        <w:rPr>
          <w:rFonts w:ascii="Arial Narrow" w:eastAsia="Arial Narrow" w:hAnsi="Arial Narrow" w:cs="Arial Narrow"/>
          <w:color w:val="000000"/>
          <w:spacing w:val="0"/>
          <w:w w:val="100"/>
          <w:position w:val="0"/>
          <w:sz w:val="18"/>
          <w:szCs w:val="18"/>
        </w:rPr>
        <w:t>3</w:t>
      </w:r>
      <w:r>
        <w:rPr>
          <w:color w:val="000000"/>
          <w:spacing w:val="0"/>
          <w:w w:val="100"/>
          <w:position w:val="0"/>
        </w:rPr>
        <w:t>月</w:t>
      </w:r>
      <w:r>
        <w:rPr>
          <w:rFonts w:ascii="Arial Narrow" w:eastAsia="Arial Narrow" w:hAnsi="Arial Narrow" w:cs="Arial Narrow"/>
          <w:color w:val="000000"/>
          <w:spacing w:val="0"/>
          <w:w w:val="100"/>
          <w:position w:val="0"/>
          <w:sz w:val="18"/>
          <w:szCs w:val="18"/>
        </w:rPr>
        <w:t xml:space="preserve">17 </w:t>
      </w:r>
      <w:r>
        <w:rPr>
          <w:rFonts w:ascii="Arial" w:eastAsia="Arial" w:hAnsi="Arial" w:cs="Arial"/>
          <w:color w:val="000000"/>
          <w:spacing w:val="0"/>
          <w:w w:val="100"/>
          <w:position w:val="0"/>
          <w:sz w:val="18"/>
          <w:szCs w:val="18"/>
        </w:rPr>
        <w:t>0,</w:t>
      </w:r>
      <w:r>
        <w:rPr>
          <w:color w:val="000000"/>
          <w:spacing w:val="0"/>
          <w:w w:val="100"/>
          <w:position w:val="0"/>
        </w:rPr>
        <w:t xml:space="preserve">本公司与广州南粤产业投资基金管理有限公司（以下简称“广州南粤”）、长城新盛信托有限责任公 </w:t>
      </w:r>
      <w:r>
        <w:rPr>
          <w:color w:val="000000"/>
          <w:spacing w:val="0"/>
          <w:w w:val="100"/>
          <w:position w:val="0"/>
        </w:rPr>
        <w:t>司（以下简称“长城新盛信托”）共同设立广州南粤趋势创新投资中心（有限合伙）（以下简称“广州南粤投资有限合伙”）。 广州南粤作为普通合伙人出资</w:t>
      </w:r>
      <w:r>
        <w:rPr>
          <w:rFonts w:ascii="Arial Narrow" w:eastAsia="Arial Narrow" w:hAnsi="Arial Narrow" w:cs="Arial Narrow"/>
          <w:color w:val="000000"/>
          <w:spacing w:val="0"/>
          <w:w w:val="100"/>
          <w:position w:val="0"/>
          <w:sz w:val="18"/>
          <w:szCs w:val="18"/>
        </w:rPr>
        <w:t>1</w:t>
      </w:r>
      <w:r>
        <w:rPr>
          <w:color w:val="000000"/>
          <w:spacing w:val="0"/>
          <w:w w:val="100"/>
          <w:position w:val="0"/>
        </w:rPr>
        <w:t>万元，长城新盛信托为优先级有限合伙人出资</w:t>
      </w:r>
      <w:r>
        <w:rPr>
          <w:rFonts w:ascii="Arial Narrow" w:eastAsia="Arial Narrow" w:hAnsi="Arial Narrow" w:cs="Arial Narrow"/>
          <w:color w:val="000000"/>
          <w:spacing w:val="0"/>
          <w:w w:val="100"/>
          <w:position w:val="0"/>
          <w:sz w:val="18"/>
          <w:szCs w:val="18"/>
        </w:rPr>
        <w:t>4.95</w:t>
      </w:r>
      <w:r>
        <w:rPr>
          <w:color w:val="000000"/>
          <w:spacing w:val="0"/>
          <w:w w:val="100"/>
          <w:position w:val="0"/>
        </w:rPr>
        <w:t>亿元，本公司作为劣后级有限合伙人出 资</w:t>
      </w:r>
      <w:r>
        <w:rPr>
          <w:rFonts w:ascii="Arial Narrow" w:eastAsia="Arial Narrow" w:hAnsi="Arial Narrow" w:cs="Arial Narrow"/>
          <w:color w:val="000000"/>
          <w:spacing w:val="0"/>
          <w:w w:val="100"/>
          <w:position w:val="0"/>
          <w:sz w:val="18"/>
          <w:szCs w:val="18"/>
        </w:rPr>
        <w:t>2</w:t>
      </w:r>
      <w:r>
        <w:rPr>
          <w:color w:val="000000"/>
          <w:spacing w:val="0"/>
          <w:w w:val="100"/>
          <w:position w:val="0"/>
        </w:rPr>
        <w:t>亿元。合伙企业成立后，本公司向其融资人民币</w:t>
      </w:r>
      <w:r>
        <w:rPr>
          <w:rFonts w:ascii="Arial Narrow" w:eastAsia="Arial Narrow" w:hAnsi="Arial Narrow" w:cs="Arial Narrow"/>
          <w:color w:val="000000"/>
          <w:spacing w:val="0"/>
          <w:w w:val="100"/>
          <w:position w:val="0"/>
          <w:sz w:val="18"/>
          <w:szCs w:val="18"/>
        </w:rPr>
        <w:t>6.95</w:t>
      </w:r>
      <w:r>
        <w:rPr>
          <w:color w:val="000000"/>
          <w:spacing w:val="0"/>
          <w:w w:val="100"/>
          <w:position w:val="0"/>
        </w:rPr>
        <w:t>亿元，由于优先级有限合伙人享有本金及利息优先受偿权，因此 该有限合伙企业属于本公司控制的结构化主体，纳入合并范围。</w:t>
      </w:r>
    </w:p>
    <w:p>
      <w:pPr>
        <w:pStyle w:val="Style26"/>
        <w:keepNext w:val="0"/>
        <w:keepLines w:val="0"/>
        <w:widowControl w:val="0"/>
        <w:shd w:val="clear" w:color="auto" w:fill="auto"/>
        <w:bidi w:val="0"/>
        <w:spacing w:before="0" w:after="0" w:line="502" w:lineRule="exact"/>
        <w:ind w:left="0" w:right="0" w:firstLine="420"/>
        <w:jc w:val="both"/>
      </w:pPr>
      <w:r>
        <w:rPr>
          <w:rFonts w:ascii="Arial Narrow" w:eastAsia="Arial Narrow" w:hAnsi="Arial Narrow" w:cs="Arial Narrow"/>
          <w:color w:val="000000"/>
          <w:spacing w:val="0"/>
          <w:w w:val="100"/>
          <w:position w:val="0"/>
          <w:sz w:val="18"/>
          <w:szCs w:val="18"/>
        </w:rPr>
        <w:t>2017</w:t>
      </w:r>
      <w:r>
        <w:rPr>
          <w:color w:val="000000"/>
          <w:spacing w:val="0"/>
          <w:w w:val="100"/>
          <w:position w:val="0"/>
        </w:rPr>
        <w:t>年</w:t>
      </w:r>
      <w:r>
        <w:rPr>
          <w:rFonts w:ascii="Arial Narrow" w:eastAsia="Arial Narrow" w:hAnsi="Arial Narrow" w:cs="Arial Narrow"/>
          <w:color w:val="000000"/>
          <w:spacing w:val="0"/>
          <w:w w:val="100"/>
          <w:position w:val="0"/>
          <w:sz w:val="18"/>
          <w:szCs w:val="18"/>
        </w:rPr>
        <w:t>6</w:t>
      </w:r>
      <w:r>
        <w:rPr>
          <w:color w:val="000000"/>
          <w:spacing w:val="0"/>
          <w:w w:val="100"/>
          <w:position w:val="0"/>
        </w:rPr>
        <w:t>月</w:t>
      </w:r>
      <w:r>
        <w:rPr>
          <w:rFonts w:ascii="Arial Narrow" w:eastAsia="Arial Narrow" w:hAnsi="Arial Narrow" w:cs="Arial Narrow"/>
          <w:color w:val="000000"/>
          <w:spacing w:val="0"/>
          <w:w w:val="100"/>
          <w:position w:val="0"/>
          <w:sz w:val="18"/>
          <w:szCs w:val="18"/>
        </w:rPr>
        <w:t>14</w:t>
      </w:r>
      <w:r>
        <w:rPr>
          <w:color w:val="000000"/>
          <w:spacing w:val="0"/>
          <w:w w:val="100"/>
          <w:position w:val="0"/>
        </w:rPr>
        <w:t>日，本公司全资子公司东旭新能源投资有限公司向中信信托有限责任公司的“信金东旭二期新能源投资 基金”融资</w:t>
      </w:r>
      <w:r>
        <w:rPr>
          <w:rFonts w:ascii="Arial Narrow" w:eastAsia="Arial Narrow" w:hAnsi="Arial Narrow" w:cs="Arial Narrow"/>
          <w:color w:val="000000"/>
          <w:spacing w:val="0"/>
          <w:w w:val="100"/>
          <w:position w:val="0"/>
          <w:sz w:val="18"/>
          <w:szCs w:val="18"/>
        </w:rPr>
        <w:t>7.5</w:t>
      </w:r>
      <w:r>
        <w:rPr>
          <w:color w:val="000000"/>
          <w:spacing w:val="0"/>
          <w:w w:val="100"/>
          <w:position w:val="0"/>
        </w:rPr>
        <w:t>亿元信托资金。基金计划由本公司的控股股东东旭集团有限公司作为保证人，本公司作为基金计划的次级委 托人，出资</w:t>
      </w:r>
      <w:r>
        <w:rPr>
          <w:rFonts w:ascii="Arial Narrow" w:eastAsia="Arial Narrow" w:hAnsi="Arial Narrow" w:cs="Arial Narrow"/>
          <w:color w:val="000000"/>
          <w:spacing w:val="0"/>
          <w:w w:val="100"/>
          <w:position w:val="0"/>
          <w:sz w:val="18"/>
          <w:szCs w:val="18"/>
        </w:rPr>
        <w:t>2.5</w:t>
      </w:r>
      <w:r>
        <w:rPr>
          <w:color w:val="000000"/>
          <w:spacing w:val="0"/>
          <w:w w:val="100"/>
          <w:position w:val="0"/>
        </w:rPr>
        <w:t>亿认购次级收益权，并约定公司按相关协议约定条件受让中信信托有限公司持有的合伙企业份额。因此该信 托计划属于本公司控制的结构化主体，纳入合并范围。</w:t>
      </w:r>
    </w:p>
    <w:p>
      <w:pPr>
        <w:pStyle w:val="Style26"/>
        <w:keepNext w:val="0"/>
        <w:keepLines w:val="0"/>
        <w:widowControl w:val="0"/>
        <w:shd w:val="clear" w:color="auto" w:fill="auto"/>
        <w:bidi w:val="0"/>
        <w:spacing w:before="0" w:after="0" w:line="502" w:lineRule="exact"/>
        <w:ind w:left="0" w:right="0" w:firstLine="420"/>
        <w:jc w:val="both"/>
      </w:pPr>
      <w:r>
        <w:rPr>
          <w:rFonts w:ascii="Arial Narrow" w:eastAsia="Arial Narrow" w:hAnsi="Arial Narrow" w:cs="Arial Narrow"/>
          <w:color w:val="000000"/>
          <w:spacing w:val="0"/>
          <w:w w:val="100"/>
          <w:position w:val="0"/>
          <w:sz w:val="18"/>
          <w:szCs w:val="18"/>
        </w:rPr>
        <w:t>2017</w:t>
      </w:r>
      <w:r>
        <w:rPr>
          <w:color w:val="000000"/>
          <w:spacing w:val="0"/>
          <w:w w:val="100"/>
          <w:position w:val="0"/>
        </w:rPr>
        <w:t>年</w:t>
      </w:r>
      <w:r>
        <w:rPr>
          <w:rFonts w:ascii="Arial Narrow" w:eastAsia="Arial Narrow" w:hAnsi="Arial Narrow" w:cs="Arial Narrow"/>
          <w:color w:val="000000"/>
          <w:spacing w:val="0"/>
          <w:w w:val="100"/>
          <w:position w:val="0"/>
          <w:sz w:val="18"/>
          <w:szCs w:val="18"/>
        </w:rPr>
        <w:t>5</w:t>
      </w:r>
      <w:r>
        <w:rPr>
          <w:color w:val="000000"/>
          <w:spacing w:val="0"/>
          <w:w w:val="100"/>
          <w:position w:val="0"/>
        </w:rPr>
        <w:t>月</w:t>
      </w:r>
      <w:r>
        <w:rPr>
          <w:rFonts w:ascii="Arial Narrow" w:eastAsia="Arial Narrow" w:hAnsi="Arial Narrow" w:cs="Arial Narrow"/>
          <w:color w:val="000000"/>
          <w:spacing w:val="0"/>
          <w:w w:val="100"/>
          <w:position w:val="0"/>
          <w:sz w:val="18"/>
          <w:szCs w:val="18"/>
        </w:rPr>
        <w:t>9</w:t>
      </w:r>
      <w:r>
        <w:rPr>
          <w:color w:val="000000"/>
          <w:spacing w:val="0"/>
          <w:w w:val="100"/>
          <w:position w:val="0"/>
        </w:rPr>
        <w:t>日，本公司与中国信达资产管理股份有限公司（以下简称“中国信达”）、信达资本管理有限公司（以下简 称“信达资本”）共同投资设立宁波梅山保税港区东信旭新能源投资合伙企业（有限合伙）（以下简称“宁波东信旭新能源 合伙”）。信达资本作为普通合伙人出资</w:t>
      </w:r>
      <w:r>
        <w:rPr>
          <w:rFonts w:ascii="Arial Narrow" w:eastAsia="Arial Narrow" w:hAnsi="Arial Narrow" w:cs="Arial Narrow"/>
          <w:color w:val="000000"/>
          <w:spacing w:val="0"/>
          <w:w w:val="100"/>
          <w:position w:val="0"/>
          <w:sz w:val="18"/>
          <w:szCs w:val="18"/>
        </w:rPr>
        <w:t>100</w:t>
      </w:r>
      <w:r>
        <w:rPr>
          <w:color w:val="000000"/>
          <w:spacing w:val="0"/>
          <w:w w:val="100"/>
          <w:position w:val="0"/>
        </w:rPr>
        <w:t>万元，中国信达作为作为有限合伙人</w:t>
      </w:r>
      <w:r>
        <w:rPr>
          <w:rFonts w:ascii="Arial Narrow" w:eastAsia="Arial Narrow" w:hAnsi="Arial Narrow" w:cs="Arial Narrow"/>
          <w:color w:val="000000"/>
          <w:spacing w:val="0"/>
          <w:w w:val="100"/>
          <w:position w:val="0"/>
          <w:sz w:val="18"/>
          <w:szCs w:val="18"/>
        </w:rPr>
        <w:t>A</w:t>
      </w:r>
      <w:r>
        <w:rPr>
          <w:color w:val="000000"/>
          <w:spacing w:val="0"/>
          <w:w w:val="100"/>
          <w:position w:val="0"/>
        </w:rPr>
        <w:t>类资金认缴出资人认缴</w:t>
      </w:r>
      <w:r>
        <w:rPr>
          <w:rFonts w:ascii="Arial Narrow" w:eastAsia="Arial Narrow" w:hAnsi="Arial Narrow" w:cs="Arial Narrow"/>
          <w:color w:val="000000"/>
          <w:spacing w:val="0"/>
          <w:w w:val="100"/>
          <w:position w:val="0"/>
          <w:sz w:val="18"/>
          <w:szCs w:val="18"/>
        </w:rPr>
        <w:t>8.8</w:t>
      </w:r>
      <w:r>
        <w:rPr>
          <w:color w:val="000000"/>
          <w:spacing w:val="0"/>
          <w:w w:val="100"/>
          <w:position w:val="0"/>
        </w:rPr>
        <w:t>亿元，作为</w:t>
      </w:r>
      <w:r>
        <w:rPr>
          <w:rFonts w:ascii="Arial Narrow" w:eastAsia="Arial Narrow" w:hAnsi="Arial Narrow" w:cs="Arial Narrow"/>
          <w:color w:val="000000"/>
          <w:spacing w:val="0"/>
          <w:w w:val="100"/>
          <w:position w:val="0"/>
          <w:sz w:val="18"/>
          <w:szCs w:val="18"/>
        </w:rPr>
        <w:t xml:space="preserve">B </w:t>
      </w:r>
      <w:r>
        <w:rPr>
          <w:color w:val="000000"/>
          <w:spacing w:val="0"/>
          <w:w w:val="100"/>
          <w:position w:val="0"/>
        </w:rPr>
        <w:t>类资金认缴出资人认缴</w:t>
      </w:r>
      <w:r>
        <w:rPr>
          <w:rFonts w:ascii="Arial Narrow" w:eastAsia="Arial Narrow" w:hAnsi="Arial Narrow" w:cs="Arial Narrow"/>
          <w:color w:val="000000"/>
          <w:spacing w:val="0"/>
          <w:w w:val="100"/>
          <w:position w:val="0"/>
          <w:sz w:val="18"/>
          <w:szCs w:val="18"/>
        </w:rPr>
        <w:t>4.39</w:t>
      </w:r>
      <w:r>
        <w:rPr>
          <w:color w:val="000000"/>
          <w:spacing w:val="0"/>
          <w:w w:val="100"/>
          <w:position w:val="0"/>
        </w:rPr>
        <w:t>亿元，本公司作为有限合伙人</w:t>
      </w:r>
      <w:r>
        <w:rPr>
          <w:rFonts w:ascii="Arial Narrow" w:eastAsia="Arial Narrow" w:hAnsi="Arial Narrow" w:cs="Arial Narrow"/>
          <w:color w:val="000000"/>
          <w:spacing w:val="0"/>
          <w:w w:val="100"/>
          <w:position w:val="0"/>
          <w:sz w:val="18"/>
          <w:szCs w:val="18"/>
        </w:rPr>
        <w:t>C</w:t>
      </w:r>
      <w:r>
        <w:rPr>
          <w:color w:val="000000"/>
          <w:spacing w:val="0"/>
          <w:w w:val="100"/>
          <w:position w:val="0"/>
        </w:rPr>
        <w:t>类资金认缴出资人认缴</w:t>
      </w:r>
      <w:r>
        <w:rPr>
          <w:rFonts w:ascii="Arial Narrow" w:eastAsia="Arial Narrow" w:hAnsi="Arial Narrow" w:cs="Arial Narrow"/>
          <w:color w:val="000000"/>
          <w:spacing w:val="0"/>
          <w:w w:val="100"/>
          <w:position w:val="0"/>
          <w:sz w:val="18"/>
          <w:szCs w:val="18"/>
        </w:rPr>
        <w:t>4.4</w:t>
      </w:r>
      <w:r>
        <w:rPr>
          <w:color w:val="000000"/>
          <w:spacing w:val="0"/>
          <w:w w:val="100"/>
          <w:position w:val="0"/>
        </w:rPr>
        <w:t>亿元。合伙企业成立后，主要对已运 营并产生现金流的新能源电站项目进行股权投资。由于宁波东信旭新能源合伙收益按照</w:t>
      </w:r>
      <w:r>
        <w:rPr>
          <w:rFonts w:ascii="Arial Narrow" w:eastAsia="Arial Narrow" w:hAnsi="Arial Narrow" w:cs="Arial Narrow"/>
          <w:color w:val="000000"/>
          <w:spacing w:val="0"/>
          <w:w w:val="100"/>
          <w:position w:val="0"/>
          <w:sz w:val="18"/>
          <w:szCs w:val="18"/>
        </w:rPr>
        <w:t>A</w:t>
      </w:r>
      <w:r>
        <w:rPr>
          <w:color w:val="000000"/>
          <w:spacing w:val="0"/>
          <w:w w:val="100"/>
          <w:position w:val="0"/>
        </w:rPr>
        <w:t>类资金认缴出资人、</w:t>
      </w:r>
      <w:r>
        <w:rPr>
          <w:rFonts w:ascii="Arial Narrow" w:eastAsia="Arial Narrow" w:hAnsi="Arial Narrow" w:cs="Arial Narrow"/>
          <w:color w:val="000000"/>
          <w:spacing w:val="0"/>
          <w:w w:val="100"/>
          <w:position w:val="0"/>
          <w:sz w:val="18"/>
          <w:szCs w:val="18"/>
        </w:rPr>
        <w:t>B</w:t>
      </w:r>
      <w:r>
        <w:rPr>
          <w:color w:val="000000"/>
          <w:spacing w:val="0"/>
          <w:w w:val="100"/>
          <w:position w:val="0"/>
        </w:rPr>
        <w:t>类资金认缴 出资人、</w:t>
      </w:r>
      <w:r>
        <w:rPr>
          <w:rFonts w:ascii="Arial Narrow" w:eastAsia="Arial Narrow" w:hAnsi="Arial Narrow" w:cs="Arial Narrow"/>
          <w:color w:val="000000"/>
          <w:spacing w:val="0"/>
          <w:w w:val="100"/>
          <w:position w:val="0"/>
          <w:sz w:val="18"/>
          <w:szCs w:val="18"/>
        </w:rPr>
        <w:t>C</w:t>
      </w:r>
      <w:r>
        <w:rPr>
          <w:color w:val="000000"/>
          <w:spacing w:val="0"/>
          <w:w w:val="100"/>
          <w:position w:val="0"/>
        </w:rPr>
        <w:t>类资金认缴出资人顺序分配，且本公司承诺以收购宁波东信旭新能源合伙持有的项目公司股权的方式，使中国信 达、信达资本的投资得以退出，因此该有限合伙企业属于本公司控制的结构化主体，纳入合并范围。</w:t>
      </w:r>
    </w:p>
    <w:p>
      <w:pPr>
        <w:pStyle w:val="Style26"/>
        <w:keepNext w:val="0"/>
        <w:keepLines w:val="0"/>
        <w:widowControl w:val="0"/>
        <w:shd w:val="clear" w:color="auto" w:fill="auto"/>
        <w:bidi w:val="0"/>
        <w:spacing w:before="0" w:after="0" w:line="502" w:lineRule="exact"/>
        <w:ind w:left="0" w:right="0" w:firstLine="420"/>
        <w:jc w:val="both"/>
      </w:pPr>
      <w:r>
        <w:rPr>
          <w:rFonts w:ascii="Arial Narrow" w:eastAsia="Arial Narrow" w:hAnsi="Arial Narrow" w:cs="Arial Narrow"/>
          <w:color w:val="000000"/>
          <w:spacing w:val="0"/>
          <w:w w:val="100"/>
          <w:position w:val="0"/>
          <w:sz w:val="18"/>
          <w:szCs w:val="18"/>
        </w:rPr>
        <w:t>2017</w:t>
      </w:r>
      <w:r>
        <w:rPr>
          <w:color w:val="000000"/>
          <w:spacing w:val="0"/>
          <w:w w:val="100"/>
          <w:position w:val="0"/>
        </w:rPr>
        <w:t>年</w:t>
      </w:r>
      <w:r>
        <w:rPr>
          <w:rFonts w:ascii="Arial Narrow" w:eastAsia="Arial Narrow" w:hAnsi="Arial Narrow" w:cs="Arial Narrow"/>
          <w:color w:val="000000"/>
          <w:spacing w:val="0"/>
          <w:w w:val="100"/>
          <w:position w:val="0"/>
          <w:sz w:val="18"/>
          <w:szCs w:val="18"/>
        </w:rPr>
        <w:t>9</w:t>
      </w:r>
      <w:r>
        <w:rPr>
          <w:color w:val="000000"/>
          <w:spacing w:val="0"/>
          <w:w w:val="100"/>
          <w:position w:val="0"/>
        </w:rPr>
        <w:t>月</w:t>
      </w:r>
      <w:r>
        <w:rPr>
          <w:rFonts w:ascii="Arial Narrow" w:eastAsia="Arial Narrow" w:hAnsi="Arial Narrow" w:cs="Arial Narrow"/>
          <w:color w:val="000000"/>
          <w:spacing w:val="0"/>
          <w:w w:val="100"/>
          <w:position w:val="0"/>
          <w:sz w:val="18"/>
          <w:szCs w:val="18"/>
        </w:rPr>
        <w:t>29</w:t>
      </w:r>
      <w:r>
        <w:rPr>
          <w:color w:val="000000"/>
          <w:spacing w:val="0"/>
          <w:w w:val="100"/>
          <w:position w:val="0"/>
        </w:rPr>
        <w:t>日，本公司与宁波鼎杭投资管理有限公司（以下简称“宁波鼎杭”）、天津信托有限责任公司（以下简称 “天津信托”）共同投资设立杭州旭海鼎杭投资管理合伙企业（有限合伙）（以下简称“杭州旭海合伙”）。宁波鼎杭作为普 通合伙人出资</w:t>
      </w:r>
      <w:r>
        <w:rPr>
          <w:rFonts w:ascii="Arial Narrow" w:eastAsia="Arial Narrow" w:hAnsi="Arial Narrow" w:cs="Arial Narrow"/>
          <w:color w:val="000000"/>
          <w:spacing w:val="0"/>
          <w:w w:val="100"/>
          <w:position w:val="0"/>
          <w:sz w:val="18"/>
          <w:szCs w:val="18"/>
        </w:rPr>
        <w:t>100</w:t>
      </w:r>
      <w:r>
        <w:rPr>
          <w:color w:val="000000"/>
          <w:spacing w:val="0"/>
          <w:w w:val="100"/>
          <w:position w:val="0"/>
        </w:rPr>
        <w:t>万元，天津信托作为优先级有限合伙人出资</w:t>
      </w:r>
      <w:r>
        <w:rPr>
          <w:rFonts w:ascii="Arial Narrow" w:eastAsia="Arial Narrow" w:hAnsi="Arial Narrow" w:cs="Arial Narrow"/>
          <w:color w:val="000000"/>
          <w:spacing w:val="0"/>
          <w:w w:val="100"/>
          <w:position w:val="0"/>
          <w:sz w:val="18"/>
          <w:szCs w:val="18"/>
        </w:rPr>
        <w:t>10</w:t>
      </w:r>
      <w:r>
        <w:rPr>
          <w:color w:val="000000"/>
          <w:spacing w:val="0"/>
          <w:w w:val="100"/>
          <w:position w:val="0"/>
        </w:rPr>
        <w:t>亿元，本公司作为劣后级有限合伙人出资</w:t>
      </w:r>
      <w:r>
        <w:rPr>
          <w:rFonts w:ascii="Arial Narrow" w:eastAsia="Arial Narrow" w:hAnsi="Arial Narrow" w:cs="Arial Narrow"/>
          <w:color w:val="000000"/>
          <w:spacing w:val="0"/>
          <w:w w:val="100"/>
          <w:position w:val="0"/>
          <w:sz w:val="18"/>
          <w:szCs w:val="18"/>
        </w:rPr>
        <w:t>5</w:t>
      </w:r>
      <w:r>
        <w:rPr>
          <w:color w:val="000000"/>
          <w:spacing w:val="0"/>
          <w:w w:val="100"/>
          <w:position w:val="0"/>
        </w:rPr>
        <w:t>亿元。合伙企 业成立后，公司全资子公司东旭新能源投资有限公司向其融资人民币</w:t>
      </w:r>
      <w:r>
        <w:rPr>
          <w:rFonts w:ascii="Arial Narrow" w:eastAsia="Arial Narrow" w:hAnsi="Arial Narrow" w:cs="Arial Narrow"/>
          <w:color w:val="000000"/>
          <w:spacing w:val="0"/>
          <w:w w:val="100"/>
          <w:position w:val="0"/>
          <w:sz w:val="18"/>
          <w:szCs w:val="18"/>
        </w:rPr>
        <w:t>15</w:t>
      </w:r>
      <w:r>
        <w:rPr>
          <w:color w:val="000000"/>
          <w:spacing w:val="0"/>
          <w:w w:val="100"/>
          <w:position w:val="0"/>
        </w:rPr>
        <w:t>亿元，由于在天津信托投资期内合伙企业若不能按 时足额分配天津信托投资预期收益等情形下，公司需按相关协议约定条件受让天津信托持有的合伙企业份额，因此该有限合 伙企业属于本公司控制的结构化主体，纳入合并范围。</w:t>
      </w:r>
    </w:p>
    <w:p>
      <w:pPr>
        <w:pStyle w:val="Style26"/>
        <w:keepNext w:val="0"/>
        <w:keepLines w:val="0"/>
        <w:widowControl w:val="0"/>
        <w:shd w:val="clear" w:color="auto" w:fill="auto"/>
        <w:tabs>
          <w:tab w:pos="824" w:val="left"/>
        </w:tabs>
        <w:bidi w:val="0"/>
        <w:spacing w:before="0" w:after="0" w:line="502" w:lineRule="exact"/>
        <w:ind w:left="0" w:right="0" w:firstLine="420"/>
        <w:jc w:val="both"/>
      </w:pPr>
      <w:bookmarkStart w:id="1193" w:name="bookmark1193"/>
      <w:r>
        <w:rPr>
          <w:color w:val="000000"/>
          <w:spacing w:val="0"/>
          <w:w w:val="100"/>
          <w:position w:val="0"/>
        </w:rPr>
        <w:t>（</w:t>
      </w:r>
      <w:bookmarkEnd w:id="1193"/>
      <w:r>
        <w:rPr>
          <w:rFonts w:ascii="Arial Narrow" w:eastAsia="Arial Narrow" w:hAnsi="Arial Narrow" w:cs="Arial Narrow"/>
          <w:color w:val="000000"/>
          <w:spacing w:val="0"/>
          <w:w w:val="100"/>
          <w:position w:val="0"/>
          <w:sz w:val="18"/>
          <w:szCs w:val="18"/>
        </w:rPr>
        <w:t>2</w:t>
      </w:r>
      <w:r>
        <w:rPr>
          <w:color w:val="000000"/>
          <w:spacing w:val="0"/>
          <w:w w:val="100"/>
          <w:position w:val="0"/>
        </w:rPr>
        <w:t>）</w:t>
        <w:tab/>
        <w:t>本公司本期无重要的非全资子公司。</w:t>
      </w:r>
    </w:p>
    <w:p>
      <w:pPr>
        <w:pStyle w:val="Style26"/>
        <w:keepNext w:val="0"/>
        <w:keepLines w:val="0"/>
        <w:widowControl w:val="0"/>
        <w:shd w:val="clear" w:color="auto" w:fill="auto"/>
        <w:tabs>
          <w:tab w:pos="824" w:val="left"/>
        </w:tabs>
        <w:bidi w:val="0"/>
        <w:spacing w:before="0" w:after="160" w:line="502" w:lineRule="exact"/>
        <w:ind w:left="0" w:right="0" w:firstLine="420"/>
        <w:jc w:val="both"/>
      </w:pPr>
      <w:bookmarkStart w:id="1194" w:name="bookmark1194"/>
      <w:r>
        <w:rPr>
          <w:color w:val="000000"/>
          <w:spacing w:val="0"/>
          <w:w w:val="100"/>
          <w:position w:val="0"/>
        </w:rPr>
        <w:t>（</w:t>
      </w:r>
      <w:bookmarkEnd w:id="1194"/>
      <w:r>
        <w:rPr>
          <w:rFonts w:ascii="Arial Narrow" w:eastAsia="Arial Narrow" w:hAnsi="Arial Narrow" w:cs="Arial Narrow"/>
          <w:color w:val="000000"/>
          <w:spacing w:val="0"/>
          <w:w w:val="100"/>
          <w:position w:val="0"/>
          <w:sz w:val="18"/>
          <w:szCs w:val="18"/>
        </w:rPr>
        <w:t>3</w:t>
      </w:r>
      <w:r>
        <w:rPr>
          <w:color w:val="000000"/>
          <w:spacing w:val="0"/>
          <w:w w:val="100"/>
          <w:position w:val="0"/>
        </w:rPr>
        <w:t>）</w:t>
        <w:tab/>
        <w:t>持有半数及半数以上表决权比例，但未纳入合并范围的公司</w:t>
      </w:r>
    </w:p>
    <w:p>
      <w:pPr>
        <w:pStyle w:val="Style26"/>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以下公司经本公司董事会决议，处于依法清算阶段，本公司已对该等公司无实质控制权，未纳入财务报表合并范围。</w:t>
      </w:r>
    </w:p>
    <w:tbl>
      <w:tblPr>
        <w:tblOverlap w:val="never"/>
        <w:jc w:val="center"/>
        <w:tblLayout w:type="fixed"/>
      </w:tblPr>
      <w:tblGrid>
        <w:gridCol w:w="3322"/>
        <w:gridCol w:w="725"/>
        <w:gridCol w:w="1032"/>
        <w:gridCol w:w="864"/>
        <w:gridCol w:w="864"/>
        <w:gridCol w:w="893"/>
        <w:gridCol w:w="1507"/>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子公司名称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注册资本</w:t>
            </w:r>
          </w:p>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万元</w:t>
            </w:r>
            <w:r>
              <w:rPr>
                <w:rFonts w:ascii="SimSun" w:eastAsia="SimSun" w:hAnsi="SimSun" w:cs="SimSun"/>
                <w:b/>
                <w:bCs/>
                <w:color w:val="000000"/>
                <w:spacing w:val="0"/>
                <w:w w:val="100"/>
                <w:position w:val="0"/>
                <w:sz w:val="22"/>
                <w:szCs w:val="22"/>
              </w:rPr>
              <w:t>）</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投资额</w:t>
            </w:r>
          </w:p>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万元</w:t>
            </w:r>
            <w:r>
              <w:rPr>
                <w:rFonts w:ascii="SimSun" w:eastAsia="SimSun" w:hAnsi="SimSun" w:cs="SimSun"/>
                <w:b/>
                <w:bCs/>
                <w:color w:val="000000"/>
                <w:spacing w:val="0"/>
                <w:w w:val="100"/>
                <w:position w:val="0"/>
                <w:sz w:val="22"/>
                <w:szCs w:val="22"/>
              </w:rPr>
              <w:t>）</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占权益比例（</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17"/>
                <w:szCs w:val="17"/>
              </w:rPr>
              <w:t>）</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b/>
                <w:bCs/>
                <w:color w:val="000000"/>
                <w:spacing w:val="0"/>
                <w:w w:val="100"/>
                <w:position w:val="0"/>
                <w:sz w:val="17"/>
                <w:szCs w:val="17"/>
              </w:rPr>
              <w:t>主营业务</w:t>
            </w:r>
          </w:p>
        </w:tc>
      </w:tr>
      <w:tr>
        <w:trPr>
          <w:trHeight w:val="42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直接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间接</w:t>
            </w:r>
          </w:p>
        </w:tc>
        <w:tc>
          <w:tcPr>
            <w:vMerge/>
            <w:tcBorders>
              <w:left w:val="single" w:sz="4"/>
            </w:tcBorders>
            <w:shd w:val="clear" w:color="auto" w:fill="FFFFFF"/>
            <w:vAlign w:val="center"/>
          </w:tcPr>
          <w:p>
            <w:pP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未纳入合并范围的子公司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西安鸿腾生物科技有限责任公司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西安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生物制药</w:t>
            </w:r>
          </w:p>
        </w:tc>
      </w:tr>
    </w:tbl>
    <w:p>
      <w:pPr>
        <w:widowControl w:val="0"/>
        <w:spacing w:line="1" w:lineRule="exact"/>
      </w:pPr>
    </w:p>
    <w:tbl>
      <w:tblPr>
        <w:tblOverlap w:val="never"/>
        <w:jc w:val="center"/>
        <w:tblLayout w:type="fixed"/>
      </w:tblPr>
      <w:tblGrid>
        <w:gridCol w:w="3326"/>
        <w:gridCol w:w="725"/>
        <w:gridCol w:w="1032"/>
        <w:gridCol w:w="864"/>
        <w:gridCol w:w="864"/>
        <w:gridCol w:w="893"/>
        <w:gridCol w:w="1507"/>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子公司名称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注册资本</w:t>
            </w:r>
          </w:p>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万元</w:t>
            </w:r>
            <w:r>
              <w:rPr>
                <w:rFonts w:ascii="SimSun" w:eastAsia="SimSun" w:hAnsi="SimSun" w:cs="SimSun"/>
                <w:b/>
                <w:bCs/>
                <w:color w:val="000000"/>
                <w:spacing w:val="0"/>
                <w:w w:val="100"/>
                <w:position w:val="0"/>
                <w:sz w:val="22"/>
                <w:szCs w:val="22"/>
              </w:rPr>
              <w:t>）</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投资额</w:t>
            </w:r>
          </w:p>
          <w:p>
            <w:pPr>
              <w:pStyle w:val="Style19"/>
              <w:keepNext w:val="0"/>
              <w:keepLines w:val="0"/>
              <w:widowControl w:val="0"/>
              <w:shd w:val="clear" w:color="auto" w:fill="auto"/>
              <w:bidi w:val="0"/>
              <w:spacing w:before="0" w:after="0" w:line="240" w:lineRule="auto"/>
              <w:ind w:left="0" w:right="0" w:firstLine="0"/>
              <w:jc w:val="center"/>
              <w:rPr>
                <w:sz w:val="22"/>
                <w:szCs w:val="22"/>
              </w:rPr>
            </w:pP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万元</w:t>
            </w:r>
            <w:r>
              <w:rPr>
                <w:rFonts w:ascii="SimSun" w:eastAsia="SimSun" w:hAnsi="SimSun" w:cs="SimSun"/>
                <w:b/>
                <w:bCs/>
                <w:color w:val="000000"/>
                <w:spacing w:val="0"/>
                <w:w w:val="100"/>
                <w:position w:val="0"/>
                <w:sz w:val="22"/>
                <w:szCs w:val="22"/>
              </w:rPr>
              <w:t>）</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占权益比例（</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17"/>
                <w:szCs w:val="17"/>
              </w:rPr>
              <w:t>）</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主营业务</w:t>
            </w:r>
          </w:p>
        </w:tc>
      </w:tr>
      <w:tr>
        <w:trPr>
          <w:trHeight w:val="42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直接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间接</w:t>
            </w:r>
          </w:p>
        </w:tc>
        <w:tc>
          <w:tcPr>
            <w:vMerge/>
            <w:tcBorders>
              <w:left w:val="single" w:sz="4"/>
            </w:tcBorders>
            <w:shd w:val="clear" w:color="auto" w:fill="FFFFFF"/>
            <w:vAlign w:val="center"/>
          </w:tcPr>
          <w:p>
            <w:pPr/>
          </w:p>
        </w:tc>
      </w:tr>
      <w:tr>
        <w:trPr>
          <w:trHeight w:val="4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深圳市鸿南建筑机械工程有限公司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324.00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机械生产销售</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深运工贸翠苑旅店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旅店、服务</w:t>
            </w:r>
          </w:p>
        </w:tc>
      </w:tr>
      <w:tr>
        <w:trPr>
          <w:trHeight w:val="48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深圳市鸿基广源贸易有限公司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rFonts w:ascii="Arial Narrow" w:eastAsia="Arial Narrow" w:hAnsi="Arial Narrow" w:cs="Arial Narrow"/>
                <w:color w:val="000000"/>
                <w:spacing w:val="0"/>
                <w:w w:val="100"/>
                <w:position w:val="0"/>
                <w:sz w:val="18"/>
                <w:szCs w:val="18"/>
              </w:rPr>
              <w:t>400.00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进出口及代理</w:t>
            </w:r>
          </w:p>
        </w:tc>
      </w:tr>
    </w:tbl>
    <w:p>
      <w:pPr>
        <w:widowControl w:val="0"/>
        <w:spacing w:after="199" w:line="1" w:lineRule="exact"/>
      </w:pPr>
    </w:p>
    <w:p>
      <w:pPr>
        <w:pStyle w:val="Style33"/>
        <w:keepNext w:val="0"/>
        <w:keepLines w:val="0"/>
        <w:widowControl w:val="0"/>
        <w:shd w:val="clear" w:color="auto" w:fill="auto"/>
        <w:bidi w:val="0"/>
        <w:spacing w:before="0" w:after="0" w:line="240" w:lineRule="auto"/>
        <w:ind w:left="0" w:right="0" w:firstLine="560"/>
        <w:jc w:val="left"/>
      </w:pPr>
      <w:bookmarkStart w:id="1195" w:name="bookmark1195"/>
      <w:r>
        <w:rPr>
          <w:color w:val="000000"/>
          <w:spacing w:val="0"/>
          <w:w w:val="100"/>
          <w:position w:val="0"/>
        </w:rPr>
        <w:t>（</w:t>
      </w:r>
      <w:bookmarkEnd w:id="1195"/>
      <w:r>
        <w:rPr>
          <w:b/>
          <w:bCs/>
          <w:color w:val="000000"/>
          <w:spacing w:val="0"/>
          <w:w w:val="100"/>
          <w:position w:val="0"/>
        </w:rPr>
        <w:t>4</w:t>
      </w:r>
      <w:r>
        <w:rPr>
          <w:color w:val="000000"/>
          <w:spacing w:val="0"/>
          <w:w w:val="100"/>
          <w:position w:val="0"/>
        </w:rPr>
        <w:t>）本期非全资子公司内部股权比例变动情况</w:t>
      </w:r>
    </w:p>
    <w:p>
      <w:pPr>
        <w:pStyle w:val="Style33"/>
        <w:keepNext w:val="0"/>
        <w:keepLines w:val="0"/>
        <w:widowControl w:val="0"/>
        <w:shd w:val="clear" w:color="auto" w:fill="auto"/>
        <w:bidi w:val="0"/>
        <w:spacing w:before="0" w:after="140" w:line="494" w:lineRule="exact"/>
        <w:ind w:left="140" w:right="0" w:firstLine="420"/>
        <w:jc w:val="left"/>
      </w:pPr>
      <w:r>
        <w:rPr>
          <w:color w:val="000000"/>
          <w:spacing w:val="0"/>
          <w:w w:val="100"/>
          <w:position w:val="0"/>
        </w:rPr>
        <w:t>大庆市红岗区旭峰新能源有限公司、大庆市红岗区旭通新能源有限公司持股比例由</w:t>
      </w:r>
      <w:r>
        <w:rPr>
          <w:b/>
          <w:bCs/>
          <w:color w:val="000000"/>
          <w:spacing w:val="0"/>
          <w:w w:val="100"/>
          <w:position w:val="0"/>
        </w:rPr>
        <w:t>90%</w:t>
      </w:r>
      <w:r>
        <w:rPr>
          <w:color w:val="000000"/>
          <w:spacing w:val="0"/>
          <w:w w:val="100"/>
          <w:position w:val="0"/>
        </w:rPr>
        <w:t>变更为</w:t>
      </w:r>
      <w:r>
        <w:rPr>
          <w:b/>
          <w:bCs/>
          <w:color w:val="000000"/>
          <w:spacing w:val="0"/>
          <w:w w:val="100"/>
          <w:position w:val="0"/>
        </w:rPr>
        <w:t>100%</w:t>
      </w:r>
      <w:r>
        <w:rPr>
          <w:color w:val="000000"/>
          <w:spacing w:val="0"/>
          <w:w w:val="100"/>
          <w:position w:val="0"/>
        </w:rPr>
        <w:t>; 汪清县振发投资有限公司持股比例由</w:t>
      </w:r>
      <w:r>
        <w:rPr>
          <w:b/>
          <w:bCs/>
          <w:color w:val="000000"/>
          <w:spacing w:val="0"/>
          <w:w w:val="100"/>
          <w:position w:val="0"/>
        </w:rPr>
        <w:t>96%</w:t>
      </w:r>
      <w:r>
        <w:rPr>
          <w:color w:val="000000"/>
          <w:spacing w:val="0"/>
          <w:w w:val="100"/>
          <w:position w:val="0"/>
        </w:rPr>
        <w:t>变更为</w:t>
      </w:r>
      <w:r>
        <w:rPr>
          <w:b/>
          <w:bCs/>
          <w:color w:val="000000"/>
          <w:spacing w:val="0"/>
          <w:w w:val="100"/>
          <w:position w:val="0"/>
        </w:rPr>
        <w:t>80%</w:t>
      </w:r>
      <w:r>
        <w:rPr>
          <w:color w:val="000000"/>
          <w:spacing w:val="0"/>
          <w:w w:val="100"/>
          <w:position w:val="0"/>
        </w:rPr>
        <w:t>；福建升通网络传媒有限公司持股比例由</w:t>
      </w:r>
      <w:r>
        <w:rPr>
          <w:b/>
          <w:bCs/>
          <w:color w:val="000000"/>
          <w:spacing w:val="0"/>
          <w:w w:val="100"/>
          <w:position w:val="0"/>
        </w:rPr>
        <w:t>100%</w:t>
      </w:r>
      <w:r>
        <w:rPr>
          <w:color w:val="000000"/>
          <w:spacing w:val="0"/>
          <w:w w:val="100"/>
          <w:position w:val="0"/>
        </w:rPr>
        <w:t xml:space="preserve">变更为 </w:t>
      </w:r>
      <w:r>
        <w:rPr>
          <w:b/>
          <w:bCs/>
          <w:color w:val="000000"/>
          <w:spacing w:val="0"/>
          <w:w w:val="100"/>
          <w:position w:val="0"/>
        </w:rPr>
        <w:t>90%</w:t>
      </w:r>
      <w:r>
        <w:rPr>
          <w:color w:val="000000"/>
          <w:spacing w:val="0"/>
          <w:w w:val="100"/>
          <w:position w:val="0"/>
        </w:rPr>
        <w:t>。</w:t>
      </w:r>
    </w:p>
    <w:p>
      <w:pPr>
        <w:pStyle w:val="Style24"/>
        <w:keepNext w:val="0"/>
        <w:keepLines w:val="0"/>
        <w:widowControl w:val="0"/>
        <w:shd w:val="clear" w:color="auto" w:fill="auto"/>
        <w:bidi w:val="0"/>
        <w:spacing w:before="0" w:after="80" w:line="240" w:lineRule="auto"/>
        <w:ind w:left="514" w:right="0" w:firstLine="0"/>
        <w:jc w:val="left"/>
        <w:rPr>
          <w:sz w:val="20"/>
          <w:szCs w:val="20"/>
        </w:rPr>
      </w:pPr>
      <w:bookmarkStart w:id="1196" w:name="bookmark1196"/>
      <w:r>
        <w:rPr>
          <w:rFonts w:ascii="Arial Narrow" w:eastAsia="Arial Narrow" w:hAnsi="Arial Narrow" w:cs="Arial Narrow"/>
          <w:b/>
          <w:bCs/>
          <w:color w:val="000000"/>
          <w:spacing w:val="0"/>
          <w:w w:val="100"/>
          <w:position w:val="0"/>
          <w:sz w:val="20"/>
          <w:szCs w:val="20"/>
        </w:rPr>
        <w:t>2</w:t>
      </w:r>
      <w:r>
        <w:rPr>
          <w:b/>
          <w:bCs/>
          <w:color w:val="000000"/>
          <w:spacing w:val="0"/>
          <w:w w:val="100"/>
          <w:position w:val="0"/>
          <w:sz w:val="20"/>
          <w:szCs w:val="20"/>
        </w:rPr>
        <w:t>、在联营企业中的权益</w:t>
      </w:r>
      <w:bookmarkEnd w:id="1196"/>
    </w:p>
    <w:p>
      <w:pPr>
        <w:pStyle w:val="Style24"/>
        <w:keepNext w:val="0"/>
        <w:keepLines w:val="0"/>
        <w:widowControl w:val="0"/>
        <w:shd w:val="clear" w:color="auto" w:fill="auto"/>
        <w:bidi w:val="0"/>
        <w:spacing w:before="0" w:after="0" w:line="240" w:lineRule="auto"/>
        <w:ind w:left="514"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）不重要的联营企业的汇总财务信息</w:t>
      </w:r>
    </w:p>
    <w:tbl>
      <w:tblPr>
        <w:tblOverlap w:val="never"/>
        <w:jc w:val="center"/>
        <w:tblLayout w:type="fixed"/>
      </w:tblPr>
      <w:tblGrid>
        <w:gridCol w:w="3413"/>
        <w:gridCol w:w="2827"/>
        <w:gridCol w:w="3125"/>
      </w:tblGrid>
      <w:tr>
        <w:trPr>
          <w:trHeight w:val="3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本期发生额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期初余额</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上年同期发生额</w:t>
            </w:r>
          </w:p>
        </w:tc>
      </w:tr>
      <w:tr>
        <w:trPr>
          <w:trHeight w:val="32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9,266,106.87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9,970,731.52</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-704,624.65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70,731.52</w:t>
            </w: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-704,624.65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70,731.52</w:t>
            </w:r>
          </w:p>
        </w:tc>
      </w:tr>
    </w:tbl>
    <w:p>
      <w:pPr>
        <w:widowControl w:val="0"/>
        <w:spacing w:after="199" w:line="1" w:lineRule="exact"/>
      </w:pPr>
    </w:p>
    <w:p>
      <w:pPr>
        <w:pStyle w:val="Style26"/>
        <w:keepNext w:val="0"/>
        <w:keepLines w:val="0"/>
        <w:widowControl w:val="0"/>
        <w:shd w:val="clear" w:color="auto" w:fill="auto"/>
        <w:bidi w:val="0"/>
        <w:spacing w:before="0" w:after="260" w:line="240" w:lineRule="auto"/>
        <w:ind w:left="0" w:right="0" w:firstLine="500"/>
        <w:jc w:val="both"/>
      </w:pPr>
      <w:r>
        <w:rPr>
          <w:color w:val="000000"/>
          <w:spacing w:val="0"/>
          <w:w w:val="100"/>
          <w:position w:val="0"/>
        </w:rPr>
        <w:t>（</w:t>
      </w:r>
      <w:r>
        <w:rPr>
          <w:rFonts w:ascii="Arial Narrow" w:eastAsia="Arial Narrow" w:hAnsi="Arial Narrow" w:cs="Arial Narrow"/>
          <w:color w:val="000000"/>
          <w:spacing w:val="0"/>
          <w:w w:val="100"/>
          <w:position w:val="0"/>
          <w:sz w:val="18"/>
          <w:szCs w:val="18"/>
        </w:rPr>
        <w:t>2</w:t>
      </w:r>
      <w:r>
        <w:rPr>
          <w:color w:val="000000"/>
          <w:spacing w:val="0"/>
          <w:w w:val="100"/>
          <w:position w:val="0"/>
        </w:rPr>
        <w:t>）联营企业向本公司转移资金的能力不存在重大限制的情况。</w:t>
      </w:r>
    </w:p>
    <w:p>
      <w:pPr>
        <w:pStyle w:val="Style10"/>
        <w:keepNext/>
        <w:keepLines/>
        <w:widowControl w:val="0"/>
        <w:shd w:val="clear" w:color="auto" w:fill="auto"/>
        <w:bidi w:val="0"/>
        <w:spacing w:before="0" w:after="60" w:line="240" w:lineRule="auto"/>
        <w:ind w:left="0" w:right="0" w:firstLine="560"/>
        <w:jc w:val="both"/>
        <w:rPr>
          <w:sz w:val="20"/>
          <w:szCs w:val="20"/>
        </w:rPr>
      </w:pPr>
      <w:bookmarkStart w:id="1197" w:name="bookmark1197"/>
      <w:bookmarkStart w:id="1198" w:name="bookmark1198"/>
      <w:bookmarkStart w:id="1199" w:name="bookmark1199"/>
      <w:bookmarkStart w:id="1200" w:name="bookmark1200"/>
      <w:r>
        <w:rPr>
          <w:color w:val="000000"/>
          <w:spacing w:val="0"/>
          <w:w w:val="100"/>
          <w:position w:val="0"/>
          <w:sz w:val="20"/>
          <w:szCs w:val="20"/>
        </w:rPr>
        <w:t>八</w:t>
      </w:r>
      <w:bookmarkEnd w:id="1199"/>
      <w:r>
        <w:rPr>
          <w:color w:val="000000"/>
          <w:spacing w:val="0"/>
          <w:w w:val="100"/>
          <w:position w:val="0"/>
          <w:sz w:val="20"/>
          <w:szCs w:val="20"/>
        </w:rPr>
        <w:t>、与金融工具相关的风险</w:t>
      </w:r>
      <w:bookmarkEnd w:id="1197"/>
      <w:bookmarkEnd w:id="1198"/>
      <w:bookmarkEnd w:id="1200"/>
    </w:p>
    <w:p>
      <w:pPr>
        <w:pStyle w:val="Style26"/>
        <w:keepNext w:val="0"/>
        <w:keepLines w:val="0"/>
        <w:widowControl w:val="0"/>
        <w:shd w:val="clear" w:color="auto" w:fill="auto"/>
        <w:bidi w:val="0"/>
        <w:spacing w:before="0" w:after="0" w:line="502" w:lineRule="exact"/>
        <w:ind w:left="140" w:right="0" w:firstLine="360"/>
        <w:jc w:val="both"/>
      </w:pPr>
      <w:r>
        <w:rPr>
          <w:color w:val="000000"/>
          <w:spacing w:val="0"/>
          <w:w w:val="100"/>
          <w:position w:val="0"/>
        </w:rPr>
        <w:t>本公司的主要金融工具包括现金及现金等价物、应收账款、可供出售金融资产、借款、应付账款等，各项金融工具的详 细情况说明见本附注五相关项目。与这些金融工具有关的风险，以及本公司为降低这些风险所采取的风险管理政策如下所述。 本公司管理层对这些风险敞口进行管理和监控以确保将上述风险控制在限定的范围之内。</w:t>
      </w:r>
    </w:p>
    <w:p>
      <w:pPr>
        <w:pStyle w:val="Style26"/>
        <w:keepNext w:val="0"/>
        <w:keepLines w:val="0"/>
        <w:widowControl w:val="0"/>
        <w:shd w:val="clear" w:color="auto" w:fill="auto"/>
        <w:bidi w:val="0"/>
        <w:spacing w:before="0" w:after="340" w:line="504" w:lineRule="exact"/>
        <w:ind w:left="140" w:right="0" w:firstLine="360"/>
        <w:jc w:val="both"/>
      </w:pPr>
      <w:r>
        <w:rPr>
          <w:color w:val="000000"/>
          <w:spacing w:val="0"/>
          <w:w w:val="100"/>
          <w:position w:val="0"/>
        </w:rPr>
        <w:t>本公司从事风险管理的目标是在风险和收益之间取得适当的平衡，将风险对本公司经营业绩的负面影响降低到最低水平， 使股东及其其他权益投资者的利益最大化。基于该风险管理目标，本公司风险管理的基本策略是确定和分析本公司所面临的 各种风险，建立适当的风险承受底线和进行风险管理，并及时可靠地对各种风险进行监督，将风险控制在限定的范围之内。</w:t>
      </w:r>
    </w:p>
    <w:p>
      <w:pPr>
        <w:pStyle w:val="Style22"/>
        <w:keepNext/>
        <w:keepLines/>
        <w:widowControl w:val="0"/>
        <w:shd w:val="clear" w:color="auto" w:fill="auto"/>
        <w:bidi w:val="0"/>
        <w:spacing w:before="0" w:after="0" w:line="240" w:lineRule="auto"/>
        <w:ind w:left="0" w:right="0" w:firstLine="500"/>
        <w:jc w:val="left"/>
        <w:rPr>
          <w:sz w:val="17"/>
          <w:szCs w:val="17"/>
        </w:rPr>
      </w:pPr>
      <w:bookmarkStart w:id="1201" w:name="bookmark1201"/>
      <w:bookmarkStart w:id="1202" w:name="bookmark1202"/>
      <w:bookmarkStart w:id="1203" w:name="bookmark1203"/>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、市场风险</w:t>
      </w:r>
      <w:bookmarkEnd w:id="1201"/>
      <w:bookmarkEnd w:id="1202"/>
      <w:bookmarkEnd w:id="1203"/>
    </w:p>
    <w:p>
      <w:pPr>
        <w:pStyle w:val="Style26"/>
        <w:keepNext w:val="0"/>
        <w:keepLines w:val="0"/>
        <w:widowControl w:val="0"/>
        <w:shd w:val="clear" w:color="auto" w:fill="auto"/>
        <w:bidi w:val="0"/>
        <w:spacing w:before="0" w:after="0" w:line="502" w:lineRule="exact"/>
        <w:ind w:left="0" w:right="0" w:firstLine="50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）外汇风险</w:t>
      </w:r>
    </w:p>
    <w:p>
      <w:pPr>
        <w:pStyle w:val="Style26"/>
        <w:keepNext w:val="0"/>
        <w:keepLines w:val="0"/>
        <w:widowControl w:val="0"/>
        <w:shd w:val="clear" w:color="auto" w:fill="auto"/>
        <w:bidi w:val="0"/>
        <w:spacing w:before="0" w:after="100" w:line="502" w:lineRule="exact"/>
        <w:ind w:left="140" w:right="0" w:firstLine="360"/>
        <w:jc w:val="both"/>
      </w:pPr>
      <w:r>
        <w:rPr>
          <w:color w:val="000000"/>
          <w:spacing w:val="0"/>
          <w:w w:val="100"/>
          <w:position w:val="0"/>
        </w:rPr>
        <w:t>外汇风险指因汇率变动产生损失的风险。本公司承受外汇风险主要与美元、港币及欧元有关，除本公司的</w:t>
      </w:r>
      <w:r>
        <w:rPr>
          <w:rFonts w:ascii="Arial Narrow" w:eastAsia="Arial Narrow" w:hAnsi="Arial Narrow" w:cs="Arial Narrow"/>
          <w:color w:val="000000"/>
          <w:spacing w:val="0"/>
          <w:w w:val="100"/>
          <w:position w:val="0"/>
          <w:sz w:val="18"/>
          <w:szCs w:val="18"/>
        </w:rPr>
        <w:t>2</w:t>
      </w:r>
      <w:r>
        <w:rPr>
          <w:color w:val="000000"/>
          <w:spacing w:val="0"/>
          <w:w w:val="100"/>
          <w:position w:val="0"/>
        </w:rPr>
        <w:t>个下属子公 司以港币进行货币计量外，本公司的其他主要业务活动以人民币计价结算。于</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日，除下表所述资产或负债 为美元、港币及欧元余额外，本公司的资产及负债均为人民币余额。该等外币余额的资产和负债产生的外汇风险可能对本公</w:t>
      </w:r>
    </w:p>
    <w:p>
      <w:pPr>
        <w:pStyle w:val="Style24"/>
        <w:keepNext w:val="0"/>
        <w:keepLines w:val="0"/>
        <w:widowControl w:val="0"/>
        <w:shd w:val="clear" w:color="auto" w:fill="auto"/>
        <w:bidi w:val="0"/>
        <w:spacing w:before="0" w:after="0" w:line="240" w:lineRule="auto"/>
        <w:ind w:left="154" w:right="0" w:firstLine="0"/>
        <w:jc w:val="left"/>
      </w:pPr>
      <w:r>
        <w:rPr>
          <w:color w:val="000000"/>
          <w:spacing w:val="0"/>
          <w:w w:val="100"/>
          <w:position w:val="0"/>
        </w:rPr>
        <w:t>司的经营业绩产生影响。</w:t>
      </w:r>
    </w:p>
    <w:tbl>
      <w:tblPr>
        <w:tblOverlap w:val="never"/>
        <w:jc w:val="center"/>
        <w:tblLayout w:type="fixed"/>
      </w:tblPr>
      <w:tblGrid>
        <w:gridCol w:w="2779"/>
        <w:gridCol w:w="2256"/>
        <w:gridCol w:w="1819"/>
        <w:gridCol w:w="2510"/>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期末外币余额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折算汇率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期末折算人民币余额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1,682,910.51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6.9762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11,740,320.30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港元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31,719.93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0.8958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28,414.71</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11,127.63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7.8155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86,967.99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1,221,535.25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6.9762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8,521,674.21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港元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1,495,963.68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0.8958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1,340,084.26</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欧元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676,543.11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7.8155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5,287,522.68</w:t>
            </w:r>
          </w:p>
        </w:tc>
      </w:tr>
    </w:tbl>
    <w:p>
      <w:pPr>
        <w:widowControl w:val="0"/>
        <w:spacing w:after="279" w:line="1" w:lineRule="exact"/>
      </w:pPr>
    </w:p>
    <w:p>
      <w:pPr>
        <w:pStyle w:val="Style26"/>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汇率变动对本公司外汇风险的影响很小，本公司目前并未采取任何措施规避外汇风险。</w:t>
      </w:r>
    </w:p>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2</w:t>
      </w:r>
      <w:r>
        <w:rPr>
          <w:color w:val="000000"/>
          <w:spacing w:val="0"/>
          <w:w w:val="100"/>
          <w:position w:val="0"/>
        </w:rPr>
        <w:t>)利率风险-现金流量变动风险</w:t>
      </w:r>
    </w:p>
    <w:p>
      <w:pPr>
        <w:pStyle w:val="Style26"/>
        <w:keepNext w:val="0"/>
        <w:keepLines w:val="0"/>
        <w:widowControl w:val="0"/>
        <w:shd w:val="clear" w:color="auto" w:fill="auto"/>
        <w:bidi w:val="0"/>
        <w:spacing w:before="0" w:after="0" w:line="504" w:lineRule="exact"/>
        <w:ind w:left="140" w:right="0" w:firstLine="360"/>
        <w:jc w:val="both"/>
      </w:pPr>
      <w:r>
        <w:rPr>
          <w:color w:val="000000"/>
          <w:spacing w:val="0"/>
          <w:w w:val="100"/>
          <w:position w:val="0"/>
        </w:rPr>
        <w:t>本公司因利率变动引起金融工具现金流量变动的风险主要与银行借款</w:t>
      </w:r>
      <w:r>
        <w:rPr>
          <w:color w:val="000000"/>
          <w:spacing w:val="0"/>
          <w:w w:val="100"/>
          <w:position w:val="0"/>
          <w:sz w:val="20"/>
          <w:szCs w:val="20"/>
        </w:rPr>
        <w:t>(</w:t>
      </w:r>
      <w:r>
        <w:rPr>
          <w:color w:val="000000"/>
          <w:spacing w:val="0"/>
          <w:w w:val="100"/>
          <w:position w:val="0"/>
        </w:rPr>
        <w:t>详见本附注五，</w:t>
      </w:r>
      <w:r>
        <w:rPr>
          <w:rFonts w:ascii="Arial Narrow" w:eastAsia="Arial Narrow" w:hAnsi="Arial Narrow" w:cs="Arial Narrow"/>
          <w:color w:val="000000"/>
          <w:spacing w:val="0"/>
          <w:w w:val="100"/>
          <w:position w:val="0"/>
          <w:sz w:val="18"/>
          <w:szCs w:val="18"/>
        </w:rPr>
        <w:t>23</w:t>
      </w:r>
      <w:r>
        <w:rPr>
          <w:color w:val="000000"/>
          <w:spacing w:val="0"/>
          <w:w w:val="100"/>
          <w:position w:val="0"/>
        </w:rPr>
        <w:t>、</w:t>
      </w:r>
      <w:r>
        <w:rPr>
          <w:rFonts w:ascii="Arial Narrow" w:eastAsia="Arial Narrow" w:hAnsi="Arial Narrow" w:cs="Arial Narrow"/>
          <w:color w:val="000000"/>
          <w:spacing w:val="0"/>
          <w:w w:val="100"/>
          <w:position w:val="0"/>
          <w:sz w:val="18"/>
          <w:szCs w:val="18"/>
        </w:rPr>
        <w:t>30</w:t>
      </w:r>
      <w:r>
        <w:rPr>
          <w:color w:val="000000"/>
          <w:spacing w:val="0"/>
          <w:w w:val="100"/>
          <w:position w:val="0"/>
        </w:rPr>
        <w:t>、</w:t>
      </w:r>
      <w:r>
        <w:rPr>
          <w:rFonts w:ascii="Arial Narrow" w:eastAsia="Arial Narrow" w:hAnsi="Arial Narrow" w:cs="Arial Narrow"/>
          <w:color w:val="000000"/>
          <w:spacing w:val="0"/>
          <w:w w:val="100"/>
          <w:position w:val="0"/>
          <w:sz w:val="18"/>
          <w:szCs w:val="18"/>
        </w:rPr>
        <w:t>32</w:t>
      </w:r>
      <w:r>
        <w:rPr>
          <w:color w:val="000000"/>
          <w:spacing w:val="0"/>
          <w:w w:val="100"/>
          <w:position w:val="0"/>
        </w:rPr>
        <w:t>)有关，浮动利率的 金融负债使本公司面临现金流量利率风险，固定利率的金融负债使本公司面临公允价值利率风险。本公司的政策是根据当时 的市场环境来决定固定利率及浮动利率合同的相对比例。于</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日，本公司带息债务全部为人民币计价的固定 利率借款合同，金额为</w:t>
      </w:r>
      <w:r>
        <w:rPr>
          <w:rFonts w:ascii="Arial Narrow" w:eastAsia="Arial Narrow" w:hAnsi="Arial Narrow" w:cs="Arial Narrow"/>
          <w:color w:val="000000"/>
          <w:spacing w:val="0"/>
          <w:w w:val="100"/>
          <w:position w:val="0"/>
          <w:sz w:val="18"/>
          <w:szCs w:val="18"/>
        </w:rPr>
        <w:t>8,180,965,645.76</w:t>
      </w:r>
      <w:r>
        <w:rPr>
          <w:color w:val="000000"/>
          <w:spacing w:val="0"/>
          <w:w w:val="100"/>
          <w:position w:val="0"/>
        </w:rPr>
        <w:t>元。</w:t>
      </w:r>
    </w:p>
    <w:p>
      <w:pPr>
        <w:pStyle w:val="Style26"/>
        <w:keepNext w:val="0"/>
        <w:keepLines w:val="0"/>
        <w:widowControl w:val="0"/>
        <w:shd w:val="clear" w:color="auto" w:fill="auto"/>
        <w:bidi w:val="0"/>
        <w:spacing w:before="0" w:after="340" w:line="509" w:lineRule="exact"/>
        <w:ind w:left="140" w:right="0" w:firstLine="360"/>
        <w:jc w:val="both"/>
      </w:pPr>
      <w:r>
        <w:rPr>
          <w:color w:val="000000"/>
          <w:spacing w:val="0"/>
          <w:w w:val="100"/>
          <w:position w:val="0"/>
        </w:rPr>
        <w:t>本公司因利率变动引起金融工具公允价值变动的风险主要与浮动利率银行借款有关，本公司的政策是保持这些借款的浮 动利率，以消除利率变动的公允价值风险。</w:t>
      </w:r>
    </w:p>
    <w:p>
      <w:pPr>
        <w:pStyle w:val="Style22"/>
        <w:keepNext/>
        <w:keepLines/>
        <w:widowControl w:val="0"/>
        <w:shd w:val="clear" w:color="auto" w:fill="auto"/>
        <w:tabs>
          <w:tab w:pos="816" w:val="left"/>
        </w:tabs>
        <w:bidi w:val="0"/>
        <w:spacing w:before="0" w:after="0" w:line="240" w:lineRule="auto"/>
        <w:ind w:left="0" w:right="0" w:firstLine="500"/>
        <w:jc w:val="left"/>
        <w:rPr>
          <w:sz w:val="17"/>
          <w:szCs w:val="17"/>
        </w:rPr>
      </w:pPr>
      <w:bookmarkStart w:id="1204" w:name="bookmark1204"/>
      <w:bookmarkStart w:id="1205" w:name="bookmark1205"/>
      <w:bookmarkStart w:id="1206" w:name="bookmark1206"/>
      <w:bookmarkStart w:id="1207" w:name="bookmark1207"/>
      <w:r>
        <w:rPr>
          <w:rFonts w:ascii="Arial Narrow" w:eastAsia="Arial Narrow" w:hAnsi="Arial Narrow" w:cs="Arial Narrow"/>
          <w:color w:val="000000"/>
          <w:spacing w:val="0"/>
          <w:w w:val="100"/>
          <w:position w:val="0"/>
          <w:sz w:val="18"/>
          <w:szCs w:val="18"/>
        </w:rPr>
        <w:t>2</w:t>
      </w:r>
      <w:bookmarkEnd w:id="1206"/>
      <w:r>
        <w:rPr>
          <w:color w:val="000000"/>
          <w:spacing w:val="0"/>
          <w:w w:val="100"/>
          <w:position w:val="0"/>
          <w:sz w:val="17"/>
          <w:szCs w:val="17"/>
        </w:rPr>
        <w:t>、</w:t>
        <w:tab/>
        <w:t>信用风险</w:t>
      </w:r>
      <w:bookmarkEnd w:id="1204"/>
      <w:bookmarkEnd w:id="1205"/>
      <w:bookmarkEnd w:id="1207"/>
    </w:p>
    <w:p>
      <w:pPr>
        <w:pStyle w:val="Style26"/>
        <w:keepNext w:val="0"/>
        <w:keepLines w:val="0"/>
        <w:widowControl w:val="0"/>
        <w:shd w:val="clear" w:color="auto" w:fill="auto"/>
        <w:bidi w:val="0"/>
        <w:spacing w:before="0" w:after="0" w:line="514" w:lineRule="exact"/>
        <w:ind w:left="140" w:right="0" w:firstLine="360"/>
        <w:jc w:val="both"/>
      </w:pPr>
      <w:r>
        <w:rPr>
          <w:color w:val="000000"/>
          <w:spacing w:val="0"/>
          <w:w w:val="100"/>
          <w:position w:val="0"/>
        </w:rPr>
        <w:t>截止</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日，可能引起本公司财务损失的最大信用风险敞口主要来自于合同另一方未能履行义务而导致本 公司金融资产产生的损失，主要为合并资产负债表中已确认的金融资产的账面金额。</w:t>
      </w:r>
    </w:p>
    <w:p>
      <w:pPr>
        <w:pStyle w:val="Style26"/>
        <w:keepNext w:val="0"/>
        <w:keepLines w:val="0"/>
        <w:widowControl w:val="0"/>
        <w:shd w:val="clear" w:color="auto" w:fill="auto"/>
        <w:bidi w:val="0"/>
        <w:spacing w:before="0" w:after="0" w:line="502" w:lineRule="exact"/>
        <w:ind w:left="140" w:right="0" w:firstLine="360"/>
        <w:jc w:val="both"/>
      </w:pPr>
      <w:r>
        <w:rPr>
          <w:color w:val="000000"/>
          <w:spacing w:val="0"/>
          <w:w w:val="100"/>
          <w:position w:val="0"/>
        </w:rPr>
        <w:t>为降低信用风险，本公司制定信用管理制度，对客户进行信用评估，评估内容包括历史信用状况、实地调查、财务报表 分析、法律诉讼情况等，针对不同信用等级给予相应的销售政策，控制信用额度，执行严格的信用审批，及时更新信用评估， 管理层持续监控应收款项的信用风险。本公司于每个资产负债表日审核应收款项的回收情况，以确保就无法回收的款项计提 充分的坏账准备。因此，本公司管理层认为本公司所承担的信用风险已经大为降低。</w:t>
      </w:r>
    </w:p>
    <w:p>
      <w:pPr>
        <w:pStyle w:val="Style26"/>
        <w:keepNext w:val="0"/>
        <w:keepLines w:val="0"/>
        <w:widowControl w:val="0"/>
        <w:shd w:val="clear" w:color="auto" w:fill="auto"/>
        <w:bidi w:val="0"/>
        <w:spacing w:before="0" w:after="340" w:line="504" w:lineRule="exact"/>
        <w:ind w:left="0" w:right="0" w:firstLine="500"/>
        <w:jc w:val="both"/>
      </w:pPr>
      <w:r>
        <w:rPr>
          <w:color w:val="000000"/>
          <w:spacing w:val="0"/>
          <w:w w:val="100"/>
          <w:position w:val="0"/>
        </w:rPr>
        <w:t>本公司的流动资金存放在信用评级较高的银行，故流动资金的信用风险较低。</w:t>
      </w:r>
    </w:p>
    <w:p>
      <w:pPr>
        <w:pStyle w:val="Style22"/>
        <w:keepNext/>
        <w:keepLines/>
        <w:widowControl w:val="0"/>
        <w:shd w:val="clear" w:color="auto" w:fill="auto"/>
        <w:tabs>
          <w:tab w:pos="816" w:val="left"/>
        </w:tabs>
        <w:bidi w:val="0"/>
        <w:spacing w:before="0" w:after="0" w:line="240" w:lineRule="auto"/>
        <w:ind w:left="0" w:right="0" w:firstLine="500"/>
        <w:jc w:val="both"/>
        <w:rPr>
          <w:sz w:val="17"/>
          <w:szCs w:val="17"/>
        </w:rPr>
      </w:pPr>
      <w:bookmarkStart w:id="1208" w:name="bookmark1208"/>
      <w:bookmarkStart w:id="1209" w:name="bookmark1209"/>
      <w:bookmarkStart w:id="1210" w:name="bookmark1210"/>
      <w:bookmarkStart w:id="1211" w:name="bookmark1211"/>
      <w:r>
        <w:rPr>
          <w:rFonts w:ascii="Arial Narrow" w:eastAsia="Arial Narrow" w:hAnsi="Arial Narrow" w:cs="Arial Narrow"/>
          <w:color w:val="000000"/>
          <w:spacing w:val="0"/>
          <w:w w:val="100"/>
          <w:position w:val="0"/>
          <w:sz w:val="18"/>
          <w:szCs w:val="18"/>
        </w:rPr>
        <w:t>3</w:t>
      </w:r>
      <w:bookmarkEnd w:id="1210"/>
      <w:r>
        <w:rPr>
          <w:color w:val="000000"/>
          <w:spacing w:val="0"/>
          <w:w w:val="100"/>
          <w:position w:val="0"/>
          <w:sz w:val="17"/>
          <w:szCs w:val="17"/>
        </w:rPr>
        <w:t>、</w:t>
        <w:tab/>
        <w:t>流动风险</w:t>
      </w:r>
      <w:bookmarkEnd w:id="1208"/>
      <w:bookmarkEnd w:id="1209"/>
      <w:bookmarkEnd w:id="1211"/>
    </w:p>
    <w:p>
      <w:pPr>
        <w:pStyle w:val="Style26"/>
        <w:keepNext w:val="0"/>
        <w:keepLines w:val="0"/>
        <w:widowControl w:val="0"/>
        <w:shd w:val="clear" w:color="auto" w:fill="auto"/>
        <w:bidi w:val="0"/>
        <w:spacing w:before="0" w:after="0" w:line="504" w:lineRule="exact"/>
        <w:ind w:left="0" w:right="0" w:firstLine="500"/>
        <w:jc w:val="both"/>
      </w:pPr>
      <w:r>
        <w:rPr>
          <w:color w:val="000000"/>
          <w:spacing w:val="0"/>
          <w:w w:val="100"/>
          <w:position w:val="0"/>
        </w:rPr>
        <w:t>管理流动风险时，本公司保持管理层认为充分的现金及现金等价物并对其进行监控，以满足本公司经营需要，并降低现</w:t>
      </w:r>
    </w:p>
    <w:p>
      <w:pPr>
        <w:pStyle w:val="Style26"/>
        <w:keepNext w:val="0"/>
        <w:keepLines w:val="0"/>
        <w:widowControl w:val="0"/>
        <w:shd w:val="clear" w:color="auto" w:fill="auto"/>
        <w:bidi w:val="0"/>
        <w:spacing w:before="0" w:after="260" w:line="240" w:lineRule="auto"/>
        <w:ind w:left="0" w:right="0" w:firstLine="0"/>
        <w:jc w:val="left"/>
      </w:pPr>
      <w:r>
        <w:rPr>
          <w:color w:val="000000"/>
          <w:spacing w:val="0"/>
          <w:w w:val="100"/>
          <w:position w:val="0"/>
        </w:rPr>
        <w:t>金流量波动的影响。本公司管理层对银行借款的使用情况进行监控并确保遵守借款协议。</w:t>
      </w:r>
    </w:p>
    <w:p>
      <w:pPr>
        <w:pStyle w:val="Style10"/>
        <w:keepNext/>
        <w:keepLines/>
        <w:widowControl w:val="0"/>
        <w:shd w:val="clear" w:color="auto" w:fill="auto"/>
        <w:bidi w:val="0"/>
        <w:spacing w:before="0" w:after="260" w:line="240" w:lineRule="auto"/>
        <w:ind w:left="0" w:right="0" w:firstLine="500"/>
        <w:jc w:val="left"/>
        <w:rPr>
          <w:sz w:val="20"/>
          <w:szCs w:val="20"/>
        </w:rPr>
      </w:pPr>
      <w:bookmarkStart w:id="1212" w:name="bookmark1212"/>
      <w:bookmarkStart w:id="1213" w:name="bookmark1213"/>
      <w:bookmarkStart w:id="1214" w:name="bookmark1214"/>
      <w:bookmarkStart w:id="1215" w:name="bookmark1215"/>
      <w:r>
        <w:rPr>
          <w:color w:val="000000"/>
          <w:spacing w:val="0"/>
          <w:w w:val="100"/>
          <w:position w:val="0"/>
          <w:sz w:val="20"/>
          <w:szCs w:val="20"/>
        </w:rPr>
        <w:t>九</w:t>
      </w:r>
      <w:bookmarkEnd w:id="1214"/>
      <w:r>
        <w:rPr>
          <w:color w:val="000000"/>
          <w:spacing w:val="0"/>
          <w:w w:val="100"/>
          <w:position w:val="0"/>
          <w:sz w:val="20"/>
          <w:szCs w:val="20"/>
        </w:rPr>
        <w:t>、公允价值的披露</w:t>
      </w:r>
      <w:bookmarkEnd w:id="1212"/>
      <w:bookmarkEnd w:id="1213"/>
      <w:bookmarkEnd w:id="1215"/>
    </w:p>
    <w:p>
      <w:pPr>
        <w:pStyle w:val="Style22"/>
        <w:keepNext/>
        <w:keepLines/>
        <w:widowControl w:val="0"/>
        <w:shd w:val="clear" w:color="auto" w:fill="auto"/>
        <w:bidi w:val="0"/>
        <w:spacing w:before="0" w:after="160" w:line="240" w:lineRule="auto"/>
        <w:ind w:left="0" w:right="0" w:firstLine="500"/>
        <w:jc w:val="left"/>
        <w:rPr>
          <w:sz w:val="17"/>
          <w:szCs w:val="17"/>
        </w:rPr>
      </w:pPr>
      <w:bookmarkStart w:id="1216" w:name="bookmark1216"/>
      <w:bookmarkStart w:id="1217" w:name="bookmark1217"/>
      <w:bookmarkStart w:id="1218" w:name="bookmark1218"/>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、以公允价值计量的资产和负债的期末公允价值</w:t>
      </w:r>
      <w:bookmarkEnd w:id="1216"/>
      <w:bookmarkEnd w:id="1217"/>
      <w:bookmarkEnd w:id="1218"/>
    </w:p>
    <w:p>
      <w:pPr>
        <w:pStyle w:val="Style26"/>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期末公允价值</w:t>
      </w:r>
    </w:p>
    <w:tbl>
      <w:tblPr>
        <w:tblOverlap w:val="never"/>
        <w:jc w:val="center"/>
        <w:tblLayout w:type="fixed"/>
      </w:tblPr>
      <w:tblGrid>
        <w:gridCol w:w="3221"/>
        <w:gridCol w:w="1622"/>
        <w:gridCol w:w="1507"/>
        <w:gridCol w:w="1512"/>
        <w:gridCol w:w="1291"/>
      </w:tblGrid>
      <w:tr>
        <w:trPr>
          <w:trHeight w:val="658"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第一层次 公允价值计量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第二层次 公允价值计量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第三层次 公允价值计量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38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4,275,282.24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4,275,282.24</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应收融资款项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400,000.00</w:t>
            </w: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持续以公允价值计量的资产总额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4,275,282.24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4,675,282.24</w:t>
            </w:r>
          </w:p>
        </w:tc>
      </w:tr>
    </w:tbl>
    <w:p>
      <w:pPr>
        <w:widowControl w:val="0"/>
        <w:spacing w:after="339" w:line="1" w:lineRule="exact"/>
      </w:pPr>
    </w:p>
    <w:p>
      <w:pPr>
        <w:pStyle w:val="Style22"/>
        <w:keepNext/>
        <w:keepLines/>
        <w:widowControl w:val="0"/>
        <w:shd w:val="clear" w:color="auto" w:fill="auto"/>
        <w:tabs>
          <w:tab w:pos="839" w:val="left"/>
        </w:tabs>
        <w:bidi w:val="0"/>
        <w:spacing w:before="0" w:after="340" w:line="240" w:lineRule="auto"/>
        <w:ind w:left="0" w:right="0" w:firstLine="500"/>
        <w:jc w:val="left"/>
        <w:rPr>
          <w:sz w:val="17"/>
          <w:szCs w:val="17"/>
        </w:rPr>
      </w:pPr>
      <w:bookmarkStart w:id="1219" w:name="bookmark1219"/>
      <w:bookmarkStart w:id="1220" w:name="bookmark1220"/>
      <w:bookmarkStart w:id="1221" w:name="bookmark1221"/>
      <w:bookmarkStart w:id="1222" w:name="bookmark1222"/>
      <w:r>
        <w:rPr>
          <w:rFonts w:ascii="Arial Narrow" w:eastAsia="Arial Narrow" w:hAnsi="Arial Narrow" w:cs="Arial Narrow"/>
          <w:color w:val="000000"/>
          <w:spacing w:val="0"/>
          <w:w w:val="100"/>
          <w:position w:val="0"/>
          <w:sz w:val="18"/>
          <w:szCs w:val="18"/>
        </w:rPr>
        <w:t>2</w:t>
      </w:r>
      <w:bookmarkEnd w:id="1221"/>
      <w:r>
        <w:rPr>
          <w:color w:val="000000"/>
          <w:spacing w:val="0"/>
          <w:w w:val="100"/>
          <w:position w:val="0"/>
          <w:sz w:val="17"/>
          <w:szCs w:val="17"/>
        </w:rPr>
        <w:t>、</w:t>
        <w:tab/>
        <w:t>持续和非持续第一层次公允价值计量项目市价的确定依据</w:t>
      </w:r>
      <w:bookmarkEnd w:id="1219"/>
      <w:bookmarkEnd w:id="1220"/>
      <w:bookmarkEnd w:id="1222"/>
    </w:p>
    <w:p>
      <w:pPr>
        <w:pStyle w:val="Style26"/>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本公司所持有可供出售金融资产为在二级市场公开发行的股票，存在活跃市场报价，因此以第一层次公允价值计量市价。</w:t>
      </w:r>
    </w:p>
    <w:p>
      <w:pPr>
        <w:pStyle w:val="Style22"/>
        <w:keepNext/>
        <w:keepLines/>
        <w:widowControl w:val="0"/>
        <w:shd w:val="clear" w:color="auto" w:fill="auto"/>
        <w:tabs>
          <w:tab w:pos="839" w:val="left"/>
        </w:tabs>
        <w:bidi w:val="0"/>
        <w:spacing w:before="0" w:after="340" w:line="240" w:lineRule="auto"/>
        <w:ind w:left="0" w:right="0" w:firstLine="500"/>
        <w:jc w:val="left"/>
        <w:rPr>
          <w:sz w:val="17"/>
          <w:szCs w:val="17"/>
        </w:rPr>
      </w:pPr>
      <w:bookmarkStart w:id="1223" w:name="bookmark1223"/>
      <w:bookmarkStart w:id="1224" w:name="bookmark1224"/>
      <w:bookmarkStart w:id="1225" w:name="bookmark1225"/>
      <w:bookmarkStart w:id="1226" w:name="bookmark1226"/>
      <w:r>
        <w:rPr>
          <w:rFonts w:ascii="Arial Narrow" w:eastAsia="Arial Narrow" w:hAnsi="Arial Narrow" w:cs="Arial Narrow"/>
          <w:color w:val="000000"/>
          <w:spacing w:val="0"/>
          <w:w w:val="100"/>
          <w:position w:val="0"/>
          <w:sz w:val="18"/>
          <w:szCs w:val="18"/>
        </w:rPr>
        <w:t>3</w:t>
      </w:r>
      <w:bookmarkEnd w:id="1225"/>
      <w:r>
        <w:rPr>
          <w:color w:val="000000"/>
          <w:spacing w:val="0"/>
          <w:w w:val="100"/>
          <w:position w:val="0"/>
          <w:sz w:val="17"/>
          <w:szCs w:val="17"/>
        </w:rPr>
        <w:t>、</w:t>
        <w:tab/>
        <w:t>持续和非持续第三层次公允价值计量项目，采用的估值技术和重要参数的定性及定量信息</w:t>
      </w:r>
      <w:bookmarkEnd w:id="1223"/>
      <w:bookmarkEnd w:id="1224"/>
      <w:bookmarkEnd w:id="1226"/>
    </w:p>
    <w:p>
      <w:pPr>
        <w:pStyle w:val="Style26"/>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相关资产和负债的不可观察输入值。</w:t>
      </w:r>
    </w:p>
    <w:p>
      <w:pPr>
        <w:pStyle w:val="Style22"/>
        <w:keepNext/>
        <w:keepLines/>
        <w:widowControl w:val="0"/>
        <w:shd w:val="clear" w:color="auto" w:fill="auto"/>
        <w:tabs>
          <w:tab w:pos="839" w:val="left"/>
        </w:tabs>
        <w:bidi w:val="0"/>
        <w:spacing w:before="0" w:after="340" w:line="240" w:lineRule="auto"/>
        <w:ind w:left="0" w:right="0" w:firstLine="500"/>
        <w:jc w:val="both"/>
        <w:rPr>
          <w:sz w:val="17"/>
          <w:szCs w:val="17"/>
        </w:rPr>
      </w:pPr>
      <w:bookmarkStart w:id="1227" w:name="bookmark1227"/>
      <w:bookmarkStart w:id="1228" w:name="bookmark1228"/>
      <w:bookmarkStart w:id="1229" w:name="bookmark1229"/>
      <w:bookmarkStart w:id="1230" w:name="bookmark1230"/>
      <w:r>
        <w:rPr>
          <w:rFonts w:ascii="Arial Narrow" w:eastAsia="Arial Narrow" w:hAnsi="Arial Narrow" w:cs="Arial Narrow"/>
          <w:color w:val="000000"/>
          <w:spacing w:val="0"/>
          <w:w w:val="100"/>
          <w:position w:val="0"/>
          <w:sz w:val="18"/>
          <w:szCs w:val="18"/>
        </w:rPr>
        <w:t>4</w:t>
      </w:r>
      <w:bookmarkEnd w:id="1229"/>
      <w:r>
        <w:rPr>
          <w:color w:val="000000"/>
          <w:spacing w:val="0"/>
          <w:w w:val="100"/>
          <w:position w:val="0"/>
          <w:sz w:val="17"/>
          <w:szCs w:val="17"/>
        </w:rPr>
        <w:t>、</w:t>
        <w:tab/>
        <w:t>其他价格风险</w:t>
      </w:r>
      <w:bookmarkEnd w:id="1227"/>
      <w:bookmarkEnd w:id="1228"/>
      <w:bookmarkEnd w:id="1230"/>
    </w:p>
    <w:p>
      <w:pPr>
        <w:pStyle w:val="Style26"/>
        <w:keepNext w:val="0"/>
        <w:keepLines w:val="0"/>
        <w:widowControl w:val="0"/>
        <w:shd w:val="clear" w:color="auto" w:fill="auto"/>
        <w:bidi w:val="0"/>
        <w:spacing w:before="0" w:after="260" w:line="240" w:lineRule="auto"/>
        <w:ind w:left="0" w:right="0" w:firstLine="500"/>
        <w:jc w:val="both"/>
      </w:pPr>
      <w:r>
        <w:rPr>
          <w:color w:val="000000"/>
          <w:spacing w:val="0"/>
          <w:w w:val="100"/>
          <w:position w:val="0"/>
        </w:rPr>
        <w:t xml:space="preserve">本公司因持有以公允价值计量的金融资产以二级市场公开发行的股价信息做为期末资产的确认，因此受到股票市场价格 </w:t>
      </w:r>
      <w:r>
        <w:rPr>
          <w:color w:val="000000"/>
          <w:spacing w:val="0"/>
          <w:w w:val="100"/>
          <w:position w:val="0"/>
        </w:rPr>
        <w:t>波动的影响。</w:t>
      </w:r>
    </w:p>
    <w:p>
      <w:pPr>
        <w:pStyle w:val="Style10"/>
        <w:keepNext/>
        <w:keepLines/>
        <w:widowControl w:val="0"/>
        <w:shd w:val="clear" w:color="auto" w:fill="auto"/>
        <w:bidi w:val="0"/>
        <w:spacing w:before="0" w:after="340" w:line="240" w:lineRule="auto"/>
        <w:ind w:left="0" w:right="0" w:firstLine="500"/>
        <w:jc w:val="left"/>
        <w:rPr>
          <w:sz w:val="20"/>
          <w:szCs w:val="20"/>
        </w:rPr>
      </w:pPr>
      <w:bookmarkStart w:id="1231" w:name="bookmark1231"/>
      <w:bookmarkStart w:id="1232" w:name="bookmark1232"/>
      <w:bookmarkStart w:id="1233" w:name="bookmark1233"/>
      <w:r>
        <w:rPr>
          <w:color w:val="000000"/>
          <w:spacing w:val="0"/>
          <w:w w:val="100"/>
          <w:position w:val="0"/>
          <w:sz w:val="20"/>
          <w:szCs w:val="20"/>
        </w:rPr>
        <w:t>十、关联方及关联交易</w:t>
      </w:r>
      <w:bookmarkEnd w:id="1231"/>
      <w:bookmarkEnd w:id="1232"/>
      <w:bookmarkEnd w:id="1233"/>
    </w:p>
    <w:p>
      <w:pPr>
        <w:pStyle w:val="Style22"/>
        <w:keepNext/>
        <w:keepLines/>
        <w:widowControl w:val="0"/>
        <w:shd w:val="clear" w:color="auto" w:fill="auto"/>
        <w:bidi w:val="0"/>
        <w:spacing w:before="0" w:after="40" w:line="240" w:lineRule="auto"/>
        <w:ind w:left="0" w:right="0" w:firstLine="620"/>
        <w:jc w:val="left"/>
        <w:rPr>
          <w:sz w:val="17"/>
          <w:szCs w:val="17"/>
        </w:rPr>
      </w:pPr>
      <w:bookmarkStart w:id="1234" w:name="bookmark1234"/>
      <w:bookmarkStart w:id="1235" w:name="bookmark1235"/>
      <w:bookmarkStart w:id="1236" w:name="bookmark1236"/>
      <w:r>
        <w:rPr>
          <w:rFonts w:ascii="Arial Narrow" w:eastAsia="Arial Narrow" w:hAnsi="Arial Narrow" w:cs="Arial Narrow"/>
          <w:color w:val="000000"/>
          <w:spacing w:val="0"/>
          <w:w w:val="100"/>
          <w:position w:val="0"/>
          <w:sz w:val="18"/>
          <w:szCs w:val="18"/>
        </w:rPr>
        <w:t>1</w:t>
      </w:r>
      <w:r>
        <w:rPr>
          <w:color w:val="000000"/>
          <w:spacing w:val="0"/>
          <w:w w:val="100"/>
          <w:position w:val="0"/>
          <w:sz w:val="17"/>
          <w:szCs w:val="17"/>
        </w:rPr>
        <w:t>、本公司的控股公司情况</w:t>
      </w:r>
      <w:bookmarkEnd w:id="1234"/>
      <w:bookmarkEnd w:id="1235"/>
      <w:bookmarkEnd w:id="1236"/>
    </w:p>
    <w:tbl>
      <w:tblPr>
        <w:tblOverlap w:val="never"/>
        <w:jc w:val="center"/>
        <w:tblLayout w:type="fixed"/>
      </w:tblPr>
      <w:tblGrid>
        <w:gridCol w:w="1939"/>
        <w:gridCol w:w="883"/>
        <w:gridCol w:w="1157"/>
        <w:gridCol w:w="1157"/>
        <w:gridCol w:w="1440"/>
        <w:gridCol w:w="1301"/>
        <w:gridCol w:w="1334"/>
      </w:tblGrid>
      <w:tr>
        <w:trPr>
          <w:trHeight w:val="97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控股公司名称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业务性质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注册资本</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（万元）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b/>
                <w:bCs/>
                <w:color w:val="000000"/>
                <w:spacing w:val="0"/>
                <w:w w:val="100"/>
                <w:position w:val="0"/>
                <w:sz w:val="17"/>
                <w:szCs w:val="17"/>
              </w:rPr>
              <w:t>控股股东对本公 司的持股比例 （</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控股股东对本</w:t>
            </w:r>
          </w:p>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公司的表决权</w:t>
            </w:r>
          </w:p>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比例（</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b/>
                <w:bCs/>
                <w:color w:val="000000"/>
                <w:spacing w:val="0"/>
                <w:w w:val="100"/>
                <w:position w:val="0"/>
                <w:sz w:val="17"/>
                <w:szCs w:val="17"/>
              </w:rPr>
              <w:t>本企业最终控 制方</w:t>
            </w:r>
          </w:p>
        </w:tc>
      </w:tr>
      <w:tr>
        <w:trPr>
          <w:trHeight w:val="66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石家庄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投资、生产、</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研发等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3,680,000.00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39.04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39.04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李兆廷</w:t>
            </w:r>
          </w:p>
        </w:tc>
      </w:tr>
    </w:tbl>
    <w:p>
      <w:pPr>
        <w:widowControl w:val="0"/>
        <w:spacing w:after="25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504" w:right="0" w:firstLine="0"/>
        <w:jc w:val="left"/>
      </w:pPr>
      <w:r>
        <w:rPr>
          <w:color w:val="000000"/>
          <w:spacing w:val="0"/>
          <w:w w:val="100"/>
          <w:position w:val="0"/>
        </w:rPr>
        <w:t>报告期内，母公司注册资本（实收资本）变化如下:</w:t>
      </w:r>
    </w:p>
    <w:tbl>
      <w:tblPr>
        <w:tblOverlap w:val="never"/>
        <w:jc w:val="center"/>
        <w:tblLayout w:type="fixed"/>
      </w:tblPr>
      <w:tblGrid>
        <w:gridCol w:w="2040"/>
        <w:gridCol w:w="1752"/>
        <w:gridCol w:w="1896"/>
        <w:gridCol w:w="1824"/>
        <w:gridCol w:w="1747"/>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2019.01.01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36,800,000,000.00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36,800,000,000.00</w:t>
            </w:r>
          </w:p>
        </w:tc>
      </w:tr>
    </w:tbl>
    <w:p>
      <w:pPr>
        <w:widowControl w:val="0"/>
        <w:spacing w:after="259" w:line="1" w:lineRule="exact"/>
      </w:pPr>
    </w:p>
    <w:p>
      <w:pPr>
        <w:pStyle w:val="Style22"/>
        <w:keepNext/>
        <w:keepLines/>
        <w:widowControl w:val="0"/>
        <w:shd w:val="clear" w:color="auto" w:fill="auto"/>
        <w:tabs>
          <w:tab w:pos="839" w:val="left"/>
        </w:tabs>
        <w:bidi w:val="0"/>
        <w:spacing w:before="0" w:after="260" w:line="240" w:lineRule="auto"/>
        <w:ind w:left="0" w:right="0" w:firstLine="500"/>
        <w:jc w:val="left"/>
        <w:rPr>
          <w:sz w:val="17"/>
          <w:szCs w:val="17"/>
        </w:rPr>
      </w:pPr>
      <w:bookmarkStart w:id="1237" w:name="bookmark1237"/>
      <w:bookmarkStart w:id="1238" w:name="bookmark1238"/>
      <w:bookmarkStart w:id="1239" w:name="bookmark1239"/>
      <w:bookmarkStart w:id="1240" w:name="bookmark1240"/>
      <w:r>
        <w:rPr>
          <w:rFonts w:ascii="Arial Narrow" w:eastAsia="Arial Narrow" w:hAnsi="Arial Narrow" w:cs="Arial Narrow"/>
          <w:color w:val="000000"/>
          <w:spacing w:val="0"/>
          <w:w w:val="100"/>
          <w:position w:val="0"/>
          <w:sz w:val="18"/>
          <w:szCs w:val="18"/>
        </w:rPr>
        <w:t>2</w:t>
      </w:r>
      <w:bookmarkEnd w:id="1239"/>
      <w:r>
        <w:rPr>
          <w:color w:val="000000"/>
          <w:spacing w:val="0"/>
          <w:w w:val="100"/>
          <w:position w:val="0"/>
          <w:sz w:val="17"/>
          <w:szCs w:val="17"/>
        </w:rPr>
        <w:t>、</w:t>
        <w:tab/>
        <w:t>本公司的子公司情况</w:t>
      </w:r>
      <w:bookmarkEnd w:id="1237"/>
      <w:bookmarkEnd w:id="1238"/>
      <w:bookmarkEnd w:id="1240"/>
    </w:p>
    <w:p>
      <w:pPr>
        <w:pStyle w:val="Style26"/>
        <w:keepNext w:val="0"/>
        <w:keepLines w:val="0"/>
        <w:widowControl w:val="0"/>
        <w:shd w:val="clear" w:color="auto" w:fill="auto"/>
        <w:bidi w:val="0"/>
        <w:spacing w:before="0" w:after="260" w:line="240" w:lineRule="auto"/>
        <w:ind w:left="0" w:right="0" w:firstLine="500"/>
        <w:jc w:val="left"/>
      </w:pPr>
      <w:r>
        <w:rPr>
          <w:color w:val="000000"/>
          <w:spacing w:val="0"/>
          <w:w w:val="100"/>
          <w:position w:val="0"/>
        </w:rPr>
        <w:t>详见附注七、</w:t>
      </w:r>
      <w:r>
        <w:rPr>
          <w:rFonts w:ascii="Arial Narrow" w:eastAsia="Arial Narrow" w:hAnsi="Arial Narrow" w:cs="Arial Narrow"/>
          <w:color w:val="000000"/>
          <w:spacing w:val="0"/>
          <w:w w:val="100"/>
          <w:position w:val="0"/>
          <w:sz w:val="18"/>
          <w:szCs w:val="18"/>
        </w:rPr>
        <w:t>1</w:t>
      </w:r>
      <w:r>
        <w:rPr>
          <w:color w:val="000000"/>
          <w:spacing w:val="0"/>
          <w:w w:val="100"/>
          <w:position w:val="0"/>
        </w:rPr>
        <w:t>在子公司中的权益。</w:t>
      </w:r>
    </w:p>
    <w:p>
      <w:pPr>
        <w:pStyle w:val="Style22"/>
        <w:keepNext/>
        <w:keepLines/>
        <w:widowControl w:val="0"/>
        <w:shd w:val="clear" w:color="auto" w:fill="auto"/>
        <w:tabs>
          <w:tab w:pos="839" w:val="left"/>
        </w:tabs>
        <w:bidi w:val="0"/>
        <w:spacing w:before="0" w:after="260" w:line="240" w:lineRule="auto"/>
        <w:ind w:left="0" w:right="0" w:firstLine="500"/>
        <w:jc w:val="left"/>
        <w:rPr>
          <w:sz w:val="17"/>
          <w:szCs w:val="17"/>
        </w:rPr>
      </w:pPr>
      <w:bookmarkStart w:id="1241" w:name="bookmark1241"/>
      <w:bookmarkStart w:id="1242" w:name="bookmark1242"/>
      <w:bookmarkStart w:id="1243" w:name="bookmark1243"/>
      <w:bookmarkStart w:id="1244" w:name="bookmark1244"/>
      <w:r>
        <w:rPr>
          <w:rFonts w:ascii="Arial Narrow" w:eastAsia="Arial Narrow" w:hAnsi="Arial Narrow" w:cs="Arial Narrow"/>
          <w:color w:val="000000"/>
          <w:spacing w:val="0"/>
          <w:w w:val="100"/>
          <w:position w:val="0"/>
          <w:sz w:val="18"/>
          <w:szCs w:val="18"/>
        </w:rPr>
        <w:t>3</w:t>
      </w:r>
      <w:bookmarkEnd w:id="1243"/>
      <w:r>
        <w:rPr>
          <w:color w:val="000000"/>
          <w:spacing w:val="0"/>
          <w:w w:val="100"/>
          <w:position w:val="0"/>
          <w:sz w:val="17"/>
          <w:szCs w:val="17"/>
        </w:rPr>
        <w:t>、</w:t>
        <w:tab/>
        <w:t>本公司的联营企业情况</w:t>
      </w:r>
      <w:bookmarkEnd w:id="1241"/>
      <w:bookmarkEnd w:id="1242"/>
      <w:bookmarkEnd w:id="1244"/>
      <w:r>
        <w:br w:type="page"/>
      </w:r>
    </w:p>
    <w:tbl>
      <w:tblPr>
        <w:tblOverlap w:val="never"/>
        <w:jc w:val="center"/>
        <w:tblLayout w:type="fixed"/>
      </w:tblPr>
      <w:tblGrid>
        <w:gridCol w:w="4546"/>
        <w:gridCol w:w="4666"/>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联营企业名称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与本公司的关系</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中环联融</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北京</w:t>
            </w:r>
            <w:r>
              <w:rPr>
                <w:rFonts w:ascii="Arial Narrow" w:eastAsia="Arial Narrow" w:hAnsi="Arial Narrow" w:cs="Arial Narrow"/>
                <w:color w:val="000000"/>
                <w:spacing w:val="0"/>
                <w:w w:val="100"/>
                <w:position w:val="0"/>
                <w:sz w:val="18"/>
                <w:szCs w:val="18"/>
              </w:rPr>
              <w:t>）</w:t>
            </w:r>
            <w:r>
              <w:rPr>
                <w:rFonts w:ascii="SimSun" w:eastAsia="SimSun" w:hAnsi="SimSun" w:cs="SimSun"/>
                <w:color w:val="000000"/>
                <w:spacing w:val="0"/>
                <w:w w:val="100"/>
                <w:position w:val="0"/>
                <w:sz w:val="17"/>
                <w:szCs w:val="17"/>
              </w:rPr>
              <w:t>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rFonts w:ascii="Arial Narrow" w:eastAsia="Arial Narrow" w:hAnsi="Arial Narrow" w:cs="Arial Narrow"/>
                <w:color w:val="000000"/>
                <w:spacing w:val="0"/>
                <w:w w:val="100"/>
                <w:position w:val="0"/>
                <w:sz w:val="18"/>
                <w:szCs w:val="18"/>
              </w:rPr>
              <w:t>30%</w:t>
            </w:r>
            <w:r>
              <w:rPr>
                <w:rFonts w:ascii="SimSun" w:eastAsia="SimSun" w:hAnsi="SimSun" w:cs="SimSun"/>
                <w:color w:val="000000"/>
                <w:spacing w:val="0"/>
                <w:w w:val="100"/>
                <w:position w:val="0"/>
                <w:sz w:val="17"/>
                <w:szCs w:val="17"/>
              </w:rPr>
              <w:t>的联营公司</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北京融链科技有限公司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rFonts w:ascii="Arial Narrow" w:eastAsia="Arial Narrow" w:hAnsi="Arial Narrow" w:cs="Arial Narrow"/>
                <w:color w:val="000000"/>
                <w:spacing w:val="0"/>
                <w:w w:val="100"/>
                <w:position w:val="0"/>
                <w:sz w:val="18"/>
                <w:szCs w:val="18"/>
              </w:rPr>
              <w:t>20%</w:t>
            </w:r>
            <w:r>
              <w:rPr>
                <w:rFonts w:ascii="SimSun" w:eastAsia="SimSun" w:hAnsi="SimSun" w:cs="SimSun"/>
                <w:color w:val="000000"/>
                <w:spacing w:val="0"/>
                <w:w w:val="100"/>
                <w:position w:val="0"/>
                <w:sz w:val="17"/>
                <w:szCs w:val="17"/>
              </w:rPr>
              <w:t>的联营公司</w:t>
            </w: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深圳市深威驳运有限公司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rFonts w:ascii="Arial Narrow" w:eastAsia="Arial Narrow" w:hAnsi="Arial Narrow" w:cs="Arial Narrow"/>
                <w:color w:val="000000"/>
                <w:spacing w:val="0"/>
                <w:w w:val="100"/>
                <w:position w:val="0"/>
                <w:sz w:val="18"/>
                <w:szCs w:val="18"/>
              </w:rPr>
              <w:t>45%</w:t>
            </w:r>
            <w:r>
              <w:rPr>
                <w:rFonts w:ascii="SimSun" w:eastAsia="SimSun" w:hAnsi="SimSun" w:cs="SimSun"/>
                <w:color w:val="000000"/>
                <w:spacing w:val="0"/>
                <w:w w:val="100"/>
                <w:position w:val="0"/>
                <w:sz w:val="17"/>
                <w:szCs w:val="17"/>
              </w:rPr>
              <w:t>的联营公司</w:t>
            </w:r>
          </w:p>
        </w:tc>
      </w:tr>
    </w:tbl>
    <w:p>
      <w:pPr>
        <w:widowControl w:val="0"/>
        <w:spacing w:after="219" w:line="1" w:lineRule="exact"/>
      </w:pPr>
    </w:p>
    <w:p>
      <w:pPr>
        <w:pStyle w:val="Style22"/>
        <w:keepNext/>
        <w:keepLines/>
        <w:widowControl w:val="0"/>
        <w:shd w:val="clear" w:color="auto" w:fill="auto"/>
        <w:bidi w:val="0"/>
        <w:spacing w:before="0" w:after="220" w:line="240" w:lineRule="auto"/>
        <w:ind w:left="0" w:right="0" w:firstLine="500"/>
        <w:jc w:val="left"/>
        <w:rPr>
          <w:sz w:val="17"/>
          <w:szCs w:val="17"/>
        </w:rPr>
      </w:pPr>
      <w:bookmarkStart w:id="1245" w:name="bookmark1245"/>
      <w:bookmarkStart w:id="1246" w:name="bookmark1246"/>
      <w:bookmarkStart w:id="1247" w:name="bookmark1247"/>
      <w:r>
        <w:rPr>
          <w:rFonts w:ascii="Arial Narrow" w:eastAsia="Arial Narrow" w:hAnsi="Arial Narrow" w:cs="Arial Narrow"/>
          <w:color w:val="000000"/>
          <w:spacing w:val="0"/>
          <w:w w:val="100"/>
          <w:position w:val="0"/>
          <w:sz w:val="18"/>
          <w:szCs w:val="18"/>
        </w:rPr>
        <w:t>4</w:t>
      </w:r>
      <w:r>
        <w:rPr>
          <w:color w:val="000000"/>
          <w:spacing w:val="0"/>
          <w:w w:val="100"/>
          <w:position w:val="0"/>
          <w:sz w:val="17"/>
          <w:szCs w:val="17"/>
        </w:rPr>
        <w:t>、其他关联方情况</w:t>
      </w:r>
      <w:bookmarkEnd w:id="1245"/>
      <w:bookmarkEnd w:id="1246"/>
      <w:bookmarkEnd w:id="1247"/>
    </w:p>
    <w:p>
      <w:pPr>
        <w:pStyle w:val="Style24"/>
        <w:keepNext w:val="0"/>
        <w:keepLines w:val="0"/>
        <w:widowControl w:val="0"/>
        <w:shd w:val="clear" w:color="auto" w:fill="auto"/>
        <w:bidi w:val="0"/>
        <w:spacing w:before="0" w:after="0" w:line="240" w:lineRule="auto"/>
        <w:ind w:left="538" w:right="0" w:firstLine="0"/>
        <w:jc w:val="left"/>
      </w:pPr>
      <w:r>
        <w:rPr>
          <w:color w:val="000000"/>
          <w:spacing w:val="0"/>
          <w:w w:val="100"/>
          <w:position w:val="0"/>
        </w:rPr>
        <w:t>本年与本公司发生关联方交易，或前期与本公司发生关联方交易形成余额的关联方如下:</w:t>
      </w:r>
    </w:p>
    <w:tbl>
      <w:tblPr>
        <w:tblOverlap w:val="never"/>
        <w:jc w:val="center"/>
        <w:tblLayout w:type="fixed"/>
      </w:tblPr>
      <w:tblGrid>
        <w:gridCol w:w="3686"/>
        <w:gridCol w:w="5520"/>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其他关联方名称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其他关联方与本公司关系</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东旭建设集团有限公司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上海碳源汇谷新材料科技有限公司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北京旭碳新材料科技有限公司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成都东旭智能科技有限公司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深圳市东旭鸿基地产有限公司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深圳市三宝创新智能有限公司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大连旭昶科技有限公司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宁波旭泽宏宇实业有限公司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东旭科技集团有限公司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北京旭泉科技有限公司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中大诚信国际商业保理有限公司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昆明东旭启明投资开发有限公司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福建东旭启明置业有限公司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嵊州浙旭置业有限公司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东旭国际投资集团有限公司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东旭创智（北京）文化传媒有限公司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东旭科创科技产业发展有限公司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东旭集团有限公司北京分公司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芜湖东旭光电装备技术有限公司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福州旭福光电科技有限公司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东旭北方置业（北京）有限公司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北京旭丰置业有限公司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3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东鼎浩（嘉兴）投资管理有限公司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bl>
    <w:p>
      <w:pPr>
        <w:widowControl w:val="0"/>
        <w:spacing w:line="1" w:lineRule="exact"/>
      </w:pPr>
      <w:r>
        <w:br w:type="page"/>
      </w:r>
    </w:p>
    <w:tbl>
      <w:tblPr>
        <w:tblOverlap w:val="never"/>
        <w:jc w:val="center"/>
        <w:tblLayout w:type="fixed"/>
      </w:tblPr>
      <w:tblGrid>
        <w:gridCol w:w="3686"/>
        <w:gridCol w:w="5506"/>
      </w:tblGrid>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东鼎企业管理集团有限公司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东鼎云起投资管理有限公司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东鼎云投资管理有限公司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东旭集团财务有限公司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东旭筑鼎投资发展集团有限公司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杭州远邦房地产开发有限公司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华夏元寸（北京）科技有限公司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汇银金控资产管理有限公司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江苏吉星新材料有限公司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太原东旭融拓置业有限公司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唐山旭鑫园区建设发展有限公司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扬州东旭烯谷科技发展有限公司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易县旭华园区建设发展有限公司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云旭（北京）商务咨询有限公司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漳州市南荣房地产开发有限公司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重庆东旭启德置业有限公司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郑州旭飞光电科技有限公司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深圳市凯方实业发展有限公司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中山市东鸿房地产开发有限公司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惠州市宝安房地产开发有限公司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西安深鸿基房地产开发有限公司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陕西宝安鸿基房地产开发有限公司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东莞市宜久房地产开发有限公司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惠东县宝安鸿基房地产开发有限公司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宁波东旭鸿基投资管理有限责任公司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中山市深中房地产开发有限公司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中山市深中房地产投资置业有限公司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湖南宝安鸿基房地产开发有限公司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广东华凯房地产开发有限公司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惠州市德新房地产有限公司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3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深圳市欧富源科技有限公司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bl>
    <w:p>
      <w:pPr>
        <w:widowControl w:val="0"/>
        <w:spacing w:line="1" w:lineRule="exact"/>
      </w:pPr>
      <w:r>
        <w:br w:type="page"/>
      </w:r>
    </w:p>
    <w:tbl>
      <w:tblPr>
        <w:tblOverlap w:val="never"/>
        <w:jc w:val="center"/>
        <w:tblLayout w:type="fixed"/>
      </w:tblPr>
      <w:tblGrid>
        <w:gridCol w:w="3691"/>
        <w:gridCol w:w="5520"/>
      </w:tblGrid>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惠州市东旭大湾区实业投资有限公司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受同一实际控制人控制</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深圳市鸿基广源贸易有限公司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本公司已进入清算程序的子公司</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深运工贸翠苑旅店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本公司已进入清算程序的分支机构</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衡水银行股份有限公司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本公司母公司的联营企业</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朔州农村商业银行股份有限公司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本公司母公司的联营企业</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包头农村商业银行股份有限公司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本公司母公司的联营企业</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580"/>
        <w:jc w:val="left"/>
        <w:rPr>
          <w:sz w:val="17"/>
          <w:szCs w:val="17"/>
        </w:rPr>
      </w:pPr>
      <w:bookmarkStart w:id="1248" w:name="bookmark1248"/>
      <w:bookmarkStart w:id="1249" w:name="bookmark1249"/>
      <w:bookmarkStart w:id="1250" w:name="bookmark1250"/>
      <w:r>
        <w:rPr>
          <w:rFonts w:ascii="Arial Narrow" w:eastAsia="Arial Narrow" w:hAnsi="Arial Narrow" w:cs="Arial Narrow"/>
          <w:color w:val="000000"/>
          <w:spacing w:val="0"/>
          <w:w w:val="100"/>
          <w:position w:val="0"/>
          <w:sz w:val="18"/>
          <w:szCs w:val="18"/>
        </w:rPr>
        <w:t>5</w:t>
      </w:r>
      <w:r>
        <w:rPr>
          <w:color w:val="000000"/>
          <w:spacing w:val="0"/>
          <w:w w:val="100"/>
          <w:position w:val="0"/>
          <w:sz w:val="17"/>
          <w:szCs w:val="17"/>
        </w:rPr>
        <w:t>、关联方交易情况</w:t>
      </w:r>
      <w:bookmarkEnd w:id="1248"/>
      <w:bookmarkEnd w:id="1249"/>
      <w:bookmarkEnd w:id="1250"/>
    </w:p>
    <w:p>
      <w:pPr>
        <w:pStyle w:val="Style26"/>
        <w:keepNext w:val="0"/>
        <w:keepLines w:val="0"/>
        <w:widowControl w:val="0"/>
        <w:shd w:val="clear" w:color="auto" w:fill="auto"/>
        <w:bidi w:val="0"/>
        <w:spacing w:before="0" w:after="300" w:line="240" w:lineRule="auto"/>
        <w:ind w:left="0" w:right="0" w:firstLine="46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)购销商品、提供和接受劳务的关联交易</w:t>
      </w:r>
    </w:p>
    <w:p>
      <w:pPr>
        <w:pStyle w:val="Style24"/>
        <w:keepNext w:val="0"/>
        <w:keepLines w:val="0"/>
        <w:widowControl w:val="0"/>
        <w:shd w:val="clear" w:color="auto" w:fill="auto"/>
        <w:bidi w:val="0"/>
        <w:spacing w:before="0" w:after="0" w:line="240" w:lineRule="auto"/>
        <w:ind w:left="461" w:right="0" w:firstLine="0"/>
        <w:jc w:val="left"/>
      </w:pPr>
      <w:r>
        <w:rPr>
          <w:color w:val="000000"/>
          <w:spacing w:val="0"/>
          <w:w w:val="100"/>
          <w:position w:val="0"/>
        </w:rPr>
        <w:t>①采购商品、接受劳务情况</w:t>
      </w:r>
    </w:p>
    <w:tbl>
      <w:tblPr>
        <w:tblOverlap w:val="never"/>
        <w:jc w:val="center"/>
        <w:tblLayout w:type="fixed"/>
      </w:tblPr>
      <w:tblGrid>
        <w:gridCol w:w="4018"/>
        <w:gridCol w:w="1690"/>
        <w:gridCol w:w="1910"/>
        <w:gridCol w:w="1704"/>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关联方名称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关联交易内容</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r>
      <w:tr>
        <w:trPr>
          <w:trHeight w:val="42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东旭建设集团有限公司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建筑工程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241,305,047.45</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上海碳源汇谷新材料科技有限公司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石墨烯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6,879.31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459,056.28</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北京旭碳新材料科技有限公司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电暖器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5,810.35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8,948.28</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深圳市东旭鸿基地产有限公司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200,000.00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成都东旭智能科技有限公司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安装工程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579,481.88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rFonts w:ascii="Arial Narrow" w:eastAsia="Arial Narrow" w:hAnsi="Arial Narrow" w:cs="Arial Narrow"/>
                <w:color w:val="000000"/>
                <w:spacing w:val="0"/>
                <w:w w:val="100"/>
                <w:position w:val="0"/>
                <w:sz w:val="18"/>
                <w:szCs w:val="18"/>
              </w:rPr>
              <w:t>308,100.00</w:t>
            </w:r>
          </w:p>
        </w:tc>
      </w:tr>
      <w:tr>
        <w:trPr>
          <w:trHeight w:val="42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深圳市三宝创新智能有限公司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机器人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5,862.07</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东旭科技集团有限公司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32,886.06</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830,919.67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b/>
                <w:bCs/>
                <w:color w:val="000000"/>
                <w:spacing w:val="0"/>
                <w:w w:val="100"/>
                <w:position w:val="0"/>
                <w:sz w:val="18"/>
                <w:szCs w:val="18"/>
              </w:rPr>
              <w:t>242,281,152.01</w:t>
            </w:r>
          </w:p>
        </w:tc>
      </w:tr>
    </w:tbl>
    <w:p>
      <w:pPr>
        <w:widowControl w:val="0"/>
        <w:spacing w:after="1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461" w:right="0" w:firstLine="0"/>
        <w:jc w:val="left"/>
      </w:pPr>
      <w:r>
        <w:rPr>
          <w:color w:val="000000"/>
          <w:spacing w:val="0"/>
          <w:w w:val="100"/>
          <w:position w:val="0"/>
        </w:rPr>
        <w:t>②出售商品、提供劳务情况</w:t>
      </w:r>
    </w:p>
    <w:tbl>
      <w:tblPr>
        <w:tblOverlap w:val="never"/>
        <w:jc w:val="center"/>
        <w:tblLayout w:type="fixed"/>
      </w:tblPr>
      <w:tblGrid>
        <w:gridCol w:w="3653"/>
        <w:gridCol w:w="2112"/>
        <w:gridCol w:w="1718"/>
        <w:gridCol w:w="1834"/>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关联方名称</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关联交易内容</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金额</w:t>
            </w:r>
          </w:p>
        </w:tc>
      </w:tr>
      <w:tr>
        <w:trPr>
          <w:trHeight w:val="42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昆明东旭启明投资开发有限公司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12,050.34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9,000.00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福建东旭启明置业有限公司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2,029.36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4,854.55</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嵊州浙旭置业有限公司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4,928.44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9,572.73</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深圳市东旭鸿基地产有限公司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81,823.10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东旭国际投资集团有限公司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41,254.06</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宁波旭泽宏宇实业有限公司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11,740.55</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东旭创智(北京)文化传媒有限公司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5,943.12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24,218.18</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东旭科技集团有限公司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445,387.76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830,154.95</w:t>
            </w:r>
          </w:p>
        </w:tc>
      </w:tr>
      <w:tr>
        <w:trPr>
          <w:trHeight w:val="43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北京旭泉科技有限公司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98,509.10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39,254.16</w:t>
            </w:r>
          </w:p>
        </w:tc>
      </w:tr>
    </w:tbl>
    <w:p>
      <w:pPr>
        <w:widowControl w:val="0"/>
        <w:spacing w:line="1" w:lineRule="exact"/>
      </w:pPr>
      <w:r>
        <w:br w:type="page"/>
      </w:r>
    </w:p>
    <w:tbl>
      <w:tblPr>
        <w:tblOverlap w:val="never"/>
        <w:jc w:val="center"/>
        <w:tblLayout w:type="fixed"/>
      </w:tblPr>
      <w:tblGrid>
        <w:gridCol w:w="3653"/>
        <w:gridCol w:w="2112"/>
        <w:gridCol w:w="1718"/>
        <w:gridCol w:w="1824"/>
      </w:tblGrid>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东旭科创科技产业发展有限公司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41,018.18</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106,546.79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11,763.01</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东旭集团有限公司北京分公司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86,920.44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244,433.36</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芜湖东旭光电装备技术有限公司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488,299.12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5,000.00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福州旭福光电科技有限公司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36,000.50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成都东旭智能科技有限公司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7,730.91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东旭北方置业（北京）有限公司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8,842.20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120,732.84</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北京旭丰置业有限公司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2,464.22</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东鼎浩（嘉兴）投资管理有限公司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2,138.88</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东鼎企业管理集团有限公司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4,265.45</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东鼎云起投资管理有限公司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927.27</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东鼎云投资管理有限公司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1,360.00</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东旭集团财务有限公司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5,363.30</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579.82</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东旭筑鼎投资发展集团有限公司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6,700.08</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杭州远邦房地产开发有限公司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4,203.67</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华夏元寸（北京）科技有限公司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14,201.83</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汇银金控资产管理有限公司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3,840.37</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江苏吉星新材料有限公司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14,672.73</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太原东旭融拓置业有限公司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2,754.13</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唐山旭鑫园区建设发展有限公司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869.72</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扬州东旭烯谷科技发展有限公司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869.72</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易县旭华园区建设发展有限公司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33,683.84</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云旭（北京）商务咨询有限公司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1,486.72</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漳州市南荣房地产开发有限公司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3,768.81</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重庆东旭启德置业有限公司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3,768.81</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郑州旭飞光电科技有限公司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rFonts w:ascii="Arial Narrow" w:eastAsia="Arial Narrow" w:hAnsi="Arial Narrow" w:cs="Arial Narrow"/>
                <w:color w:val="000000"/>
                <w:spacing w:val="0"/>
                <w:w w:val="100"/>
                <w:position w:val="0"/>
                <w:sz w:val="18"/>
                <w:szCs w:val="18"/>
              </w:rPr>
              <w:t>340,517.24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东旭北方置业（北京）有限公司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剥离地产资金占用费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12,203,956.94</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深圳市凯方实业发展有限公司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剥离地产资金占用费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870,755.94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中山市东鸿房地产开发有限公司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剥离地产资金占用费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11,978,513.04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惠州市宝安房地产开发有限公司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剥离地产资金占用费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15,328,225.00</w:t>
            </w:r>
          </w:p>
        </w:tc>
      </w:tr>
      <w:tr>
        <w:trPr>
          <w:trHeight w:val="43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both"/>
              <w:rPr>
                <w:sz w:val="17"/>
                <w:szCs w:val="17"/>
              </w:rPr>
            </w:pPr>
            <w:r>
              <w:rPr>
                <w:rFonts w:ascii="SimSun" w:eastAsia="SimSun" w:hAnsi="SimSun" w:cs="SimSun"/>
                <w:color w:val="000000"/>
                <w:spacing w:val="0"/>
                <w:w w:val="100"/>
                <w:position w:val="0"/>
                <w:sz w:val="17"/>
                <w:szCs w:val="17"/>
              </w:rPr>
              <w:t>西安深鸿基房地产开发有限公司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剥离地产资金占用费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365,438.63</w:t>
            </w:r>
          </w:p>
        </w:tc>
      </w:tr>
    </w:tbl>
    <w:p>
      <w:pPr>
        <w:widowControl w:val="0"/>
        <w:spacing w:line="1" w:lineRule="exact"/>
      </w:pPr>
      <w:r>
        <w:br w:type="page"/>
      </w:r>
    </w:p>
    <w:tbl>
      <w:tblPr>
        <w:tblOverlap w:val="never"/>
        <w:jc w:val="center"/>
        <w:tblLayout w:type="fixed"/>
      </w:tblPr>
      <w:tblGrid>
        <w:gridCol w:w="3653"/>
        <w:gridCol w:w="2107"/>
        <w:gridCol w:w="1718"/>
        <w:gridCol w:w="1838"/>
      </w:tblGrid>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陕西宝安鸿基房地产开发有限公司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剥离地产资金占用费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3,787,661.51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东莞市宜久房地产开发有限公司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剥离地产资金占用费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3,522,843.48</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深圳市东旭鸿基地产有限公司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剥离地产资金占用费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2,326,365.84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惠东县宝安鸿基房地产开发有限公司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1,884,782.00</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宁波东旭鸿基投资管理有限责任公司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615,994.80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725,569.79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中山市深中房地产开发有限公司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2,618,091.70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2,393,518.48</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中山市深中房地产投资置业有限公司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728,213.87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3,769,357.30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深圳市东旭鸿基地产有限公司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1,647,142.71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34,733.64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湖南宝安鸿基房地产开发有限公司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2,101,336.92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1,374,234.82</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陕西宝安鸿基房地产开发有限公司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2,388,684.41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2,348,391.77</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广东华凯房地产开发有限公司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1,980,873.93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2,596,790.33</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东莞市宜久房地产开发有限公司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3,710,091.78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3,384,988.80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惠州市宝安房地产开发有限公司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2,062,510.55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2,559,625.82</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惠州市德新房地产有限公司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物业费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2,304,482.97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1,262,172.94</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23,409,581.68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b/>
                <w:bCs/>
                <w:color w:val="000000"/>
                <w:spacing w:val="0"/>
                <w:w w:val="100"/>
                <w:position w:val="0"/>
                <w:sz w:val="18"/>
                <w:szCs w:val="18"/>
              </w:rPr>
              <w:t>72,692,212.39</w:t>
            </w:r>
          </w:p>
        </w:tc>
      </w:tr>
    </w:tbl>
    <w:p>
      <w:pPr>
        <w:pStyle w:val="Style24"/>
        <w:keepNext w:val="0"/>
        <w:keepLines w:val="0"/>
        <w:widowControl w:val="0"/>
        <w:shd w:val="clear" w:color="auto" w:fill="auto"/>
        <w:bidi w:val="0"/>
        <w:spacing w:before="0" w:after="0" w:line="240" w:lineRule="auto"/>
        <w:ind w:left="470"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 xml:space="preserve">2 </w:t>
      </w:r>
      <w:r>
        <w:rPr>
          <w:color w:val="000000"/>
          <w:spacing w:val="0"/>
          <w:w w:val="100"/>
          <w:position w:val="0"/>
        </w:rPr>
        <w:t>)关联租赁情况</w:t>
      </w:r>
    </w:p>
    <w:p>
      <w:pPr>
        <w:widowControl w:val="0"/>
        <w:spacing w:after="25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494" w:right="0" w:firstLine="0"/>
        <w:jc w:val="left"/>
      </w:pPr>
      <w:r>
        <w:rPr>
          <w:color w:val="000000"/>
          <w:spacing w:val="0"/>
          <w:w w:val="100"/>
          <w:position w:val="0"/>
        </w:rPr>
        <w:t>①本公司作为出租方:</w:t>
      </w:r>
    </w:p>
    <w:tbl>
      <w:tblPr>
        <w:tblOverlap w:val="never"/>
        <w:jc w:val="center"/>
        <w:tblLayout w:type="fixed"/>
      </w:tblPr>
      <w:tblGrid>
        <w:gridCol w:w="3120"/>
        <w:gridCol w:w="413"/>
        <w:gridCol w:w="1272"/>
        <w:gridCol w:w="346"/>
        <w:gridCol w:w="1315"/>
        <w:gridCol w:w="624"/>
        <w:gridCol w:w="696"/>
        <w:gridCol w:w="1570"/>
      </w:tblGrid>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承租方名称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租赁资产种类</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本年确认的租赁收入</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上年确认的租赁收入</w:t>
            </w:r>
          </w:p>
        </w:tc>
      </w:tr>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大连旭昶科技有限公司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房屋租赁</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20,427,362.57</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24,799,824.11</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宁波旭泽宏宇实业有限公司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房屋租赁</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25,904,998.28</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23,987,986.57</w:t>
            </w:r>
          </w:p>
        </w:tc>
      </w:tr>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fldChar w:fldCharType="begin"/>
            </w:r>
            <w:r>
              <w:rPr/>
              <w:instrText> HYPERLINK "http://www.qichacha.com/firm_d1046d602385df2a1e0ee35b3cd514d4.html" </w:instrText>
            </w:r>
            <w:r>
              <w:fldChar w:fldCharType="separate"/>
            </w:r>
            <w:r>
              <w:rPr>
                <w:rFonts w:ascii="SimSun" w:eastAsia="SimSun" w:hAnsi="SimSun" w:cs="SimSun"/>
                <w:color w:val="000000"/>
                <w:spacing w:val="0"/>
                <w:w w:val="100"/>
                <w:position w:val="0"/>
                <w:sz w:val="17"/>
                <w:szCs w:val="17"/>
              </w:rPr>
              <w:t>东旭科技集团有限公司</w:t>
            </w:r>
            <w:r>
              <w:fldChar w:fldCharType="end"/>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房屋租赁</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37,738,364.57</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41,566,688.26</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北京旭泉科技有限公司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房屋租赁</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40,391,187.91</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42,921,794.41</w:t>
            </w:r>
          </w:p>
        </w:tc>
      </w:tr>
      <w:tr>
        <w:trPr>
          <w:trHeight w:val="4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中大诚信国际商业保理有限公司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房屋租赁</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19,752,969.86</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11,521,456.89</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房屋租赁</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35,392,761.82</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pPr>
            <w:r>
              <w:rPr>
                <w:rFonts w:ascii="Arial Narrow" w:eastAsia="Arial Narrow" w:hAnsi="Arial Narrow" w:cs="Arial Narrow"/>
                <w:color w:val="000000"/>
                <w:spacing w:val="0"/>
                <w:w w:val="100"/>
                <w:position w:val="0"/>
                <w:sz w:val="18"/>
                <w:szCs w:val="18"/>
              </w:rPr>
              <w:t>36,252,391.15</w:t>
            </w:r>
          </w:p>
        </w:tc>
      </w:tr>
      <w:tr>
        <w:trPr>
          <w:trHeight w:val="422"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武汉中凯科技有限公司</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房屋租赁</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1,442,496.37</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深圳市东旭鸿基地产有限公司</w:t>
            </w:r>
          </w:p>
        </w:tc>
        <w:tc>
          <w:tcPr>
            <w:gridSpan w:val="2"/>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租赁款</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2,314,038.96</w:t>
            </w:r>
          </w:p>
        </w:tc>
        <w:tc>
          <w:tcPr>
            <w:gridSpan w:val="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2,507,835.48</w:t>
            </w:r>
          </w:p>
        </w:tc>
      </w:tr>
      <w:tr>
        <w:trPr>
          <w:trHeight w:val="43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183,364,180.34</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rFonts w:ascii="Arial Narrow" w:eastAsia="Arial Narrow" w:hAnsi="Arial Narrow" w:cs="Arial Narrow"/>
                <w:b/>
                <w:bCs/>
                <w:color w:val="000000"/>
                <w:spacing w:val="0"/>
                <w:w w:val="100"/>
                <w:position w:val="0"/>
                <w:sz w:val="18"/>
                <w:szCs w:val="18"/>
              </w:rPr>
              <w:t>183,557,976.87</w:t>
            </w:r>
          </w:p>
        </w:tc>
      </w:tr>
      <w:tr>
        <w:trPr>
          <w:trHeight w:val="1027" w:hRule="exact"/>
        </w:trPr>
        <w:tc>
          <w:tcPr>
            <w:gridSpan w:val="8"/>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300" w:line="240" w:lineRule="auto"/>
              <w:ind w:left="0" w:right="0" w:firstLine="500"/>
              <w:jc w:val="left"/>
              <w:rPr>
                <w:sz w:val="17"/>
                <w:szCs w:val="17"/>
              </w:rPr>
            </w:pP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)关联担保情况</w:t>
            </w:r>
          </w:p>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本公司作为被担保方：</w:t>
            </w:r>
          </w:p>
        </w:tc>
      </w:tr>
      <w:tr>
        <w:trPr>
          <w:trHeight w:val="811" w:hRule="exact"/>
        </w:trPr>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担保方</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担保金额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担保起始日</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担保到期日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b/>
                <w:bCs/>
                <w:color w:val="000000"/>
                <w:spacing w:val="0"/>
                <w:w w:val="100"/>
                <w:position w:val="0"/>
                <w:sz w:val="17"/>
                <w:szCs w:val="17"/>
              </w:rPr>
              <w:t>担保是否已经履 行完毕</w:t>
            </w:r>
          </w:p>
        </w:tc>
      </w:tr>
    </w:tbl>
    <w:p>
      <w:pPr>
        <w:widowControl w:val="0"/>
        <w:spacing w:line="1" w:lineRule="exact"/>
      </w:pPr>
      <w:r>
        <w:br w:type="page"/>
      </w:r>
    </w:p>
    <w:tbl>
      <w:tblPr>
        <w:tblOverlap w:val="never"/>
        <w:jc w:val="center"/>
        <w:tblLayout w:type="fixed"/>
      </w:tblPr>
      <w:tblGrid>
        <w:gridCol w:w="3542"/>
        <w:gridCol w:w="1618"/>
        <w:gridCol w:w="1315"/>
        <w:gridCol w:w="1320"/>
        <w:gridCol w:w="1570"/>
      </w:tblGrid>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东旭集团有限公司、李兆廷、李青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215,000,000.00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2017/5/16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2020/5/16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东旭集团有限公司、李兆廷、李青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998,500,000.00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2017/11/3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东旭集团有限公司、李兆廷、李青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204,182,353.19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2018/1/8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2023/2/5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东旭集团有限公司、李兆廷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860,471,677.74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2017/1/6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2022/1/5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东旭集团有限公司、李兆廷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500,000,000.00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2017/6/16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2020/6/15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东旭集团有限公司、李兆廷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2017/9/30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2022/9/29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东旭集团有限公司、李兆廷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400,000,000.02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2017/12/27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2027/12/27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东旭集团有限公司、李兆廷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106,120,987.44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2018/9/26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2019/9/24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东旭集团有限公司、李兆廷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2019/7/31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2020/7/30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328,800,000.00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2017/8/18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2020/8/18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135,082,932.89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2017/12/13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131,923,739.46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2016/12/23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2022/12/23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269,968,698.75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2017/12/29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2019/9/29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2018/5/25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48,888,889.06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2018/9/21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2021/9/21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739,050,000.00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63,920,000.00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2019/10/16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2032/10/15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8,200,000.00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2019/10/16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2032/10/15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李兆廷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59,899,447.26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2018/5/28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2020/5/15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李兆廷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800,000,000.00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2019/10/14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2020/10/14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李兆廷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rFonts w:ascii="Arial Narrow" w:eastAsia="Arial Narrow" w:hAnsi="Arial Narrow" w:cs="Arial Narrow"/>
                <w:color w:val="000000"/>
                <w:spacing w:val="0"/>
                <w:w w:val="100"/>
                <w:position w:val="0"/>
                <w:sz w:val="18"/>
                <w:szCs w:val="18"/>
              </w:rPr>
              <w:t>400,000,000.00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2019/10/21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2020/10/20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东旭科技集团有限公司、李兆廷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2019/7/23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2020/7/23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东旭国际投资集团有限公司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5,431,970.80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2018/7/31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2028/7/31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17"/>
                <w:szCs w:val="17"/>
              </w:rPr>
            </w:pPr>
            <w:r>
              <w:rPr>
                <w:rFonts w:ascii="SimSun" w:eastAsia="SimSun" w:hAnsi="SimSun" w:cs="SimSun"/>
                <w:color w:val="000000"/>
                <w:spacing w:val="0"/>
                <w:w w:val="100"/>
                <w:position w:val="0"/>
                <w:sz w:val="17"/>
                <w:szCs w:val="17"/>
              </w:rPr>
              <w:t>否</w:t>
            </w:r>
          </w:p>
        </w:tc>
      </w:tr>
    </w:tbl>
    <w:p>
      <w:pPr>
        <w:pStyle w:val="Style24"/>
        <w:keepNext w:val="0"/>
        <w:keepLines w:val="0"/>
        <w:widowControl w:val="0"/>
        <w:shd w:val="clear" w:color="auto" w:fill="auto"/>
        <w:bidi w:val="0"/>
        <w:spacing w:before="0" w:after="0" w:line="240" w:lineRule="auto"/>
        <w:ind w:left="514"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4</w:t>
      </w:r>
      <w:r>
        <w:rPr>
          <w:color w:val="000000"/>
          <w:spacing w:val="0"/>
          <w:w w:val="100"/>
          <w:position w:val="0"/>
        </w:rPr>
        <w:t>)关键管理人员报酬</w:t>
      </w:r>
    </w:p>
    <w:p>
      <w:pPr>
        <w:widowControl w:val="0"/>
        <w:spacing w:after="25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422" w:right="0" w:firstLine="0"/>
        <w:jc w:val="left"/>
      </w:pPr>
      <w:r>
        <w:rPr>
          <w:color w:val="000000"/>
          <w:spacing w:val="0"/>
          <w:w w:val="100"/>
          <w:position w:val="0"/>
        </w:rPr>
        <w:t>单位：人民币万元</w:t>
      </w:r>
    </w:p>
    <w:tbl>
      <w:tblPr>
        <w:tblOverlap w:val="never"/>
        <w:jc w:val="center"/>
        <w:tblLayout w:type="fixed"/>
      </w:tblPr>
      <w:tblGrid>
        <w:gridCol w:w="3490"/>
        <w:gridCol w:w="2846"/>
        <w:gridCol w:w="2995"/>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上期发生额</w:t>
            </w: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867.22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741.77</w:t>
            </w:r>
          </w:p>
        </w:tc>
      </w:tr>
    </w:tbl>
    <w:p>
      <w:pPr>
        <w:pStyle w:val="Style24"/>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w:t>
      </w:r>
      <w:r>
        <w:rPr>
          <w:rFonts w:ascii="Arial Narrow" w:eastAsia="Arial Narrow" w:hAnsi="Arial Narrow" w:cs="Arial Narrow"/>
          <w:color w:val="000000"/>
          <w:spacing w:val="0"/>
          <w:w w:val="100"/>
          <w:position w:val="0"/>
          <w:sz w:val="18"/>
          <w:szCs w:val="18"/>
        </w:rPr>
        <w:t>5</w:t>
      </w:r>
      <w:r>
        <w:rPr>
          <w:color w:val="000000"/>
          <w:spacing w:val="0"/>
          <w:w w:val="100"/>
          <w:position w:val="0"/>
        </w:rPr>
        <w:t>)资金结算业务</w:t>
      </w:r>
    </w:p>
    <w:p>
      <w:pPr>
        <w:widowControl w:val="0"/>
        <w:spacing w:after="31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398" w:right="0" w:firstLine="0"/>
        <w:jc w:val="left"/>
      </w:pPr>
      <w:r>
        <w:rPr>
          <w:color w:val="000000"/>
          <w:spacing w:val="0"/>
          <w:w w:val="100"/>
          <w:position w:val="0"/>
        </w:rPr>
        <w:t>①截至</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 xml:space="preserve">31 </w:t>
      </w:r>
      <w:r>
        <w:rPr>
          <w:rFonts w:ascii="Arial" w:eastAsia="Arial" w:hAnsi="Arial" w:cs="Arial"/>
          <w:color w:val="000000"/>
          <w:spacing w:val="0"/>
          <w:w w:val="100"/>
          <w:position w:val="0"/>
          <w:sz w:val="18"/>
          <w:szCs w:val="18"/>
        </w:rPr>
        <w:t>0</w:t>
      </w:r>
      <w:r>
        <w:rPr>
          <w:color w:val="000000"/>
          <w:spacing w:val="0"/>
          <w:w w:val="100"/>
          <w:position w:val="0"/>
        </w:rPr>
        <w:t>，本公司及子公司与东旭集团财务有限公司(以下简称“东旭财务公司”)资金结算情况如下:</w:t>
      </w:r>
    </w:p>
    <w:tbl>
      <w:tblPr>
        <w:tblOverlap w:val="never"/>
        <w:jc w:val="center"/>
        <w:tblLayout w:type="fixed"/>
      </w:tblPr>
      <w:tblGrid>
        <w:gridCol w:w="4589"/>
        <w:gridCol w:w="1493"/>
        <w:gridCol w:w="1694"/>
        <w:gridCol w:w="1584"/>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2019.01.01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一、存放于东旭财务公司存款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2,303,504,431.90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9,241,533,417.65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rFonts w:ascii="Arial Narrow" w:eastAsia="Arial Narrow" w:hAnsi="Arial Narrow" w:cs="Arial Narrow"/>
                <w:color w:val="000000"/>
                <w:spacing w:val="0"/>
                <w:w w:val="100"/>
                <w:position w:val="0"/>
                <w:sz w:val="18"/>
                <w:szCs w:val="18"/>
              </w:rPr>
              <w:t>8,672,794,702.03</w:t>
            </w:r>
          </w:p>
        </w:tc>
      </w:tr>
    </w:tbl>
    <w:p>
      <w:pPr>
        <w:widowControl w:val="0"/>
        <w:spacing w:line="1" w:lineRule="exact"/>
      </w:pPr>
      <w:r>
        <w:br w:type="page"/>
      </w:r>
    </w:p>
    <w:tbl>
      <w:tblPr>
        <w:tblOverlap w:val="never"/>
        <w:jc w:val="center"/>
        <w:tblLayout w:type="fixed"/>
      </w:tblPr>
      <w:tblGrid>
        <w:gridCol w:w="4594"/>
        <w:gridCol w:w="1493"/>
        <w:gridCol w:w="1694"/>
        <w:gridCol w:w="1579"/>
      </w:tblGrid>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二、存放于东旭财务公司承兑汇票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三、委托东旭财务公司开具承兑汇票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四、向东旭财务公司进行票据贴现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五、向东旭财务公司借款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六、向东旭财务公司办理应收账款无追索权保理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499" w:right="0" w:firstLine="0"/>
        <w:jc w:val="left"/>
      </w:pPr>
      <w:r>
        <w:rPr>
          <w:color w:val="000000"/>
          <w:spacing w:val="0"/>
          <w:w w:val="100"/>
          <w:position w:val="0"/>
        </w:rPr>
        <w:t>续前表:</w:t>
      </w:r>
    </w:p>
    <w:tbl>
      <w:tblPr>
        <w:tblOverlap w:val="never"/>
        <w:jc w:val="center"/>
        <w:tblLayout w:type="fixed"/>
      </w:tblPr>
      <w:tblGrid>
        <w:gridCol w:w="5011"/>
        <w:gridCol w:w="1637"/>
        <w:gridCol w:w="2712"/>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left"/>
              <w:rPr>
                <w:sz w:val="17"/>
                <w:szCs w:val="17"/>
              </w:rPr>
            </w:pPr>
            <w:r>
              <w:rPr>
                <w:rFonts w:ascii="SimSun" w:eastAsia="SimSun" w:hAnsi="SimSun" w:cs="SimSun"/>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应收取或支付</w:t>
            </w:r>
            <w:r>
              <w:rPr>
                <w:rFonts w:ascii="SimSun" w:eastAsia="SimSun" w:hAnsi="SimSun" w:cs="SimSun"/>
                <w:b/>
                <w:bCs/>
                <w:color w:val="000000"/>
                <w:spacing w:val="0"/>
                <w:w w:val="100"/>
                <w:position w:val="0"/>
                <w:sz w:val="17"/>
                <w:szCs w:val="17"/>
              </w:rPr>
              <w:t>（</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r>
              <w:rPr>
                <w:rFonts w:ascii="SimSun" w:eastAsia="SimSun" w:hAnsi="SimSun" w:cs="SimSun"/>
                <w:b/>
                <w:bCs/>
                <w:color w:val="000000"/>
                <w:spacing w:val="0"/>
                <w:w w:val="100"/>
                <w:position w:val="0"/>
                <w:sz w:val="17"/>
                <w:szCs w:val="17"/>
              </w:rPr>
              <w:t>的利息</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一、存放于东旭财务公司存款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2,872,243,147.52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Arial Narrow" w:eastAsia="Arial Narrow" w:hAnsi="Arial Narrow" w:cs="Arial Narrow"/>
                <w:color w:val="000000"/>
                <w:spacing w:val="0"/>
                <w:w w:val="100"/>
                <w:position w:val="0"/>
                <w:sz w:val="18"/>
                <w:szCs w:val="18"/>
              </w:rPr>
              <w:t>28,156,522.93</w:t>
            </w:r>
          </w:p>
        </w:tc>
      </w:tr>
      <w:tr>
        <w:trPr>
          <w:trHeight w:val="42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二、存放于东旭财务公司承兑汇票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三、委托东旭财务公司开具承兑汇票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四、向东旭财务公司进行票据贴现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五、向东旭财务公司借款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六、向东旭财务公司办理应收账款无追索权保理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398" w:right="0" w:firstLine="0"/>
        <w:jc w:val="left"/>
      </w:pPr>
      <w:r>
        <w:rPr>
          <w:color w:val="000000"/>
          <w:spacing w:val="0"/>
          <w:w w:val="100"/>
          <w:position w:val="0"/>
        </w:rPr>
        <w:t>②截至</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日，本公司及子公司与衡水银行股份有限公司（以下简称“衡水银行”）资金结算情况如下:</w:t>
      </w:r>
    </w:p>
    <w:tbl>
      <w:tblPr>
        <w:tblOverlap w:val="never"/>
        <w:jc w:val="center"/>
        <w:tblLayout w:type="fixed"/>
      </w:tblPr>
      <w:tblGrid>
        <w:gridCol w:w="4118"/>
        <w:gridCol w:w="1906"/>
        <w:gridCol w:w="1651"/>
        <w:gridCol w:w="1603"/>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2019.01.01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一、存放于衡水银行存款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1,279,073,136.06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3,531,310,743.22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4,807,288,702.63</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二、存放于衡水银行承兑汇票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三、委托衡水银行开具承兑汇票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四、向衡水银行进行票据贴现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五、向衡水银行借款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六、向衡水银行办理应收账款无追索权保理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499" w:right="0" w:firstLine="0"/>
        <w:jc w:val="left"/>
      </w:pPr>
      <w:r>
        <w:rPr>
          <w:color w:val="000000"/>
          <w:spacing w:val="0"/>
          <w:w w:val="100"/>
          <w:position w:val="0"/>
        </w:rPr>
        <w:t>续前表:</w:t>
      </w:r>
    </w:p>
    <w:tbl>
      <w:tblPr>
        <w:tblOverlap w:val="never"/>
        <w:jc w:val="center"/>
        <w:tblLayout w:type="fixed"/>
      </w:tblPr>
      <w:tblGrid>
        <w:gridCol w:w="5011"/>
        <w:gridCol w:w="1637"/>
        <w:gridCol w:w="2712"/>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left"/>
              <w:rPr>
                <w:sz w:val="17"/>
                <w:szCs w:val="17"/>
              </w:rPr>
            </w:pPr>
            <w:r>
              <w:rPr>
                <w:rFonts w:ascii="SimSun" w:eastAsia="SimSun" w:hAnsi="SimSun" w:cs="SimSun"/>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b/>
                <w:bCs/>
                <w:color w:val="000000"/>
                <w:spacing w:val="0"/>
                <w:w w:val="100"/>
                <w:position w:val="0"/>
                <w:sz w:val="17"/>
                <w:szCs w:val="17"/>
              </w:rPr>
              <w:t>应收取或支付</w:t>
            </w:r>
            <w:r>
              <w:rPr>
                <w:rFonts w:ascii="SimSun" w:eastAsia="SimSun" w:hAnsi="SimSun" w:cs="SimSun"/>
                <w:b/>
                <w:bCs/>
                <w:color w:val="000000"/>
                <w:spacing w:val="0"/>
                <w:w w:val="100"/>
                <w:position w:val="0"/>
                <w:sz w:val="17"/>
                <w:szCs w:val="17"/>
              </w:rPr>
              <w:t>（</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r>
              <w:rPr>
                <w:rFonts w:ascii="SimSun" w:eastAsia="SimSun" w:hAnsi="SimSun" w:cs="SimSun"/>
                <w:b/>
                <w:bCs/>
                <w:color w:val="000000"/>
                <w:spacing w:val="0"/>
                <w:w w:val="100"/>
                <w:position w:val="0"/>
                <w:sz w:val="17"/>
                <w:szCs w:val="17"/>
              </w:rPr>
              <w:t>的利息</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一、存放于衡水银行存款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3,095,176.65</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二、存放于衡水银行承兑汇票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三、委托衡水银行开具承兑汇票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四、向衡水银行进行票据贴现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五、向衡水银行借款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六、向衡水银行办理应收账款无追索权保理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pStyle w:val="Style26"/>
        <w:keepNext w:val="0"/>
        <w:keepLines w:val="0"/>
        <w:widowControl w:val="0"/>
        <w:shd w:val="clear" w:color="auto" w:fill="auto"/>
        <w:bidi w:val="0"/>
        <w:spacing w:before="0" w:after="300" w:line="240" w:lineRule="auto"/>
        <w:ind w:left="0" w:right="0" w:firstLine="500"/>
        <w:jc w:val="left"/>
      </w:pPr>
      <w:r>
        <w:rPr>
          <w:color w:val="000000"/>
          <w:spacing w:val="0"/>
          <w:w w:val="100"/>
          <w:position w:val="0"/>
        </w:rPr>
        <w:t>③截至</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日，本公司及子公司与包头农村商业银行股份有限公司（以下简称“包头农商行”）资金结算情</w:t>
      </w:r>
    </w:p>
    <w:p>
      <w:pPr>
        <w:pStyle w:val="Style2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况如下：</w:t>
      </w:r>
      <w:r>
        <w:br w:type="page"/>
      </w:r>
    </w:p>
    <w:tbl>
      <w:tblPr>
        <w:tblOverlap w:val="never"/>
        <w:jc w:val="center"/>
        <w:tblLayout w:type="fixed"/>
      </w:tblPr>
      <w:tblGrid>
        <w:gridCol w:w="4435"/>
        <w:gridCol w:w="1589"/>
        <w:gridCol w:w="1651"/>
        <w:gridCol w:w="1685"/>
      </w:tblGrid>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2019.01.01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一、存放于包头农商行存款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967,578.15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9,906,862.38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10,872,377.81</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二、存放于包头农商行承兑汇票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三、委托包头农商行开具承兑汇票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四、向包头农商行进行票据贴现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五、向包头农商行借款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六、向包头农商行办理应收账款无追索权保理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499" w:right="0" w:firstLine="0"/>
        <w:jc w:val="left"/>
      </w:pPr>
      <w:r>
        <w:rPr>
          <w:color w:val="000000"/>
          <w:spacing w:val="0"/>
          <w:w w:val="100"/>
          <w:position w:val="0"/>
        </w:rPr>
        <w:t>续前表:</w:t>
      </w:r>
    </w:p>
    <w:tbl>
      <w:tblPr>
        <w:tblOverlap w:val="never"/>
        <w:jc w:val="center"/>
        <w:tblLayout w:type="fixed"/>
      </w:tblPr>
      <w:tblGrid>
        <w:gridCol w:w="5011"/>
        <w:gridCol w:w="1637"/>
        <w:gridCol w:w="2712"/>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160" w:right="0" w:firstLine="0"/>
              <w:jc w:val="left"/>
              <w:rPr>
                <w:sz w:val="17"/>
                <w:szCs w:val="17"/>
              </w:rPr>
            </w:pPr>
            <w:r>
              <w:rPr>
                <w:rFonts w:ascii="SimSun" w:eastAsia="SimSun" w:hAnsi="SimSun" w:cs="SimSun"/>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应收取或支付</w:t>
            </w:r>
            <w:r>
              <w:rPr>
                <w:rFonts w:ascii="SimSun" w:eastAsia="SimSun" w:hAnsi="SimSun" w:cs="SimSun"/>
                <w:b/>
                <w:bCs/>
                <w:color w:val="000000"/>
                <w:spacing w:val="0"/>
                <w:w w:val="100"/>
                <w:position w:val="0"/>
                <w:sz w:val="17"/>
                <w:szCs w:val="17"/>
              </w:rPr>
              <w:t>（</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r>
              <w:rPr>
                <w:rFonts w:ascii="SimSun" w:eastAsia="SimSun" w:hAnsi="SimSun" w:cs="SimSun"/>
                <w:b/>
                <w:bCs/>
                <w:color w:val="000000"/>
                <w:spacing w:val="0"/>
                <w:w w:val="100"/>
                <w:position w:val="0"/>
                <w:sz w:val="17"/>
                <w:szCs w:val="17"/>
              </w:rPr>
              <w:t>的利息</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一、存放于包头农商行存款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2,062.72</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二、存放于包头农商行承兑汇票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三、委托包头农商行开具承兑汇票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四、向包头农商行进行票据贴现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五、向包头农商行借款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六、向包头农商行办理应收账款无追索权保理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val="0"/>
        <w:keepLines w:val="0"/>
        <w:widowControl w:val="0"/>
        <w:shd w:val="clear" w:color="auto" w:fill="auto"/>
        <w:bidi w:val="0"/>
        <w:spacing w:before="0" w:after="320" w:line="240" w:lineRule="auto"/>
        <w:ind w:left="0" w:right="0" w:firstLine="500"/>
        <w:jc w:val="left"/>
      </w:pPr>
      <w:r>
        <w:rPr>
          <w:color w:val="000000"/>
          <w:spacing w:val="0"/>
          <w:w w:val="100"/>
          <w:position w:val="0"/>
        </w:rPr>
        <w:t>④本期本公司及子公司未与朔州农村商业银行股份有限公司（以下简称“朔州农商行”）发生资金结算业务。</w:t>
      </w:r>
    </w:p>
    <w:p>
      <w:pPr>
        <w:pStyle w:val="Style22"/>
        <w:keepNext/>
        <w:keepLines/>
        <w:widowControl w:val="0"/>
        <w:shd w:val="clear" w:color="auto" w:fill="auto"/>
        <w:bidi w:val="0"/>
        <w:spacing w:before="0" w:after="320" w:line="240" w:lineRule="auto"/>
        <w:ind w:left="0" w:right="0" w:firstLine="500"/>
        <w:jc w:val="left"/>
        <w:rPr>
          <w:sz w:val="17"/>
          <w:szCs w:val="17"/>
        </w:rPr>
      </w:pPr>
      <w:bookmarkStart w:id="1251" w:name="bookmark1251"/>
      <w:bookmarkStart w:id="1252" w:name="bookmark1252"/>
      <w:bookmarkStart w:id="1253" w:name="bookmark1253"/>
      <w:r>
        <w:rPr>
          <w:rFonts w:ascii="Arial Narrow" w:eastAsia="Arial Narrow" w:hAnsi="Arial Narrow" w:cs="Arial Narrow"/>
          <w:color w:val="000000"/>
          <w:spacing w:val="0"/>
          <w:w w:val="100"/>
          <w:position w:val="0"/>
          <w:sz w:val="18"/>
          <w:szCs w:val="18"/>
        </w:rPr>
        <w:t>6</w:t>
      </w:r>
      <w:r>
        <w:rPr>
          <w:color w:val="000000"/>
          <w:spacing w:val="0"/>
          <w:w w:val="100"/>
          <w:position w:val="0"/>
          <w:sz w:val="17"/>
          <w:szCs w:val="17"/>
        </w:rPr>
        <w:t>、关联方应收应付款项</w:t>
      </w:r>
      <w:bookmarkEnd w:id="1251"/>
      <w:bookmarkEnd w:id="1252"/>
      <w:bookmarkEnd w:id="1253"/>
    </w:p>
    <w:p>
      <w:pPr>
        <w:pStyle w:val="Style24"/>
        <w:keepNext w:val="0"/>
        <w:keepLines w:val="0"/>
        <w:widowControl w:val="0"/>
        <w:shd w:val="clear" w:color="auto" w:fill="auto"/>
        <w:bidi w:val="0"/>
        <w:spacing w:before="0" w:after="0" w:line="240" w:lineRule="auto"/>
        <w:ind w:left="408"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）应收项目</w:t>
      </w:r>
    </w:p>
    <w:tbl>
      <w:tblPr>
        <w:tblOverlap w:val="never"/>
        <w:jc w:val="center"/>
        <w:tblLayout w:type="fixed"/>
      </w:tblPr>
      <w:tblGrid>
        <w:gridCol w:w="3475"/>
        <w:gridCol w:w="1416"/>
        <w:gridCol w:w="1421"/>
        <w:gridCol w:w="1277"/>
        <w:gridCol w:w="1618"/>
      </w:tblGrid>
      <w:tr>
        <w:trPr>
          <w:trHeight w:val="427"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项目名称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b/>
                <w:bCs/>
                <w:color w:val="000000"/>
                <w:spacing w:val="0"/>
                <w:w w:val="100"/>
                <w:position w:val="0"/>
                <w:sz w:val="17"/>
                <w:szCs w:val="17"/>
              </w:rPr>
              <w:t>坏账准备</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深圳市欧富源科技有限公司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16,052,100.97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16,052,100.97</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深圳市东旭鸿基地产有限公司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8,931,409.18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4,425,965.91</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昆明东旭启明投资开发有限公司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9,900.00</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郑州旭飞光电科技有限公司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276,500.00</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中山市深中房地产开发有限公司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2,079,434.18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329,049.85</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中山市深中房地产投资置业有限公司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937,496.14</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惠东县宝安鸿基房地产开发有限公司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2,729,131.87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3,830,134.99</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东莞市宜久房地产开发有限公司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44,566.56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604,381.82</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惠州市宝安房地产开发有限公司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2,292,504.24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546,243.00</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惠州市德新房地产有限公司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1,727,158.69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1,262,172.94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80"/>
        <w:gridCol w:w="1416"/>
        <w:gridCol w:w="1421"/>
        <w:gridCol w:w="1277"/>
        <w:gridCol w:w="1618"/>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项目名称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陕西宝安鸿基房地产开发有限公司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1,705,968.83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1,362,536.09</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广东华凯房地产开发有限公司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1,793,411.32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1,631,987.88</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湖南宝安鸿基房地产开发有限公司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236,399.28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北京旭泉科技有限公司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22,640,997.60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大连旭昶科技有限公司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8,581,024.92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18,819,893.64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东旭集团有限公司北京分公司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东旭科技集团有限公司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21,391,741.48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宁波东旭鸿基投资管理有限责任公司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24,722.51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宁波旭泽宏宇实业有限公司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14,348,866.48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武汉中凯科技有限公司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1,518,920.00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中大诚信国际商业保理有限公司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8,865,421.78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深圳市鸿基广源贸易有限公司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3,260,739.46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3,260,739.46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3,260,739.46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color w:val="000000"/>
                <w:spacing w:val="0"/>
                <w:w w:val="100"/>
                <w:position w:val="0"/>
                <w:sz w:val="18"/>
                <w:szCs w:val="18"/>
              </w:rPr>
              <w:t>3,260,739.46</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137,114,872.99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3,260,739.46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34,529,209.05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rFonts w:ascii="Arial Narrow" w:eastAsia="Arial Narrow" w:hAnsi="Arial Narrow" w:cs="Arial Narrow"/>
                <w:b/>
                <w:bCs/>
                <w:color w:val="000000"/>
                <w:spacing w:val="0"/>
                <w:w w:val="100"/>
                <w:position w:val="0"/>
                <w:sz w:val="18"/>
                <w:szCs w:val="18"/>
              </w:rPr>
              <w:t>3,260,739.46</w:t>
            </w:r>
          </w:p>
        </w:tc>
      </w:tr>
    </w:tbl>
    <w:p>
      <w:pPr>
        <w:widowControl w:val="0"/>
        <w:spacing w:after="1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432"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2</w:t>
      </w:r>
      <w:r>
        <w:rPr>
          <w:color w:val="000000"/>
          <w:spacing w:val="0"/>
          <w:w w:val="100"/>
          <w:position w:val="0"/>
        </w:rPr>
        <w:t>)应付项目</w:t>
      </w:r>
    </w:p>
    <w:tbl>
      <w:tblPr>
        <w:tblOverlap w:val="never"/>
        <w:jc w:val="center"/>
        <w:tblLayout w:type="fixed"/>
      </w:tblPr>
      <w:tblGrid>
        <w:gridCol w:w="3955"/>
        <w:gridCol w:w="2611"/>
        <w:gridCol w:w="2640"/>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东旭建设集团有限公司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265,435,552.19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260,918,442.90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上海碳源汇谷新材料科技有限公司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331,772.00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331,772.00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成都东旭智能科技有限公司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15,405.00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湖南宝安鸿基房地产开发有限公司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176,614.49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深运工贸翠苑旅店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242,742.91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242,742.91</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宁波东旭鸿基投资管理有限责任公司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99,738,275.79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230,554,018.14</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惠州市东旭大湾区实业投资有限公司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71,696.33</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深圳市东旭鸿基地产有限公司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26,854,987.90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3,000,000.00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东旭国际投资集团有限公司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69,900,000.00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陕西宝安鸿基房地产开发有限公司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11,700,000.00</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东莞市宜久房地产开发有限公司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left"/>
        <w:tblLayout w:type="fixed"/>
      </w:tblPr>
      <w:tblGrid>
        <w:gridCol w:w="3960"/>
        <w:gridCol w:w="2611"/>
        <w:gridCol w:w="2640"/>
      </w:tblGrid>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中山市深中房地产投资置业有限公司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8,163,155.00</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广东华凯房地产开发有限公司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97,348.60</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525,063,83</w:t>
            </w:r>
            <w:r>
              <w:rPr>
                <w:rFonts w:ascii="SimSun" w:eastAsia="SimSun" w:hAnsi="SimSun" w:cs="SimSun"/>
                <w:b/>
                <w:bCs/>
                <w:color w:val="000000"/>
                <w:spacing w:val="0"/>
                <w:w w:val="100"/>
                <w:position w:val="0"/>
                <w:sz w:val="17"/>
                <w:szCs w:val="17"/>
              </w:rPr>
              <w:t>4</w:t>
            </w:r>
            <w:r>
              <w:rPr>
                <w:rFonts w:ascii="Arial Narrow" w:eastAsia="Arial Narrow" w:hAnsi="Arial Narrow" w:cs="Arial Narrow"/>
                <w:b/>
                <w:bCs/>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565,210,691.77</w:t>
            </w:r>
          </w:p>
        </w:tc>
      </w:tr>
    </w:tbl>
    <w:p>
      <w:pPr>
        <w:widowControl w:val="0"/>
        <w:spacing w:after="279" w:line="1" w:lineRule="exact"/>
      </w:pPr>
    </w:p>
    <w:p>
      <w:pPr>
        <w:pStyle w:val="Style10"/>
        <w:keepNext/>
        <w:keepLines/>
        <w:widowControl w:val="0"/>
        <w:shd w:val="clear" w:color="auto" w:fill="auto"/>
        <w:bidi w:val="0"/>
        <w:spacing w:before="0" w:after="280" w:line="240" w:lineRule="auto"/>
        <w:ind w:left="0" w:right="0" w:firstLine="420"/>
        <w:jc w:val="left"/>
        <w:rPr>
          <w:sz w:val="17"/>
          <w:szCs w:val="17"/>
        </w:rPr>
      </w:pPr>
      <w:bookmarkStart w:id="1254" w:name="bookmark1254"/>
      <w:bookmarkStart w:id="1255" w:name="bookmark1255"/>
      <w:bookmarkStart w:id="1256" w:name="bookmark1256"/>
      <w:r>
        <w:rPr>
          <w:color w:val="000000"/>
          <w:spacing w:val="0"/>
          <w:w w:val="100"/>
          <w:position w:val="0"/>
          <w:sz w:val="17"/>
          <w:szCs w:val="17"/>
        </w:rPr>
        <w:t>十一、承诺及或有事项</w:t>
      </w:r>
      <w:bookmarkEnd w:id="1254"/>
      <w:bookmarkEnd w:id="1255"/>
      <w:bookmarkEnd w:id="1256"/>
    </w:p>
    <w:p>
      <w:pPr>
        <w:pStyle w:val="Style22"/>
        <w:keepNext/>
        <w:keepLines/>
        <w:widowControl w:val="0"/>
        <w:shd w:val="clear" w:color="auto" w:fill="auto"/>
        <w:bidi w:val="0"/>
        <w:spacing w:before="0" w:after="280" w:line="240" w:lineRule="auto"/>
        <w:ind w:left="0" w:right="0" w:firstLine="480"/>
        <w:jc w:val="left"/>
        <w:rPr>
          <w:sz w:val="20"/>
          <w:szCs w:val="20"/>
        </w:rPr>
      </w:pPr>
      <w:bookmarkStart w:id="1257" w:name="bookmark1257"/>
      <w:bookmarkStart w:id="1258" w:name="bookmark1258"/>
      <w:bookmarkStart w:id="1259" w:name="bookmark1259"/>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、承诺事项</w:t>
      </w:r>
      <w:bookmarkEnd w:id="1257"/>
      <w:bookmarkEnd w:id="1258"/>
      <w:bookmarkEnd w:id="1259"/>
    </w:p>
    <w:p>
      <w:pPr>
        <w:pStyle w:val="Style26"/>
        <w:keepNext w:val="0"/>
        <w:keepLines w:val="0"/>
        <w:widowControl w:val="0"/>
        <w:shd w:val="clear" w:color="auto" w:fill="auto"/>
        <w:bidi w:val="0"/>
        <w:spacing w:before="0" w:after="280" w:line="240" w:lineRule="auto"/>
        <w:ind w:left="0" w:right="0" w:firstLine="420"/>
        <w:jc w:val="left"/>
      </w:pPr>
      <w:r>
        <w:rPr>
          <w:color w:val="000000"/>
          <w:spacing w:val="0"/>
          <w:w w:val="100"/>
          <w:position w:val="0"/>
        </w:rPr>
        <w:t>经营租赁承诺</w:t>
      </w:r>
    </w:p>
    <w:p>
      <w:pPr>
        <w:pStyle w:val="Style24"/>
        <w:keepNext w:val="0"/>
        <w:keepLines w:val="0"/>
        <w:widowControl w:val="0"/>
        <w:shd w:val="clear" w:color="auto" w:fill="auto"/>
        <w:bidi w:val="0"/>
        <w:spacing w:before="0" w:after="0" w:line="240" w:lineRule="auto"/>
        <w:ind w:left="408" w:right="0" w:firstLine="0"/>
        <w:jc w:val="left"/>
      </w:pPr>
      <w:r>
        <w:rPr>
          <w:color w:val="000000"/>
          <w:spacing w:val="0"/>
          <w:w w:val="100"/>
          <w:position w:val="0"/>
        </w:rPr>
        <w:t>至资产负债表日止，本公司对外签订的不可撤销的经营租赁合约情况如下:</w:t>
      </w:r>
    </w:p>
    <w:tbl>
      <w:tblPr>
        <w:tblOverlap w:val="never"/>
        <w:jc w:val="left"/>
        <w:tblLayout w:type="fixed"/>
      </w:tblPr>
      <w:tblGrid>
        <w:gridCol w:w="3960"/>
        <w:gridCol w:w="2611"/>
        <w:gridCol w:w="2645"/>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不可撤销经营租赁的最低租赁付款额：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资产负债表日后第</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23,336,438.21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34,286,162.69</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资产负债表日后第</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42,774,249.95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24,336,017.95</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资产负债表日后第</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24,666,294.95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45,563,057.95</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以后年度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501,676,440.22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503,107,084.77</w:t>
            </w: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592,453,423.33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607,292,323.36</w:t>
            </w:r>
          </w:p>
        </w:tc>
      </w:tr>
    </w:tbl>
    <w:p>
      <w:pPr>
        <w:pStyle w:val="Style26"/>
        <w:keepNext w:val="0"/>
        <w:keepLines w:val="0"/>
        <w:widowControl w:val="0"/>
        <w:shd w:val="clear" w:color="auto" w:fill="auto"/>
        <w:bidi w:val="0"/>
        <w:spacing w:before="0" w:after="340" w:line="504" w:lineRule="exact"/>
        <w:ind w:left="0" w:right="0" w:firstLine="420"/>
        <w:jc w:val="left"/>
      </w:pPr>
      <w:r>
        <w:rPr>
          <w:color w:val="000000"/>
          <w:spacing w:val="0"/>
          <w:w w:val="100"/>
          <w:position w:val="0"/>
        </w:rPr>
        <w:t>以上约定的不可撤销租赁为租金支出：①本公司的孙公司因从事光伏发电项目，项目所使用的土地以及房屋都是租赁的。</w:t>
      </w:r>
    </w:p>
    <w:p>
      <w:pPr>
        <w:pStyle w:val="Style22"/>
        <w:keepNext/>
        <w:keepLines/>
        <w:widowControl w:val="0"/>
        <w:shd w:val="clear" w:color="auto" w:fill="auto"/>
        <w:bidi w:val="0"/>
        <w:spacing w:before="0" w:after="0" w:line="240" w:lineRule="auto"/>
        <w:ind w:left="0" w:right="0" w:firstLine="440"/>
        <w:jc w:val="left"/>
        <w:rPr>
          <w:sz w:val="17"/>
          <w:szCs w:val="17"/>
        </w:rPr>
      </w:pPr>
      <w:bookmarkStart w:id="1260" w:name="bookmark1260"/>
      <w:bookmarkStart w:id="1261" w:name="bookmark1261"/>
      <w:bookmarkStart w:id="1262" w:name="bookmark1262"/>
      <w:r>
        <w:rPr>
          <w:rFonts w:ascii="Arial Narrow" w:eastAsia="Arial Narrow" w:hAnsi="Arial Narrow" w:cs="Arial Narrow"/>
          <w:color w:val="000000"/>
          <w:spacing w:val="0"/>
          <w:w w:val="100"/>
          <w:position w:val="0"/>
          <w:sz w:val="18"/>
          <w:szCs w:val="18"/>
        </w:rPr>
        <w:t>2</w:t>
      </w:r>
      <w:r>
        <w:rPr>
          <w:color w:val="000000"/>
          <w:spacing w:val="0"/>
          <w:w w:val="100"/>
          <w:position w:val="0"/>
          <w:sz w:val="17"/>
          <w:szCs w:val="17"/>
        </w:rPr>
        <w:t>、或有事项</w:t>
      </w:r>
      <w:bookmarkEnd w:id="1260"/>
      <w:bookmarkEnd w:id="1261"/>
      <w:bookmarkEnd w:id="1262"/>
    </w:p>
    <w:p>
      <w:pPr>
        <w:pStyle w:val="Style26"/>
        <w:keepNext w:val="0"/>
        <w:keepLines w:val="0"/>
        <w:widowControl w:val="0"/>
        <w:shd w:val="clear" w:color="auto" w:fill="auto"/>
        <w:bidi w:val="0"/>
        <w:spacing w:before="0" w:after="0" w:line="504" w:lineRule="exact"/>
        <w:ind w:left="0" w:right="0" w:firstLine="44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）资产负债表日存在的重要或有事项</w:t>
      </w:r>
    </w:p>
    <w:p>
      <w:pPr>
        <w:pStyle w:val="Style26"/>
        <w:keepNext w:val="0"/>
        <w:keepLines w:val="0"/>
        <w:widowControl w:val="0"/>
        <w:numPr>
          <w:ilvl w:val="0"/>
          <w:numId w:val="43"/>
        </w:numPr>
        <w:shd w:val="clear" w:color="auto" w:fill="auto"/>
        <w:tabs>
          <w:tab w:pos="784" w:val="left"/>
        </w:tabs>
        <w:bidi w:val="0"/>
        <w:spacing w:before="0" w:after="0" w:line="504" w:lineRule="exact"/>
        <w:ind w:left="0" w:right="0" w:firstLine="440"/>
        <w:jc w:val="left"/>
      </w:pPr>
      <w:bookmarkStart w:id="1263" w:name="bookmark1263"/>
      <w:bookmarkEnd w:id="1263"/>
      <w:r>
        <w:rPr>
          <w:color w:val="000000"/>
          <w:spacing w:val="0"/>
          <w:w w:val="100"/>
          <w:position w:val="0"/>
        </w:rPr>
        <w:t>未决诉讼仲裁形成的或有负债及其影响</w:t>
      </w:r>
    </w:p>
    <w:p>
      <w:pPr>
        <w:pStyle w:val="Style26"/>
        <w:keepNext w:val="0"/>
        <w:keepLines w:val="0"/>
        <w:widowControl w:val="0"/>
        <w:shd w:val="clear" w:color="auto" w:fill="auto"/>
        <w:bidi w:val="0"/>
        <w:spacing w:before="0" w:after="0" w:line="504" w:lineRule="exact"/>
        <w:ind w:left="0" w:right="0" w:firstLine="440"/>
        <w:jc w:val="left"/>
      </w:pPr>
      <w:r>
        <w:rPr>
          <w:rFonts w:ascii="Arial Narrow" w:eastAsia="Arial Narrow" w:hAnsi="Arial Narrow" w:cs="Arial Narrow"/>
          <w:color w:val="000000"/>
          <w:spacing w:val="0"/>
          <w:w w:val="100"/>
          <w:position w:val="0"/>
          <w:sz w:val="18"/>
          <w:szCs w:val="18"/>
        </w:rPr>
        <w:t>A</w:t>
      </w:r>
      <w:r>
        <w:rPr>
          <w:color w:val="000000"/>
          <w:spacing w:val="0"/>
          <w:w w:val="100"/>
          <w:position w:val="0"/>
        </w:rPr>
        <w:t>、</w:t>
      </w:r>
      <w:r>
        <w:rPr>
          <w:color w:val="000000"/>
          <w:spacing w:val="0"/>
          <w:w w:val="100"/>
          <w:position w:val="0"/>
        </w:rPr>
        <w:t>本公司子公司西藏东旭电力工程有限公司于</w:t>
      </w:r>
      <w:r>
        <w:rPr>
          <w:rFonts w:ascii="Arial Narrow" w:eastAsia="Arial Narrow" w:hAnsi="Arial Narrow" w:cs="Arial Narrow"/>
          <w:color w:val="000000"/>
          <w:spacing w:val="0"/>
          <w:w w:val="100"/>
          <w:position w:val="0"/>
          <w:sz w:val="18"/>
          <w:szCs w:val="18"/>
        </w:rPr>
        <w:t>2019</w:t>
      </w:r>
      <w:r>
        <w:rPr>
          <w:color w:val="000000"/>
          <w:spacing w:val="0"/>
          <w:w w:val="100"/>
          <w:position w:val="0"/>
        </w:rPr>
        <w:t>年收到以西藏东旭电力工程有限公司为被告的买卖合同纠纷诉讼， 对方单位认为西藏东旭电力工程有限公司存在违约责任，要求按合同约定承担赔偿责任。西藏东旭电力工程有限公司提交答 辩状期间，对管辖权提出异议，法院判定西藏东旭电力工程有限公司对管辖权提出的异议成立，本案移送上级人民法院处理。 截至本报告报出日，本公司认为西藏东旭电力工程有限公司未来败诉的可能性较大，按照或有事项的相关规定进行处理。</w:t>
      </w:r>
    </w:p>
    <w:p>
      <w:pPr>
        <w:pStyle w:val="Style33"/>
        <w:keepNext w:val="0"/>
        <w:keepLines w:val="0"/>
        <w:widowControl w:val="0"/>
        <w:shd w:val="clear" w:color="auto" w:fill="auto"/>
        <w:bidi w:val="0"/>
        <w:spacing w:before="0" w:after="0" w:line="499" w:lineRule="exact"/>
        <w:ind w:left="0" w:right="0" w:firstLine="440"/>
        <w:jc w:val="left"/>
      </w:pPr>
      <w:r>
        <w:rPr>
          <w:b/>
          <w:bCs/>
          <w:color w:val="000000"/>
          <w:spacing w:val="0"/>
          <w:w w:val="100"/>
          <w:position w:val="0"/>
        </w:rPr>
        <w:t>B</w:t>
      </w:r>
      <w:r>
        <w:rPr>
          <w:color w:val="000000"/>
          <w:spacing w:val="0"/>
          <w:w w:val="100"/>
          <w:position w:val="0"/>
        </w:rPr>
        <w:t>、</w:t>
      </w:r>
      <w:r>
        <w:rPr>
          <w:b/>
          <w:bCs/>
          <w:color w:val="000000"/>
          <w:spacing w:val="0"/>
          <w:w w:val="100"/>
          <w:position w:val="0"/>
        </w:rPr>
        <w:t>2017</w:t>
      </w:r>
      <w:r>
        <w:rPr>
          <w:color w:val="000000"/>
          <w:spacing w:val="0"/>
          <w:w w:val="100"/>
          <w:position w:val="0"/>
        </w:rPr>
        <w:t>年</w:t>
      </w:r>
      <w:r>
        <w:rPr>
          <w:b/>
          <w:bCs/>
          <w:color w:val="000000"/>
          <w:spacing w:val="0"/>
          <w:w w:val="100"/>
          <w:position w:val="0"/>
        </w:rPr>
        <w:t>9</w:t>
      </w:r>
      <w:r>
        <w:rPr>
          <w:color w:val="000000"/>
          <w:spacing w:val="0"/>
          <w:w w:val="100"/>
          <w:position w:val="0"/>
        </w:rPr>
        <w:t>月</w:t>
      </w:r>
      <w:r>
        <w:rPr>
          <w:b/>
          <w:bCs/>
          <w:color w:val="000000"/>
          <w:spacing w:val="0"/>
          <w:w w:val="100"/>
          <w:position w:val="0"/>
        </w:rPr>
        <w:t>26</w:t>
      </w:r>
      <w:r>
        <w:rPr>
          <w:color w:val="000000"/>
          <w:spacing w:val="0"/>
          <w:w w:val="100"/>
          <w:position w:val="0"/>
        </w:rPr>
        <w:t>日，东旭蓝天新能源股份有限公司（以下简称</w:t>
      </w:r>
      <w:r>
        <w:rPr>
          <w:b/>
          <w:bCs/>
          <w:color w:val="000000"/>
          <w:spacing w:val="0"/>
          <w:w w:val="100"/>
          <w:position w:val="0"/>
        </w:rPr>
        <w:t>“</w:t>
      </w:r>
      <w:r>
        <w:rPr>
          <w:color w:val="000000"/>
          <w:spacing w:val="0"/>
          <w:w w:val="100"/>
          <w:position w:val="0"/>
        </w:rPr>
        <w:t>东旭蓝天</w:t>
      </w:r>
      <w:r>
        <w:rPr>
          <w:b/>
          <w:bCs/>
          <w:color w:val="000000"/>
          <w:spacing w:val="0"/>
          <w:w w:val="100"/>
          <w:position w:val="0"/>
        </w:rPr>
        <w:t>”</w:t>
      </w:r>
      <w:r>
        <w:rPr>
          <w:color w:val="000000"/>
          <w:spacing w:val="0"/>
          <w:w w:val="100"/>
          <w:position w:val="0"/>
        </w:rPr>
        <w:t>）、中国信达资产管理股 份有限公司深圳分公司（以下简称</w:t>
      </w:r>
      <w:r>
        <w:rPr>
          <w:b/>
          <w:bCs/>
          <w:color w:val="000000"/>
          <w:spacing w:val="0"/>
          <w:w w:val="100"/>
          <w:position w:val="0"/>
        </w:rPr>
        <w:t>“</w:t>
      </w:r>
      <w:r>
        <w:rPr>
          <w:color w:val="000000"/>
          <w:spacing w:val="0"/>
          <w:w w:val="100"/>
          <w:position w:val="0"/>
        </w:rPr>
        <w:t>中国信达</w:t>
      </w:r>
      <w:r>
        <w:rPr>
          <w:b/>
          <w:bCs/>
          <w:color w:val="000000"/>
          <w:spacing w:val="0"/>
          <w:w w:val="100"/>
          <w:position w:val="0"/>
        </w:rPr>
        <w:t>”</w:t>
      </w:r>
      <w:r>
        <w:rPr>
          <w:color w:val="000000"/>
          <w:spacing w:val="0"/>
          <w:w w:val="100"/>
          <w:position w:val="0"/>
        </w:rPr>
        <w:t>）、深圳市鸿基物流有限公司、西安深鸿基房地产开发有限 公司签订《债权收购暨债务重组合作总协议》及《债权收购暨债务重组合作总协议之补充协议》，该笔业 务已于</w:t>
      </w:r>
      <w:r>
        <w:rPr>
          <w:b/>
          <w:bCs/>
          <w:color w:val="000000"/>
          <w:spacing w:val="0"/>
          <w:w w:val="100"/>
          <w:position w:val="0"/>
        </w:rPr>
        <w:t>2019</w:t>
      </w:r>
      <w:r>
        <w:rPr>
          <w:color w:val="000000"/>
          <w:spacing w:val="0"/>
          <w:w w:val="100"/>
          <w:position w:val="0"/>
        </w:rPr>
        <w:t>年</w:t>
      </w:r>
      <w:r>
        <w:rPr>
          <w:b/>
          <w:bCs/>
          <w:color w:val="000000"/>
          <w:spacing w:val="0"/>
          <w:w w:val="100"/>
          <w:position w:val="0"/>
        </w:rPr>
        <w:t>9</w:t>
      </w:r>
      <w:r>
        <w:rPr>
          <w:color w:val="000000"/>
          <w:spacing w:val="0"/>
          <w:w w:val="100"/>
          <w:position w:val="0"/>
        </w:rPr>
        <w:t>月</w:t>
      </w:r>
      <w:r>
        <w:rPr>
          <w:b/>
          <w:bCs/>
          <w:color w:val="000000"/>
          <w:spacing w:val="0"/>
          <w:w w:val="100"/>
          <w:position w:val="0"/>
        </w:rPr>
        <w:t>30</w:t>
      </w:r>
      <w:r>
        <w:rPr>
          <w:color w:val="000000"/>
          <w:spacing w:val="0"/>
          <w:w w:val="100"/>
          <w:position w:val="0"/>
        </w:rPr>
        <w:t>日逾期，中国信达已提起诉讼，截至审计报告批准报出日，该诉讼尚未审结。</w:t>
      </w:r>
    </w:p>
    <w:p>
      <w:pPr>
        <w:pStyle w:val="Style33"/>
        <w:keepNext w:val="0"/>
        <w:keepLines w:val="0"/>
        <w:widowControl w:val="0"/>
        <w:numPr>
          <w:ilvl w:val="0"/>
          <w:numId w:val="43"/>
        </w:numPr>
        <w:shd w:val="clear" w:color="auto" w:fill="auto"/>
        <w:tabs>
          <w:tab w:pos="867" w:val="left"/>
        </w:tabs>
        <w:bidi w:val="0"/>
        <w:spacing w:before="0" w:after="0" w:line="499" w:lineRule="exact"/>
        <w:ind w:left="0" w:right="0" w:firstLine="480"/>
        <w:jc w:val="left"/>
      </w:pPr>
      <w:bookmarkStart w:id="1264" w:name="bookmark1264"/>
      <w:bookmarkEnd w:id="1264"/>
      <w:r>
        <w:rPr>
          <w:color w:val="000000"/>
          <w:spacing w:val="0"/>
          <w:w w:val="100"/>
          <w:position w:val="0"/>
        </w:rPr>
        <w:t>对外担保情况</w:t>
      </w:r>
    </w:p>
    <w:p>
      <w:pPr>
        <w:pStyle w:val="Style33"/>
        <w:keepNext w:val="0"/>
        <w:keepLines w:val="0"/>
        <w:widowControl w:val="0"/>
        <w:shd w:val="clear" w:color="auto" w:fill="auto"/>
        <w:bidi w:val="0"/>
        <w:spacing w:before="0" w:after="0" w:line="499" w:lineRule="exact"/>
        <w:ind w:left="0" w:right="0" w:firstLine="480"/>
        <w:jc w:val="left"/>
      </w:pPr>
      <w:r>
        <w:rPr>
          <w:color w:val="000000"/>
          <w:spacing w:val="0"/>
          <w:w w:val="100"/>
          <w:position w:val="0"/>
        </w:rPr>
        <w:t xml:space="preserve">本公司子公司海南旭蓝新能源科技有限公司为上海昱吉国际贸易有限公司提供担保，担保方式为质押， </w:t>
      </w:r>
      <w:r>
        <w:rPr>
          <w:color w:val="000000"/>
          <w:spacing w:val="0"/>
          <w:w w:val="100"/>
          <w:position w:val="0"/>
        </w:rPr>
        <w:t>质押余额为人民币</w:t>
      </w:r>
      <w:r>
        <w:rPr>
          <w:b/>
          <w:bCs/>
          <w:color w:val="000000"/>
          <w:spacing w:val="0"/>
          <w:w w:val="100"/>
          <w:position w:val="0"/>
        </w:rPr>
        <w:t>500,000,000.00</w:t>
      </w:r>
      <w:r>
        <w:rPr>
          <w:color w:val="000000"/>
          <w:spacing w:val="0"/>
          <w:w w:val="100"/>
          <w:position w:val="0"/>
        </w:rPr>
        <w:t>元，担保到期日为</w:t>
      </w:r>
      <w:r>
        <w:rPr>
          <w:b/>
          <w:bCs/>
          <w:color w:val="000000"/>
          <w:spacing w:val="0"/>
          <w:w w:val="100"/>
          <w:position w:val="0"/>
        </w:rPr>
        <w:t>2020</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23</w:t>
      </w:r>
      <w:r>
        <w:rPr>
          <w:color w:val="000000"/>
          <w:spacing w:val="0"/>
          <w:w w:val="100"/>
          <w:position w:val="0"/>
        </w:rPr>
        <w:t>日。</w:t>
      </w:r>
    </w:p>
    <w:p>
      <w:pPr>
        <w:pStyle w:val="Style33"/>
        <w:keepNext w:val="0"/>
        <w:keepLines w:val="0"/>
        <w:widowControl w:val="0"/>
        <w:shd w:val="clear" w:color="auto" w:fill="auto"/>
        <w:bidi w:val="0"/>
        <w:spacing w:before="0" w:after="0" w:line="499" w:lineRule="exact"/>
        <w:ind w:left="0" w:right="0" w:firstLine="460"/>
        <w:jc w:val="both"/>
      </w:pPr>
      <w:r>
        <w:rPr>
          <w:color w:val="000000"/>
          <w:spacing w:val="0"/>
          <w:w w:val="100"/>
          <w:position w:val="0"/>
        </w:rPr>
        <w:t>本公司子公司尚义县旭蓝新能源科技有限公司为上海贤致国际贸易有限公司提供担保，担保方式为质 押，质押余额为人民币</w:t>
      </w:r>
      <w:r>
        <w:rPr>
          <w:b/>
          <w:bCs/>
          <w:color w:val="000000"/>
          <w:spacing w:val="0"/>
          <w:w w:val="100"/>
          <w:position w:val="0"/>
        </w:rPr>
        <w:t>500,000,000.00</w:t>
      </w:r>
      <w:r>
        <w:rPr>
          <w:color w:val="000000"/>
          <w:spacing w:val="0"/>
          <w:w w:val="100"/>
          <w:position w:val="0"/>
        </w:rPr>
        <w:t>元，担保到期日为</w:t>
      </w:r>
      <w:r>
        <w:rPr>
          <w:b/>
          <w:bCs/>
          <w:color w:val="000000"/>
          <w:spacing w:val="0"/>
          <w:w w:val="100"/>
          <w:position w:val="0"/>
        </w:rPr>
        <w:t>2023</w:t>
      </w:r>
      <w:r>
        <w:rPr>
          <w:color w:val="000000"/>
          <w:spacing w:val="0"/>
          <w:w w:val="100"/>
          <w:position w:val="0"/>
        </w:rPr>
        <w:t>年</w:t>
      </w:r>
      <w:r>
        <w:rPr>
          <w:b/>
          <w:bCs/>
          <w:color w:val="000000"/>
          <w:spacing w:val="0"/>
          <w:w w:val="100"/>
          <w:position w:val="0"/>
        </w:rPr>
        <w:t>8</w:t>
      </w:r>
      <w:r>
        <w:rPr>
          <w:color w:val="000000"/>
          <w:spacing w:val="0"/>
          <w:w w:val="100"/>
          <w:position w:val="0"/>
        </w:rPr>
        <w:t>月</w:t>
      </w:r>
      <w:r>
        <w:rPr>
          <w:b/>
          <w:bCs/>
          <w:color w:val="000000"/>
          <w:spacing w:val="0"/>
          <w:w w:val="100"/>
          <w:position w:val="0"/>
        </w:rPr>
        <w:t>30</w:t>
      </w:r>
      <w:r>
        <w:rPr>
          <w:color w:val="000000"/>
          <w:spacing w:val="0"/>
          <w:w w:val="100"/>
          <w:position w:val="0"/>
        </w:rPr>
        <w:t>日。</w:t>
      </w:r>
    </w:p>
    <w:p>
      <w:pPr>
        <w:pStyle w:val="Style10"/>
        <w:keepNext/>
        <w:keepLines/>
        <w:widowControl w:val="0"/>
        <w:shd w:val="clear" w:color="auto" w:fill="auto"/>
        <w:bidi w:val="0"/>
        <w:spacing w:before="0" w:after="100" w:line="499" w:lineRule="exact"/>
        <w:ind w:left="0" w:right="0" w:firstLine="460"/>
        <w:jc w:val="both"/>
        <w:rPr>
          <w:sz w:val="20"/>
          <w:szCs w:val="20"/>
        </w:rPr>
      </w:pPr>
      <w:bookmarkStart w:id="1265" w:name="bookmark1265"/>
      <w:bookmarkStart w:id="1266" w:name="bookmark1266"/>
      <w:bookmarkStart w:id="1267" w:name="bookmark1267"/>
      <w:r>
        <w:rPr>
          <w:color w:val="000000"/>
          <w:spacing w:val="0"/>
          <w:w w:val="100"/>
          <w:position w:val="0"/>
          <w:sz w:val="20"/>
          <w:szCs w:val="20"/>
        </w:rPr>
        <w:t>十二、资产负债表日后事项</w:t>
      </w:r>
      <w:bookmarkEnd w:id="1265"/>
      <w:bookmarkEnd w:id="1266"/>
      <w:bookmarkEnd w:id="1267"/>
    </w:p>
    <w:p>
      <w:pPr>
        <w:pStyle w:val="Style22"/>
        <w:keepNext/>
        <w:keepLines/>
        <w:widowControl w:val="0"/>
        <w:shd w:val="clear" w:color="auto" w:fill="auto"/>
        <w:tabs>
          <w:tab w:pos="809" w:val="left"/>
        </w:tabs>
        <w:bidi w:val="0"/>
        <w:spacing w:before="0" w:after="280" w:line="502" w:lineRule="exact"/>
        <w:ind w:left="0" w:right="0" w:firstLine="460"/>
        <w:jc w:val="both"/>
        <w:rPr>
          <w:sz w:val="20"/>
          <w:szCs w:val="20"/>
        </w:rPr>
      </w:pPr>
      <w:bookmarkStart w:id="1268" w:name="bookmark1268"/>
      <w:bookmarkStart w:id="1269" w:name="bookmark1269"/>
      <w:bookmarkStart w:id="1270" w:name="bookmark1270"/>
      <w:bookmarkStart w:id="1271" w:name="bookmark1271"/>
      <w:r>
        <w:rPr>
          <w:rFonts w:ascii="Arial Narrow" w:eastAsia="Arial Narrow" w:hAnsi="Arial Narrow" w:cs="Arial Narrow"/>
          <w:color w:val="000000"/>
          <w:spacing w:val="0"/>
          <w:w w:val="100"/>
          <w:position w:val="0"/>
          <w:sz w:val="20"/>
          <w:szCs w:val="20"/>
        </w:rPr>
        <w:t>1</w:t>
      </w:r>
      <w:bookmarkEnd w:id="1270"/>
      <w:r>
        <w:rPr>
          <w:color w:val="000000"/>
          <w:spacing w:val="0"/>
          <w:w w:val="100"/>
          <w:position w:val="0"/>
          <w:sz w:val="20"/>
          <w:szCs w:val="20"/>
        </w:rPr>
        <w:t>、</w:t>
        <w:tab/>
        <w:t>资产负债表日后利润分配情况说明</w:t>
      </w:r>
      <w:bookmarkEnd w:id="1268"/>
      <w:bookmarkEnd w:id="1269"/>
      <w:bookmarkEnd w:id="1271"/>
    </w:p>
    <w:p>
      <w:pPr>
        <w:pStyle w:val="Style33"/>
        <w:keepNext w:val="0"/>
        <w:keepLines w:val="0"/>
        <w:widowControl w:val="0"/>
        <w:shd w:val="clear" w:color="auto" w:fill="auto"/>
        <w:bidi w:val="0"/>
        <w:spacing w:before="0" w:after="40" w:line="502" w:lineRule="exact"/>
        <w:ind w:left="0" w:right="0" w:firstLine="900"/>
        <w:jc w:val="both"/>
      </w:pPr>
      <w:r>
        <w:rPr>
          <w:color w:val="000000"/>
          <w:spacing w:val="0"/>
          <w:w w:val="100"/>
          <w:position w:val="0"/>
        </w:rPr>
        <w:t>无。</w:t>
      </w:r>
    </w:p>
    <w:p>
      <w:pPr>
        <w:pStyle w:val="Style22"/>
        <w:keepNext/>
        <w:keepLines/>
        <w:widowControl w:val="0"/>
        <w:shd w:val="clear" w:color="auto" w:fill="auto"/>
        <w:tabs>
          <w:tab w:pos="814" w:val="left"/>
        </w:tabs>
        <w:bidi w:val="0"/>
        <w:spacing w:before="0" w:after="0" w:line="502" w:lineRule="exact"/>
        <w:ind w:left="0" w:right="0" w:firstLine="460"/>
        <w:jc w:val="both"/>
        <w:rPr>
          <w:sz w:val="20"/>
          <w:szCs w:val="20"/>
        </w:rPr>
      </w:pPr>
      <w:bookmarkStart w:id="1272" w:name="bookmark1272"/>
      <w:bookmarkStart w:id="1273" w:name="bookmark1273"/>
      <w:bookmarkStart w:id="1274" w:name="bookmark1274"/>
      <w:bookmarkStart w:id="1275" w:name="bookmark1275"/>
      <w:r>
        <w:rPr>
          <w:rFonts w:ascii="Arial Narrow" w:eastAsia="Arial Narrow" w:hAnsi="Arial Narrow" w:cs="Arial Narrow"/>
          <w:color w:val="000000"/>
          <w:spacing w:val="0"/>
          <w:w w:val="100"/>
          <w:position w:val="0"/>
          <w:sz w:val="20"/>
          <w:szCs w:val="20"/>
        </w:rPr>
        <w:t>2</w:t>
      </w:r>
      <w:bookmarkEnd w:id="1274"/>
      <w:r>
        <w:rPr>
          <w:color w:val="000000"/>
          <w:spacing w:val="0"/>
          <w:w w:val="100"/>
          <w:position w:val="0"/>
          <w:sz w:val="20"/>
          <w:szCs w:val="20"/>
        </w:rPr>
        <w:t>、</w:t>
        <w:tab/>
        <w:t>董事会选举暨董事离任</w:t>
      </w:r>
      <w:bookmarkEnd w:id="1272"/>
      <w:bookmarkEnd w:id="1273"/>
      <w:bookmarkEnd w:id="1275"/>
    </w:p>
    <w:p>
      <w:pPr>
        <w:pStyle w:val="Style33"/>
        <w:keepNext w:val="0"/>
        <w:keepLines w:val="0"/>
        <w:widowControl w:val="0"/>
        <w:shd w:val="clear" w:color="auto" w:fill="auto"/>
        <w:bidi w:val="0"/>
        <w:spacing w:before="0" w:after="0" w:line="502" w:lineRule="exact"/>
        <w:ind w:left="0" w:right="0" w:firstLine="460"/>
        <w:jc w:val="both"/>
      </w:pPr>
      <w:r>
        <w:rPr>
          <w:color w:val="000000"/>
          <w:spacing w:val="0"/>
          <w:w w:val="100"/>
          <w:position w:val="0"/>
        </w:rPr>
        <w:t>经本公司</w:t>
      </w:r>
      <w:r>
        <w:rPr>
          <w:b/>
          <w:bCs/>
          <w:color w:val="000000"/>
          <w:spacing w:val="0"/>
          <w:w w:val="100"/>
          <w:position w:val="0"/>
        </w:rPr>
        <w:t>2020</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21</w:t>
      </w:r>
      <w:r>
        <w:rPr>
          <w:color w:val="000000"/>
          <w:spacing w:val="0"/>
          <w:w w:val="100"/>
          <w:position w:val="0"/>
        </w:rPr>
        <w:t>日第九届董事会第二十九次会议审议，鉴于卢召义先生申请辞去公司董事及董事 长职务，根据《公司法》、《公司章程》的相关规定，经董事会推举，由董事黄志良先生担任第九届董事会董 事长。</w:t>
      </w:r>
    </w:p>
    <w:p>
      <w:pPr>
        <w:pStyle w:val="Style10"/>
        <w:keepNext/>
        <w:keepLines/>
        <w:widowControl w:val="0"/>
        <w:shd w:val="clear" w:color="auto" w:fill="auto"/>
        <w:bidi w:val="0"/>
        <w:spacing w:before="0" w:after="280" w:line="502" w:lineRule="exact"/>
        <w:ind w:left="0" w:right="0" w:firstLine="460"/>
        <w:jc w:val="both"/>
        <w:rPr>
          <w:sz w:val="20"/>
          <w:szCs w:val="20"/>
        </w:rPr>
      </w:pPr>
      <w:bookmarkStart w:id="1276" w:name="bookmark1276"/>
      <w:bookmarkStart w:id="1277" w:name="bookmark1277"/>
      <w:bookmarkStart w:id="1278" w:name="bookmark1278"/>
      <w:r>
        <w:rPr>
          <w:color w:val="000000"/>
          <w:spacing w:val="0"/>
          <w:w w:val="100"/>
          <w:position w:val="0"/>
          <w:sz w:val="20"/>
          <w:szCs w:val="20"/>
        </w:rPr>
        <w:t>十三、其他重要事项</w:t>
      </w:r>
      <w:bookmarkEnd w:id="1276"/>
      <w:bookmarkEnd w:id="1277"/>
      <w:bookmarkEnd w:id="1278"/>
    </w:p>
    <w:p>
      <w:pPr>
        <w:pStyle w:val="Style22"/>
        <w:keepNext/>
        <w:keepLines/>
        <w:widowControl w:val="0"/>
        <w:shd w:val="clear" w:color="auto" w:fill="auto"/>
        <w:bidi w:val="0"/>
        <w:spacing w:before="0" w:after="0" w:line="526" w:lineRule="auto"/>
        <w:ind w:left="0" w:right="0" w:firstLine="460"/>
        <w:jc w:val="both"/>
        <w:rPr>
          <w:sz w:val="20"/>
          <w:szCs w:val="20"/>
        </w:rPr>
      </w:pPr>
      <w:bookmarkStart w:id="1279" w:name="bookmark1279"/>
      <w:bookmarkStart w:id="1280" w:name="bookmark1280"/>
      <w:bookmarkStart w:id="1281" w:name="bookmark1281"/>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、分部报告</w:t>
      </w:r>
      <w:bookmarkEnd w:id="1279"/>
      <w:bookmarkEnd w:id="1280"/>
      <w:bookmarkEnd w:id="1281"/>
    </w:p>
    <w:p>
      <w:pPr>
        <w:pStyle w:val="Style26"/>
        <w:keepNext w:val="0"/>
        <w:keepLines w:val="0"/>
        <w:widowControl w:val="0"/>
        <w:shd w:val="clear" w:color="auto" w:fill="auto"/>
        <w:bidi w:val="0"/>
        <w:spacing w:before="0" w:after="0" w:line="502" w:lineRule="exact"/>
        <w:ind w:left="0" w:right="0" w:firstLine="460"/>
        <w:jc w:val="both"/>
      </w:pPr>
      <w:r>
        <w:rPr>
          <w:color w:val="000000"/>
          <w:spacing w:val="0"/>
          <w:w w:val="100"/>
          <w:position w:val="0"/>
        </w:rPr>
        <w:t>本公司根据内部组织结构、管理要求及内部报告制度确定了新能源、生态环保、物业及房屋租赁、供应链四大报告分部。 每个报告分部为单独的业务分部，提供不同的产品和劳务，由于每个分部需要不同的技术及市场策略而需要进行单独的管理。 本公司管理层将会定期审阅不同分部的财务信息以决定向其配置资源、评价业绩。</w:t>
      </w:r>
    </w:p>
    <w:p>
      <w:pPr>
        <w:pStyle w:val="Style26"/>
        <w:keepNext w:val="0"/>
        <w:keepLines w:val="0"/>
        <w:widowControl w:val="0"/>
        <w:shd w:val="clear" w:color="auto" w:fill="auto"/>
        <w:bidi w:val="0"/>
        <w:spacing w:before="0" w:after="280" w:line="502" w:lineRule="exact"/>
        <w:ind w:left="0" w:right="0" w:firstLine="460"/>
        <w:jc w:val="both"/>
      </w:pPr>
      <w:r>
        <w:rPr>
          <w:color w:val="000000"/>
          <w:spacing w:val="0"/>
          <w:w w:val="100"/>
          <w:position w:val="0"/>
        </w:rPr>
        <w:t xml:space="preserve">分部报告信息根据各分部向管理层报告时采用的会计政策及计量标准披露，这些计量基础与编制财务报表时的会计与计 </w:t>
      </w:r>
      <w:r>
        <w:rPr>
          <w:color w:val="000000"/>
          <w:spacing w:val="0"/>
          <w:w w:val="100"/>
          <w:position w:val="0"/>
        </w:rPr>
        <w:t>量基础保持一致。</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）报告分部的财务信息</w:t>
      </w:r>
    </w:p>
    <w:tbl>
      <w:tblPr>
        <w:tblOverlap w:val="never"/>
        <w:jc w:val="center"/>
        <w:tblLayout w:type="fixed"/>
      </w:tblPr>
      <w:tblGrid>
        <w:gridCol w:w="946"/>
        <w:gridCol w:w="1464"/>
        <w:gridCol w:w="1454"/>
        <w:gridCol w:w="1334"/>
        <w:gridCol w:w="1320"/>
        <w:gridCol w:w="1368"/>
        <w:gridCol w:w="1378"/>
      </w:tblGrid>
      <w:tr>
        <w:trPr>
          <w:trHeight w:val="427"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新能源</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物业及房屋租赁</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生态环保</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分部收入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Arial Narrow" w:eastAsia="Arial Narrow" w:hAnsi="Arial Narrow" w:cs="Arial Narrow"/>
                <w:color w:val="000000"/>
                <w:spacing w:val="0"/>
                <w:w w:val="100"/>
                <w:position w:val="0"/>
                <w:sz w:val="16"/>
                <w:szCs w:val="16"/>
              </w:rPr>
              <w:t>3,665,689,163.69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5,043,805,144.47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282,689,638.58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290,164,473.61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1,006,252,436.43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Arial Narrow" w:eastAsia="Arial Narrow" w:hAnsi="Arial Narrow" w:cs="Arial Narrow"/>
                <w:color w:val="000000"/>
                <w:spacing w:val="0"/>
                <w:w w:val="100"/>
                <w:position w:val="0"/>
                <w:sz w:val="16"/>
                <w:szCs w:val="16"/>
              </w:rPr>
              <w:t>3,116,624,799.46</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分部费用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16"/>
                <w:szCs w:val="16"/>
              </w:rPr>
            </w:pPr>
            <w:r>
              <w:rPr>
                <w:rFonts w:ascii="Arial Narrow" w:eastAsia="Arial Narrow" w:hAnsi="Arial Narrow" w:cs="Arial Narrow"/>
                <w:color w:val="000000"/>
                <w:spacing w:val="0"/>
                <w:w w:val="100"/>
                <w:position w:val="0"/>
                <w:sz w:val="16"/>
                <w:szCs w:val="16"/>
              </w:rPr>
              <w:t>3,633,161,403.84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5,005,595,209.53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364,821,605.94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468,477,655.93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1,042,651,131.17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Arial Narrow" w:eastAsia="Arial Narrow" w:hAnsi="Arial Narrow" w:cs="Arial Narrow"/>
                <w:color w:val="000000"/>
                <w:spacing w:val="0"/>
                <w:w w:val="100"/>
                <w:position w:val="0"/>
                <w:sz w:val="16"/>
                <w:szCs w:val="16"/>
              </w:rPr>
              <w:t>2,954,607,322.57</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分部利润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32,527,759.85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38,209,934.94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-82,131,967.36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-178,313,182.32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-36,398,694.74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162,017,476.89</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25,036,071</w:t>
            </w:r>
            <w:r>
              <w:rPr>
                <w:rFonts w:ascii="Arial Narrow" w:eastAsia="Arial Narrow" w:hAnsi="Arial Narrow" w:cs="Arial Narrow"/>
                <w:color w:val="000000"/>
                <w:spacing w:val="0"/>
                <w:w w:val="100"/>
                <w:position w:val="0"/>
                <w:sz w:val="16"/>
                <w:szCs w:val="16"/>
              </w:rPr>
              <w:t>,036.76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26,215,028,180.75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20,791</w:t>
            </w:r>
            <w:r>
              <w:rPr>
                <w:rFonts w:ascii="Arial Narrow" w:eastAsia="Arial Narrow" w:hAnsi="Arial Narrow" w:cs="Arial Narrow"/>
                <w:color w:val="000000"/>
                <w:spacing w:val="0"/>
                <w:w w:val="100"/>
                <w:position w:val="0"/>
                <w:sz w:val="16"/>
                <w:szCs w:val="16"/>
              </w:rPr>
              <w:t>,665,613.26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21,158,292,336.49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4,134,071,768.36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Arial Narrow" w:eastAsia="Arial Narrow" w:hAnsi="Arial Narrow" w:cs="Arial Narrow"/>
                <w:color w:val="000000"/>
                <w:spacing w:val="0"/>
                <w:w w:val="100"/>
                <w:position w:val="0"/>
                <w:sz w:val="16"/>
                <w:szCs w:val="16"/>
              </w:rPr>
              <w:t>5,117,092,907.48</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14,571,178,625.90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14,986,381</w:t>
            </w:r>
            <w:r>
              <w:rPr>
                <w:rFonts w:ascii="Arial Narrow" w:eastAsia="Arial Narrow" w:hAnsi="Arial Narrow" w:cs="Arial Narrow"/>
                <w:color w:val="000000"/>
                <w:spacing w:val="0"/>
                <w:w w:val="100"/>
                <w:position w:val="0"/>
                <w:sz w:val="16"/>
                <w:szCs w:val="16"/>
              </w:rPr>
              <w:t>,434.75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6,279,839,364.99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6,523,093,942.59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2,928,135,465.62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16"/>
                <w:szCs w:val="16"/>
              </w:rPr>
            </w:pPr>
            <w:r>
              <w:rPr>
                <w:rFonts w:ascii="Arial Narrow" w:eastAsia="Arial Narrow" w:hAnsi="Arial Narrow" w:cs="Arial Narrow"/>
                <w:color w:val="000000"/>
                <w:spacing w:val="0"/>
                <w:w w:val="100"/>
                <w:position w:val="0"/>
                <w:sz w:val="16"/>
                <w:szCs w:val="16"/>
              </w:rPr>
              <w:t>3,952,016,586.17</w:t>
            </w:r>
          </w:p>
        </w:tc>
      </w:tr>
    </w:tbl>
    <w:p>
      <w:pPr>
        <w:widowControl w:val="0"/>
        <w:spacing w:after="1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389" w:right="0" w:firstLine="0"/>
        <w:jc w:val="left"/>
      </w:pPr>
      <w:r>
        <w:rPr>
          <w:color w:val="000000"/>
          <w:spacing w:val="0"/>
          <w:w w:val="100"/>
          <w:position w:val="0"/>
        </w:rPr>
        <w:t>续上表:</w:t>
      </w:r>
    </w:p>
    <w:tbl>
      <w:tblPr>
        <w:tblOverlap w:val="never"/>
        <w:jc w:val="center"/>
        <w:tblLayout w:type="fixed"/>
      </w:tblPr>
      <w:tblGrid>
        <w:gridCol w:w="898"/>
        <w:gridCol w:w="1574"/>
        <w:gridCol w:w="1406"/>
        <w:gridCol w:w="1474"/>
        <w:gridCol w:w="1387"/>
        <w:gridCol w:w="1234"/>
        <w:gridCol w:w="1258"/>
      </w:tblGrid>
      <w:tr>
        <w:trPr>
          <w:trHeight w:val="446"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供应链</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分部间抵销</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4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上期</w:t>
            </w:r>
          </w:p>
        </w:tc>
      </w:tr>
      <w:tr>
        <w:trPr>
          <w:trHeight w:val="46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分部收入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1,883,727,688.20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225,749,847.59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-32,597,311.18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-54,799.99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6,805,761,615.72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8,676,289,465.14</w:t>
            </w:r>
          </w:p>
        </w:tc>
      </w:tr>
    </w:tbl>
    <w:p>
      <w:pPr>
        <w:widowControl w:val="0"/>
        <w:spacing w:line="1" w:lineRule="exact"/>
      </w:pPr>
      <w:r>
        <w:br w:type="page"/>
      </w:r>
    </w:p>
    <w:tbl>
      <w:tblPr>
        <w:tblOverlap w:val="never"/>
        <w:jc w:val="center"/>
        <w:tblLayout w:type="fixed"/>
      </w:tblPr>
      <w:tblGrid>
        <w:gridCol w:w="902"/>
        <w:gridCol w:w="1574"/>
        <w:gridCol w:w="1406"/>
        <w:gridCol w:w="1474"/>
        <w:gridCol w:w="1387"/>
        <w:gridCol w:w="1229"/>
        <w:gridCol w:w="1262"/>
      </w:tblGrid>
      <w:tr>
        <w:trPr>
          <w:trHeight w:val="44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供应链</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分部间抵销</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分部费用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1,882,280,367.90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220,017,817.14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-32,597,311.18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-54,799.99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6,890,317,197.67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8,648,643,205.18</w:t>
            </w:r>
          </w:p>
        </w:tc>
      </w:tr>
      <w:tr>
        <w:trPr>
          <w:trHeight w:val="45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分部利润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1,447,320.30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5,732,030.45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-84,555,581.95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27,646,259.96</w:t>
            </w:r>
          </w:p>
        </w:tc>
      </w:tr>
      <w:tr>
        <w:trPr>
          <w:trHeight w:val="451"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167,541</w:t>
            </w:r>
            <w:r>
              <w:rPr>
                <w:rFonts w:ascii="Arial Narrow" w:eastAsia="Arial Narrow" w:hAnsi="Arial Narrow" w:cs="Arial Narrow"/>
                <w:color w:val="000000"/>
                <w:spacing w:val="0"/>
                <w:w w:val="100"/>
                <w:position w:val="0"/>
                <w:sz w:val="16"/>
                <w:szCs w:val="16"/>
              </w:rPr>
              <w:t>,016.26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638,254,860.26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-19,142,117,244.11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6"/>
                <w:szCs w:val="16"/>
              </w:rPr>
            </w:pPr>
            <w:r>
              <w:rPr>
                <w:rFonts w:ascii="Arial Narrow" w:eastAsia="Arial Narrow" w:hAnsi="Arial Narrow" w:cs="Arial Narrow"/>
                <w:color w:val="000000"/>
                <w:spacing w:val="0"/>
                <w:w w:val="100"/>
                <w:position w:val="0"/>
                <w:sz w:val="16"/>
                <w:szCs w:val="16"/>
              </w:rPr>
              <w:t>-18,705,623,481.83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30,987,232,190.53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34,423,044,803.15</w:t>
            </w:r>
          </w:p>
        </w:tc>
      </w:tr>
      <w:tr>
        <w:trPr>
          <w:trHeight w:val="48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98,411,812.62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567,098,824.05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-6,410,889,925.19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-6,176,728,319.75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17,466,675,343.94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6"/>
                <w:szCs w:val="16"/>
              </w:rPr>
            </w:pPr>
            <w:r>
              <w:rPr>
                <w:rFonts w:ascii="Arial Narrow" w:eastAsia="Arial Narrow" w:hAnsi="Arial Narrow" w:cs="Arial Narrow"/>
                <w:color w:val="000000"/>
                <w:spacing w:val="0"/>
                <w:w w:val="100"/>
                <w:position w:val="0"/>
                <w:sz w:val="16"/>
                <w:szCs w:val="16"/>
              </w:rPr>
              <w:t>19,851,862,467.81</w:t>
            </w:r>
          </w:p>
        </w:tc>
      </w:tr>
    </w:tbl>
    <w:p>
      <w:pPr>
        <w:widowControl w:val="0"/>
        <w:spacing w:after="1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437"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 xml:space="preserve">2 </w:t>
      </w:r>
      <w:r>
        <w:rPr>
          <w:color w:val="000000"/>
          <w:spacing w:val="0"/>
          <w:w w:val="100"/>
          <w:position w:val="0"/>
        </w:rPr>
        <w:t>）分部利润与财务报表营业利润总额的衔接如下:</w:t>
      </w:r>
    </w:p>
    <w:tbl>
      <w:tblPr>
        <w:tblOverlap w:val="never"/>
        <w:jc w:val="center"/>
        <w:tblLayout w:type="fixed"/>
      </w:tblPr>
      <w:tblGrid>
        <w:gridCol w:w="3096"/>
        <w:gridCol w:w="3043"/>
        <w:gridCol w:w="3077"/>
      </w:tblGrid>
      <w:tr>
        <w:trPr>
          <w:trHeight w:val="514"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本期发生额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上年同期发生额</w:t>
            </w:r>
          </w:p>
        </w:tc>
      </w:tr>
      <w:tr>
        <w:trPr>
          <w:trHeight w:val="42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分部利润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-84,555,581.95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27,646,259.96</w:t>
            </w:r>
          </w:p>
        </w:tc>
      </w:tr>
      <w:tr>
        <w:trPr>
          <w:trHeight w:val="422"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102,127,720.91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1,337,368,960.17</w:t>
            </w:r>
          </w:p>
        </w:tc>
      </w:tr>
      <w:tr>
        <w:trPr>
          <w:trHeight w:val="42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公允价值变动净收益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资产处置收益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-15,639.64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1,992.91</w:t>
            </w:r>
          </w:p>
        </w:tc>
      </w:tr>
      <w:tr>
        <w:trPr>
          <w:trHeight w:val="422"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-311,938,422.06</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-519,611,870.29</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31,232,276.11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15,297,177.36</w:t>
            </w:r>
          </w:p>
        </w:tc>
      </w:tr>
      <w:tr>
        <w:trPr>
          <w:trHeight w:val="456" w:hRule="exact"/>
        </w:trPr>
        <w:tc>
          <w:tcPr>
            <w:tcBorders>
              <w:top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-782,761,516.92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1,380,314,390.40</w:t>
            </w:r>
          </w:p>
        </w:tc>
      </w:tr>
    </w:tbl>
    <w:p>
      <w:pPr>
        <w:pStyle w:val="Style22"/>
        <w:keepNext/>
        <w:keepLines/>
        <w:widowControl w:val="0"/>
        <w:shd w:val="clear" w:color="auto" w:fill="auto"/>
        <w:bidi w:val="0"/>
        <w:spacing w:before="0" w:after="0" w:line="499" w:lineRule="exact"/>
        <w:ind w:left="0" w:right="0" w:firstLine="540"/>
        <w:jc w:val="left"/>
        <w:rPr>
          <w:sz w:val="20"/>
          <w:szCs w:val="20"/>
        </w:rPr>
      </w:pPr>
      <w:bookmarkStart w:id="1282" w:name="bookmark1282"/>
      <w:bookmarkStart w:id="1283" w:name="bookmark1283"/>
      <w:bookmarkStart w:id="1284" w:name="bookmark1284"/>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、其他对投资者决策有影响的重要事项</w:t>
      </w:r>
      <w:bookmarkEnd w:id="1282"/>
      <w:bookmarkEnd w:id="1283"/>
      <w:bookmarkEnd w:id="1284"/>
    </w:p>
    <w:p>
      <w:pPr>
        <w:pStyle w:val="Style33"/>
        <w:keepNext w:val="0"/>
        <w:keepLines w:val="0"/>
        <w:widowControl w:val="0"/>
        <w:shd w:val="clear" w:color="auto" w:fill="auto"/>
        <w:bidi w:val="0"/>
        <w:spacing w:before="0" w:after="0" w:line="499" w:lineRule="exact"/>
        <w:ind w:left="180" w:right="0" w:firstLine="380"/>
        <w:jc w:val="left"/>
      </w:pPr>
      <w:r>
        <w:rPr>
          <w:color w:val="000000"/>
          <w:spacing w:val="0"/>
          <w:w w:val="100"/>
          <w:position w:val="0"/>
        </w:rPr>
        <w:t>（</w:t>
      </w:r>
      <w:r>
        <w:rPr>
          <w:b/>
          <w:bCs/>
          <w:color w:val="000000"/>
          <w:spacing w:val="0"/>
          <w:w w:val="100"/>
          <w:position w:val="0"/>
        </w:rPr>
        <w:t xml:space="preserve">1 </w:t>
      </w:r>
      <w:r>
        <w:rPr>
          <w:color w:val="000000"/>
          <w:spacing w:val="0"/>
          <w:w w:val="100"/>
          <w:position w:val="0"/>
        </w:rPr>
        <w:t>）截至报告期末，东旭集团有限公司持有本公司股份</w:t>
      </w:r>
      <w:r>
        <w:rPr>
          <w:b/>
          <w:bCs/>
          <w:color w:val="000000"/>
          <w:spacing w:val="0"/>
          <w:w w:val="100"/>
          <w:position w:val="0"/>
        </w:rPr>
        <w:t>580,419,914.00</w:t>
      </w:r>
      <w:r>
        <w:rPr>
          <w:color w:val="000000"/>
          <w:spacing w:val="0"/>
          <w:w w:val="100"/>
          <w:position w:val="0"/>
        </w:rPr>
        <w:t>股，其中限售股份</w:t>
      </w:r>
      <w:r>
        <w:rPr>
          <w:b/>
          <w:bCs/>
          <w:color w:val="000000"/>
          <w:spacing w:val="0"/>
          <w:w w:val="100"/>
          <w:position w:val="0"/>
        </w:rPr>
        <w:t>423,673,200.00</w:t>
      </w:r>
      <w:r>
        <w:rPr>
          <w:color w:val="000000"/>
          <w:spacing w:val="0"/>
          <w:w w:val="100"/>
          <w:position w:val="0"/>
        </w:rPr>
        <w:t>股， 无限售股份</w:t>
      </w:r>
      <w:r>
        <w:rPr>
          <w:b/>
          <w:bCs/>
          <w:color w:val="000000"/>
          <w:spacing w:val="0"/>
          <w:w w:val="100"/>
          <w:position w:val="0"/>
        </w:rPr>
        <w:t>156,746,714.00</w:t>
      </w:r>
      <w:r>
        <w:rPr>
          <w:color w:val="000000"/>
          <w:spacing w:val="0"/>
          <w:w w:val="100"/>
          <w:position w:val="0"/>
        </w:rPr>
        <w:t>股。东旭集团有限公司持有本公司股权质押数量</w:t>
      </w:r>
      <w:r>
        <w:rPr>
          <w:b/>
          <w:bCs/>
          <w:color w:val="000000"/>
          <w:spacing w:val="0"/>
          <w:w w:val="100"/>
          <w:position w:val="0"/>
        </w:rPr>
        <w:t>580,419,914.00</w:t>
      </w:r>
      <w:r>
        <w:rPr>
          <w:color w:val="000000"/>
          <w:spacing w:val="0"/>
          <w:w w:val="100"/>
          <w:position w:val="0"/>
        </w:rPr>
        <w:t>股。</w:t>
      </w:r>
    </w:p>
    <w:p>
      <w:pPr>
        <w:pStyle w:val="Style33"/>
        <w:keepNext w:val="0"/>
        <w:keepLines w:val="0"/>
        <w:widowControl w:val="0"/>
        <w:shd w:val="clear" w:color="auto" w:fill="auto"/>
        <w:bidi w:val="0"/>
        <w:spacing w:before="0" w:after="0" w:line="499" w:lineRule="exact"/>
        <w:ind w:left="180" w:right="0" w:firstLine="380"/>
        <w:jc w:val="left"/>
      </w:pPr>
      <w:r>
        <w:rPr>
          <w:color w:val="000000"/>
          <w:spacing w:val="0"/>
          <w:w w:val="100"/>
          <w:position w:val="0"/>
        </w:rPr>
        <w:t>（</w:t>
      </w:r>
      <w:r>
        <w:rPr>
          <w:b/>
          <w:bCs/>
          <w:color w:val="000000"/>
          <w:spacing w:val="0"/>
          <w:w w:val="100"/>
          <w:position w:val="0"/>
        </w:rPr>
        <w:t>2</w:t>
      </w:r>
      <w:r>
        <w:rPr>
          <w:color w:val="000000"/>
          <w:spacing w:val="0"/>
          <w:w w:val="100"/>
          <w:position w:val="0"/>
        </w:rPr>
        <w:t>）由于东旭集团财务有限公司资金流动性问题，导致本公司在财务公司存款支取受限，公司在东旭集 团财务有限公司的定期存款到期能否按时收回存在不确定性。</w:t>
      </w:r>
    </w:p>
    <w:p>
      <w:pPr>
        <w:pStyle w:val="Style10"/>
        <w:keepNext/>
        <w:keepLines/>
        <w:widowControl w:val="0"/>
        <w:shd w:val="clear" w:color="auto" w:fill="auto"/>
        <w:bidi w:val="0"/>
        <w:spacing w:before="0" w:after="0" w:line="499" w:lineRule="exact"/>
        <w:ind w:left="0" w:right="0" w:firstLine="540"/>
        <w:jc w:val="left"/>
        <w:rPr>
          <w:sz w:val="20"/>
          <w:szCs w:val="20"/>
        </w:rPr>
      </w:pPr>
      <w:bookmarkStart w:id="1285" w:name="bookmark1285"/>
      <w:bookmarkStart w:id="1286" w:name="bookmark1286"/>
      <w:bookmarkStart w:id="1287" w:name="bookmark1287"/>
      <w:r>
        <w:rPr>
          <w:color w:val="000000"/>
          <w:spacing w:val="0"/>
          <w:w w:val="100"/>
          <w:position w:val="0"/>
          <w:sz w:val="20"/>
          <w:szCs w:val="20"/>
        </w:rPr>
        <w:t>十四、母公司财务报表主要项目注释</w:t>
      </w:r>
      <w:bookmarkEnd w:id="1285"/>
      <w:bookmarkEnd w:id="1286"/>
      <w:bookmarkEnd w:id="1287"/>
    </w:p>
    <w:p>
      <w:pPr>
        <w:pStyle w:val="Style22"/>
        <w:keepNext/>
        <w:keepLines/>
        <w:widowControl w:val="0"/>
        <w:shd w:val="clear" w:color="auto" w:fill="auto"/>
        <w:bidi w:val="0"/>
        <w:spacing w:before="0" w:after="0" w:line="499" w:lineRule="exact"/>
        <w:ind w:left="0" w:right="0" w:firstLine="540"/>
        <w:jc w:val="left"/>
        <w:rPr>
          <w:sz w:val="20"/>
          <w:szCs w:val="20"/>
        </w:rPr>
      </w:pPr>
      <w:bookmarkStart w:id="1288" w:name="bookmark1288"/>
      <w:bookmarkStart w:id="1289" w:name="bookmark1289"/>
      <w:bookmarkStart w:id="1290" w:name="bookmark1290"/>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、应收账款</w:t>
      </w:r>
      <w:bookmarkEnd w:id="1288"/>
      <w:bookmarkEnd w:id="1289"/>
      <w:bookmarkEnd w:id="1290"/>
    </w:p>
    <w:p>
      <w:pPr>
        <w:pStyle w:val="Style26"/>
        <w:keepNext w:val="0"/>
        <w:keepLines w:val="0"/>
        <w:widowControl w:val="0"/>
        <w:shd w:val="clear" w:color="auto" w:fill="auto"/>
        <w:bidi w:val="0"/>
        <w:spacing w:before="0" w:after="80" w:line="499" w:lineRule="exact"/>
        <w:ind w:left="0" w:right="0" w:firstLine="54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）以摊余成本计量的应收账款：</w:t>
      </w:r>
    </w:p>
    <w:tbl>
      <w:tblPr>
        <w:tblOverlap w:val="never"/>
        <w:jc w:val="center"/>
        <w:tblLayout w:type="fixed"/>
      </w:tblPr>
      <w:tblGrid>
        <w:gridCol w:w="1157"/>
        <w:gridCol w:w="1378"/>
        <w:gridCol w:w="1306"/>
        <w:gridCol w:w="1397"/>
        <w:gridCol w:w="1392"/>
        <w:gridCol w:w="1397"/>
        <w:gridCol w:w="1426"/>
      </w:tblGrid>
      <w:tr>
        <w:trPr>
          <w:trHeight w:val="427"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16,169,611.90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5,031,280.13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11,138,331.77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16,130,111.90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1,676,391.03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color w:val="000000"/>
                <w:spacing w:val="0"/>
                <w:w w:val="100"/>
                <w:position w:val="0"/>
                <w:sz w:val="18"/>
                <w:szCs w:val="18"/>
              </w:rPr>
              <w:t>14,453,720.87</w:t>
            </w: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b/>
                <w:bCs/>
                <w:color w:val="000000"/>
                <w:spacing w:val="0"/>
                <w:w w:val="100"/>
                <w:position w:val="0"/>
                <w:sz w:val="18"/>
                <w:szCs w:val="18"/>
              </w:rPr>
              <w:t>16,169,611.90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5,031,280.13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11,138,331.77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16,130,111.90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1,676,391.03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rFonts w:ascii="Arial Narrow" w:eastAsia="Arial Narrow" w:hAnsi="Arial Narrow" w:cs="Arial Narrow"/>
                <w:b/>
                <w:bCs/>
                <w:color w:val="000000"/>
                <w:spacing w:val="0"/>
                <w:w w:val="100"/>
                <w:position w:val="0"/>
                <w:sz w:val="18"/>
                <w:szCs w:val="18"/>
              </w:rPr>
              <w:t>14,453,720.87</w:t>
            </w:r>
          </w:p>
        </w:tc>
      </w:tr>
    </w:tbl>
    <w:p>
      <w:pPr>
        <w:widowControl w:val="0"/>
        <w:spacing w:after="259" w:line="1" w:lineRule="exact"/>
      </w:pPr>
    </w:p>
    <w:p>
      <w:pPr>
        <w:pStyle w:val="Style26"/>
        <w:keepNext w:val="0"/>
        <w:keepLines w:val="0"/>
        <w:widowControl w:val="0"/>
        <w:shd w:val="clear" w:color="auto" w:fill="auto"/>
        <w:bidi w:val="0"/>
        <w:spacing w:before="0" w:after="340" w:line="240" w:lineRule="auto"/>
        <w:ind w:left="0" w:right="0" w:firstLine="54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2</w:t>
      </w:r>
      <w:r>
        <w:rPr>
          <w:color w:val="000000"/>
          <w:spacing w:val="0"/>
          <w:w w:val="100"/>
          <w:position w:val="0"/>
        </w:rPr>
        <w:t>）坏账准备：</w:t>
      </w:r>
    </w:p>
    <w:p>
      <w:pPr>
        <w:pStyle w:val="Style26"/>
        <w:keepNext w:val="0"/>
        <w:keepLines w:val="0"/>
        <w:widowControl w:val="0"/>
        <w:shd w:val="clear" w:color="auto" w:fill="auto"/>
        <w:bidi w:val="0"/>
        <w:spacing w:before="0" w:line="240" w:lineRule="auto"/>
        <w:ind w:left="0" w:right="0" w:firstLine="540"/>
        <w:jc w:val="left"/>
      </w:pPr>
      <w:r>
        <w:rPr>
          <w:color w:val="000000"/>
          <w:spacing w:val="0"/>
          <w:w w:val="100"/>
          <w:position w:val="0"/>
        </w:rPr>
        <w:t>本公司对应收账款，无论是否存在重大融资成分，均按照整个存续期的预期信用损失计量损失准备。</w:t>
      </w:r>
    </w:p>
    <w:p>
      <w:pPr>
        <w:pStyle w:val="Style26"/>
        <w:keepNext w:val="0"/>
        <w:keepLines w:val="0"/>
        <w:widowControl w:val="0"/>
        <w:shd w:val="clear" w:color="auto" w:fill="auto"/>
        <w:bidi w:val="0"/>
        <w:spacing w:before="0" w:after="180" w:line="240" w:lineRule="auto"/>
        <w:ind w:left="0" w:right="0" w:firstLine="540"/>
        <w:jc w:val="left"/>
      </w:pPr>
      <w:r>
        <w:rPr>
          <w:color w:val="000000"/>
          <w:spacing w:val="0"/>
          <w:w w:val="100"/>
          <w:position w:val="0"/>
        </w:rPr>
        <w:t>①</w:t>
      </w:r>
      <w:r>
        <w:rPr>
          <w:rFonts w:ascii="Arial Narrow" w:eastAsia="Arial Narrow" w:hAnsi="Arial Narrow" w:cs="Arial Narrow"/>
          <w:color w:val="000000"/>
          <w:spacing w:val="0"/>
          <w:w w:val="100"/>
          <w:position w:val="0"/>
          <w:sz w:val="18"/>
          <w:szCs w:val="18"/>
        </w:rPr>
        <w:t>2019</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日，组合计提坏账准备：</w:t>
      </w:r>
      <w:r>
        <w:br w:type="page"/>
      </w:r>
    </w:p>
    <w:tbl>
      <w:tblPr>
        <w:tblOverlap w:val="never"/>
        <w:jc w:val="center"/>
        <w:tblLayout w:type="fixed"/>
      </w:tblPr>
      <w:tblGrid>
        <w:gridCol w:w="3682"/>
        <w:gridCol w:w="2107"/>
        <w:gridCol w:w="1771"/>
        <w:gridCol w:w="1795"/>
      </w:tblGrid>
      <w:tr>
        <w:trPr>
          <w:trHeight w:val="427"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名称</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计提比例（</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17"/>
                <w:szCs w:val="17"/>
              </w:rPr>
              <w:t>）</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账龄分析法组合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16,169,611.90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5,031,280.13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31.12</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16,169,611.90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5,031,280.13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31.12</w:t>
            </w:r>
          </w:p>
        </w:tc>
      </w:tr>
    </w:tbl>
    <w:p>
      <w:pPr>
        <w:widowControl w:val="0"/>
        <w:spacing w:after="2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206" w:right="0" w:firstLine="0"/>
        <w:jc w:val="left"/>
      </w:pPr>
      <w:r>
        <w:rPr>
          <w:color w:val="000000"/>
          <w:spacing w:val="0"/>
          <w:w w:val="100"/>
          <w:position w:val="0"/>
        </w:rPr>
        <w:t>其中：账龄分析法组合列式如下</w:t>
      </w:r>
    </w:p>
    <w:tbl>
      <w:tblPr>
        <w:tblOverlap w:val="never"/>
        <w:jc w:val="center"/>
        <w:tblLayout w:type="fixed"/>
      </w:tblPr>
      <w:tblGrid>
        <w:gridCol w:w="2203"/>
        <w:gridCol w:w="1978"/>
        <w:gridCol w:w="3470"/>
        <w:gridCol w:w="1704"/>
      </w:tblGrid>
      <w:tr>
        <w:trPr>
          <w:trHeight w:val="427"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账龄</w:t>
            </w:r>
          </w:p>
        </w:tc>
        <w:tc>
          <w:tcPr>
            <w:gridSpan w:val="3"/>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整个存续期预期信用损失率（</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信用期内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46,330.00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信用期外</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 xml:space="preserve">1 </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16,052,100.97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color w:val="000000"/>
                <w:spacing w:val="0"/>
                <w:w w:val="100"/>
                <w:position w:val="0"/>
                <w:sz w:val="18"/>
                <w:szCs w:val="18"/>
              </w:rPr>
              <w:t>4,960,099.20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71,180.93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71,180.93</w:t>
            </w: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16,169,611.90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31.12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rFonts w:ascii="Arial Narrow" w:eastAsia="Arial Narrow" w:hAnsi="Arial Narrow" w:cs="Arial Narrow"/>
                <w:b/>
                <w:bCs/>
                <w:color w:val="000000"/>
                <w:spacing w:val="0"/>
                <w:w w:val="100"/>
                <w:position w:val="0"/>
                <w:sz w:val="18"/>
                <w:szCs w:val="18"/>
              </w:rPr>
              <w:t>5,031,280.13</w:t>
            </w:r>
          </w:p>
        </w:tc>
      </w:tr>
    </w:tbl>
    <w:p>
      <w:pPr>
        <w:widowControl w:val="0"/>
        <w:spacing w:after="2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202" w:right="0" w:firstLine="0"/>
        <w:jc w:val="left"/>
      </w:pPr>
      <w:r>
        <w:rPr>
          <w:color w:val="000000"/>
          <w:spacing w:val="0"/>
          <w:w w:val="100"/>
          <w:position w:val="0"/>
        </w:rPr>
        <w:t>②坏账准备的变动</w:t>
      </w:r>
    </w:p>
    <w:tbl>
      <w:tblPr>
        <w:tblOverlap w:val="never"/>
        <w:jc w:val="center"/>
        <w:tblLayout w:type="fixed"/>
      </w:tblPr>
      <w:tblGrid>
        <w:gridCol w:w="1978"/>
        <w:gridCol w:w="1392"/>
        <w:gridCol w:w="1397"/>
        <w:gridCol w:w="1440"/>
        <w:gridCol w:w="1320"/>
        <w:gridCol w:w="1829"/>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2019.01.01</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2"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转回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转销</w:t>
            </w:r>
          </w:p>
        </w:tc>
        <w:tc>
          <w:tcPr>
            <w:vMerge/>
            <w:tcBorders>
              <w:left w:val="single" w:sz="4"/>
            </w:tcBorders>
            <w:shd w:val="clear" w:color="auto" w:fill="FFFFFF"/>
            <w:vAlign w:val="center"/>
          </w:tcPr>
          <w:p>
            <w:pP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应收账款坏账准备</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1,676,391.03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3,354,889.10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5,031,280.13</w:t>
            </w:r>
          </w:p>
        </w:tc>
      </w:tr>
    </w:tbl>
    <w:p>
      <w:pPr>
        <w:widowControl w:val="0"/>
        <w:spacing w:after="179" w:line="1" w:lineRule="exact"/>
      </w:pPr>
    </w:p>
    <w:p>
      <w:pPr>
        <w:pStyle w:val="Style26"/>
        <w:keepNext w:val="0"/>
        <w:keepLines w:val="0"/>
        <w:widowControl w:val="0"/>
        <w:shd w:val="clear" w:color="auto" w:fill="auto"/>
        <w:bidi w:val="0"/>
        <w:spacing w:before="0" w:after="280" w:line="240" w:lineRule="auto"/>
        <w:ind w:left="0" w:right="0" w:firstLine="480"/>
        <w:jc w:val="both"/>
      </w:pPr>
      <w:r>
        <w:rPr>
          <w:color w:val="000000"/>
          <w:spacing w:val="0"/>
          <w:w w:val="100"/>
          <w:position w:val="0"/>
        </w:rPr>
        <w:t>③按欠款方归集的期末余额前五名的应收账款情况：</w:t>
      </w:r>
    </w:p>
    <w:p>
      <w:pPr>
        <w:pStyle w:val="Style26"/>
        <w:keepNext w:val="0"/>
        <w:keepLines w:val="0"/>
        <w:widowControl w:val="0"/>
        <w:shd w:val="clear" w:color="auto" w:fill="auto"/>
        <w:bidi w:val="0"/>
        <w:spacing w:before="0" w:after="280" w:line="240" w:lineRule="auto"/>
        <w:ind w:left="0" w:right="0" w:firstLine="480"/>
        <w:jc w:val="both"/>
      </w:pPr>
      <w:r>
        <w:rPr>
          <w:color w:val="000000"/>
          <w:spacing w:val="0"/>
          <w:w w:val="100"/>
          <w:position w:val="0"/>
        </w:rPr>
        <w:t>本报告期按欠款方归集的期末余额前五名应收账款汇总金额</w:t>
      </w:r>
      <w:r>
        <w:rPr>
          <w:rFonts w:ascii="Arial Narrow" w:eastAsia="Arial Narrow" w:hAnsi="Arial Narrow" w:cs="Arial Narrow"/>
          <w:color w:val="000000"/>
          <w:spacing w:val="0"/>
          <w:w w:val="100"/>
          <w:position w:val="0"/>
          <w:sz w:val="18"/>
          <w:szCs w:val="18"/>
        </w:rPr>
        <w:t>16,169,611.90</w:t>
      </w:r>
      <w:r>
        <w:rPr>
          <w:color w:val="000000"/>
          <w:spacing w:val="0"/>
          <w:w w:val="100"/>
          <w:position w:val="0"/>
        </w:rPr>
        <w:t>元，占应收账款期末余额合计数的比例</w:t>
      </w:r>
      <w:r>
        <w:rPr>
          <w:rFonts w:ascii="Arial Narrow" w:eastAsia="Arial Narrow" w:hAnsi="Arial Narrow" w:cs="Arial Narrow"/>
          <w:color w:val="000000"/>
          <w:spacing w:val="0"/>
          <w:w w:val="100"/>
          <w:position w:val="0"/>
          <w:sz w:val="18"/>
          <w:szCs w:val="18"/>
        </w:rPr>
        <w:t>100.00%</w:t>
      </w:r>
      <w:r>
        <w:rPr>
          <w:color w:val="000000"/>
          <w:spacing w:val="0"/>
          <w:w w:val="100"/>
          <w:position w:val="0"/>
        </w:rPr>
        <w:t xml:space="preserve">， </w:t>
      </w:r>
      <w:r>
        <w:rPr>
          <w:color w:val="000000"/>
          <w:spacing w:val="0"/>
          <w:w w:val="100"/>
          <w:position w:val="0"/>
        </w:rPr>
        <w:t>相应计提的坏账准备期末余额汇总金额</w:t>
      </w:r>
      <w:r>
        <w:rPr>
          <w:rFonts w:ascii="Arial Narrow" w:eastAsia="Arial Narrow" w:hAnsi="Arial Narrow" w:cs="Arial Narrow"/>
          <w:color w:val="000000"/>
          <w:spacing w:val="0"/>
          <w:w w:val="100"/>
          <w:position w:val="0"/>
          <w:sz w:val="18"/>
          <w:szCs w:val="18"/>
        </w:rPr>
        <w:t>5,031,280.13</w:t>
      </w:r>
      <w:r>
        <w:rPr>
          <w:color w:val="000000"/>
          <w:spacing w:val="0"/>
          <w:w w:val="100"/>
          <w:position w:val="0"/>
        </w:rPr>
        <w:t>元。</w:t>
      </w:r>
    </w:p>
    <w:p>
      <w:pPr>
        <w:pStyle w:val="Style22"/>
        <w:keepNext/>
        <w:keepLines/>
        <w:widowControl w:val="0"/>
        <w:shd w:val="clear" w:color="auto" w:fill="auto"/>
        <w:bidi w:val="0"/>
        <w:spacing w:before="0" w:after="40" w:line="240" w:lineRule="auto"/>
        <w:ind w:left="0" w:right="0" w:firstLine="480"/>
        <w:jc w:val="both"/>
        <w:rPr>
          <w:sz w:val="20"/>
          <w:szCs w:val="20"/>
        </w:rPr>
      </w:pPr>
      <w:bookmarkStart w:id="1291" w:name="bookmark1291"/>
      <w:bookmarkStart w:id="1292" w:name="bookmark1292"/>
      <w:bookmarkStart w:id="1293" w:name="bookmark1293"/>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、其他应收款</w:t>
      </w:r>
      <w:bookmarkEnd w:id="1291"/>
      <w:bookmarkEnd w:id="1292"/>
      <w:bookmarkEnd w:id="1293"/>
    </w:p>
    <w:tbl>
      <w:tblPr>
        <w:tblOverlap w:val="never"/>
        <w:jc w:val="left"/>
        <w:tblLayout w:type="fixed"/>
      </w:tblPr>
      <w:tblGrid>
        <w:gridCol w:w="3187"/>
        <w:gridCol w:w="3202"/>
        <w:gridCol w:w="2851"/>
      </w:tblGrid>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2,497,897,880.48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3,134,512,107.50</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2,497,897,880.48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3,134,512,107.50</w:t>
            </w:r>
          </w:p>
        </w:tc>
      </w:tr>
    </w:tbl>
    <w:p>
      <w:pPr>
        <w:widowControl w:val="0"/>
        <w:spacing w:after="279" w:line="1" w:lineRule="exact"/>
      </w:pPr>
    </w:p>
    <w:p>
      <w:pPr>
        <w:pStyle w:val="Style26"/>
        <w:keepNext w:val="0"/>
        <w:keepLines w:val="0"/>
        <w:widowControl w:val="0"/>
        <w:shd w:val="clear" w:color="auto" w:fill="auto"/>
        <w:bidi w:val="0"/>
        <w:spacing w:before="0" w:after="280" w:line="240" w:lineRule="auto"/>
        <w:ind w:left="0" w:right="0" w:firstLine="480"/>
        <w:jc w:val="both"/>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）其他应收款情况</w:t>
      </w:r>
    </w:p>
    <w:p>
      <w:pPr>
        <w:pStyle w:val="Style26"/>
        <w:keepNext w:val="0"/>
        <w:keepLines w:val="0"/>
        <w:widowControl w:val="0"/>
        <w:shd w:val="clear" w:color="auto" w:fill="auto"/>
        <w:bidi w:val="0"/>
        <w:spacing w:before="0" w:after="280" w:line="240" w:lineRule="auto"/>
        <w:ind w:left="0" w:right="0" w:firstLine="480"/>
        <w:jc w:val="both"/>
      </w:pPr>
      <w:r>
        <w:rPr>
          <w:color w:val="000000"/>
          <w:spacing w:val="0"/>
          <w:w w:val="100"/>
          <w:position w:val="0"/>
        </w:rPr>
        <w:t>①坏账准备</w:t>
      </w:r>
    </w:p>
    <w:p>
      <w:pPr>
        <w:pStyle w:val="Style26"/>
        <w:keepNext w:val="0"/>
        <w:keepLines w:val="0"/>
        <w:widowControl w:val="0"/>
        <w:shd w:val="clear" w:color="auto" w:fill="auto"/>
        <w:bidi w:val="0"/>
        <w:spacing w:before="0" w:after="180" w:line="240" w:lineRule="auto"/>
        <w:ind w:left="0" w:right="0" w:firstLine="260"/>
        <w:jc w:val="both"/>
      </w:pPr>
      <w:r>
        <w:rPr>
          <w:rFonts w:ascii="Arial Narrow" w:eastAsia="Arial Narrow" w:hAnsi="Arial Narrow" w:cs="Arial Narrow"/>
          <w:color w:val="000000"/>
          <w:spacing w:val="0"/>
          <w:w w:val="100"/>
          <w:position w:val="0"/>
          <w:sz w:val="18"/>
          <w:szCs w:val="18"/>
        </w:rPr>
        <w:t>A.2019</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日，处于第一阶段的其他应收款坏账准备如下：</w:t>
      </w:r>
    </w:p>
    <w:p>
      <w:pPr>
        <w:pStyle w:val="Style81"/>
        <w:keepNext w:val="0"/>
        <w:keepLines w:val="0"/>
        <w:widowControl w:val="0"/>
        <w:shd w:val="clear" w:color="auto" w:fill="auto"/>
        <w:tabs>
          <w:tab w:pos="5967" w:val="left"/>
        </w:tabs>
        <w:bidi w:val="0"/>
        <w:spacing w:before="0" w:after="280" w:line="240" w:lineRule="auto"/>
        <w:ind w:left="1580" w:right="0" w:firstLine="0"/>
        <w:jc w:val="both"/>
      </w:pPr>
      <w:r>
        <w:rPr>
          <w:rFonts w:ascii="SimSun" w:eastAsia="SimSun" w:hAnsi="SimSun" w:cs="SimSun"/>
          <w:b/>
          <w:bCs/>
          <w:color w:val="000000"/>
          <w:spacing w:val="0"/>
          <w:w w:val="100"/>
          <w:position w:val="0"/>
          <w:sz w:val="17"/>
          <w:szCs w:val="17"/>
        </w:rPr>
        <w:t>种类</w:t>
        <w:tab/>
      </w:r>
      <w:r>
        <w:rPr>
          <w:b/>
          <w:bCs/>
          <w:color w:val="000000"/>
          <w:spacing w:val="0"/>
          <w:w w:val="100"/>
          <w:position w:val="0"/>
        </w:rPr>
        <w:t>2019.12.31</w:t>
      </w:r>
      <w:r>
        <w:br w:type="page"/>
      </w:r>
    </w:p>
    <w:tbl>
      <w:tblPr>
        <w:tblOverlap w:val="never"/>
        <w:jc w:val="left"/>
        <w:tblLayout w:type="fixed"/>
      </w:tblPr>
      <w:tblGrid>
        <w:gridCol w:w="3509"/>
        <w:gridCol w:w="1603"/>
        <w:gridCol w:w="1795"/>
        <w:gridCol w:w="1344"/>
        <w:gridCol w:w="989"/>
      </w:tblGrid>
      <w:tr>
        <w:trPr>
          <w:trHeight w:val="6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center"/>
              <w:rPr>
                <w:sz w:val="20"/>
                <w:szCs w:val="20"/>
              </w:rPr>
            </w:pPr>
            <w:r>
              <w:rPr>
                <w:rFonts w:ascii="SimSun" w:eastAsia="SimSun" w:hAnsi="SimSun" w:cs="SimSun"/>
                <w:b/>
                <w:bCs/>
                <w:color w:val="000000"/>
                <w:spacing w:val="0"/>
                <w:w w:val="100"/>
                <w:position w:val="0"/>
                <w:sz w:val="20"/>
                <w:szCs w:val="20"/>
              </w:rPr>
              <w:t>未来</w:t>
            </w:r>
            <w:r>
              <w:rPr>
                <w:rFonts w:ascii="Arial Narrow" w:eastAsia="Arial Narrow" w:hAnsi="Arial Narrow" w:cs="Arial Narrow"/>
                <w:b/>
                <w:bCs/>
                <w:color w:val="000000"/>
                <w:spacing w:val="0"/>
                <w:w w:val="100"/>
                <w:position w:val="0"/>
                <w:sz w:val="20"/>
                <w:szCs w:val="20"/>
              </w:rPr>
              <w:t>12</w:t>
            </w:r>
            <w:r>
              <w:rPr>
                <w:rFonts w:ascii="SimSun" w:eastAsia="SimSun" w:hAnsi="SimSun" w:cs="SimSun"/>
                <w:b/>
                <w:bCs/>
                <w:color w:val="000000"/>
                <w:spacing w:val="0"/>
                <w:w w:val="100"/>
                <w:position w:val="0"/>
                <w:sz w:val="20"/>
                <w:szCs w:val="20"/>
              </w:rPr>
              <w:t>个月预期 信用损失率（</w:t>
            </w:r>
            <w:r>
              <w:rPr>
                <w:rFonts w:ascii="SimSun" w:eastAsia="SimSun" w:hAnsi="SimSun" w:cs="SimSun"/>
                <w:b/>
                <w:bCs/>
                <w:color w:val="000000"/>
                <w:spacing w:val="0"/>
                <w:w w:val="100"/>
                <w:position w:val="0"/>
                <w:sz w:val="24"/>
                <w:szCs w:val="24"/>
              </w:rPr>
              <w:t>％</w:t>
            </w:r>
            <w:r>
              <w:rPr>
                <w:rFonts w:ascii="SimSun" w:eastAsia="SimSun" w:hAnsi="SimSun" w:cs="SimSun"/>
                <w:b/>
                <w:bCs/>
                <w:color w:val="000000"/>
                <w:spacing w:val="0"/>
                <w:w w:val="100"/>
                <w:position w:val="0"/>
                <w:sz w:val="20"/>
                <w:szCs w:val="2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理由</w:t>
            </w:r>
          </w:p>
        </w:tc>
      </w:tr>
      <w:tr>
        <w:trPr>
          <w:trHeight w:val="43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按组合计提：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按预期信用风险特征组合计提坏账准备的 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53,517,293.77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color w:val="000000"/>
                <w:spacing w:val="0"/>
                <w:w w:val="100"/>
                <w:position w:val="0"/>
                <w:sz w:val="18"/>
                <w:szCs w:val="18"/>
              </w:rPr>
              <w:t>7,745,748.20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回收可能 性</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2,452,126,334.91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2,505,643,628.68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0.31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rFonts w:ascii="Arial Narrow" w:eastAsia="Arial Narrow" w:hAnsi="Arial Narrow" w:cs="Arial Narrow"/>
                <w:b/>
                <w:bCs/>
                <w:color w:val="000000"/>
                <w:spacing w:val="0"/>
                <w:w w:val="100"/>
                <w:position w:val="0"/>
                <w:sz w:val="18"/>
                <w:szCs w:val="18"/>
              </w:rPr>
              <w:t>7,745,748.20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33"/>
        <w:keepNext w:val="0"/>
        <w:keepLines w:val="0"/>
        <w:widowControl w:val="0"/>
        <w:numPr>
          <w:ilvl w:val="0"/>
          <w:numId w:val="45"/>
        </w:numPr>
        <w:shd w:val="clear" w:color="auto" w:fill="auto"/>
        <w:tabs>
          <w:tab w:pos="890" w:val="left"/>
        </w:tabs>
        <w:bidi w:val="0"/>
        <w:spacing w:before="0" w:after="300" w:line="240" w:lineRule="auto"/>
        <w:ind w:left="0" w:right="0" w:firstLine="560"/>
        <w:jc w:val="left"/>
      </w:pPr>
      <w:bookmarkStart w:id="1294" w:name="bookmark1294"/>
      <w:bookmarkEnd w:id="1294"/>
      <w:r>
        <w:rPr>
          <w:b/>
          <w:bCs/>
          <w:color w:val="000000"/>
          <w:spacing w:val="0"/>
          <w:w w:val="100"/>
          <w:position w:val="0"/>
        </w:rPr>
        <w:t>2019</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日，处于第二阶段的其他应收款坏账准备：无</w:t>
      </w:r>
    </w:p>
    <w:p>
      <w:pPr>
        <w:pStyle w:val="Style33"/>
        <w:keepNext w:val="0"/>
        <w:keepLines w:val="0"/>
        <w:widowControl w:val="0"/>
        <w:numPr>
          <w:ilvl w:val="0"/>
          <w:numId w:val="45"/>
        </w:numPr>
        <w:shd w:val="clear" w:color="auto" w:fill="auto"/>
        <w:tabs>
          <w:tab w:pos="909" w:val="left"/>
        </w:tabs>
        <w:bidi w:val="0"/>
        <w:spacing w:before="0" w:after="100" w:line="240" w:lineRule="auto"/>
        <w:ind w:left="0" w:right="0" w:firstLine="560"/>
        <w:jc w:val="left"/>
      </w:pPr>
      <w:bookmarkStart w:id="1295" w:name="bookmark1295"/>
      <w:bookmarkEnd w:id="1295"/>
      <w:r>
        <w:rPr>
          <w:b/>
          <w:bCs/>
          <w:color w:val="000000"/>
          <w:spacing w:val="0"/>
          <w:w w:val="100"/>
          <w:position w:val="0"/>
        </w:rPr>
        <w:t>2019</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日，处于第三阶段的其他应收款坏账准备：</w:t>
      </w:r>
    </w:p>
    <w:tbl>
      <w:tblPr>
        <w:tblOverlap w:val="never"/>
        <w:jc w:val="center"/>
        <w:tblLayout w:type="fixed"/>
      </w:tblPr>
      <w:tblGrid>
        <w:gridCol w:w="3494"/>
        <w:gridCol w:w="1546"/>
        <w:gridCol w:w="1306"/>
        <w:gridCol w:w="1454"/>
        <w:gridCol w:w="1579"/>
      </w:tblGrid>
      <w:tr>
        <w:trPr>
          <w:trHeight w:val="427"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种类</w:t>
            </w:r>
          </w:p>
        </w:tc>
        <w:tc>
          <w:tcPr>
            <w:gridSpan w:val="4"/>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10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81" w:lineRule="exact"/>
              <w:ind w:left="0" w:right="0" w:firstLine="0"/>
              <w:jc w:val="center"/>
              <w:rPr>
                <w:sz w:val="20"/>
                <w:szCs w:val="20"/>
              </w:rPr>
            </w:pPr>
            <w:r>
              <w:rPr>
                <w:rFonts w:ascii="SimSun" w:eastAsia="SimSun" w:hAnsi="SimSun" w:cs="SimSun"/>
                <w:b/>
                <w:bCs/>
                <w:color w:val="000000"/>
                <w:spacing w:val="0"/>
                <w:w w:val="100"/>
                <w:position w:val="0"/>
                <w:sz w:val="20"/>
                <w:szCs w:val="20"/>
              </w:rPr>
              <w:t>未来</w:t>
            </w:r>
            <w:r>
              <w:rPr>
                <w:rFonts w:ascii="Arial Narrow" w:eastAsia="Arial Narrow" w:hAnsi="Arial Narrow" w:cs="Arial Narrow"/>
                <w:b/>
                <w:bCs/>
                <w:color w:val="000000"/>
                <w:spacing w:val="0"/>
                <w:w w:val="100"/>
                <w:position w:val="0"/>
                <w:sz w:val="20"/>
                <w:szCs w:val="20"/>
              </w:rPr>
              <w:t>12</w:t>
            </w:r>
            <w:r>
              <w:rPr>
                <w:rFonts w:ascii="SimSun" w:eastAsia="SimSun" w:hAnsi="SimSun" w:cs="SimSun"/>
                <w:b/>
                <w:bCs/>
                <w:color w:val="000000"/>
                <w:spacing w:val="0"/>
                <w:w w:val="100"/>
                <w:position w:val="0"/>
                <w:sz w:val="20"/>
                <w:szCs w:val="20"/>
              </w:rPr>
              <w:t>个月 预期信用损 失率（</w:t>
            </w:r>
            <w:r>
              <w:rPr>
                <w:rFonts w:ascii="SimSun" w:eastAsia="SimSun" w:hAnsi="SimSun" w:cs="SimSun"/>
                <w:b/>
                <w:bCs/>
                <w:color w:val="000000"/>
                <w:spacing w:val="0"/>
                <w:w w:val="100"/>
                <w:position w:val="0"/>
                <w:sz w:val="24"/>
                <w:szCs w:val="24"/>
              </w:rPr>
              <w:t>％</w:t>
            </w:r>
            <w:r>
              <w:rPr>
                <w:rFonts w:ascii="SimSun" w:eastAsia="SimSun" w:hAnsi="SimSun" w:cs="SimSun"/>
                <w:b/>
                <w:bCs/>
                <w:color w:val="000000"/>
                <w:spacing w:val="0"/>
                <w:w w:val="100"/>
                <w:position w:val="0"/>
                <w:sz w:val="20"/>
                <w:szCs w:val="2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理由</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深圳市海龙王房地产开发有限公司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50,119,685.55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50,119,685.55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深圳业丰工贸发展公司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42,074,024.66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42,074,024.66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中天蓝瑞环保科技集团有限公司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33,027,554.55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33,027,554.55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注</w:t>
            </w:r>
            <w:r>
              <w:rPr>
                <w:rFonts w:ascii="Arial Narrow" w:eastAsia="Arial Narrow" w:hAnsi="Arial Narrow" w:cs="Arial Narrow"/>
                <w:color w:val="000000"/>
                <w:spacing w:val="0"/>
                <w:w w:val="100"/>
                <w:position w:val="0"/>
                <w:sz w:val="18"/>
                <w:szCs w:val="18"/>
              </w:rPr>
              <w:t>1</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广州金宇房地产开发公司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24,881,441.50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24,881,441.50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深圳桂兴贸易发展公司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18,588,821.90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18,588,821.90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深圳发中公司代持股款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5,162,602.52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5,162,602.52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深圳市鸿基广源贸易有限公司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3,260,739.46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3,260,739.46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深圳丰华电子公司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2,691,859.01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2,691,859.01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深圳发中实业有限公司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2,500,000.00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南山综合楼消防工程款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2,401,187.07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2,401,187.07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正中置业集团有限公司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2,112,317.20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2,112,317.20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深圳市竣雄投资有限公司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1,530,000.00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1,530,000.00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龙岗五联村将军帽自然村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1,386,000.00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1,386,000.00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珠海市鑫大生物工程有限公司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黄立业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106,345.00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106,345.00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预计无法收回</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190,842,578.42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190,842,578.42</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按组合计提：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94"/>
        <w:gridCol w:w="1546"/>
        <w:gridCol w:w="1306"/>
        <w:gridCol w:w="1454"/>
        <w:gridCol w:w="1579"/>
      </w:tblGrid>
      <w:tr>
        <w:trPr>
          <w:trHeight w:val="73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按预期信用风险特征组合计提坏账准备 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33"/>
        <w:keepNext w:val="0"/>
        <w:keepLines w:val="0"/>
        <w:widowControl w:val="0"/>
        <w:shd w:val="clear" w:color="auto" w:fill="auto"/>
        <w:bidi w:val="0"/>
        <w:spacing w:before="0" w:after="280" w:line="240" w:lineRule="auto"/>
        <w:ind w:left="0" w:right="0" w:firstLine="560"/>
        <w:jc w:val="left"/>
      </w:pPr>
      <w:r>
        <w:rPr>
          <w:color w:val="000000"/>
          <w:spacing w:val="0"/>
          <w:w w:val="100"/>
          <w:position w:val="0"/>
        </w:rPr>
        <w:t>注</w:t>
      </w:r>
      <w:r>
        <w:rPr>
          <w:b/>
          <w:bCs/>
          <w:color w:val="000000"/>
          <w:spacing w:val="0"/>
          <w:w w:val="100"/>
          <w:position w:val="0"/>
        </w:rPr>
        <w:t>1</w:t>
      </w:r>
      <w:r>
        <w:rPr>
          <w:color w:val="000000"/>
          <w:spacing w:val="0"/>
          <w:w w:val="100"/>
          <w:position w:val="0"/>
        </w:rPr>
        <w:t>：本公司起诉中天蓝瑞并垫付仲裁费，由于该费用需中天蓝瑞承担，故本期增加了对中天蓝瑞的</w:t>
      </w:r>
    </w:p>
    <w:p>
      <w:pPr>
        <w:pStyle w:val="Style33"/>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应收款项并计提坏账。</w:t>
      </w:r>
    </w:p>
    <w:p>
      <w:pPr>
        <w:pStyle w:val="Style24"/>
        <w:keepNext w:val="0"/>
        <w:keepLines w:val="0"/>
        <w:widowControl w:val="0"/>
        <w:shd w:val="clear" w:color="auto" w:fill="auto"/>
        <w:bidi w:val="0"/>
        <w:spacing w:before="0" w:after="0" w:line="240" w:lineRule="auto"/>
        <w:ind w:left="130" w:right="0" w:firstLine="0"/>
        <w:jc w:val="left"/>
      </w:pPr>
      <w:r>
        <w:rPr>
          <w:color w:val="000000"/>
          <w:spacing w:val="0"/>
          <w:w w:val="100"/>
          <w:position w:val="0"/>
        </w:rPr>
        <w:t>②坏账准备的变动</w:t>
      </w:r>
    </w:p>
    <w:tbl>
      <w:tblPr>
        <w:tblOverlap w:val="never"/>
        <w:jc w:val="center"/>
        <w:tblLayout w:type="fixed"/>
      </w:tblPr>
      <w:tblGrid>
        <w:gridCol w:w="2611"/>
        <w:gridCol w:w="1747"/>
        <w:gridCol w:w="1646"/>
        <w:gridCol w:w="1608"/>
        <w:gridCol w:w="1738"/>
      </w:tblGrid>
      <w:tr>
        <w:trPr>
          <w:trHeight w:val="389"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第一阶段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第二阶段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第三阶段</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r>
      <w:tr>
        <w:trPr>
          <w:trHeight w:val="98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b/>
                <w:bCs/>
                <w:color w:val="000000"/>
                <w:spacing w:val="0"/>
                <w:w w:val="100"/>
                <w:position w:val="0"/>
                <w:sz w:val="17"/>
                <w:szCs w:val="17"/>
              </w:rPr>
              <w:t>未来</w:t>
            </w:r>
            <w:r>
              <w:rPr>
                <w:rFonts w:ascii="Arial Narrow" w:eastAsia="Arial Narrow" w:hAnsi="Arial Narrow" w:cs="Arial Narrow"/>
                <w:b/>
                <w:bCs/>
                <w:color w:val="000000"/>
                <w:spacing w:val="0"/>
                <w:w w:val="100"/>
                <w:position w:val="0"/>
                <w:sz w:val="20"/>
                <w:szCs w:val="20"/>
              </w:rPr>
              <w:t>12</w:t>
            </w:r>
            <w:r>
              <w:rPr>
                <w:rFonts w:ascii="SimSun" w:eastAsia="SimSun" w:hAnsi="SimSun" w:cs="SimSun"/>
                <w:b/>
                <w:bCs/>
                <w:color w:val="000000"/>
                <w:spacing w:val="0"/>
                <w:w w:val="100"/>
                <w:position w:val="0"/>
                <w:sz w:val="17"/>
                <w:szCs w:val="17"/>
              </w:rPr>
              <w:t>个月内预期 信用损失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整个存续期预期 信用损失（未发生 信用减值）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b/>
                <w:bCs/>
                <w:color w:val="000000"/>
                <w:spacing w:val="0"/>
                <w:w w:val="100"/>
                <w:position w:val="0"/>
                <w:sz w:val="17"/>
                <w:szCs w:val="17"/>
              </w:rPr>
              <w:t>整个存续期预期 信用损失（已发生 信用减值）</w:t>
            </w:r>
          </w:p>
        </w:tc>
        <w:tc>
          <w:tcPr>
            <w:vMerge/>
            <w:tcBorders>
              <w:left w:val="single" w:sz="4"/>
            </w:tcBorders>
            <w:shd w:val="clear" w:color="auto" w:fill="FFFFFF"/>
            <w:vAlign w:val="center"/>
          </w:tcPr>
          <w:p>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197,651,895.35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197,651,895.35</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期初余额在本期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一转入第一阶段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一转入第三阶段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-190,842,578.42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190,842,578.42</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936,431.27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rFonts w:ascii="Arial Narrow" w:eastAsia="Arial Narrow" w:hAnsi="Arial Narrow" w:cs="Arial Narrow"/>
                <w:color w:val="000000"/>
                <w:spacing w:val="0"/>
                <w:w w:val="100"/>
                <w:position w:val="0"/>
                <w:sz w:val="18"/>
                <w:szCs w:val="18"/>
              </w:rPr>
              <w:t>936,431.27</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2019</w:t>
            </w:r>
            <w:r>
              <w:rPr>
                <w:rFonts w:ascii="SimSun" w:eastAsia="SimSun" w:hAnsi="SimSun" w:cs="SimSun"/>
                <w:color w:val="000000"/>
                <w:spacing w:val="0"/>
                <w:w w:val="100"/>
                <w:position w:val="0"/>
                <w:sz w:val="17"/>
                <w:szCs w:val="17"/>
              </w:rPr>
              <w:t>年</w:t>
            </w:r>
            <w:r>
              <w:rPr>
                <w:rFonts w:ascii="Arial Narrow" w:eastAsia="Arial Narrow" w:hAnsi="Arial Narrow" w:cs="Arial Narrow"/>
                <w:color w:val="000000"/>
                <w:spacing w:val="0"/>
                <w:w w:val="100"/>
                <w:position w:val="0"/>
                <w:sz w:val="18"/>
                <w:szCs w:val="18"/>
              </w:rPr>
              <w:t>12</w:t>
            </w:r>
            <w:r>
              <w:rPr>
                <w:rFonts w:ascii="SimSun" w:eastAsia="SimSun" w:hAnsi="SimSun" w:cs="SimSun"/>
                <w:color w:val="000000"/>
                <w:spacing w:val="0"/>
                <w:w w:val="100"/>
                <w:position w:val="0"/>
                <w:sz w:val="17"/>
                <w:szCs w:val="17"/>
              </w:rPr>
              <w:t>月</w:t>
            </w:r>
            <w:r>
              <w:rPr>
                <w:rFonts w:ascii="Arial Narrow" w:eastAsia="Arial Narrow" w:hAnsi="Arial Narrow" w:cs="Arial Narrow"/>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7,745,748.20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190,842,578.42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rFonts w:ascii="Arial Narrow" w:eastAsia="Arial Narrow" w:hAnsi="Arial Narrow" w:cs="Arial Narrow"/>
                <w:color w:val="000000"/>
                <w:spacing w:val="0"/>
                <w:w w:val="100"/>
                <w:position w:val="0"/>
                <w:sz w:val="18"/>
                <w:szCs w:val="18"/>
              </w:rPr>
              <w:t>198,588,326.62</w:t>
            </w:r>
          </w:p>
        </w:tc>
      </w:tr>
    </w:tbl>
    <w:p>
      <w:pPr>
        <w:widowControl w:val="0"/>
        <w:spacing w:after="239" w:line="1" w:lineRule="exact"/>
      </w:pPr>
    </w:p>
    <w:p>
      <w:pPr>
        <w:pStyle w:val="Style26"/>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注：首次执行新金融工具准则，调整期初坏账</w:t>
      </w:r>
      <w:r>
        <w:rPr>
          <w:rFonts w:ascii="Arial Narrow" w:eastAsia="Arial Narrow" w:hAnsi="Arial Narrow" w:cs="Arial Narrow"/>
          <w:color w:val="000000"/>
          <w:spacing w:val="0"/>
          <w:w w:val="100"/>
          <w:position w:val="0"/>
          <w:sz w:val="18"/>
          <w:szCs w:val="18"/>
        </w:rPr>
        <w:t>369,013.73</w:t>
      </w:r>
      <w:r>
        <w:rPr>
          <w:color w:val="000000"/>
          <w:spacing w:val="0"/>
          <w:w w:val="100"/>
          <w:position w:val="0"/>
        </w:rPr>
        <w:t>元。</w:t>
      </w:r>
    </w:p>
    <w:p>
      <w:pPr>
        <w:pStyle w:val="Style24"/>
        <w:keepNext w:val="0"/>
        <w:keepLines w:val="0"/>
        <w:widowControl w:val="0"/>
        <w:shd w:val="clear" w:color="auto" w:fill="auto"/>
        <w:bidi w:val="0"/>
        <w:spacing w:before="0" w:after="0" w:line="240" w:lineRule="auto"/>
        <w:ind w:left="446" w:right="0" w:firstLine="0"/>
        <w:jc w:val="left"/>
      </w:pPr>
      <w:r>
        <w:rPr>
          <w:color w:val="000000"/>
          <w:spacing w:val="0"/>
          <w:w w:val="100"/>
          <w:position w:val="0"/>
        </w:rPr>
        <w:t>③其他应收款按款项性质分类情况</w:t>
      </w:r>
    </w:p>
    <w:tbl>
      <w:tblPr>
        <w:tblOverlap w:val="never"/>
        <w:jc w:val="center"/>
        <w:tblLayout w:type="fixed"/>
      </w:tblPr>
      <w:tblGrid>
        <w:gridCol w:w="3370"/>
        <w:gridCol w:w="3043"/>
        <w:gridCol w:w="2904"/>
      </w:tblGrid>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2,400,632,425.49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2,922,942,061.40</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50,548,164.91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156,961,587.26</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代垫款项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244,337,976.14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248,592,536.61</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149,941.87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2,124,334.96</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817,698.69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1,174,468.89</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2,696,486,207.10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3,331,794,989.12</w:t>
            </w:r>
          </w:p>
        </w:tc>
      </w:tr>
    </w:tbl>
    <w:p>
      <w:pPr>
        <w:pStyle w:val="Style24"/>
        <w:keepNext w:val="0"/>
        <w:keepLines w:val="0"/>
        <w:widowControl w:val="0"/>
        <w:shd w:val="clear" w:color="auto" w:fill="auto"/>
        <w:bidi w:val="0"/>
        <w:spacing w:before="0" w:after="0" w:line="240" w:lineRule="auto"/>
        <w:ind w:left="461" w:right="0" w:firstLine="0"/>
        <w:jc w:val="left"/>
      </w:pPr>
      <w:r>
        <w:rPr>
          <w:color w:val="000000"/>
          <w:spacing w:val="0"/>
          <w:w w:val="100"/>
          <w:position w:val="0"/>
        </w:rPr>
        <w:t>④按欠款方归集的期末余额前五名的其他应收款情况:</w:t>
      </w:r>
    </w:p>
    <w:p>
      <w:pPr>
        <w:widowControl w:val="0"/>
        <w:spacing w:line="1" w:lineRule="exact"/>
      </w:pPr>
      <w:r>
        <w:br w:type="page"/>
      </w:r>
    </w:p>
    <w:tbl>
      <w:tblPr>
        <w:tblOverlap w:val="never"/>
        <w:jc w:val="center"/>
        <w:tblLayout w:type="fixed"/>
      </w:tblPr>
      <w:tblGrid>
        <w:gridCol w:w="1997"/>
        <w:gridCol w:w="912"/>
        <w:gridCol w:w="691"/>
        <w:gridCol w:w="1608"/>
        <w:gridCol w:w="1829"/>
        <w:gridCol w:w="974"/>
        <w:gridCol w:w="1354"/>
      </w:tblGrid>
      <w:tr>
        <w:trPr>
          <w:trHeight w:val="128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240"/>
              <w:jc w:val="left"/>
              <w:rPr>
                <w:sz w:val="17"/>
                <w:szCs w:val="17"/>
              </w:rPr>
            </w:pPr>
            <w:r>
              <w:rPr>
                <w:rFonts w:ascii="SimSun" w:eastAsia="SimSun" w:hAnsi="SimSun" w:cs="SimSun"/>
                <w:b/>
                <w:bCs/>
                <w:color w:val="000000"/>
                <w:spacing w:val="0"/>
                <w:w w:val="100"/>
                <w:position w:val="0"/>
                <w:sz w:val="17"/>
                <w:szCs w:val="17"/>
              </w:rPr>
              <w:t>款项</w:t>
            </w:r>
          </w:p>
          <w:p>
            <w:pPr>
              <w:pStyle w:val="Style19"/>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b/>
                <w:bCs/>
                <w:color w:val="000000"/>
                <w:spacing w:val="0"/>
                <w:w w:val="100"/>
                <w:position w:val="0"/>
                <w:sz w:val="17"/>
                <w:szCs w:val="17"/>
              </w:rPr>
              <w:t>性质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是否 关联 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占其他应</w:t>
            </w:r>
          </w:p>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收款总额</w:t>
            </w:r>
          </w:p>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的比例</w:t>
            </w:r>
          </w:p>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w:t>
            </w:r>
            <w:r>
              <w:rPr>
                <w:rFonts w:ascii="Arial Narrow" w:eastAsia="Arial Narrow" w:hAnsi="Arial Narrow" w:cs="Arial Narrow"/>
                <w:b/>
                <w:bCs/>
                <w:color w:val="000000"/>
                <w:spacing w:val="0"/>
                <w:w w:val="100"/>
                <w:position w:val="0"/>
                <w:sz w:val="18"/>
                <w:szCs w:val="18"/>
              </w:rPr>
              <w:t>%</w:t>
            </w:r>
            <w:r>
              <w:rPr>
                <w:rFonts w:ascii="SimSun" w:eastAsia="SimSun" w:hAnsi="SimSun" w:cs="SimSun"/>
                <w:b/>
                <w:bCs/>
                <w:color w:val="000000"/>
                <w:spacing w:val="0"/>
                <w:w w:val="100"/>
                <w:position w:val="0"/>
                <w:sz w:val="17"/>
                <w:szCs w:val="17"/>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坏账准备余额</w:t>
            </w:r>
          </w:p>
        </w:tc>
      </w:tr>
      <w:tr>
        <w:trPr>
          <w:trHeight w:val="217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西藏东旭电力工程有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关联方 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关联 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1,727,067,985.32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信用期内</w:t>
            </w:r>
          </w:p>
          <w:p>
            <w:pPr>
              <w:pStyle w:val="Style19"/>
              <w:keepNext w:val="0"/>
              <w:keepLines w:val="0"/>
              <w:widowControl w:val="0"/>
              <w:shd w:val="clear" w:color="auto" w:fill="auto"/>
              <w:bidi w:val="0"/>
              <w:spacing w:before="0" w:after="100" w:line="317" w:lineRule="exact"/>
              <w:ind w:left="0" w:right="0" w:firstLine="0"/>
              <w:jc w:val="center"/>
              <w:rPr>
                <w:sz w:val="17"/>
                <w:szCs w:val="17"/>
              </w:rPr>
            </w:pPr>
            <w:r>
              <w:rPr>
                <w:rFonts w:ascii="Arial Narrow" w:eastAsia="Arial Narrow" w:hAnsi="Arial Narrow" w:cs="Arial Narrow"/>
                <w:color w:val="000000"/>
                <w:spacing w:val="0"/>
                <w:w w:val="100"/>
                <w:position w:val="0"/>
                <w:sz w:val="18"/>
                <w:szCs w:val="18"/>
              </w:rPr>
              <w:t>52,707,075.44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信用期 外</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年以下</w:t>
            </w:r>
          </w:p>
          <w:p>
            <w:pPr>
              <w:pStyle w:val="Style19"/>
              <w:keepNext w:val="0"/>
              <w:keepLines w:val="0"/>
              <w:widowControl w:val="0"/>
              <w:shd w:val="clear" w:color="auto" w:fill="auto"/>
              <w:bidi w:val="0"/>
              <w:spacing w:before="0" w:after="0" w:line="36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142,078,001.02</w:t>
            </w:r>
            <w:r>
              <w:rPr>
                <w:rFonts w:ascii="SimSun" w:eastAsia="SimSun" w:hAnsi="SimSun" w:cs="SimSun"/>
                <w:color w:val="000000"/>
                <w:spacing w:val="0"/>
                <w:w w:val="100"/>
                <w:position w:val="0"/>
                <w:sz w:val="17"/>
                <w:szCs w:val="17"/>
              </w:rPr>
              <w:t xml:space="preserve">； </w:t>
            </w:r>
            <w:r>
              <w:rPr>
                <w:rFonts w:ascii="Arial Narrow" w:eastAsia="Arial Narrow" w:hAnsi="Arial Narrow" w:cs="Arial Narrow"/>
                <w:color w:val="000000"/>
                <w:spacing w:val="0"/>
                <w:w w:val="100"/>
                <w:position w:val="0"/>
                <w:sz w:val="18"/>
                <w:szCs w:val="18"/>
              </w:rPr>
              <w:t xml:space="preserve">1-2 </w:t>
            </w:r>
            <w:r>
              <w:rPr>
                <w:rFonts w:ascii="SimSun" w:eastAsia="SimSun" w:hAnsi="SimSun" w:cs="SimSun"/>
                <w:color w:val="000000"/>
                <w:spacing w:val="0"/>
                <w:w w:val="100"/>
                <w:position w:val="0"/>
                <w:sz w:val="17"/>
                <w:szCs w:val="17"/>
              </w:rPr>
              <w:t>年</w:t>
            </w:r>
          </w:p>
          <w:p>
            <w:pPr>
              <w:pStyle w:val="Style19"/>
              <w:keepNext w:val="0"/>
              <w:keepLines w:val="0"/>
              <w:widowControl w:val="0"/>
              <w:shd w:val="clear" w:color="auto" w:fill="auto"/>
              <w:bidi w:val="0"/>
              <w:spacing w:before="0" w:after="60" w:line="360" w:lineRule="auto"/>
              <w:ind w:left="0" w:right="0" w:firstLine="0"/>
              <w:jc w:val="center"/>
            </w:pPr>
            <w:r>
              <w:rPr>
                <w:rFonts w:ascii="Arial Narrow" w:eastAsia="Arial Narrow" w:hAnsi="Arial Narrow" w:cs="Arial Narrow"/>
                <w:color w:val="000000"/>
                <w:spacing w:val="0"/>
                <w:w w:val="100"/>
                <w:position w:val="0"/>
                <w:sz w:val="18"/>
                <w:szCs w:val="18"/>
              </w:rPr>
              <w:t>1,532,282,908.86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64.05</w:t>
            </w:r>
          </w:p>
        </w:tc>
        <w:tc>
          <w:tcPr>
            <w:tcBorders>
              <w:top w:val="single" w:sz="4"/>
              <w:left w:val="single" w:sz="4"/>
            </w:tcBorders>
            <w:shd w:val="clear" w:color="auto" w:fill="FFFFFF"/>
            <w:vAlign w:val="top"/>
          </w:tcPr>
          <w:p>
            <w:pPr>
              <w:widowControl w:val="0"/>
              <w:rPr>
                <w:sz w:val="10"/>
                <w:szCs w:val="10"/>
              </w:rPr>
            </w:pPr>
          </w:p>
        </w:tc>
      </w:tr>
      <w:tr>
        <w:trPr>
          <w:trHeight w:val="1339"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200"/>
              <w:jc w:val="left"/>
              <w:rPr>
                <w:sz w:val="17"/>
                <w:szCs w:val="17"/>
              </w:rPr>
            </w:pPr>
            <w:r>
              <w:rPr>
                <w:rFonts w:ascii="SimSun" w:eastAsia="SimSun" w:hAnsi="SimSun" w:cs="SimSun"/>
                <w:color w:val="000000"/>
                <w:spacing w:val="0"/>
                <w:w w:val="100"/>
                <w:position w:val="0"/>
                <w:sz w:val="17"/>
                <w:szCs w:val="17"/>
              </w:rPr>
              <w:t>北京中环鑫融科技有</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关联方 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关联 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467,476,439.57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信用期内</w:t>
            </w:r>
          </w:p>
          <w:p>
            <w:pPr>
              <w:pStyle w:val="Style19"/>
              <w:keepNext w:val="0"/>
              <w:keepLines w:val="0"/>
              <w:widowControl w:val="0"/>
              <w:shd w:val="clear" w:color="auto" w:fill="auto"/>
              <w:bidi w:val="0"/>
              <w:spacing w:before="0" w:after="100" w:line="240" w:lineRule="auto"/>
              <w:ind w:left="0" w:right="0" w:firstLine="0"/>
              <w:jc w:val="left"/>
              <w:rPr>
                <w:sz w:val="17"/>
                <w:szCs w:val="17"/>
              </w:rPr>
            </w:pPr>
            <w:r>
              <w:rPr>
                <w:rFonts w:ascii="Arial Narrow" w:eastAsia="Arial Narrow" w:hAnsi="Arial Narrow" w:cs="Arial Narrow"/>
                <w:color w:val="000000"/>
                <w:spacing w:val="0"/>
                <w:w w:val="100"/>
                <w:position w:val="0"/>
                <w:sz w:val="18"/>
                <w:szCs w:val="18"/>
              </w:rPr>
              <w:t>67,159,961.5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信用期</w:t>
            </w:r>
          </w:p>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外</w:t>
            </w:r>
            <w:r>
              <w:rPr>
                <w:rFonts w:ascii="Arial Narrow" w:eastAsia="Arial Narrow" w:hAnsi="Arial Narrow" w:cs="Arial Narrow"/>
                <w:color w:val="000000"/>
                <w:spacing w:val="0"/>
                <w:w w:val="100"/>
                <w:position w:val="0"/>
                <w:sz w:val="18"/>
                <w:szCs w:val="18"/>
              </w:rPr>
              <w:t>1</w:t>
            </w:r>
            <w:r>
              <w:rPr>
                <w:rFonts w:ascii="SimSun" w:eastAsia="SimSun" w:hAnsi="SimSun" w:cs="SimSun"/>
                <w:color w:val="000000"/>
                <w:spacing w:val="0"/>
                <w:w w:val="100"/>
                <w:position w:val="0"/>
                <w:sz w:val="17"/>
                <w:szCs w:val="17"/>
              </w:rPr>
              <w:t>年以下：</w:t>
            </w:r>
          </w:p>
          <w:p>
            <w:pPr>
              <w:pStyle w:val="Style19"/>
              <w:keepNext w:val="0"/>
              <w:keepLines w:val="0"/>
              <w:widowControl w:val="0"/>
              <w:shd w:val="clear" w:color="auto" w:fill="auto"/>
              <w:bidi w:val="0"/>
              <w:spacing w:before="0" w:after="100" w:line="240" w:lineRule="auto"/>
              <w:ind w:left="0" w:right="0" w:firstLine="0"/>
              <w:jc w:val="center"/>
            </w:pPr>
            <w:r>
              <w:rPr>
                <w:rFonts w:ascii="Arial Narrow" w:eastAsia="Arial Narrow" w:hAnsi="Arial Narrow" w:cs="Arial Narrow"/>
                <w:color w:val="000000"/>
                <w:spacing w:val="0"/>
                <w:w w:val="100"/>
                <w:position w:val="0"/>
                <w:sz w:val="18"/>
                <w:szCs w:val="18"/>
              </w:rPr>
              <w:t>400,316,478.07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17.34</w:t>
            </w: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东旭蓝天生态环保科 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关联方 往来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关联 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164,236,664.76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信用期内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6.09</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200"/>
              <w:jc w:val="both"/>
              <w:rPr>
                <w:sz w:val="17"/>
                <w:szCs w:val="17"/>
              </w:rPr>
            </w:pPr>
            <w:r>
              <w:rPr>
                <w:rFonts w:ascii="SimSun" w:eastAsia="SimSun" w:hAnsi="SimSun" w:cs="SimSun"/>
                <w:color w:val="000000"/>
                <w:spacing w:val="0"/>
                <w:w w:val="100"/>
                <w:position w:val="0"/>
                <w:sz w:val="17"/>
                <w:szCs w:val="17"/>
              </w:rPr>
              <w:t>深圳市海龙王房地产</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开发有限公司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代垫款 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非关</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50,119,685.55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1.86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50,119,685.55</w:t>
            </w:r>
          </w:p>
        </w:tc>
      </w:tr>
      <w:tr>
        <w:trPr>
          <w:trHeight w:val="715"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深圳业丰工贸发展公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代垫款 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非关</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联方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42,074,024.66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1.56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color w:val="000000"/>
                <w:spacing w:val="0"/>
                <w:w w:val="100"/>
                <w:position w:val="0"/>
                <w:sz w:val="18"/>
                <w:szCs w:val="18"/>
              </w:rPr>
              <w:t>42,074,024.66</w:t>
            </w:r>
          </w:p>
        </w:tc>
      </w:tr>
      <w:tr>
        <w:trPr>
          <w:trHeight w:val="485"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2,450,974,799.86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b/>
                <w:bCs/>
                <w:color w:val="000000"/>
                <w:spacing w:val="0"/>
                <w:w w:val="100"/>
                <w:position w:val="0"/>
                <w:sz w:val="18"/>
                <w:szCs w:val="18"/>
              </w:rPr>
              <w:t>90.90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rFonts w:ascii="Arial Narrow" w:eastAsia="Arial Narrow" w:hAnsi="Arial Narrow" w:cs="Arial Narrow"/>
                <w:b/>
                <w:bCs/>
                <w:color w:val="000000"/>
                <w:spacing w:val="0"/>
                <w:w w:val="100"/>
                <w:position w:val="0"/>
                <w:sz w:val="18"/>
                <w:szCs w:val="18"/>
              </w:rPr>
              <w:t>92,193,710.21</w:t>
            </w:r>
          </w:p>
        </w:tc>
      </w:tr>
    </w:tbl>
    <w:p>
      <w:pPr>
        <w:widowControl w:val="0"/>
        <w:spacing w:after="199" w:line="1" w:lineRule="exact"/>
      </w:pPr>
    </w:p>
    <w:p>
      <w:pPr>
        <w:pStyle w:val="Style22"/>
        <w:keepNext/>
        <w:keepLines/>
        <w:widowControl w:val="0"/>
        <w:shd w:val="clear" w:color="auto" w:fill="auto"/>
        <w:bidi w:val="0"/>
        <w:spacing w:before="0" w:after="280" w:line="240" w:lineRule="auto"/>
        <w:ind w:left="0" w:right="0" w:firstLine="560"/>
        <w:jc w:val="left"/>
        <w:rPr>
          <w:sz w:val="20"/>
          <w:szCs w:val="20"/>
        </w:rPr>
      </w:pPr>
      <w:bookmarkStart w:id="1296" w:name="bookmark1296"/>
      <w:bookmarkStart w:id="1297" w:name="bookmark1297"/>
      <w:bookmarkStart w:id="1298" w:name="bookmark1298"/>
      <w:bookmarkStart w:id="1299" w:name="bookmark1299"/>
      <w:r>
        <w:rPr>
          <w:rFonts w:ascii="Arial Narrow" w:eastAsia="Arial Narrow" w:hAnsi="Arial Narrow" w:cs="Arial Narrow"/>
          <w:color w:val="000000"/>
          <w:spacing w:val="0"/>
          <w:w w:val="100"/>
          <w:position w:val="0"/>
          <w:sz w:val="20"/>
          <w:szCs w:val="20"/>
        </w:rPr>
        <w:t>3</w:t>
      </w:r>
      <w:bookmarkEnd w:id="1298"/>
      <w:r>
        <w:rPr>
          <w:color w:val="000000"/>
          <w:spacing w:val="0"/>
          <w:w w:val="100"/>
          <w:position w:val="0"/>
          <w:sz w:val="20"/>
          <w:szCs w:val="20"/>
        </w:rPr>
        <w:t>、长期股权投资</w:t>
      </w:r>
      <w:bookmarkEnd w:id="1296"/>
      <w:bookmarkEnd w:id="1297"/>
      <w:bookmarkEnd w:id="1299"/>
    </w:p>
    <w:p>
      <w:pPr>
        <w:pStyle w:val="Style24"/>
        <w:keepNext w:val="0"/>
        <w:keepLines w:val="0"/>
        <w:widowControl w:val="0"/>
        <w:shd w:val="clear" w:color="auto" w:fill="auto"/>
        <w:bidi w:val="0"/>
        <w:spacing w:before="0" w:after="0" w:line="240" w:lineRule="auto"/>
        <w:ind w:left="542"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1</w:t>
      </w:r>
      <w:r>
        <w:rPr>
          <w:color w:val="000000"/>
          <w:spacing w:val="0"/>
          <w:w w:val="100"/>
          <w:position w:val="0"/>
        </w:rPr>
        <w:t>)长期股权投资分类:</w:t>
      </w:r>
    </w:p>
    <w:tbl>
      <w:tblPr>
        <w:tblOverlap w:val="never"/>
        <w:jc w:val="center"/>
        <w:tblLayout w:type="fixed"/>
      </w:tblPr>
      <w:tblGrid>
        <w:gridCol w:w="2986"/>
        <w:gridCol w:w="2126"/>
        <w:gridCol w:w="2126"/>
        <w:gridCol w:w="2122"/>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13,252,523,567.64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13,244,523,567.64</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对联营、合营企业投资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9,266,106.87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9,266,106.87</w:t>
            </w:r>
          </w:p>
        </w:tc>
      </w:tr>
      <w:tr>
        <w:trPr>
          <w:trHeight w:val="4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b/>
                <w:bCs/>
                <w:color w:val="000000"/>
                <w:spacing w:val="0"/>
                <w:w w:val="100"/>
                <w:position w:val="0"/>
                <w:sz w:val="18"/>
                <w:szCs w:val="18"/>
              </w:rPr>
              <w:t>13,261,789,674.51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8,000,000.00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b/>
                <w:bCs/>
                <w:color w:val="000000"/>
                <w:spacing w:val="0"/>
                <w:w w:val="100"/>
                <w:position w:val="0"/>
                <w:sz w:val="18"/>
                <w:szCs w:val="18"/>
              </w:rPr>
              <w:t>13,253,789,674.51</w:t>
            </w:r>
          </w:p>
        </w:tc>
      </w:tr>
      <w:tr>
        <w:trPr>
          <w:trHeight w:val="528" w:hRule="exact"/>
        </w:trPr>
        <w:tc>
          <w:tcPr>
            <w:gridSpan w:val="4"/>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续前表：</w:t>
            </w:r>
          </w:p>
        </w:tc>
      </w:tr>
      <w:tr>
        <w:trPr>
          <w:trHeight w:val="418"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3"/>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2018.12.31</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账面价值</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13,126,644,056.63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color w:val="000000"/>
                <w:spacing w:val="0"/>
                <w:w w:val="100"/>
                <w:position w:val="0"/>
                <w:sz w:val="18"/>
                <w:szCs w:val="18"/>
              </w:rPr>
              <w:t>13,118,644,056.63</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对联营、合营企业投资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9,970,731.52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9,970,731.52</w:t>
            </w: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b/>
                <w:bCs/>
                <w:color w:val="000000"/>
                <w:spacing w:val="0"/>
                <w:w w:val="100"/>
                <w:position w:val="0"/>
                <w:sz w:val="18"/>
                <w:szCs w:val="18"/>
              </w:rPr>
              <w:t>13,136,614,788.15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8,000,000.00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rFonts w:ascii="Arial Narrow" w:eastAsia="Arial Narrow" w:hAnsi="Arial Narrow" w:cs="Arial Narrow"/>
                <w:b/>
                <w:bCs/>
                <w:color w:val="000000"/>
                <w:spacing w:val="0"/>
                <w:w w:val="100"/>
                <w:position w:val="0"/>
                <w:sz w:val="18"/>
                <w:szCs w:val="18"/>
              </w:rPr>
              <w:t>13,128,614,788.15</w:t>
            </w:r>
          </w:p>
        </w:tc>
      </w:tr>
    </w:tbl>
    <w:p>
      <w:pPr>
        <w:pStyle w:val="Style24"/>
        <w:keepNext w:val="0"/>
        <w:keepLines w:val="0"/>
        <w:widowControl w:val="0"/>
        <w:shd w:val="clear" w:color="auto" w:fill="auto"/>
        <w:bidi w:val="0"/>
        <w:spacing w:before="0" w:after="0" w:line="240" w:lineRule="auto"/>
        <w:ind w:left="562"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2</w:t>
      </w:r>
      <w:r>
        <w:rPr>
          <w:color w:val="000000"/>
          <w:spacing w:val="0"/>
          <w:w w:val="100"/>
          <w:position w:val="0"/>
        </w:rPr>
        <w:t>)对子公司投资</w:t>
      </w:r>
    </w:p>
    <w:p>
      <w:pPr>
        <w:widowControl w:val="0"/>
        <w:spacing w:line="1" w:lineRule="exact"/>
      </w:pPr>
      <w:r>
        <w:br w:type="page"/>
      </w:r>
    </w:p>
    <w:tbl>
      <w:tblPr>
        <w:tblOverlap w:val="never"/>
        <w:jc w:val="center"/>
        <w:tblLayout w:type="fixed"/>
      </w:tblPr>
      <w:tblGrid>
        <w:gridCol w:w="1934"/>
        <w:gridCol w:w="1560"/>
        <w:gridCol w:w="1354"/>
        <w:gridCol w:w="1123"/>
        <w:gridCol w:w="1387"/>
        <w:gridCol w:w="1459"/>
        <w:gridCol w:w="898"/>
      </w:tblGrid>
      <w:tr>
        <w:trPr>
          <w:trHeight w:val="65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b/>
                <w:bCs/>
                <w:color w:val="000000"/>
                <w:spacing w:val="0"/>
                <w:w w:val="100"/>
                <w:position w:val="0"/>
                <w:sz w:val="17"/>
                <w:szCs w:val="17"/>
              </w:rPr>
              <w:t>被投资单位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2019.01.01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本期计提减值准备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b/>
                <w:bCs/>
                <w:color w:val="000000"/>
                <w:spacing w:val="0"/>
                <w:w w:val="100"/>
                <w:position w:val="0"/>
                <w:sz w:val="17"/>
                <w:szCs w:val="17"/>
              </w:rPr>
              <w:t>减值准备</w:t>
            </w:r>
          </w:p>
          <w:p>
            <w:pPr>
              <w:pStyle w:val="Style19"/>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b/>
                <w:bCs/>
                <w:color w:val="000000"/>
                <w:spacing w:val="0"/>
                <w:w w:val="100"/>
                <w:position w:val="0"/>
                <w:sz w:val="17"/>
                <w:szCs w:val="17"/>
              </w:rPr>
              <w:t>期末余额</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深圳市东旭蓝天园林有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110,800,200.00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110,800,200.00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香港鸿业发展有限公司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10,212,500.00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10,212,500.00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福建升通网络传媒有限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18"/>
                <w:szCs w:val="18"/>
              </w:rPr>
              <w:t>8,000,000.00</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东旭新能源投资有限公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10,763,971,432.26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10,763,971,432.26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东旭蓝天智慧能源科技</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星景生态环保科技（苏 州）有限公司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1,104,880,000.00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1,104,880,000.00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江西泓伟环境治理科技</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54,800,000.00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54,800,000.00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北京中环鑫融科技有限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987,979,924.37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987,979,924.37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西藏旭阳投资管理有限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广东两洋能源有限公司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rFonts w:ascii="Arial Narrow" w:eastAsia="Arial Narrow" w:hAnsi="Arial Narrow" w:cs="Arial Narrow"/>
                <w:color w:val="000000"/>
                <w:spacing w:val="0"/>
                <w:w w:val="100"/>
                <w:position w:val="0"/>
                <w:sz w:val="18"/>
                <w:szCs w:val="18"/>
              </w:rPr>
              <w:t>48,000,000.00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东旭蓝天生态环保科技</w:t>
            </w:r>
          </w:p>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125,879,511.01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125,879,511.01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旭农农业发展有限公司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东旭鸿海环保科技有限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4,457,690.08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Arial Narrow" w:eastAsia="Arial Narrow" w:hAnsi="Arial Narrow" w:cs="Arial Narrow"/>
                <w:color w:val="000000"/>
                <w:spacing w:val="0"/>
                <w:w w:val="100"/>
                <w:position w:val="0"/>
                <w:sz w:val="18"/>
                <w:szCs w:val="18"/>
              </w:rPr>
              <w:t>4,457,690.08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13,126,644,056.63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130,737,201.09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4,857,690.08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13,252,523,567.64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b/>
                <w:bCs/>
                <w:color w:val="000000"/>
                <w:spacing w:val="0"/>
                <w:w w:val="100"/>
                <w:position w:val="0"/>
                <w:sz w:val="18"/>
                <w:szCs w:val="18"/>
              </w:rPr>
              <w:t>8,000,000.00</w:t>
            </w:r>
          </w:p>
        </w:tc>
      </w:tr>
    </w:tbl>
    <w:p>
      <w:pPr>
        <w:pStyle w:val="Style24"/>
        <w:keepNext w:val="0"/>
        <w:keepLines w:val="0"/>
        <w:widowControl w:val="0"/>
        <w:shd w:val="clear" w:color="auto" w:fill="auto"/>
        <w:bidi w:val="0"/>
        <w:spacing w:before="0" w:after="0" w:line="240" w:lineRule="auto"/>
        <w:ind w:left="389" w:right="0" w:firstLine="0"/>
        <w:jc w:val="left"/>
      </w:pPr>
      <w:r>
        <w:rPr>
          <w:color w:val="000000"/>
          <w:spacing w:val="0"/>
          <w:w w:val="100"/>
          <w:position w:val="0"/>
        </w:rPr>
        <w:t>注</w:t>
      </w:r>
      <w:r>
        <w:rPr>
          <w:rFonts w:ascii="Arial Narrow" w:eastAsia="Arial Narrow" w:hAnsi="Arial Narrow" w:cs="Arial Narrow"/>
          <w:color w:val="000000"/>
          <w:spacing w:val="0"/>
          <w:w w:val="100"/>
          <w:position w:val="0"/>
          <w:sz w:val="18"/>
          <w:szCs w:val="18"/>
        </w:rPr>
        <w:t>1</w:t>
      </w:r>
      <w:r>
        <w:rPr>
          <w:color w:val="000000"/>
          <w:spacing w:val="0"/>
          <w:w w:val="100"/>
          <w:position w:val="0"/>
        </w:rPr>
        <w:t>:本期增加为本公司对下属子公司的增资及本期本公司收购子公司所致。</w:t>
      </w:r>
    </w:p>
    <w:p>
      <w:pPr>
        <w:widowControl w:val="0"/>
        <w:spacing w:after="23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485"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3</w:t>
      </w:r>
      <w:r>
        <w:rPr>
          <w:color w:val="000000"/>
          <w:spacing w:val="0"/>
          <w:w w:val="100"/>
          <w:position w:val="0"/>
        </w:rPr>
        <w:t>）对联营企业投资</w:t>
      </w:r>
    </w:p>
    <w:tbl>
      <w:tblPr>
        <w:tblOverlap w:val="never"/>
        <w:jc w:val="center"/>
        <w:tblLayout w:type="fixed"/>
      </w:tblPr>
      <w:tblGrid>
        <w:gridCol w:w="2486"/>
        <w:gridCol w:w="331"/>
        <w:gridCol w:w="1507"/>
        <w:gridCol w:w="830"/>
        <w:gridCol w:w="638"/>
        <w:gridCol w:w="701"/>
        <w:gridCol w:w="802"/>
        <w:gridCol w:w="542"/>
        <w:gridCol w:w="811"/>
        <w:gridCol w:w="1128"/>
      </w:tblGrid>
      <w:tr>
        <w:trPr>
          <w:trHeight w:val="432" w:hRule="exact"/>
        </w:trPr>
        <w:tc>
          <w:tcPr>
            <w:gridSpan w:val="2"/>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被投资单位</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2019.01.01</w:t>
            </w:r>
          </w:p>
        </w:tc>
        <w:tc>
          <w:tcPr>
            <w:gridSpan w:val="7"/>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本期增减变动</w:t>
            </w:r>
          </w:p>
        </w:tc>
      </w:tr>
      <w:tr>
        <w:trPr>
          <w:trHeight w:val="658" w:hRule="exact"/>
        </w:trPr>
        <w:tc>
          <w:tcPr>
            <w:gridSpan w:val="2"/>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b/>
                <w:bCs/>
                <w:color w:val="000000"/>
                <w:spacing w:val="0"/>
                <w:w w:val="100"/>
                <w:position w:val="0"/>
                <w:sz w:val="17"/>
                <w:szCs w:val="17"/>
              </w:rPr>
              <w:t>追加</w:t>
            </w:r>
          </w:p>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减少投 资</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b/>
                <w:bCs/>
                <w:color w:val="000000"/>
                <w:spacing w:val="0"/>
                <w:w w:val="100"/>
                <w:position w:val="0"/>
                <w:sz w:val="17"/>
                <w:szCs w:val="17"/>
              </w:rPr>
              <w:t>权益法下确认的投 资损益</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b/>
                <w:bCs/>
                <w:color w:val="000000"/>
                <w:spacing w:val="0"/>
                <w:w w:val="100"/>
                <w:position w:val="0"/>
                <w:sz w:val="17"/>
                <w:szCs w:val="17"/>
              </w:rPr>
              <w:t>其他综合 收益调整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b/>
                <w:bCs/>
                <w:color w:val="000000"/>
                <w:spacing w:val="0"/>
                <w:w w:val="100"/>
                <w:position w:val="0"/>
                <w:sz w:val="17"/>
                <w:szCs w:val="17"/>
              </w:rPr>
              <w:t>其他权益变 动</w:t>
            </w:r>
          </w:p>
        </w:tc>
      </w:tr>
      <w:tr>
        <w:trPr>
          <w:trHeight w:val="422"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深圳市深威驳运有限公司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1,434,329.17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336,204.00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34"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中环联融（北京）投资管理有限公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98,457.40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-98,457.40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北京融链科技有限公司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8,437,944.95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-942,371.25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gridSpan w:val="2"/>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9,970,731.52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-704,624.65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8" w:hRule="exact"/>
        </w:trPr>
        <w:tc>
          <w:tcPr>
            <w:gridSpan w:val="10"/>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续前表：</w:t>
            </w:r>
          </w:p>
        </w:tc>
      </w:tr>
      <w:tr>
        <w:trPr>
          <w:trHeight w:val="42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被投资单位</w:t>
            </w:r>
          </w:p>
        </w:tc>
        <w:tc>
          <w:tcPr>
            <w:gridSpan w:val="5"/>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本期增减变动</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b/>
                <w:bCs/>
                <w:color w:val="000000"/>
                <w:spacing w:val="0"/>
                <w:w w:val="100"/>
                <w:position w:val="0"/>
                <w:sz w:val="17"/>
                <w:szCs w:val="17"/>
              </w:rPr>
              <w:t>减值准备</w:t>
            </w:r>
          </w:p>
        </w:tc>
      </w:tr>
    </w:tbl>
    <w:p>
      <w:pPr>
        <w:widowControl w:val="0"/>
        <w:spacing w:line="1" w:lineRule="exact"/>
      </w:pPr>
      <w:r>
        <w:br w:type="page"/>
      </w:r>
    </w:p>
    <w:tbl>
      <w:tblPr>
        <w:tblOverlap w:val="never"/>
        <w:jc w:val="center"/>
        <w:tblLayout w:type="fixed"/>
      </w:tblPr>
      <w:tblGrid>
        <w:gridCol w:w="2491"/>
        <w:gridCol w:w="1454"/>
        <w:gridCol w:w="1344"/>
        <w:gridCol w:w="1210"/>
        <w:gridCol w:w="1344"/>
        <w:gridCol w:w="1373"/>
      </w:tblGrid>
      <w:tr>
        <w:trPr>
          <w:trHeight w:val="66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b/>
                <w:bCs/>
                <w:color w:val="000000"/>
                <w:spacing w:val="0"/>
                <w:w w:val="100"/>
                <w:position w:val="0"/>
                <w:sz w:val="17"/>
                <w:szCs w:val="17"/>
              </w:rPr>
              <w:t>宣告发放现金 股利或利润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计提减值准备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期末余额</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深圳市深威驳运有限公司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1,770,533.17</w:t>
            </w: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中环联融（北京）投资管理有</w:t>
            </w:r>
          </w:p>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北京融链科技有限公司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7,495,573.70</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9,266,106.87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485" w:right="0" w:firstLine="0"/>
        <w:jc w:val="left"/>
      </w:pPr>
      <w:r>
        <w:rPr>
          <w:color w:val="000000"/>
          <w:spacing w:val="0"/>
          <w:w w:val="100"/>
          <w:position w:val="0"/>
        </w:rPr>
        <w:t>（</w:t>
      </w:r>
      <w:r>
        <w:rPr>
          <w:rFonts w:ascii="Arial Narrow" w:eastAsia="Arial Narrow" w:hAnsi="Arial Narrow" w:cs="Arial Narrow"/>
          <w:color w:val="000000"/>
          <w:spacing w:val="0"/>
          <w:w w:val="100"/>
          <w:position w:val="0"/>
          <w:sz w:val="18"/>
          <w:szCs w:val="18"/>
        </w:rPr>
        <w:t>4</w:t>
      </w:r>
      <w:r>
        <w:rPr>
          <w:color w:val="000000"/>
          <w:spacing w:val="0"/>
          <w:w w:val="100"/>
          <w:position w:val="0"/>
        </w:rPr>
        <w:t>）长期股权投资减值准备</w:t>
      </w:r>
    </w:p>
    <w:tbl>
      <w:tblPr>
        <w:tblOverlap w:val="never"/>
        <w:jc w:val="center"/>
        <w:tblLayout w:type="fixed"/>
      </w:tblPr>
      <w:tblGrid>
        <w:gridCol w:w="3346"/>
        <w:gridCol w:w="1618"/>
        <w:gridCol w:w="1382"/>
        <w:gridCol w:w="1363"/>
        <w:gridCol w:w="1507"/>
      </w:tblGrid>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被投资单位名称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2019.01.01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2019.12.31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福建升通网络传媒有限公司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color w:val="000000"/>
                <w:spacing w:val="0"/>
                <w:w w:val="100"/>
                <w:position w:val="0"/>
                <w:sz w:val="18"/>
                <w:szCs w:val="18"/>
              </w:rPr>
              <w:t>8,000,000.00</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rFonts w:ascii="Arial Narrow" w:eastAsia="Arial Narrow" w:hAnsi="Arial Narrow" w:cs="Arial Narrow"/>
                <w:b/>
                <w:bCs/>
                <w:color w:val="000000"/>
                <w:spacing w:val="0"/>
                <w:w w:val="100"/>
                <w:position w:val="0"/>
                <w:sz w:val="18"/>
                <w:szCs w:val="18"/>
              </w:rPr>
              <w:t>8,000,000.00</w:t>
            </w:r>
          </w:p>
        </w:tc>
      </w:tr>
    </w:tbl>
    <w:p>
      <w:pPr>
        <w:widowControl w:val="0"/>
        <w:spacing w:after="199" w:line="1" w:lineRule="exact"/>
      </w:pPr>
    </w:p>
    <w:p>
      <w:pPr>
        <w:pStyle w:val="Style22"/>
        <w:keepNext/>
        <w:keepLines/>
        <w:widowControl w:val="0"/>
        <w:shd w:val="clear" w:color="auto" w:fill="auto"/>
        <w:bidi w:val="0"/>
        <w:spacing w:before="0" w:after="40" w:line="240" w:lineRule="auto"/>
        <w:ind w:left="0" w:right="0" w:firstLine="500"/>
        <w:jc w:val="left"/>
        <w:rPr>
          <w:sz w:val="20"/>
          <w:szCs w:val="20"/>
        </w:rPr>
      </w:pPr>
      <w:bookmarkStart w:id="1300" w:name="bookmark1300"/>
      <w:bookmarkStart w:id="1301" w:name="bookmark1301"/>
      <w:bookmarkStart w:id="1302" w:name="bookmark1302"/>
      <w:bookmarkStart w:id="1303" w:name="bookmark1303"/>
      <w:r>
        <w:rPr>
          <w:rFonts w:ascii="Arial Narrow" w:eastAsia="Arial Narrow" w:hAnsi="Arial Narrow" w:cs="Arial Narrow"/>
          <w:color w:val="000000"/>
          <w:spacing w:val="0"/>
          <w:w w:val="100"/>
          <w:position w:val="0"/>
          <w:sz w:val="20"/>
          <w:szCs w:val="20"/>
        </w:rPr>
        <w:t>4</w:t>
      </w:r>
      <w:bookmarkEnd w:id="1302"/>
      <w:r>
        <w:rPr>
          <w:color w:val="000000"/>
          <w:spacing w:val="0"/>
          <w:w w:val="100"/>
          <w:position w:val="0"/>
          <w:sz w:val="20"/>
          <w:szCs w:val="20"/>
        </w:rPr>
        <w:t>、营业收入及营业成本</w:t>
      </w:r>
      <w:bookmarkEnd w:id="1300"/>
      <w:bookmarkEnd w:id="1301"/>
      <w:bookmarkEnd w:id="1303"/>
    </w:p>
    <w:tbl>
      <w:tblPr>
        <w:tblOverlap w:val="never"/>
        <w:jc w:val="center"/>
        <w:tblLayout w:type="fixed"/>
      </w:tblPr>
      <w:tblGrid>
        <w:gridCol w:w="2155"/>
        <w:gridCol w:w="1728"/>
        <w:gridCol w:w="1829"/>
        <w:gridCol w:w="1819"/>
        <w:gridCol w:w="1771"/>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成本</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2,840,551.99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917,511.60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4,094,752.87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1,493,860.96</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2,637,865.71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color w:val="000000"/>
                <w:spacing w:val="0"/>
                <w:w w:val="100"/>
                <w:position w:val="0"/>
                <w:sz w:val="18"/>
                <w:szCs w:val="18"/>
              </w:rPr>
              <w:t>1,286,936.41</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2,840,551.99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917,511.60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6,732,618.58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rFonts w:ascii="Arial Narrow" w:eastAsia="Arial Narrow" w:hAnsi="Arial Narrow" w:cs="Arial Narrow"/>
                <w:b/>
                <w:bCs/>
                <w:color w:val="000000"/>
                <w:spacing w:val="0"/>
                <w:w w:val="100"/>
                <w:position w:val="0"/>
                <w:sz w:val="18"/>
                <w:szCs w:val="18"/>
              </w:rPr>
              <w:t>2,780,797.37</w:t>
            </w:r>
          </w:p>
        </w:tc>
      </w:tr>
    </w:tbl>
    <w:p>
      <w:pPr>
        <w:widowControl w:val="0"/>
        <w:spacing w:after="199" w:line="1" w:lineRule="exact"/>
      </w:pPr>
    </w:p>
    <w:p>
      <w:pPr>
        <w:pStyle w:val="Style22"/>
        <w:keepNext/>
        <w:keepLines/>
        <w:widowControl w:val="0"/>
        <w:shd w:val="clear" w:color="auto" w:fill="auto"/>
        <w:bidi w:val="0"/>
        <w:spacing w:before="0" w:after="40" w:line="240" w:lineRule="auto"/>
        <w:ind w:left="0" w:right="0" w:firstLine="500"/>
        <w:jc w:val="left"/>
        <w:rPr>
          <w:sz w:val="20"/>
          <w:szCs w:val="20"/>
        </w:rPr>
      </w:pPr>
      <w:bookmarkStart w:id="1304" w:name="bookmark1304"/>
      <w:bookmarkStart w:id="1305" w:name="bookmark1305"/>
      <w:bookmarkStart w:id="1306" w:name="bookmark1306"/>
      <w:bookmarkStart w:id="1307" w:name="bookmark1307"/>
      <w:r>
        <w:rPr>
          <w:rFonts w:ascii="Arial Narrow" w:eastAsia="Arial Narrow" w:hAnsi="Arial Narrow" w:cs="Arial Narrow"/>
          <w:color w:val="000000"/>
          <w:spacing w:val="0"/>
          <w:w w:val="100"/>
          <w:position w:val="0"/>
          <w:sz w:val="20"/>
          <w:szCs w:val="20"/>
        </w:rPr>
        <w:t>5</w:t>
      </w:r>
      <w:bookmarkEnd w:id="1306"/>
      <w:r>
        <w:rPr>
          <w:color w:val="000000"/>
          <w:spacing w:val="0"/>
          <w:w w:val="100"/>
          <w:position w:val="0"/>
          <w:sz w:val="20"/>
          <w:szCs w:val="20"/>
        </w:rPr>
        <w:t>、投资收益</w:t>
      </w:r>
      <w:bookmarkEnd w:id="1304"/>
      <w:bookmarkEnd w:id="1305"/>
      <w:bookmarkEnd w:id="1307"/>
    </w:p>
    <w:tbl>
      <w:tblPr>
        <w:tblOverlap w:val="never"/>
        <w:jc w:val="center"/>
        <w:tblLayout w:type="fixed"/>
      </w:tblPr>
      <w:tblGrid>
        <w:gridCol w:w="4546"/>
        <w:gridCol w:w="2323"/>
        <w:gridCol w:w="2347"/>
      </w:tblGrid>
      <w:tr>
        <w:trPr>
          <w:trHeight w:val="43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2019</w:t>
            </w:r>
            <w:r>
              <w:rPr>
                <w:rFonts w:ascii="SimSun" w:eastAsia="SimSun" w:hAnsi="SimSun" w:cs="SimSun"/>
                <w:b/>
                <w:bCs/>
                <w:color w:val="000000"/>
                <w:spacing w:val="0"/>
                <w:w w:val="100"/>
                <w:position w:val="0"/>
                <w:sz w:val="17"/>
                <w:szCs w:val="17"/>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Arial Narrow" w:eastAsia="Arial Narrow" w:hAnsi="Arial Narrow" w:cs="Arial Narrow"/>
                <w:b/>
                <w:bCs/>
                <w:color w:val="000000"/>
                <w:spacing w:val="0"/>
                <w:w w:val="100"/>
                <w:position w:val="0"/>
                <w:sz w:val="18"/>
                <w:szCs w:val="18"/>
              </w:rPr>
              <w:t>2018</w:t>
            </w:r>
            <w:r>
              <w:rPr>
                <w:rFonts w:ascii="SimSun" w:eastAsia="SimSun" w:hAnsi="SimSun" w:cs="SimSun"/>
                <w:b/>
                <w:bCs/>
                <w:color w:val="000000"/>
                <w:spacing w:val="0"/>
                <w:w w:val="100"/>
                <w:position w:val="0"/>
                <w:sz w:val="17"/>
                <w:szCs w:val="17"/>
              </w:rPr>
              <w:t>年度</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-704,624.65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70,731.52</w:t>
            </w: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-4,732,943.23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663,168,397.67</w:t>
            </w:r>
          </w:p>
        </w:tc>
      </w:tr>
      <w:tr>
        <w:trPr>
          <w:trHeight w:val="43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-5,437,567.88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b/>
                <w:bCs/>
                <w:color w:val="000000"/>
                <w:spacing w:val="0"/>
                <w:w w:val="100"/>
                <w:position w:val="0"/>
                <w:sz w:val="18"/>
                <w:szCs w:val="18"/>
              </w:rPr>
              <w:t>663,239,129.19</w:t>
            </w:r>
          </w:p>
        </w:tc>
      </w:tr>
    </w:tbl>
    <w:p>
      <w:pPr>
        <w:widowControl w:val="0"/>
        <w:spacing w:after="199" w:line="1" w:lineRule="exact"/>
      </w:pPr>
    </w:p>
    <w:p>
      <w:pPr>
        <w:pStyle w:val="Style10"/>
        <w:keepNext/>
        <w:keepLines/>
        <w:widowControl w:val="0"/>
        <w:shd w:val="clear" w:color="auto" w:fill="auto"/>
        <w:bidi w:val="0"/>
        <w:spacing w:before="0" w:after="260" w:line="240" w:lineRule="auto"/>
        <w:ind w:left="0" w:right="0" w:firstLine="500"/>
        <w:jc w:val="left"/>
        <w:rPr>
          <w:sz w:val="20"/>
          <w:szCs w:val="20"/>
        </w:rPr>
      </w:pPr>
      <w:bookmarkStart w:id="1308" w:name="bookmark1308"/>
      <w:bookmarkStart w:id="1309" w:name="bookmark1309"/>
      <w:bookmarkStart w:id="1310" w:name="bookmark1310"/>
      <w:r>
        <w:rPr>
          <w:color w:val="000000"/>
          <w:spacing w:val="0"/>
          <w:w w:val="100"/>
          <w:position w:val="0"/>
          <w:sz w:val="20"/>
          <w:szCs w:val="20"/>
        </w:rPr>
        <w:t>十五、补充资料：</w:t>
      </w:r>
      <w:bookmarkEnd w:id="1308"/>
      <w:bookmarkEnd w:id="1309"/>
      <w:bookmarkEnd w:id="1310"/>
    </w:p>
    <w:p>
      <w:pPr>
        <w:pStyle w:val="Style22"/>
        <w:keepNext/>
        <w:keepLines/>
        <w:widowControl w:val="0"/>
        <w:shd w:val="clear" w:color="auto" w:fill="auto"/>
        <w:bidi w:val="0"/>
        <w:spacing w:before="0" w:after="260" w:line="240" w:lineRule="auto"/>
        <w:ind w:left="0" w:right="0" w:firstLine="500"/>
        <w:jc w:val="left"/>
        <w:rPr>
          <w:sz w:val="20"/>
          <w:szCs w:val="20"/>
        </w:rPr>
      </w:pPr>
      <w:bookmarkStart w:id="1311" w:name="bookmark1311"/>
      <w:bookmarkStart w:id="1312" w:name="bookmark1312"/>
      <w:bookmarkStart w:id="1313" w:name="bookmark1313"/>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、当期非经常性损益明细表</w:t>
      </w:r>
      <w:bookmarkEnd w:id="1311"/>
      <w:bookmarkEnd w:id="1312"/>
      <w:bookmarkEnd w:id="1313"/>
    </w:p>
    <w:p>
      <w:pPr>
        <w:pStyle w:val="Style26"/>
        <w:keepNext w:val="0"/>
        <w:keepLines w:val="0"/>
        <w:widowControl w:val="0"/>
        <w:shd w:val="clear" w:color="auto" w:fill="auto"/>
        <w:bidi w:val="0"/>
        <w:spacing w:before="0" w:after="260" w:line="240" w:lineRule="auto"/>
        <w:ind w:left="0" w:right="0" w:firstLine="500"/>
        <w:jc w:val="left"/>
      </w:pPr>
      <w:r>
        <w:rPr>
          <w:color w:val="000000"/>
          <w:spacing w:val="0"/>
          <w:w w:val="100"/>
          <w:position w:val="0"/>
        </w:rPr>
        <w:t>根据中国证监会《公开发行证券的公司信息披露解释性公告第</w:t>
      </w:r>
      <w:r>
        <w:rPr>
          <w:rFonts w:ascii="Arial Narrow" w:eastAsia="Arial Narrow" w:hAnsi="Arial Narrow" w:cs="Arial Narrow"/>
          <w:color w:val="000000"/>
          <w:spacing w:val="0"/>
          <w:w w:val="100"/>
          <w:position w:val="0"/>
          <w:sz w:val="18"/>
          <w:szCs w:val="18"/>
        </w:rPr>
        <w:t>1</w:t>
      </w:r>
      <w:r>
        <w:rPr>
          <w:color w:val="000000"/>
          <w:spacing w:val="0"/>
          <w:w w:val="100"/>
          <w:position w:val="0"/>
        </w:rPr>
        <w:t>号——非经常性损益》（</w:t>
      </w:r>
      <w:r>
        <w:rPr>
          <w:rFonts w:ascii="Arial Narrow" w:eastAsia="Arial Narrow" w:hAnsi="Arial Narrow" w:cs="Arial Narrow"/>
          <w:color w:val="000000"/>
          <w:spacing w:val="0"/>
          <w:w w:val="100"/>
          <w:position w:val="0"/>
          <w:sz w:val="18"/>
          <w:szCs w:val="18"/>
        </w:rPr>
        <w:t>“</w:t>
      </w:r>
      <w:r>
        <w:rPr>
          <w:color w:val="000000"/>
          <w:spacing w:val="0"/>
          <w:w w:val="100"/>
          <w:position w:val="0"/>
        </w:rPr>
        <w:t>中国证券监督管理委员会公告</w:t>
      </w:r>
    </w:p>
    <w:tbl>
      <w:tblPr>
        <w:tblOverlap w:val="never"/>
        <w:jc w:val="center"/>
        <w:tblLayout w:type="fixed"/>
      </w:tblPr>
      <w:tblGrid>
        <w:gridCol w:w="7320"/>
        <w:gridCol w:w="2035"/>
      </w:tblGrid>
      <w:tr>
        <w:trPr>
          <w:trHeight w:val="293" w:hRule="exact"/>
        </w:trPr>
        <w:tc>
          <w:tcPr>
            <w:gridSpan w:val="2"/>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Arial Narrow" w:eastAsia="Arial Narrow" w:hAnsi="Arial Narrow" w:cs="Arial Narrow"/>
                <w:color w:val="000000"/>
                <w:spacing w:val="0"/>
                <w:w w:val="100"/>
                <w:position w:val="0"/>
                <w:sz w:val="18"/>
                <w:szCs w:val="18"/>
              </w:rPr>
              <w:t>[2008]43</w:t>
            </w:r>
            <w:r>
              <w:rPr>
                <w:rFonts w:ascii="SimSun" w:eastAsia="SimSun" w:hAnsi="SimSun" w:cs="SimSun"/>
                <w:color w:val="000000"/>
                <w:spacing w:val="0"/>
                <w:w w:val="100"/>
                <w:position w:val="0"/>
                <w:sz w:val="17"/>
                <w:szCs w:val="17"/>
              </w:rPr>
              <w:t>号，本公司非经常性损益如下：</w:t>
            </w:r>
          </w:p>
        </w:tc>
      </w:tr>
      <w:tr>
        <w:trPr>
          <w:trHeight w:val="41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本期金额</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非流动性资产处置损益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93,132,421.76</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越权审批，或无正式批准文件，或偶发性的税收返还、减免</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计入当期损益的政府补助，但与企业正常经营业务密切相关，符合国家政策规定，按照一 定标准定额或定量持续享受的政府补助除外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31,067,801.48</w:t>
            </w:r>
          </w:p>
        </w:tc>
      </w:tr>
      <w:tr>
        <w:trPr>
          <w:trHeight w:val="418"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计入当期损益的对非金融企业收取的资金占用费</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330"/>
        <w:gridCol w:w="2035"/>
      </w:tblGrid>
      <w:tr>
        <w:trPr>
          <w:trHeight w:val="63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140" w:right="0" w:firstLine="0"/>
              <w:jc w:val="left"/>
              <w:rPr>
                <w:sz w:val="17"/>
                <w:szCs w:val="17"/>
              </w:rPr>
            </w:pPr>
            <w:r>
              <w:rPr>
                <w:rFonts w:ascii="SimSun" w:eastAsia="SimSun" w:hAnsi="SimSun" w:cs="SimSun"/>
                <w:color w:val="000000"/>
                <w:spacing w:val="0"/>
                <w:w w:val="100"/>
                <w:position w:val="0"/>
                <w:sz w:val="17"/>
                <w:szCs w:val="17"/>
              </w:rPr>
              <w:t>取得子公司、联营企业及合营企业的投资成本小于取得投资时应享有被投资单位可辨认净 资产公允价值产生的收益</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非货币性资产交换损益</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2,073,810.92</w:t>
            </w: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7"/>
                <w:szCs w:val="17"/>
              </w:rPr>
              <w:t>除同公司正常经营业务相关的有效套期保值业务外，持有交易性金融资产、交易性金融负 债产生的公允价值变动损益</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处置交易性金融资产、交易性金融负债和可供出售金融资产取得的投资收益</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 w:right="0" w:firstLine="0"/>
              <w:jc w:val="left"/>
              <w:rPr>
                <w:sz w:val="17"/>
                <w:szCs w:val="17"/>
              </w:rPr>
            </w:pPr>
            <w:r>
              <w:rPr>
                <w:rFonts w:ascii="SimSun" w:eastAsia="SimSun" w:hAnsi="SimSun" w:cs="SimSun"/>
                <w:color w:val="000000"/>
                <w:spacing w:val="0"/>
                <w:w w:val="100"/>
                <w:position w:val="0"/>
                <w:sz w:val="17"/>
                <w:szCs w:val="17"/>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对外委托贷款取得的损益</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采用公允价值模式进行后续计量的投资性房地产公允价值变动产生的损益</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根据税收、会计等法律、法规的要求对当期损益进行一次性调整对当期损益的影响</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受托经营取得的托管费收入</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-109,799,032.90</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非经常性损益总额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16,475,001.26</w:t>
            </w:r>
          </w:p>
        </w:tc>
      </w:tr>
      <w:tr>
        <w:trPr>
          <w:trHeight w:val="427" w:hRule="exact"/>
        </w:trPr>
        <w:tc>
          <w:tcPr>
            <w:tcBorders>
              <w:top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减：非经常性损益的所得税影响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1,271,284.65</w:t>
            </w:r>
          </w:p>
        </w:tc>
      </w:tr>
      <w:tr>
        <w:trPr>
          <w:trHeight w:val="422"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非经常性损益净额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15,203,716.61</w:t>
            </w:r>
          </w:p>
        </w:tc>
      </w:tr>
      <w:tr>
        <w:trPr>
          <w:trHeight w:val="4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减：归属于少数股东的非经常性损益净影响数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-2,314,046.70</w:t>
            </w:r>
          </w:p>
        </w:tc>
      </w:tr>
      <w:tr>
        <w:trPr>
          <w:trHeight w:val="456"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归属于公司普通股股东的非经常性损益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rFonts w:ascii="Arial Narrow" w:eastAsia="Arial Narrow" w:hAnsi="Arial Narrow" w:cs="Arial Narrow"/>
                <w:color w:val="000000"/>
                <w:spacing w:val="0"/>
                <w:w w:val="100"/>
                <w:position w:val="0"/>
                <w:sz w:val="18"/>
                <w:szCs w:val="18"/>
              </w:rPr>
              <w:t>17,517,763.31</w:t>
            </w:r>
          </w:p>
        </w:tc>
      </w:tr>
    </w:tbl>
    <w:p>
      <w:pPr>
        <w:widowControl w:val="0"/>
        <w:spacing w:after="199" w:line="1" w:lineRule="exact"/>
      </w:pPr>
    </w:p>
    <w:p>
      <w:pPr>
        <w:pStyle w:val="Style22"/>
        <w:keepNext/>
        <w:keepLines/>
        <w:widowControl w:val="0"/>
        <w:shd w:val="clear" w:color="auto" w:fill="auto"/>
        <w:bidi w:val="0"/>
        <w:spacing w:before="0" w:after="0" w:line="240" w:lineRule="auto"/>
        <w:ind w:left="0" w:right="0" w:firstLine="560"/>
        <w:jc w:val="left"/>
        <w:rPr>
          <w:sz w:val="20"/>
          <w:szCs w:val="20"/>
        </w:rPr>
      </w:pPr>
      <w:bookmarkStart w:id="1314" w:name="bookmark1314"/>
      <w:bookmarkStart w:id="1315" w:name="bookmark1315"/>
      <w:bookmarkStart w:id="1316" w:name="bookmark1316"/>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、净资产收益率及每股收益</w:t>
      </w:r>
      <w:bookmarkEnd w:id="1314"/>
      <w:bookmarkEnd w:id="1315"/>
      <w:bookmarkEnd w:id="1316"/>
    </w:p>
    <w:tbl>
      <w:tblPr>
        <w:tblOverlap w:val="never"/>
        <w:jc w:val="center"/>
        <w:tblLayout w:type="fixed"/>
      </w:tblPr>
      <w:tblGrid>
        <w:gridCol w:w="2405"/>
        <w:gridCol w:w="2774"/>
        <w:gridCol w:w="1920"/>
        <w:gridCol w:w="2112"/>
      </w:tblGrid>
      <w:tr>
        <w:trPr>
          <w:trHeight w:val="432" w:hRule="exact"/>
        </w:trPr>
        <w:tc>
          <w:tcPr>
            <w:vMerge w:val="restart"/>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报告期利润</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加权平均净资产收益率（</w:t>
            </w:r>
            <w:r>
              <w:rPr>
                <w:rFonts w:ascii="SimSun" w:eastAsia="SimSun" w:hAnsi="SimSun" w:cs="SimSun"/>
                <w:b/>
                <w:bCs/>
                <w:color w:val="000000"/>
                <w:spacing w:val="0"/>
                <w:w w:val="100"/>
                <w:position w:val="0"/>
                <w:sz w:val="22"/>
                <w:szCs w:val="22"/>
              </w:rPr>
              <w:t>％</w:t>
            </w:r>
            <w:r>
              <w:rPr>
                <w:rFonts w:ascii="SimSun" w:eastAsia="SimSun" w:hAnsi="SimSun" w:cs="SimSun"/>
                <w:b/>
                <w:bCs/>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每股收益</w:t>
            </w:r>
          </w:p>
        </w:tc>
      </w:tr>
      <w:tr>
        <w:trPr>
          <w:trHeight w:val="34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基本每股收益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稀释每股收益</w:t>
            </w:r>
          </w:p>
        </w:tc>
      </w:tr>
      <w:tr>
        <w:trPr>
          <w:trHeight w:val="634"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归属于公司普通股股东的净 利润计算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-6.8506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-0.6437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-0.6437</w:t>
            </w:r>
          </w:p>
        </w:tc>
      </w:tr>
      <w:tr>
        <w:trPr>
          <w:trHeight w:val="667"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扣除非经常损益后归属于普 通股股东的净利润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-6.9760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-0.6555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Arial Narrow" w:eastAsia="Arial Narrow" w:hAnsi="Arial Narrow" w:cs="Arial Narrow"/>
                <w:color w:val="000000"/>
                <w:spacing w:val="0"/>
                <w:w w:val="100"/>
                <w:position w:val="0"/>
                <w:sz w:val="18"/>
                <w:szCs w:val="18"/>
              </w:rPr>
              <w:t>-0.6555</w:t>
            </w:r>
          </w:p>
        </w:tc>
      </w:tr>
    </w:tbl>
    <w:p>
      <w:pPr>
        <w:pStyle w:val="Style10"/>
        <w:keepNext/>
        <w:keepLines/>
        <w:widowControl w:val="0"/>
        <w:shd w:val="clear" w:color="auto" w:fill="auto"/>
        <w:bidi w:val="0"/>
        <w:spacing w:before="0" w:after="640" w:line="240" w:lineRule="auto"/>
        <w:ind w:left="0" w:right="0" w:firstLine="0"/>
        <w:jc w:val="center"/>
      </w:pPr>
      <w:bookmarkStart w:id="1317" w:name="bookmark1317"/>
      <w:bookmarkStart w:id="1318" w:name="bookmark1318"/>
      <w:bookmarkStart w:id="1319" w:name="bookmark1319"/>
      <w:r>
        <w:rPr>
          <w:color w:val="000000"/>
          <w:spacing w:val="0"/>
          <w:w w:val="100"/>
          <w:position w:val="0"/>
        </w:rPr>
        <w:t>第十三节备查文件目录</w:t>
      </w:r>
      <w:bookmarkEnd w:id="1317"/>
      <w:bookmarkEnd w:id="1318"/>
      <w:bookmarkEnd w:id="1319"/>
    </w:p>
    <w:p>
      <w:pPr>
        <w:pStyle w:val="Style33"/>
        <w:keepNext w:val="0"/>
        <w:keepLines w:val="0"/>
        <w:widowControl w:val="0"/>
        <w:shd w:val="clear" w:color="auto" w:fill="auto"/>
        <w:tabs>
          <w:tab w:pos="469" w:val="left"/>
        </w:tabs>
        <w:bidi w:val="0"/>
        <w:spacing w:before="0" w:after="240" w:line="240" w:lineRule="auto"/>
        <w:ind w:left="0" w:right="0" w:firstLine="0"/>
        <w:jc w:val="left"/>
      </w:pPr>
      <w:bookmarkStart w:id="1320" w:name="bookmark1320"/>
      <w:r>
        <w:rPr>
          <w:color w:val="000000"/>
          <w:spacing w:val="0"/>
          <w:w w:val="100"/>
          <w:position w:val="0"/>
        </w:rPr>
        <w:t>一</w:t>
      </w:r>
      <w:bookmarkEnd w:id="1320"/>
      <w:r>
        <w:rPr>
          <w:color w:val="000000"/>
          <w:spacing w:val="0"/>
          <w:w w:val="100"/>
          <w:position w:val="0"/>
        </w:rPr>
        <w:t>、</w:t>
        <w:tab/>
        <w:t>载有公司法定代表人、财务总监、财务经理签名并盖章的</w:t>
      </w:r>
      <w:r>
        <w:rPr>
          <w:rFonts w:ascii="Times New Roman" w:eastAsia="Times New Roman" w:hAnsi="Times New Roman" w:cs="Times New Roman"/>
          <w:color w:val="000000"/>
          <w:spacing w:val="0"/>
          <w:w w:val="100"/>
          <w:position w:val="0"/>
        </w:rPr>
        <w:t>2019</w:t>
      </w:r>
      <w:r>
        <w:rPr>
          <w:color w:val="000000"/>
          <w:spacing w:val="0"/>
          <w:w w:val="100"/>
          <w:position w:val="0"/>
        </w:rPr>
        <w:t>年度会计报表。</w:t>
      </w:r>
    </w:p>
    <w:p>
      <w:pPr>
        <w:pStyle w:val="Style33"/>
        <w:keepNext w:val="0"/>
        <w:keepLines w:val="0"/>
        <w:widowControl w:val="0"/>
        <w:shd w:val="clear" w:color="auto" w:fill="auto"/>
        <w:tabs>
          <w:tab w:pos="469" w:val="left"/>
        </w:tabs>
        <w:bidi w:val="0"/>
        <w:spacing w:before="0" w:after="240" w:line="240" w:lineRule="auto"/>
        <w:ind w:left="0" w:right="0" w:firstLine="0"/>
        <w:jc w:val="left"/>
      </w:pPr>
      <w:bookmarkStart w:id="1321" w:name="bookmark1321"/>
      <w:r>
        <w:rPr>
          <w:color w:val="000000"/>
          <w:spacing w:val="0"/>
          <w:w w:val="100"/>
          <w:position w:val="0"/>
        </w:rPr>
        <w:t>二</w:t>
      </w:r>
      <w:bookmarkEnd w:id="1321"/>
      <w:r>
        <w:rPr>
          <w:color w:val="000000"/>
          <w:spacing w:val="0"/>
          <w:w w:val="100"/>
          <w:position w:val="0"/>
        </w:rPr>
        <w:t>、</w:t>
        <w:tab/>
        <w:t>载有中兴财光华会计师事务所（特殊普通合伙）盖章、注册会计师签名并盖章的</w:t>
      </w:r>
      <w:r>
        <w:rPr>
          <w:rFonts w:ascii="Times New Roman" w:eastAsia="Times New Roman" w:hAnsi="Times New Roman" w:cs="Times New Roman"/>
          <w:color w:val="000000"/>
          <w:spacing w:val="0"/>
          <w:w w:val="100"/>
          <w:position w:val="0"/>
        </w:rPr>
        <w:t>2019</w:t>
      </w:r>
      <w:r>
        <w:rPr>
          <w:color w:val="000000"/>
          <w:spacing w:val="0"/>
          <w:w w:val="100"/>
          <w:position w:val="0"/>
        </w:rPr>
        <w:t>年度审计报告原件。</w:t>
      </w:r>
    </w:p>
    <w:p>
      <w:pPr>
        <w:pStyle w:val="Style33"/>
        <w:keepNext w:val="0"/>
        <w:keepLines w:val="0"/>
        <w:widowControl w:val="0"/>
        <w:shd w:val="clear" w:color="auto" w:fill="auto"/>
        <w:tabs>
          <w:tab w:pos="474" w:val="left"/>
        </w:tabs>
        <w:bidi w:val="0"/>
        <w:spacing w:before="0" w:after="1200" w:line="240" w:lineRule="auto"/>
        <w:ind w:left="0" w:right="0" w:firstLine="0"/>
        <w:jc w:val="left"/>
      </w:pPr>
      <w:bookmarkStart w:id="1322" w:name="bookmark1322"/>
      <w:r>
        <w:rPr>
          <w:color w:val="000000"/>
          <w:spacing w:val="0"/>
          <w:w w:val="100"/>
          <w:position w:val="0"/>
        </w:rPr>
        <w:t>三</w:t>
      </w:r>
      <w:bookmarkEnd w:id="1322"/>
      <w:r>
        <w:rPr>
          <w:color w:val="000000"/>
          <w:spacing w:val="0"/>
          <w:w w:val="100"/>
          <w:position w:val="0"/>
        </w:rPr>
        <w:t>、</w:t>
        <w:tab/>
        <w:t>报告期内在《中国证券报》、《证券时报》公开披露过的所有公司文件正本及公告原稿。</w:t>
      </w:r>
    </w:p>
    <w:p>
      <w:pPr>
        <w:pStyle w:val="Style33"/>
        <w:keepNext w:val="0"/>
        <w:keepLines w:val="0"/>
        <w:widowControl w:val="0"/>
        <w:shd w:val="clear" w:color="auto" w:fill="auto"/>
        <w:bidi w:val="0"/>
        <w:spacing w:before="0" w:after="240" w:line="240" w:lineRule="auto"/>
        <w:ind w:left="6320" w:right="0" w:firstLine="0"/>
        <w:jc w:val="left"/>
      </w:pPr>
      <w:r>
        <w:rPr>
          <w:color w:val="000000"/>
          <w:spacing w:val="0"/>
          <w:w w:val="100"/>
          <w:position w:val="0"/>
        </w:rPr>
        <w:t>东旭蓝天新能源股份有限公司</w:t>
      </w:r>
    </w:p>
    <w:p>
      <w:pPr>
        <w:pStyle w:val="Style33"/>
        <w:keepNext w:val="0"/>
        <w:keepLines w:val="0"/>
        <w:widowControl w:val="0"/>
        <w:shd w:val="clear" w:color="auto" w:fill="auto"/>
        <w:bidi w:val="0"/>
        <w:spacing w:before="0" w:after="240" w:line="240" w:lineRule="auto"/>
        <w:ind w:left="7260" w:right="0" w:firstLine="0"/>
        <w:jc w:val="left"/>
      </w:pPr>
      <w:r>
        <w:rPr>
          <w:color w:val="000000"/>
          <w:spacing w:val="0"/>
          <w:w w:val="100"/>
          <w:position w:val="0"/>
        </w:rPr>
        <w:t>董事会</w:t>
      </w:r>
    </w:p>
    <w:p>
      <w:pPr>
        <w:pStyle w:val="Style33"/>
        <w:keepNext w:val="0"/>
        <w:keepLines w:val="0"/>
        <w:widowControl w:val="0"/>
        <w:shd w:val="clear" w:color="auto" w:fill="auto"/>
        <w:bidi w:val="0"/>
        <w:spacing w:before="0" w:after="240" w:line="240" w:lineRule="auto"/>
        <w:ind w:left="6620" w:right="0" w:firstLine="0"/>
        <w:jc w:val="left"/>
      </w:pPr>
      <w:r>
        <w:rPr>
          <w:color w:val="000000"/>
          <w:spacing w:val="0"/>
          <w:w w:val="100"/>
          <w:position w:val="0"/>
        </w:rPr>
        <w:t>二</w:t>
      </w:r>
      <w:r>
        <w:rPr>
          <w:rFonts w:ascii="Arial" w:eastAsia="Arial" w:hAnsi="Arial" w:cs="Arial"/>
          <w:color w:val="000000"/>
          <w:spacing w:val="0"/>
          <w:w w:val="100"/>
          <w:position w:val="0"/>
          <w:sz w:val="22"/>
          <w:szCs w:val="22"/>
        </w:rPr>
        <w:t>O</w:t>
      </w:r>
      <w:r>
        <w:rPr>
          <w:color w:val="000000"/>
          <w:spacing w:val="0"/>
          <w:w w:val="100"/>
          <w:position w:val="0"/>
        </w:rPr>
        <w:t>二</w:t>
      </w:r>
      <w:r>
        <w:rPr>
          <w:rFonts w:ascii="Arial" w:eastAsia="Arial" w:hAnsi="Arial" w:cs="Arial"/>
          <w:color w:val="000000"/>
          <w:spacing w:val="0"/>
          <w:w w:val="100"/>
          <w:position w:val="0"/>
          <w:sz w:val="22"/>
          <w:szCs w:val="22"/>
        </w:rPr>
        <w:t>O</w:t>
      </w:r>
      <w:r>
        <w:rPr>
          <w:color w:val="000000"/>
          <w:spacing w:val="0"/>
          <w:w w:val="100"/>
          <w:position w:val="0"/>
        </w:rPr>
        <w:t>年五月三十日</w:t>
      </w:r>
    </w:p>
    <w:sectPr>
      <w:footnotePr>
        <w:pos w:val="pageBottom"/>
        <w:numFmt w:val="decimal"/>
        <w:numRestart w:val="continuous"/>
      </w:footnotePr>
      <w:type w:val="continuous"/>
      <w:pgSz w:w="11900" w:h="16840"/>
      <w:pgMar w:top="1369" w:right="924" w:bottom="1446" w:left="7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upp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5)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6)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3)_"/>
    <w:basedOn w:val="DefaultParagraphFont"/>
    <w:link w:val="Style12"/>
    <w:rPr>
      <w:rFonts w:ascii="SimSun" w:eastAsia="SimSun" w:hAnsi="SimSun" w:cs="SimSun"/>
      <w:b/>
      <w:bCs/>
      <w:i w:val="0"/>
      <w:iCs w:val="0"/>
      <w:smallCaps w:val="0"/>
      <w:strike w:val="0"/>
      <w:sz w:val="28"/>
      <w:szCs w:val="28"/>
      <w:u w:val="none"/>
      <w:shd w:val="clear" w:color="auto" w:fill="auto"/>
    </w:rPr>
  </w:style>
  <w:style w:type="character" w:customStyle="1" w:styleId="CharStyle16">
    <w:name w:val="Table of contents_"/>
    <w:basedOn w:val="DefaultParagraphFont"/>
    <w:link w:val="Style15"/>
    <w:rPr>
      <w:rFonts w:ascii="SimSun" w:eastAsia="SimSun" w:hAnsi="SimSun" w:cs="SimSun"/>
      <w:b/>
      <w:bCs/>
      <w:i w:val="0"/>
      <w:iCs w:val="0"/>
      <w:smallCaps w:val="0"/>
      <w:strike w:val="0"/>
      <w:sz w:val="22"/>
      <w:szCs w:val="22"/>
      <w:u w:val="none"/>
      <w:shd w:val="clear" w:color="auto" w:fill="auto"/>
    </w:rPr>
  </w:style>
  <w:style w:type="character" w:customStyle="1" w:styleId="CharStyle20">
    <w:name w:val="Other_"/>
    <w:basedOn w:val="DefaultParagraphFont"/>
    <w:link w:val="Style19"/>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3">
    <w:name w:val="Heading #2_"/>
    <w:basedOn w:val="DefaultParagraphFont"/>
    <w:link w:val="Style22"/>
    <w:rPr>
      <w:rFonts w:ascii="SimSun" w:eastAsia="SimSun" w:hAnsi="SimSun" w:cs="SimSun"/>
      <w:b/>
      <w:bCs/>
      <w:i w:val="0"/>
      <w:iCs w:val="0"/>
      <w:smallCaps w:val="0"/>
      <w:strike w:val="0"/>
      <w:sz w:val="22"/>
      <w:szCs w:val="22"/>
      <w:u w:val="none"/>
      <w:shd w:val="clear" w:color="auto" w:fill="auto"/>
    </w:rPr>
  </w:style>
  <w:style w:type="character" w:customStyle="1" w:styleId="CharStyle25">
    <w:name w:val="Table caption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Body text (2)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Heading #3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4">
    <w:name w:val="Body text_"/>
    <w:basedOn w:val="DefaultParagraphFont"/>
    <w:link w:val="Style33"/>
    <w:rPr>
      <w:rFonts w:ascii="SimSun" w:eastAsia="SimSun" w:hAnsi="SimSun" w:cs="SimSun"/>
      <w:b w:val="0"/>
      <w:bCs w:val="0"/>
      <w:i w:val="0"/>
      <w:iCs w:val="0"/>
      <w:smallCaps w:val="0"/>
      <w:strike w:val="0"/>
      <w:sz w:val="20"/>
      <w:szCs w:val="20"/>
      <w:u w:val="none"/>
      <w:shd w:val="clear" w:color="auto" w:fill="auto"/>
    </w:rPr>
  </w:style>
  <w:style w:type="character" w:customStyle="1" w:styleId="CharStyle38">
    <w:name w:val="Heading #4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82">
    <w:name w:val="Body text (9)_"/>
    <w:basedOn w:val="DefaultParagraphFont"/>
    <w:link w:val="Style81"/>
    <w:rPr>
      <w:rFonts w:ascii="Arial Narrow" w:eastAsia="Arial Narrow" w:hAnsi="Arial Narrow" w:cs="Arial Narrow"/>
      <w:b w:val="0"/>
      <w:bCs w:val="0"/>
      <w:i w:val="0"/>
      <w:iCs w:val="0"/>
      <w:smallCaps w:val="0"/>
      <w:strike w:val="0"/>
      <w:sz w:val="18"/>
      <w:szCs w:val="18"/>
      <w:u w:val="none"/>
      <w:shd w:val="clear" w:color="auto" w:fill="auto"/>
    </w:rPr>
  </w:style>
  <w:style w:type="paragraph" w:customStyle="1" w:styleId="Style2">
    <w:name w:val="Body text (4)"/>
    <w:basedOn w:val="Normal"/>
    <w:link w:val="CharStyle3"/>
    <w:pPr>
      <w:widowControl w:val="0"/>
      <w:shd w:val="clear" w:color="auto" w:fill="auto"/>
      <w:spacing w:after="98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5)"/>
    <w:basedOn w:val="Normal"/>
    <w:link w:val="CharStyle5"/>
    <w:pPr>
      <w:widowControl w:val="0"/>
      <w:shd w:val="clear" w:color="auto" w:fill="auto"/>
      <w:spacing w:after="341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6)"/>
    <w:basedOn w:val="Normal"/>
    <w:link w:val="CharStyle8"/>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1"/>
    <w:basedOn w:val="Normal"/>
    <w:link w:val="CharStyle11"/>
    <w:pPr>
      <w:widowControl w:val="0"/>
      <w:shd w:val="clear" w:color="auto" w:fill="auto"/>
      <w:spacing w:before="52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3)"/>
    <w:basedOn w:val="Normal"/>
    <w:link w:val="CharStyle13"/>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5">
    <w:name w:val="Table of contents"/>
    <w:basedOn w:val="Normal"/>
    <w:link w:val="CharStyle16"/>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19">
    <w:name w:val="Other"/>
    <w:basedOn w:val="Normal"/>
    <w:link w:val="CharStyle20"/>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2">
    <w:name w:val="Heading #2"/>
    <w:basedOn w:val="Normal"/>
    <w:link w:val="CharStyle23"/>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4">
    <w:name w:val="Table caption"/>
    <w:basedOn w:val="Normal"/>
    <w:link w:val="CharStyle2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Body text (2)"/>
    <w:basedOn w:val="Normal"/>
    <w:link w:val="CharStyle27"/>
    <w:qFormat/>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Heading #3"/>
    <w:basedOn w:val="Normal"/>
    <w:link w:val="CharStyle31"/>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styleId="Style33">
    <w:name w:val="Body text"/>
    <w:basedOn w:val="Normal"/>
    <w:link w:val="CharStyle34"/>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7">
    <w:name w:val="Heading #4"/>
    <w:basedOn w:val="Normal"/>
    <w:link w:val="CharStyle38"/>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81">
    <w:name w:val="Body text (9)"/>
    <w:basedOn w:val="Normal"/>
    <w:link w:val="CharStyle82"/>
    <w:pPr>
      <w:widowControl w:val="0"/>
      <w:shd w:val="clear" w:color="auto" w:fill="auto"/>
      <w:spacing w:after="230"/>
      <w:ind w:left="120" w:firstLine="70"/>
    </w:pPr>
    <w:rPr>
      <w:rFonts w:ascii="Arial Narrow" w:eastAsia="Arial Narrow" w:hAnsi="Arial Narrow" w:cs="Arial Narrow"/>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东旭蓝天新能源股份有限公司2019年年度报告全文</dc:title>
  <dc:subject/>
  <dc:creator>东旭蓝天新能源股份有限公司</dc:creator>
  <cp:keywords/>
</cp:coreProperties>
</file>