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61" w:right="1132" w:bottom="1177" w:left="3938" w:header="0" w:footer="3" w:gutter="0"/>
          <w:cols w:space="720"/>
          <w:noEndnote/>
          <w:rtlGutter w:val="0"/>
          <w:docGrid w:linePitch="360"/>
        </w:sectPr>
      </w:pPr>
    </w:p>
    <w:p>
      <w:pPr>
        <w:pStyle w:val="Style2"/>
        <w:keepNext w:val="0"/>
        <w:keepLines w:val="0"/>
        <w:framePr w:w="3686" w:h="1104" w:wrap="none" w:vAnchor="text" w:hAnchor="page" w:x="4107" w:y="3414"/>
        <w:widowControl w:val="0"/>
        <w:shd w:val="clear" w:color="auto" w:fill="auto"/>
        <w:bidi w:val="0"/>
        <w:spacing w:before="0" w:after="420" w:line="240" w:lineRule="auto"/>
        <w:ind w:left="0" w:right="0" w:firstLine="0"/>
        <w:jc w:val="center"/>
      </w:pPr>
      <w:r>
        <w:rPr>
          <w:color w:val="000000"/>
          <w:spacing w:val="0"/>
          <w:w w:val="100"/>
          <w:position w:val="0"/>
        </w:rPr>
        <w:t>东旭蓝天新能源股份有限公司</w:t>
      </w:r>
    </w:p>
    <w:p>
      <w:pPr>
        <w:pStyle w:val="Style2"/>
        <w:keepNext w:val="0"/>
        <w:keepLines w:val="0"/>
        <w:framePr w:w="3686" w:h="1104" w:wrap="none" w:vAnchor="text" w:hAnchor="page" w:x="4107" w:y="3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5"/>
        <w:keepNext w:val="0"/>
        <w:keepLines w:val="0"/>
        <w:framePr w:w="1886" w:h="408" w:wrap="none" w:vAnchor="text" w:hAnchor="page" w:x="5004" w:y="10523"/>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3219450</wp:posOffset>
            </wp:positionH>
            <wp:positionV relativeFrom="paragraph">
              <wp:posOffset>12700</wp:posOffset>
            </wp:positionV>
            <wp:extent cx="1115695" cy="7378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15695" cy="7378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type w:val="continuous"/>
          <w:pgSz w:w="11900" w:h="16840"/>
          <w:pgMar w:top="1061" w:right="1132" w:bottom="1177" w:left="3938" w:header="0" w:footer="3" w:gutter="0"/>
          <w:cols w:space="720"/>
          <w:noEndnote/>
          <w:rtlGutter w:val="0"/>
          <w:docGrid w:linePitch="360"/>
        </w:sectPr>
      </w:pPr>
    </w:p>
    <w:p>
      <w:pPr>
        <w:pStyle w:val="Style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2"/>
        <w:keepNext w:val="0"/>
        <w:keepLines w:val="0"/>
        <w:widowControl w:val="0"/>
        <w:shd w:val="clear" w:color="auto" w:fill="auto"/>
        <w:bidi w:val="0"/>
        <w:spacing w:before="0" w:line="619" w:lineRule="exact"/>
        <w:ind w:left="0" w:right="0"/>
        <w:jc w:val="both"/>
      </w:pPr>
      <w:r>
        <w:rPr>
          <w:color w:val="000000"/>
          <w:spacing w:val="0"/>
          <w:w w:val="100"/>
          <w:position w:val="0"/>
        </w:rPr>
        <w:t>公司负责人赵艳军、主管会计工作负责人王正军及会计机构负责人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王正军声明：保证本年度报告中财务报告的真实、准确、完整。</w:t>
      </w:r>
    </w:p>
    <w:p>
      <w:pPr>
        <w:pStyle w:val="Style2"/>
        <w:keepNext w:val="0"/>
        <w:keepLines w:val="0"/>
        <w:widowControl w:val="0"/>
        <w:shd w:val="clear" w:color="auto" w:fill="auto"/>
        <w:bidi w:val="0"/>
        <w:spacing w:before="0" w:after="40"/>
        <w:ind w:left="0" w:right="0"/>
        <w:jc w:val="both"/>
      </w:pPr>
      <w:r>
        <w:rPr>
          <w:color w:val="000000"/>
          <w:spacing w:val="0"/>
          <w:w w:val="100"/>
          <w:position w:val="0"/>
        </w:rPr>
        <w:t>所有董事均已出席了审议本报告的董事会会议。</w:t>
      </w:r>
    </w:p>
    <w:p>
      <w:pPr>
        <w:pStyle w:val="Style2"/>
        <w:keepNext w:val="0"/>
        <w:keepLines w:val="0"/>
        <w:widowControl w:val="0"/>
        <w:shd w:val="clear" w:color="auto" w:fill="auto"/>
        <w:bidi w:val="0"/>
        <w:spacing w:before="0" w:line="634" w:lineRule="exact"/>
        <w:ind w:left="0" w:right="0"/>
        <w:jc w:val="both"/>
      </w:pPr>
      <w:r>
        <w:rPr>
          <w:color w:val="000000"/>
          <w:spacing w:val="0"/>
          <w:w w:val="100"/>
          <w:position w:val="0"/>
        </w:rPr>
        <w:t>中兴财光华会计师事务所（特殊普通合伙）于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日对东旭蓝 天新能源股份有限公司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年度财务报告出具了带强调事项段的保留意见的审 计报告（中兴财光华审会字（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105012</w:t>
      </w:r>
      <w:r>
        <w:rPr>
          <w:color w:val="000000"/>
          <w:spacing w:val="0"/>
          <w:w w:val="100"/>
          <w:position w:val="0"/>
        </w:rPr>
        <w:t>号）。本公司董事会对相关事项 已有专项说明，监事会、独立董事对董事会专项说明发表了意见，敬请投资者 注意阅读。</w:t>
      </w:r>
    </w:p>
    <w:p>
      <w:pPr>
        <w:pStyle w:val="Style2"/>
        <w:keepNext w:val="0"/>
        <w:keepLines w:val="0"/>
        <w:widowControl w:val="0"/>
        <w:shd w:val="clear" w:color="auto" w:fill="auto"/>
        <w:bidi w:val="0"/>
        <w:spacing w:before="0" w:line="619" w:lineRule="exact"/>
        <w:ind w:left="0" w:right="0"/>
        <w:jc w:val="both"/>
      </w:pPr>
      <w:r>
        <w:rPr>
          <w:color w:val="000000"/>
          <w:spacing w:val="0"/>
          <w:w w:val="100"/>
          <w:position w:val="0"/>
        </w:rPr>
        <w:t>本年度报告涉及的发展战略、未来计划等前瞻性陈述不构成公司对投资者 的实质承诺，投资者及相关人士均应当对此保持足够的风险认识，并且应当理 解计划、预测与承诺之间的差异，敬请投资者注意投资风险。</w:t>
      </w:r>
    </w:p>
    <w:p>
      <w:pPr>
        <w:pStyle w:val="Style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2"/>
        <w:keepNext w:val="0"/>
        <w:keepLines w:val="0"/>
        <w:widowControl w:val="0"/>
        <w:shd w:val="clear" w:color="auto" w:fill="auto"/>
        <w:tabs>
          <w:tab w:leader="dot" w:pos="9616"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6"/>
            <w:szCs w:val="16"/>
          </w:rPr>
          <w:t>第一节重要提示、目录和释义</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2</w:t>
        </w:r>
      </w:hyperlink>
    </w:p>
    <w:p>
      <w:pPr>
        <w:pStyle w:val="Style12"/>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8" w:tooltip="Current Document">
        <w:r>
          <w:rPr>
            <w:color w:val="000000"/>
            <w:spacing w:val="0"/>
            <w:w w:val="100"/>
            <w:position w:val="0"/>
            <w:sz w:val="16"/>
            <w:szCs w:val="16"/>
          </w:rPr>
          <w:t>第二节公司简介和主要财务指标</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5</w:t>
        </w:r>
      </w:hyperlink>
    </w:p>
    <w:p>
      <w:pPr>
        <w:pStyle w:val="Style12"/>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55" w:tooltip="Current Document">
        <w:r>
          <w:rPr>
            <w:color w:val="000000"/>
            <w:spacing w:val="0"/>
            <w:w w:val="100"/>
            <w:position w:val="0"/>
            <w:sz w:val="16"/>
            <w:szCs w:val="16"/>
          </w:rPr>
          <w:t>第三节管理层讨论与分析</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9</w:t>
        </w:r>
      </w:hyperlink>
    </w:p>
    <w:p>
      <w:pPr>
        <w:pStyle w:val="Style12"/>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235" w:tooltip="Current Document">
        <w:r>
          <w:rPr>
            <w:color w:val="000000"/>
            <w:spacing w:val="0"/>
            <w:w w:val="100"/>
            <w:position w:val="0"/>
            <w:sz w:val="16"/>
            <w:szCs w:val="16"/>
          </w:rPr>
          <w:t>第四节公司治理</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34</w:t>
        </w:r>
      </w:hyperlink>
    </w:p>
    <w:p>
      <w:pPr>
        <w:pStyle w:val="Style12"/>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392" w:tooltip="Current Document">
        <w:r>
          <w:rPr>
            <w:color w:val="000000"/>
            <w:spacing w:val="0"/>
            <w:w w:val="100"/>
            <w:position w:val="0"/>
            <w:sz w:val="16"/>
            <w:szCs w:val="16"/>
          </w:rPr>
          <w:t>第五节环境和社会责任</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53</w:t>
        </w:r>
      </w:hyperlink>
    </w:p>
    <w:p>
      <w:pPr>
        <w:pStyle w:val="Style12"/>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412" w:tooltip="Current Document">
        <w:r>
          <w:rPr>
            <w:color w:val="000000"/>
            <w:spacing w:val="0"/>
            <w:w w:val="100"/>
            <w:position w:val="0"/>
            <w:sz w:val="16"/>
            <w:szCs w:val="16"/>
          </w:rPr>
          <w:t>第六节重要事项</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56</w:t>
        </w:r>
      </w:hyperlink>
    </w:p>
    <w:p>
      <w:pPr>
        <w:pStyle w:val="Style12"/>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555" w:tooltip="Current Document">
        <w:r>
          <w:rPr>
            <w:color w:val="000000"/>
            <w:spacing w:val="0"/>
            <w:w w:val="100"/>
            <w:position w:val="0"/>
            <w:sz w:val="16"/>
            <w:szCs w:val="16"/>
          </w:rPr>
          <w:t>第七节股份变动及股东情况</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77</w:t>
        </w:r>
      </w:hyperlink>
    </w:p>
    <w:p>
      <w:pPr>
        <w:pStyle w:val="Style12"/>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620" w:tooltip="Current Document">
        <w:r>
          <w:rPr>
            <w:color w:val="000000"/>
            <w:spacing w:val="0"/>
            <w:w w:val="100"/>
            <w:position w:val="0"/>
            <w:sz w:val="16"/>
            <w:szCs w:val="16"/>
          </w:rPr>
          <w:t>第八节优先股相关情况</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83</w:t>
        </w:r>
      </w:hyperlink>
    </w:p>
    <w:p>
      <w:pPr>
        <w:pStyle w:val="Style12"/>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624" w:tooltip="Current Document">
        <w:r>
          <w:rPr>
            <w:color w:val="000000"/>
            <w:spacing w:val="0"/>
            <w:w w:val="100"/>
            <w:position w:val="0"/>
            <w:sz w:val="16"/>
            <w:szCs w:val="16"/>
          </w:rPr>
          <w:t>第九节债券相关情况</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84</w:t>
        </w:r>
      </w:hyperlink>
    </w:p>
    <w:p>
      <w:pPr>
        <w:pStyle w:val="Style12"/>
        <w:keepNext w:val="0"/>
        <w:keepLines w:val="0"/>
        <w:widowControl w:val="0"/>
        <w:shd w:val="clear" w:color="auto" w:fill="auto"/>
        <w:tabs>
          <w:tab w:leader="dot" w:pos="9616"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57" w:right="1107" w:bottom="2857" w:left="1112" w:header="0" w:footer="3" w:gutter="0"/>
          <w:cols w:space="720"/>
          <w:noEndnote/>
          <w:rtlGutter w:val="0"/>
          <w:docGrid w:linePitch="360"/>
        </w:sectPr>
      </w:pPr>
      <w:hyperlink w:anchor="bookmark628" w:tooltip="Current Document">
        <w:r>
          <w:rPr>
            <w:color w:val="000000"/>
            <w:spacing w:val="0"/>
            <w:w w:val="100"/>
            <w:position w:val="0"/>
            <w:sz w:val="16"/>
            <w:szCs w:val="16"/>
          </w:rPr>
          <w:t>第十节财务报告</w:t>
        </w:r>
        <w:r>
          <w:rPr>
            <w:color w:val="000000"/>
            <w:spacing w:val="0"/>
            <w:w w:val="100"/>
            <w:position w:val="0"/>
            <w:sz w:val="16"/>
            <w:szCs w:val="16"/>
          </w:rPr>
          <w:tab/>
        </w:r>
        <w:r>
          <w:rPr>
            <w:rFonts w:ascii="Times New Roman" w:eastAsia="Times New Roman" w:hAnsi="Times New Roman" w:cs="Times New Roman"/>
            <w:color w:val="000000"/>
            <w:spacing w:val="0"/>
            <w:w w:val="100"/>
            <w:position w:val="0"/>
            <w:sz w:val="18"/>
            <w:szCs w:val="18"/>
          </w:rPr>
          <w:t>85</w:t>
        </w:r>
      </w:hyperlink>
      <w:r>
        <w:fldChar w:fldCharType="end"/>
      </w:r>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备查文件目录</w:t>
      </w:r>
    </w:p>
    <w:p>
      <w:pPr>
        <w:pStyle w:val="Style17"/>
        <w:keepNext w:val="0"/>
        <w:keepLines w:val="0"/>
        <w:widowControl w:val="0"/>
        <w:shd w:val="clear" w:color="auto" w:fill="auto"/>
        <w:tabs>
          <w:tab w:pos="909" w:val="left"/>
        </w:tabs>
        <w:bidi w:val="0"/>
        <w:spacing w:before="0" w:after="0" w:line="475" w:lineRule="exact"/>
        <w:ind w:left="0" w:right="0" w:firstLine="440"/>
        <w:jc w:val="left"/>
      </w:pPr>
      <w:bookmarkStart w:id="4" w:name="bookmark4"/>
      <w:r>
        <w:rPr>
          <w:color w:val="000000"/>
          <w:spacing w:val="0"/>
          <w:w w:val="100"/>
          <w:position w:val="0"/>
        </w:rPr>
        <w:t>一</w:t>
      </w:r>
      <w:bookmarkEnd w:id="4"/>
      <w:r>
        <w:rPr>
          <w:color w:val="000000"/>
          <w:spacing w:val="0"/>
          <w:w w:val="100"/>
          <w:position w:val="0"/>
        </w:rPr>
        <w:t>、</w:t>
        <w:tab/>
        <w:t>载有公司法定代表人、财务总监、财务经理签名并盖章的</w:t>
      </w:r>
      <w:r>
        <w:rPr>
          <w:rFonts w:ascii="Times New Roman" w:eastAsia="Times New Roman" w:hAnsi="Times New Roman" w:cs="Times New Roman"/>
          <w:color w:val="000000"/>
          <w:spacing w:val="0"/>
          <w:w w:val="100"/>
          <w:position w:val="0"/>
        </w:rPr>
        <w:t>2021</w:t>
      </w:r>
      <w:r>
        <w:rPr>
          <w:color w:val="000000"/>
          <w:spacing w:val="0"/>
          <w:w w:val="100"/>
          <w:position w:val="0"/>
        </w:rPr>
        <w:t>年度会计报表。</w:t>
      </w:r>
    </w:p>
    <w:p>
      <w:pPr>
        <w:pStyle w:val="Style17"/>
        <w:keepNext w:val="0"/>
        <w:keepLines w:val="0"/>
        <w:widowControl w:val="0"/>
        <w:shd w:val="clear" w:color="auto" w:fill="auto"/>
        <w:tabs>
          <w:tab w:pos="901" w:val="left"/>
        </w:tabs>
        <w:bidi w:val="0"/>
        <w:spacing w:before="0" w:after="0" w:line="475" w:lineRule="exact"/>
        <w:ind w:left="0" w:right="0" w:firstLine="440"/>
        <w:jc w:val="left"/>
      </w:pPr>
      <w:bookmarkStart w:id="5" w:name="bookmark5"/>
      <w:r>
        <w:rPr>
          <w:color w:val="000000"/>
          <w:spacing w:val="0"/>
          <w:w w:val="100"/>
          <w:position w:val="0"/>
        </w:rPr>
        <w:t>二</w:t>
      </w:r>
      <w:bookmarkEnd w:id="5"/>
      <w:r>
        <w:rPr>
          <w:color w:val="000000"/>
          <w:spacing w:val="0"/>
          <w:w w:val="100"/>
          <w:position w:val="0"/>
        </w:rPr>
        <w:t>、</w:t>
        <w:tab/>
        <w:t>载有中兴财光华会计师事务所（特殊普通合伙）盖章、注册会计师签名并盖章的</w:t>
      </w:r>
      <w:r>
        <w:rPr>
          <w:rFonts w:ascii="Times New Roman" w:eastAsia="Times New Roman" w:hAnsi="Times New Roman" w:cs="Times New Roman"/>
          <w:color w:val="000000"/>
          <w:spacing w:val="0"/>
          <w:w w:val="100"/>
          <w:position w:val="0"/>
        </w:rPr>
        <w:t>2021</w:t>
      </w:r>
      <w:r>
        <w:rPr>
          <w:color w:val="000000"/>
          <w:spacing w:val="0"/>
          <w:w w:val="100"/>
          <w:position w:val="0"/>
        </w:rPr>
        <w:t>年度审计 报告原件。</w:t>
      </w:r>
    </w:p>
    <w:p>
      <w:pPr>
        <w:pStyle w:val="Style17"/>
        <w:keepNext w:val="0"/>
        <w:keepLines w:val="0"/>
        <w:widowControl w:val="0"/>
        <w:shd w:val="clear" w:color="auto" w:fill="auto"/>
        <w:tabs>
          <w:tab w:pos="914" w:val="left"/>
        </w:tabs>
        <w:bidi w:val="0"/>
        <w:spacing w:before="0" w:after="340" w:line="475" w:lineRule="exact"/>
        <w:ind w:left="0" w:right="0" w:firstLine="440"/>
        <w:jc w:val="left"/>
        <w:sectPr>
          <w:footnotePr>
            <w:pos w:val="pageBottom"/>
            <w:numFmt w:val="decimal"/>
            <w:numRestart w:val="continuous"/>
          </w:footnotePr>
          <w:pgSz w:w="11900" w:h="16840"/>
          <w:pgMar w:top="2094" w:right="1189" w:bottom="2094" w:left="1107" w:header="0" w:footer="3" w:gutter="0"/>
          <w:cols w:space="720"/>
          <w:noEndnote/>
          <w:rtlGutter w:val="0"/>
          <w:docGrid w:linePitch="360"/>
        </w:sectPr>
      </w:pPr>
      <w:bookmarkStart w:id="6" w:name="bookmark6"/>
      <w:r>
        <w:rPr>
          <w:color w:val="000000"/>
          <w:spacing w:val="0"/>
          <w:w w:val="100"/>
          <w:position w:val="0"/>
        </w:rPr>
        <w:t>三</w:t>
      </w:r>
      <w:bookmarkEnd w:id="6"/>
      <w:r>
        <w:rPr>
          <w:color w:val="000000"/>
          <w:spacing w:val="0"/>
          <w:w w:val="100"/>
          <w:position w:val="0"/>
        </w:rPr>
        <w:t>、</w:t>
        <w:tab/>
        <w:t>报告期内在《中国证券报》、《证券时报》公开披露过的所有公司文件正本及公告原稿。</w:t>
      </w:r>
    </w:p>
    <w:p>
      <w:pPr>
        <w:pStyle w:val="Style8"/>
        <w:keepNext/>
        <w:keepLines/>
        <w:widowControl w:val="0"/>
        <w:shd w:val="clear" w:color="auto" w:fill="auto"/>
        <w:bidi w:val="0"/>
        <w:spacing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0"/>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rPr>
        <w:t>、公司信息</w:t>
      </w:r>
      <w:bookmarkEnd w:id="11"/>
      <w:bookmarkEnd w:id="12"/>
      <w:bookmarkEnd w:id="13"/>
      <w:bookmarkEnd w:id="10"/>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942" w:val="left"/>
                <w:tab w:pos="5098" w:val="left"/>
              </w:tabs>
              <w:bidi w:val="0"/>
              <w:spacing w:before="0" w:after="0" w:line="240" w:lineRule="auto"/>
              <w:ind w:left="0" w:right="0" w:firstLine="0"/>
              <w:jc w:val="left"/>
              <w:rPr>
                <w:sz w:val="18"/>
                <w:szCs w:val="18"/>
              </w:rPr>
            </w:pPr>
            <w:r>
              <w:rPr>
                <w:color w:val="000000"/>
                <w:spacing w:val="0"/>
                <w:w w:val="100"/>
                <w:position w:val="0"/>
                <w:sz w:val="16"/>
                <w:szCs w:val="16"/>
              </w:rPr>
              <w:t>东旭蓝天</w:t>
              <w:tab/>
              <w:t>股票代码</w:t>
              <w:tab/>
            </w:r>
            <w:r>
              <w:rPr>
                <w:rFonts w:ascii="Times New Roman" w:eastAsia="Times New Roman" w:hAnsi="Times New Roman" w:cs="Times New Roman"/>
                <w:color w:val="000000"/>
                <w:spacing w:val="0"/>
                <w:w w:val="100"/>
                <w:position w:val="0"/>
                <w:sz w:val="18"/>
                <w:szCs w:val="18"/>
              </w:rPr>
              <w:t>000040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东旭蓝天新能源股份有限公司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东旭蓝天</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TUNGHSU AZURE RENEWABLE ENERGY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赵艳军</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深圳市罗湖区东门中路</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号鸿基大厦</w:t>
            </w:r>
            <w:r>
              <w:rPr>
                <w:rFonts w:ascii="Times New Roman" w:eastAsia="Times New Roman" w:hAnsi="Times New Roman" w:cs="Times New Roman"/>
                <w:color w:val="000000"/>
                <w:spacing w:val="0"/>
                <w:w w:val="100"/>
                <w:position w:val="0"/>
                <w:sz w:val="18"/>
                <w:szCs w:val="18"/>
              </w:rPr>
              <w:t>25-27</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深圳市罗湖区东门中路</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号鸿基大厦</w:t>
            </w:r>
            <w:r>
              <w:rPr>
                <w:rFonts w:ascii="Times New Roman" w:eastAsia="Times New Roman" w:hAnsi="Times New Roman" w:cs="Times New Roman"/>
                <w:color w:val="000000"/>
                <w:spacing w:val="0"/>
                <w:w w:val="100"/>
                <w:position w:val="0"/>
                <w:sz w:val="18"/>
                <w:szCs w:val="18"/>
              </w:rPr>
              <w:t>25-27</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dongxulantian. com</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sz000040@dongxu. com</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刘莹</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北京市西城区菜园街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深圳市罗湖区东门中路</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号鸿基大 厦</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010-63541562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0755-82367726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sz000040@dongxu. com</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sz000040@dongxu. com</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公司证券部办公室</w:t>
            </w:r>
          </w:p>
        </w:tc>
      </w:tr>
    </w:tbl>
    <w:p>
      <w:pPr>
        <w:spacing w:lineRule="exact" w:line="1"/>
        <w:rPr>
          <w:sz w:val="2"/>
          <w:szCs w:val="2"/>
        </w:rPr>
      </w:pPr>
      <w:r>
        <w:br w:type="page"/>
      </w:r>
    </w:p>
    <w:p>
      <w:pPr>
        <w:pStyle w:val="Style20"/>
        <w:keepNext/>
        <w:keepLines/>
        <w:widowControl w:val="0"/>
        <w:shd w:val="clear" w:color="auto" w:fill="auto"/>
        <w:bidi w:val="0"/>
        <w:spacing w:before="0" w:after="32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、注册变更情况</w:t>
      </w:r>
      <w:bookmarkEnd w:id="22"/>
      <w:bookmarkEnd w:id="23"/>
      <w:bookmarkEnd w:id="25"/>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19217441-8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报告期内主营业务无变更。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报告期内控股股东无变更。</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、其他有关资料</w:t>
      </w:r>
      <w:bookmarkEnd w:id="26"/>
      <w:bookmarkEnd w:id="27"/>
      <w:bookmarkEnd w:id="2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号万通新世界写字楼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康利岩、王雅栋</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、主要会计数据和财务指标</w:t>
      </w:r>
      <w:bookmarkEnd w:id="30"/>
      <w:bookmarkEnd w:id="31"/>
      <w:bookmarkEnd w:id="33"/>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3,876,723,009.56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3,471,428,437.98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6,805,761,615.72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-590,275,892.41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-1,020,892,685.09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-957,109,228.27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-620,551,853.33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-1,107,282,541.04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-974,626,991.58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257,751,864.22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547,736,979.29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580,380,937.26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26,152,927,015.00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26,201,168,826.73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30,987,232,190.53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11,585,277,202.14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12,173,091,627.70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13,411,944,757.84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定性</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3,876,723,009.56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3,471,428,437.98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主要系电力销售，生态环保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661,213.24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2,667,339.88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销售原材料，废旧物资等正常 经营活动之外的业务收入</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3,876,061,796.32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3,468,761,098.10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销售原材料，废旧物资等正常 经营活动之外的业务收入</w:t>
            </w:r>
          </w:p>
        </w:tc>
      </w:tr>
    </w:tbl>
    <w:p>
      <w:pPr>
        <w:widowControl w:val="0"/>
        <w:spacing w:after="319" w:line="1" w:lineRule="exact"/>
      </w:pPr>
    </w:p>
    <w:p>
      <w:pPr>
        <w:pStyle w:val="Style20"/>
        <w:keepNext/>
        <w:keepLines/>
        <w:widowControl w:val="0"/>
        <w:shd w:val="clear" w:color="auto" w:fill="auto"/>
        <w:tabs>
          <w:tab w:pos="522" w:val="left"/>
        </w:tabs>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31"/>
        <w:keepNext/>
        <w:keepLines/>
        <w:widowControl w:val="0"/>
        <w:shd w:val="clear" w:color="auto" w:fill="auto"/>
        <w:tabs>
          <w:tab w:pos="395"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395" w:val="left"/>
        </w:tabs>
        <w:bidi w:val="0"/>
        <w:spacing w:before="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分季度主要财务指标</w:t>
      </w:r>
      <w:bookmarkEnd w:id="46"/>
      <w:bookmarkEnd w:id="47"/>
      <w:bookmarkEnd w:id="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584,504,377.24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1,128,184,957.70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1,103,232,244.42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1,060,801,430.20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-82,463,112.91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-114,208,511.60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17,398,447.10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-411,002,715.00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-71,084,938.98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-127,565,146.25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25,301,236.63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-447,203,004.73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21,118,568.62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224,146,476.31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53,211,112.44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-40,724,293.15</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0"/>
        <w:keepNext/>
        <w:keepLines/>
        <w:widowControl w:val="0"/>
        <w:shd w:val="clear" w:color="auto" w:fill="auto"/>
        <w:bidi w:val="0"/>
        <w:spacing w:before="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、非经常性损益项目及金额</w:t>
      </w:r>
      <w:bookmarkEnd w:id="50"/>
      <w:bookmarkEnd w:id="51"/>
      <w:bookmarkEnd w:id="53"/>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421"/>
        <w:gridCol w:w="1421"/>
        <w:gridCol w:w="192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02"/>
        <w:gridCol w:w="1517"/>
        <w:gridCol w:w="1421"/>
        <w:gridCol w:w="1421"/>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-5,936,337.60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-89,596,167.11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93,132,421.76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主要系处置子公司产生 的投资收益</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14,744,653.08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34,189,408.94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31,067,801.48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主要系政府补助</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10,295,512.18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2,073,810.92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152,490,745.90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-18,182,200.00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主要系融资展期产生</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240,704,482.12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-130,975,178.95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-88,276,809.37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-109,799,032.90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主要系合同违约金产生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2,637,944.63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1,271,284.65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-2,314,046.70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30,275,960.92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86,389,855.95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17,517,763.31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line="322" w:lineRule="exact"/>
        <w:ind w:left="0" w:right="0" w:firstLine="0"/>
        <w:jc w:val="left"/>
      </w:pPr>
      <w:r>
        <w:rPr>
          <w:color w:val="000000"/>
          <w:spacing w:val="0"/>
          <w:w w:val="100"/>
          <w:position w:val="0"/>
        </w:rPr>
        <w:t>其他符合非经常性损益定义的损益项目的具体情况：</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27"/>
        <w:keepNext w:val="0"/>
        <w:keepLines w:val="0"/>
        <w:widowControl w:val="0"/>
        <w:shd w:val="clear" w:color="auto" w:fill="auto"/>
        <w:bidi w:val="0"/>
        <w:spacing w:before="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22" w:lineRule="exact"/>
        <w:ind w:left="0" w:right="0" w:firstLine="0"/>
        <w:jc w:val="left"/>
        <w:sectPr>
          <w:footnotePr>
            <w:pos w:val="pageBottom"/>
            <w:numFmt w:val="decimal"/>
            <w:numRestart w:val="continuous"/>
          </w:footnotePr>
          <w:pgSz w:w="11900" w:h="16840"/>
          <w:pgMar w:top="1441" w:right="1110" w:bottom="1647" w:left="1098"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8"/>
        <w:keepNext/>
        <w:keepLines/>
        <w:widowControl w:val="0"/>
        <w:shd w:val="clear" w:color="auto" w:fill="auto"/>
        <w:bidi w:val="0"/>
        <w:spacing w:before="60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0"/>
        <w:keepNext/>
        <w:keepLines/>
        <w:widowControl w:val="0"/>
        <w:shd w:val="clear" w:color="auto" w:fill="auto"/>
        <w:bidi w:val="0"/>
        <w:spacing w:before="0" w:after="400" w:line="240" w:lineRule="auto"/>
        <w:ind w:left="0" w:right="0" w:firstLine="0"/>
        <w:jc w:val="left"/>
      </w:pPr>
      <w:bookmarkStart w:id="57" w:name="bookmark57"/>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、报告期内公司所处的行业情况</w:t>
      </w:r>
      <w:bookmarkEnd w:id="58"/>
      <w:bookmarkEnd w:id="59"/>
      <w:bookmarkEnd w:id="61"/>
      <w:bookmarkEnd w:id="5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号——行业信息披露》中电力相关业的披露要求</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公司紧跟国家</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目标和乡村振兴战略指引，持续聚焦新能源及环保绿色产业，巩固推 进</w:t>
      </w:r>
      <w:r>
        <w:rPr>
          <w:rFonts w:ascii="Times New Roman" w:eastAsia="Times New Roman" w:hAnsi="Times New Roman" w:cs="Times New Roman"/>
          <w:color w:val="000000"/>
          <w:spacing w:val="0"/>
          <w:w w:val="100"/>
          <w:position w:val="0"/>
        </w:rPr>
        <w:t>“</w:t>
      </w:r>
      <w:r>
        <w:rPr>
          <w:color w:val="000000"/>
          <w:spacing w:val="0"/>
          <w:w w:val="100"/>
          <w:position w:val="0"/>
        </w:rPr>
        <w:t>智慧能源</w:t>
      </w:r>
      <w:r>
        <w:rPr>
          <w:rFonts w:ascii="Times New Roman" w:eastAsia="Times New Roman" w:hAnsi="Times New Roman" w:cs="Times New Roman"/>
          <w:color w:val="000000"/>
          <w:spacing w:val="0"/>
          <w:w w:val="100"/>
          <w:position w:val="0"/>
        </w:rPr>
        <w:t>+</w:t>
      </w:r>
      <w:r>
        <w:rPr>
          <w:color w:val="000000"/>
          <w:spacing w:val="0"/>
          <w:w w:val="100"/>
          <w:position w:val="0"/>
        </w:rPr>
        <w:t>环保治理</w:t>
      </w:r>
      <w:r>
        <w:rPr>
          <w:rFonts w:ascii="Times New Roman" w:eastAsia="Times New Roman" w:hAnsi="Times New Roman" w:cs="Times New Roman"/>
          <w:color w:val="000000"/>
          <w:spacing w:val="0"/>
          <w:w w:val="100"/>
          <w:position w:val="0"/>
        </w:rPr>
        <w:t>''</w:t>
      </w:r>
      <w:r>
        <w:rPr>
          <w:color w:val="000000"/>
          <w:spacing w:val="0"/>
          <w:w w:val="100"/>
          <w:position w:val="0"/>
        </w:rPr>
        <w:t>产业模式，致力于成为领先的环保新能源综合服务商，为客户提供智慧能源运营 服务、生态环境治理等一体化的绿色发展综合解决方案和技术服务。</w:t>
      </w:r>
    </w:p>
    <w:p>
      <w:pPr>
        <w:pStyle w:val="Style17"/>
        <w:keepNext w:val="0"/>
        <w:keepLines w:val="0"/>
        <w:widowControl w:val="0"/>
        <w:shd w:val="clear" w:color="auto" w:fill="auto"/>
        <w:bidi w:val="0"/>
        <w:spacing w:before="0" w:after="240" w:line="470" w:lineRule="exact"/>
        <w:ind w:left="0" w:right="0" w:firstLine="440"/>
        <w:jc w:val="both"/>
      </w:pPr>
      <w:bookmarkStart w:id="62" w:name="bookmark62"/>
      <w:r>
        <w:rPr>
          <w:color w:val="000000"/>
          <w:spacing w:val="0"/>
          <w:w w:val="100"/>
          <w:position w:val="0"/>
        </w:rPr>
        <w:t>（</w:t>
      </w:r>
      <w:bookmarkEnd w:id="62"/>
      <w:r>
        <w:rPr>
          <w:color w:val="000000"/>
          <w:spacing w:val="0"/>
          <w:w w:val="100"/>
          <w:position w:val="0"/>
        </w:rPr>
        <w:t>一）公司所处行业的政策环境</w:t>
      </w:r>
    </w:p>
    <w:p>
      <w:pPr>
        <w:pStyle w:val="Style17"/>
        <w:keepNext w:val="0"/>
        <w:keepLines w:val="0"/>
        <w:widowControl w:val="0"/>
        <w:shd w:val="clear" w:color="auto" w:fill="auto"/>
        <w:tabs>
          <w:tab w:pos="757" w:val="left"/>
        </w:tabs>
        <w:bidi w:val="0"/>
        <w:spacing w:before="0" w:after="0" w:line="492" w:lineRule="auto"/>
        <w:ind w:left="0" w:right="0" w:firstLine="440"/>
        <w:jc w:val="both"/>
      </w:pPr>
      <w:bookmarkStart w:id="63" w:name="bookmark63"/>
      <w:r>
        <w:rPr>
          <w:rFonts w:ascii="Times New Roman" w:eastAsia="Times New Roman" w:hAnsi="Times New Roman" w:cs="Times New Roman"/>
          <w:color w:val="000000"/>
          <w:spacing w:val="0"/>
          <w:w w:val="100"/>
          <w:position w:val="0"/>
        </w:rPr>
        <w:t>1</w:t>
      </w:r>
      <w:bookmarkEnd w:id="63"/>
      <w:r>
        <w:rPr>
          <w:color w:val="000000"/>
          <w:spacing w:val="0"/>
          <w:w w:val="100"/>
          <w:position w:val="0"/>
        </w:rPr>
        <w:t>、</w:t>
        <w:tab/>
        <w:t>新能源业务</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根据国家能源局统计数据，我国</w:t>
      </w:r>
      <w:r>
        <w:rPr>
          <w:rFonts w:ascii="Times New Roman" w:eastAsia="Times New Roman" w:hAnsi="Times New Roman" w:cs="Times New Roman"/>
          <w:color w:val="000000"/>
          <w:spacing w:val="0"/>
          <w:w w:val="100"/>
          <w:position w:val="0"/>
        </w:rPr>
        <w:t>2021</w:t>
      </w:r>
      <w:r>
        <w:rPr>
          <w:color w:val="000000"/>
          <w:spacing w:val="0"/>
          <w:w w:val="100"/>
          <w:position w:val="0"/>
        </w:rPr>
        <w:t>年新增光伏发电并网装机容量约</w:t>
      </w:r>
      <w:r>
        <w:rPr>
          <w:rFonts w:ascii="Times New Roman" w:eastAsia="Times New Roman" w:hAnsi="Times New Roman" w:cs="Times New Roman"/>
          <w:color w:val="000000"/>
          <w:spacing w:val="0"/>
          <w:w w:val="100"/>
          <w:position w:val="0"/>
        </w:rPr>
        <w:t>54.88GW</w:t>
      </w:r>
      <w:r>
        <w:rPr>
          <w:color w:val="000000"/>
          <w:spacing w:val="0"/>
          <w:w w:val="100"/>
          <w:position w:val="0"/>
        </w:rPr>
        <w:t>，</w:t>
      </w:r>
      <w:r>
        <w:rPr>
          <w:color w:val="000000"/>
          <w:spacing w:val="0"/>
          <w:w w:val="100"/>
          <w:position w:val="0"/>
        </w:rPr>
        <w:t>风电装机容量约</w:t>
      </w:r>
      <w:r>
        <w:rPr>
          <w:rFonts w:ascii="Times New Roman" w:eastAsia="Times New Roman" w:hAnsi="Times New Roman" w:cs="Times New Roman"/>
          <w:color w:val="000000"/>
          <w:spacing w:val="0"/>
          <w:w w:val="100"/>
          <w:position w:val="0"/>
        </w:rPr>
        <w:t xml:space="preserve">3.3 </w:t>
      </w:r>
      <w:r>
        <w:rPr>
          <w:color w:val="000000"/>
          <w:spacing w:val="0"/>
          <w:w w:val="100"/>
          <w:position w:val="0"/>
        </w:rPr>
        <w:t>亿千瓦，同比增长</w:t>
      </w:r>
      <w:r>
        <w:rPr>
          <w:rFonts w:ascii="Times New Roman" w:eastAsia="Times New Roman" w:hAnsi="Times New Roman" w:cs="Times New Roman"/>
          <w:color w:val="000000"/>
          <w:spacing w:val="0"/>
          <w:w w:val="100"/>
          <w:position w:val="0"/>
        </w:rPr>
        <w:t>13.9%</w:t>
      </w:r>
      <w:r>
        <w:rPr>
          <w:color w:val="000000"/>
          <w:spacing w:val="0"/>
          <w:w w:val="100"/>
          <w:position w:val="0"/>
        </w:rPr>
        <w:t>。其中新增光伏连续</w:t>
      </w:r>
      <w:r>
        <w:rPr>
          <w:rFonts w:ascii="Times New Roman" w:eastAsia="Times New Roman" w:hAnsi="Times New Roman" w:cs="Times New Roman"/>
          <w:color w:val="000000"/>
          <w:spacing w:val="0"/>
          <w:w w:val="100"/>
          <w:position w:val="0"/>
        </w:rPr>
        <w:t>9</w:t>
      </w:r>
      <w:r>
        <w:rPr>
          <w:color w:val="000000"/>
          <w:spacing w:val="0"/>
          <w:w w:val="100"/>
          <w:position w:val="0"/>
        </w:rPr>
        <w:t>年稳居世界首位。</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首年，新能源发电建设实现新突 破，呈现新特点。</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全球已有</w:t>
      </w:r>
      <w:r>
        <w:rPr>
          <w:rFonts w:ascii="Times New Roman" w:eastAsia="Times New Roman" w:hAnsi="Times New Roman" w:cs="Times New Roman"/>
          <w:color w:val="000000"/>
          <w:spacing w:val="0"/>
          <w:w w:val="100"/>
          <w:position w:val="0"/>
        </w:rPr>
        <w:t>130</w:t>
      </w:r>
      <w:r>
        <w:rPr>
          <w:color w:val="000000"/>
          <w:spacing w:val="0"/>
          <w:w w:val="100"/>
          <w:position w:val="0"/>
        </w:rPr>
        <w:t>多个国家提出了</w:t>
      </w:r>
      <w:r>
        <w:rPr>
          <w:rFonts w:ascii="Times New Roman" w:eastAsia="Times New Roman" w:hAnsi="Times New Roman" w:cs="Times New Roman"/>
          <w:color w:val="000000"/>
          <w:spacing w:val="0"/>
          <w:w w:val="100"/>
          <w:position w:val="0"/>
        </w:rPr>
        <w:t>“</w:t>
      </w:r>
      <w:r>
        <w:rPr>
          <w:color w:val="000000"/>
          <w:spacing w:val="0"/>
          <w:w w:val="100"/>
          <w:position w:val="0"/>
        </w:rPr>
        <w:t>零碳</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 xml:space="preserve">目标，向清洁低碳能源转型已成为必由之路。中国围绕 </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目标的实现进行了部署，为整个再生能源行业的发展指明了方向。今年的政府工作报告提出，要加 快落实碳达峰行动方案，推进大型风光电基地及其配套调节性电源规划建设，提升电网对可再生能源发电 的消纳能力。</w:t>
      </w:r>
    </w:p>
    <w:p>
      <w:pPr>
        <w:pStyle w:val="Style17"/>
        <w:keepNext w:val="0"/>
        <w:keepLines w:val="0"/>
        <w:widowControl w:val="0"/>
        <w:shd w:val="clear" w:color="auto" w:fill="auto"/>
        <w:bidi w:val="0"/>
        <w:spacing w:before="0" w:after="24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月，国务院印发《</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年前碳达峰行动方案的通知》，作为碳达峰碳中和</w:t>
      </w:r>
      <w:r>
        <w:rPr>
          <w:rFonts w:ascii="Times New Roman" w:eastAsia="Times New Roman" w:hAnsi="Times New Roman" w:cs="Times New Roman"/>
          <w:color w:val="000000"/>
          <w:spacing w:val="0"/>
          <w:w w:val="100"/>
          <w:position w:val="0"/>
        </w:rPr>
        <w:t>“1+N”</w:t>
      </w:r>
      <w:r>
        <w:rPr>
          <w:color w:val="000000"/>
          <w:spacing w:val="0"/>
          <w:w w:val="100"/>
          <w:position w:val="0"/>
        </w:rPr>
        <w:t>政策体系中 的纲领性文件，进一步明确了光伏、风电、储能将在实现碳达峰碳中和目标过程中承担重要任务，提出全 面推进风电、太阳能发电大规模开发和高质量发展；到</w:t>
      </w:r>
      <w:r>
        <w:rPr>
          <w:rFonts w:ascii="Times New Roman" w:eastAsia="Times New Roman" w:hAnsi="Times New Roman" w:cs="Times New Roman"/>
          <w:color w:val="000000"/>
          <w:spacing w:val="0"/>
          <w:w w:val="100"/>
          <w:position w:val="0"/>
        </w:rPr>
        <w:t>2030</w:t>
      </w:r>
      <w:r>
        <w:rPr>
          <w:color w:val="000000"/>
          <w:spacing w:val="0"/>
          <w:w w:val="100"/>
          <w:position w:val="0"/>
        </w:rPr>
        <w:t>年，风电、太阳能发电总装机容量达</w:t>
      </w:r>
      <w:r>
        <w:rPr>
          <w:rFonts w:ascii="Times New Roman" w:eastAsia="Times New Roman" w:hAnsi="Times New Roman" w:cs="Times New Roman"/>
          <w:color w:val="000000"/>
          <w:spacing w:val="0"/>
          <w:w w:val="100"/>
          <w:position w:val="0"/>
        </w:rPr>
        <w:t>12</w:t>
      </w:r>
      <w:r>
        <w:rPr>
          <w:color w:val="000000"/>
          <w:spacing w:val="0"/>
          <w:w w:val="100"/>
          <w:position w:val="0"/>
        </w:rPr>
        <w:t>亿</w:t>
      </w:r>
      <w:r>
        <w:rPr>
          <w:rFonts w:ascii="Times New Roman" w:eastAsia="Times New Roman" w:hAnsi="Times New Roman" w:cs="Times New Roman"/>
          <w:color w:val="000000"/>
          <w:spacing w:val="0"/>
          <w:w w:val="100"/>
          <w:position w:val="0"/>
        </w:rPr>
        <w:t xml:space="preserve">KW </w:t>
      </w:r>
      <w:r>
        <w:rPr>
          <w:color w:val="000000"/>
          <w:spacing w:val="0"/>
          <w:w w:val="100"/>
          <w:position w:val="0"/>
        </w:rPr>
        <w:t>以上。同月，国务院印发</w:t>
      </w:r>
      <w:r>
        <w:fldChar w:fldCharType="begin"/>
      </w:r>
      <w:r>
        <w:rPr/>
        <w:instrText> HYPERLINK "https://mp.weixin.qq.com/s/JbEvgMLWEe0Xg8OtCgurww" </w:instrText>
      </w:r>
      <w:r>
        <w:fldChar w:fldCharType="separate"/>
      </w:r>
      <w:r>
        <w:rPr>
          <w:color w:val="000000"/>
          <w:spacing w:val="0"/>
          <w:w w:val="100"/>
          <w:position w:val="0"/>
        </w:rPr>
        <w:t>《关于完整准确全面贯彻新发展理念做好碳达峰碳中和工作的意见》</w:t>
      </w:r>
      <w:r>
        <w:fldChar w:fldCharType="end"/>
      </w:r>
      <w:r>
        <w:rPr>
          <w:color w:val="000000"/>
          <w:spacing w:val="0"/>
          <w:w w:val="100"/>
          <w:position w:val="0"/>
        </w:rPr>
        <w:t>进一步强调 了发展可再生能源对实现</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目标的重要作用，明确提出</w:t>
      </w:r>
      <w:r>
        <w:rPr>
          <w:rFonts w:ascii="Times New Roman" w:eastAsia="Times New Roman" w:hAnsi="Times New Roman" w:cs="Times New Roman"/>
          <w:color w:val="000000"/>
          <w:spacing w:val="0"/>
          <w:w w:val="100"/>
          <w:position w:val="0"/>
        </w:rPr>
        <w:t>2025</w:t>
      </w:r>
      <w:r>
        <w:rPr>
          <w:color w:val="000000"/>
          <w:spacing w:val="0"/>
          <w:w w:val="100"/>
          <w:position w:val="0"/>
        </w:rPr>
        <w:t>年非化石能源消费比重达到</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2030</w:t>
      </w:r>
      <w:r>
        <w:rPr>
          <w:color w:val="000000"/>
          <w:spacing w:val="0"/>
          <w:w w:val="100"/>
          <w:position w:val="0"/>
        </w:rPr>
        <w:t>年 达到</w:t>
      </w:r>
      <w:r>
        <w:rPr>
          <w:rFonts w:ascii="Times New Roman" w:eastAsia="Times New Roman" w:hAnsi="Times New Roman" w:cs="Times New Roman"/>
          <w:color w:val="000000"/>
          <w:spacing w:val="0"/>
          <w:w w:val="100"/>
          <w:position w:val="0"/>
        </w:rPr>
        <w:t>25%</w:t>
      </w:r>
      <w:r>
        <w:rPr>
          <w:color w:val="000000"/>
          <w:spacing w:val="0"/>
          <w:w w:val="100"/>
          <w:position w:val="0"/>
        </w:rPr>
        <w:t>的发展目标。目前，各省市响应</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目标，也纷纷出台促进光伏等可再生能源发展的鼓励性文 件。</w:t>
      </w:r>
    </w:p>
    <w:p>
      <w:pPr>
        <w:pStyle w:val="Style17"/>
        <w:keepNext w:val="0"/>
        <w:keepLines w:val="0"/>
        <w:widowControl w:val="0"/>
        <w:shd w:val="clear" w:color="auto" w:fill="auto"/>
        <w:tabs>
          <w:tab w:pos="776" w:val="left"/>
        </w:tabs>
        <w:bidi w:val="0"/>
        <w:spacing w:before="0" w:after="0"/>
        <w:ind w:left="0" w:right="0" w:firstLine="440"/>
        <w:jc w:val="both"/>
      </w:pPr>
      <w:bookmarkStart w:id="64" w:name="bookmark64"/>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t>生态环保业务</w:t>
      </w:r>
    </w:p>
    <w:p>
      <w:pPr>
        <w:pStyle w:val="Style17"/>
        <w:keepNext w:val="0"/>
        <w:keepLines w:val="0"/>
        <w:widowControl w:val="0"/>
        <w:shd w:val="clear" w:color="auto" w:fill="auto"/>
        <w:bidi w:val="0"/>
        <w:spacing w:before="0" w:after="32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是中国推动实现高质量发展、实现国家治理体系和治理能力现代化的关键时期，也是</w:t>
      </w:r>
      <w:r>
        <w:rPr>
          <w:rFonts w:ascii="Times New Roman" w:eastAsia="Times New Roman" w:hAnsi="Times New Roman" w:cs="Times New Roman"/>
          <w:color w:val="000000"/>
          <w:spacing w:val="0"/>
          <w:w w:val="100"/>
          <w:position w:val="0"/>
        </w:rPr>
        <w:t>2035</w:t>
      </w:r>
      <w:r>
        <w:rPr>
          <w:color w:val="000000"/>
          <w:spacing w:val="0"/>
          <w:w w:val="100"/>
          <w:position w:val="0"/>
        </w:rPr>
        <w:t>年 全国生态环境实现根本好转的关键基础。在美丽中国建设目标下，未来的环保产业将担负起服务生态文明 建设，打好污染防治攻坚战、推动产业经济绿色转型、促进经济高质量发展的重要使命，在新时代中国特 色社会主义建设的伟大征程中，将发挥更加重要的基础性、保障性作用。</w:t>
      </w:r>
    </w:p>
    <w:p>
      <w:pPr>
        <w:pStyle w:val="Style17"/>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月，《加快农村能源转型发展助力乡村振兴的实施意见》提出到</w:t>
      </w:r>
      <w:r>
        <w:rPr>
          <w:rFonts w:ascii="Times New Roman" w:eastAsia="Times New Roman" w:hAnsi="Times New Roman" w:cs="Times New Roman"/>
          <w:color w:val="000000"/>
          <w:spacing w:val="0"/>
          <w:w w:val="100"/>
          <w:position w:val="0"/>
        </w:rPr>
        <w:t>2025</w:t>
      </w:r>
      <w:r>
        <w:rPr>
          <w:color w:val="000000"/>
          <w:spacing w:val="0"/>
          <w:w w:val="100"/>
          <w:position w:val="0"/>
        </w:rPr>
        <w:t>年，建成一批农村能源 绿色低碳试点，风电、太阳能、生物质能、地热能等占农村能源的比重持续提升，农村电网保障能力进一 步增强，分布式可再生能源发展壮大，绿色低碳新模式新业态得到广泛应用。</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月，中央一号文件 也进一步指出，将持续实施农村人居环境整治提升行动，推进农村光伏、生物质能等清洁能源建设。未来 新能源产业将成为农村经济的重要补充和农民增收的重要渠道。</w:t>
      </w:r>
    </w:p>
    <w:p>
      <w:pPr>
        <w:pStyle w:val="Style17"/>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规划的开局之年，是</w:t>
      </w:r>
      <w:r>
        <w:rPr>
          <w:rFonts w:ascii="Times New Roman" w:eastAsia="Times New Roman" w:hAnsi="Times New Roman" w:cs="Times New Roman"/>
          <w:color w:val="000000"/>
          <w:spacing w:val="0"/>
          <w:w w:val="100"/>
          <w:position w:val="0"/>
        </w:rPr>
        <w:t>“</w:t>
      </w:r>
      <w:r>
        <w:rPr>
          <w:color w:val="000000"/>
          <w:spacing w:val="0"/>
          <w:w w:val="100"/>
          <w:position w:val="0"/>
        </w:rPr>
        <w:t>两个一百年</w:t>
      </w:r>
      <w:r>
        <w:rPr>
          <w:rFonts w:ascii="Times New Roman" w:eastAsia="Times New Roman" w:hAnsi="Times New Roman" w:cs="Times New Roman"/>
          <w:color w:val="000000"/>
          <w:spacing w:val="0"/>
          <w:w w:val="100"/>
          <w:position w:val="0"/>
        </w:rPr>
        <w:t>”</w:t>
      </w:r>
      <w:r>
        <w:rPr>
          <w:color w:val="000000"/>
          <w:spacing w:val="0"/>
          <w:w w:val="100"/>
          <w:position w:val="0"/>
        </w:rPr>
        <w:t>奋斗目标的交汇之年，也是光伏平价上网的启航 年，更是迈向习近平总书记提出的</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目标的起始之年。公司所处的新能源及环保行业均具 有天然的绿色低碳属性，与碳中和理念十分契合，产业发展迎来良好机遇。</w:t>
      </w:r>
    </w:p>
    <w:p>
      <w:pPr>
        <w:pStyle w:val="Style17"/>
        <w:keepNext w:val="0"/>
        <w:keepLines w:val="0"/>
        <w:widowControl w:val="0"/>
        <w:shd w:val="clear" w:color="auto" w:fill="auto"/>
        <w:bidi w:val="0"/>
        <w:spacing w:before="0" w:after="0" w:line="470" w:lineRule="exact"/>
        <w:ind w:left="0" w:right="0" w:firstLine="440"/>
        <w:jc w:val="both"/>
      </w:pPr>
      <w:bookmarkStart w:id="65" w:name="bookmark65"/>
      <w:r>
        <w:rPr>
          <w:color w:val="000000"/>
          <w:spacing w:val="0"/>
          <w:w w:val="100"/>
          <w:position w:val="0"/>
        </w:rPr>
        <w:t>（</w:t>
      </w:r>
      <w:bookmarkEnd w:id="65"/>
      <w:r>
        <w:rPr>
          <w:color w:val="000000"/>
          <w:spacing w:val="0"/>
          <w:w w:val="100"/>
          <w:position w:val="0"/>
        </w:rPr>
        <w:t>二）公司所处的市场地位</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公司目前自持光伏电站并网装机容量约</w:t>
      </w:r>
      <w:r>
        <w:rPr>
          <w:rFonts w:ascii="Times New Roman" w:eastAsia="Times New Roman" w:hAnsi="Times New Roman" w:cs="Times New Roman"/>
          <w:color w:val="000000"/>
          <w:spacing w:val="0"/>
          <w:w w:val="100"/>
          <w:position w:val="0"/>
        </w:rPr>
        <w:t>1GW</w:t>
      </w:r>
      <w:r>
        <w:rPr>
          <w:color w:val="000000"/>
          <w:spacing w:val="0"/>
          <w:w w:val="100"/>
          <w:position w:val="0"/>
        </w:rPr>
        <w:t>，</w:t>
      </w:r>
      <w:r>
        <w:rPr>
          <w:color w:val="000000"/>
          <w:spacing w:val="0"/>
          <w:w w:val="100"/>
          <w:position w:val="0"/>
        </w:rPr>
        <w:t>自运维及代运维项目超</w:t>
      </w:r>
      <w:r>
        <w:rPr>
          <w:rFonts w:ascii="Times New Roman" w:eastAsia="Times New Roman" w:hAnsi="Times New Roman" w:cs="Times New Roman"/>
          <w:color w:val="000000"/>
          <w:spacing w:val="0"/>
          <w:w w:val="100"/>
          <w:position w:val="0"/>
        </w:rPr>
        <w:t>2GW</w:t>
      </w:r>
      <w:r>
        <w:rPr>
          <w:color w:val="000000"/>
          <w:spacing w:val="0"/>
          <w:w w:val="100"/>
          <w:position w:val="0"/>
        </w:rPr>
        <w:t>。</w:t>
      </w:r>
      <w:r>
        <w:rPr>
          <w:color w:val="000000"/>
          <w:spacing w:val="0"/>
          <w:w w:val="100"/>
          <w:position w:val="0"/>
        </w:rPr>
        <w:t>公司凭借自身商业模式、 强大的资源整合及市场开拓能力、良好的工程品质及商业信誉、丰富的运营经验和厚积薄发的实干精神， 在激烈的市场竞争中占据了相当的市场份额，得到了业内的高度认可。</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报告期内，公司荣获</w:t>
      </w:r>
      <w:r>
        <w:rPr>
          <w:rFonts w:ascii="Times New Roman" w:eastAsia="Times New Roman" w:hAnsi="Times New Roman" w:cs="Times New Roman"/>
          <w:color w:val="000000"/>
          <w:spacing w:val="0"/>
          <w:w w:val="100"/>
          <w:position w:val="0"/>
        </w:rPr>
        <w:t>“2021</w:t>
      </w:r>
      <w:r>
        <w:rPr>
          <w:color w:val="000000"/>
          <w:spacing w:val="0"/>
          <w:w w:val="100"/>
          <w:position w:val="0"/>
        </w:rPr>
        <w:t>中国全球新能源企业</w:t>
      </w:r>
      <w:r>
        <w:rPr>
          <w:rFonts w:ascii="Times New Roman" w:eastAsia="Times New Roman" w:hAnsi="Times New Roman" w:cs="Times New Roman"/>
          <w:color w:val="000000"/>
          <w:spacing w:val="0"/>
          <w:w w:val="100"/>
          <w:position w:val="0"/>
        </w:rPr>
        <w:t>500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“2021ESG</w:t>
      </w:r>
      <w:r>
        <w:rPr>
          <w:color w:val="000000"/>
          <w:spacing w:val="0"/>
          <w:w w:val="100"/>
          <w:position w:val="0"/>
        </w:rPr>
        <w:t>绿色公司之星</w:t>
      </w:r>
      <w:r>
        <w:rPr>
          <w:rFonts w:ascii="Times New Roman" w:eastAsia="Times New Roman" w:hAnsi="Times New Roman" w:cs="Times New Roman"/>
          <w:color w:val="000000"/>
          <w:spacing w:val="0"/>
          <w:w w:val="100"/>
          <w:position w:val="0"/>
        </w:rPr>
        <w:t>”</w:t>
      </w:r>
      <w:r>
        <w:rPr>
          <w:color w:val="000000"/>
          <w:spacing w:val="0"/>
          <w:w w:val="100"/>
          <w:position w:val="0"/>
        </w:rPr>
        <w:t>等荣誉。基于助力绿 色中国的生态环保业务进展显著，以及在落实</w:t>
      </w:r>
      <w:r>
        <w:rPr>
          <w:rFonts w:ascii="Times New Roman" w:eastAsia="Times New Roman" w:hAnsi="Times New Roman" w:cs="Times New Roman"/>
          <w:color w:val="000000"/>
          <w:spacing w:val="0"/>
          <w:w w:val="100"/>
          <w:position w:val="0"/>
        </w:rPr>
        <w:t>“</w:t>
      </w:r>
      <w:r>
        <w:rPr>
          <w:color w:val="000000"/>
          <w:spacing w:val="0"/>
          <w:w w:val="100"/>
          <w:position w:val="0"/>
        </w:rPr>
        <w:t>乡村振兴</w:t>
      </w:r>
      <w:r>
        <w:rPr>
          <w:rFonts w:ascii="Times New Roman" w:eastAsia="Times New Roman" w:hAnsi="Times New Roman" w:cs="Times New Roman"/>
          <w:color w:val="000000"/>
          <w:spacing w:val="0"/>
          <w:w w:val="100"/>
          <w:position w:val="0"/>
        </w:rPr>
        <w:t>”</w:t>
      </w:r>
      <w:r>
        <w:rPr>
          <w:color w:val="000000"/>
          <w:spacing w:val="0"/>
          <w:w w:val="100"/>
          <w:position w:val="0"/>
        </w:rPr>
        <w:t>战略中大力推进生态农业工程方面取得的成绩， 公司还荣获了</w:t>
      </w:r>
      <w:r>
        <w:rPr>
          <w:rFonts w:ascii="Times New Roman" w:eastAsia="Times New Roman" w:hAnsi="Times New Roman" w:cs="Times New Roman"/>
          <w:color w:val="000000"/>
          <w:spacing w:val="0"/>
          <w:w w:val="100"/>
          <w:position w:val="0"/>
        </w:rPr>
        <w:t>“2021</w:t>
      </w:r>
      <w:r>
        <w:rPr>
          <w:color w:val="000000"/>
          <w:spacing w:val="0"/>
          <w:w w:val="100"/>
          <w:position w:val="0"/>
        </w:rPr>
        <w:t>年度碳中和先锋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中国绿色环保产品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全国粮油示范工程示范加工企业</w:t>
      </w:r>
      <w:r>
        <w:rPr>
          <w:rFonts w:ascii="Times New Roman" w:eastAsia="Times New Roman" w:hAnsi="Times New Roman" w:cs="Times New Roman"/>
          <w:color w:val="000000"/>
          <w:spacing w:val="0"/>
          <w:w w:val="100"/>
          <w:position w:val="0"/>
        </w:rPr>
        <w:t>”</w:t>
      </w:r>
      <w:r>
        <w:rPr>
          <w:color w:val="000000"/>
          <w:spacing w:val="0"/>
          <w:w w:val="100"/>
          <w:position w:val="0"/>
        </w:rPr>
        <w:t>等各 项肯定及褒奖。</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此外，公司已获得了市政公用工程施工总承包壹级、建筑工程施工总承包壹级、电力行业（新能源发 电）专业乙级、电力工程施工总承包二级等多项资质证书，及质量管理体系、环境管理体系认证等多项认 证，并申报取得了多项国家专利。</w:t>
      </w:r>
    </w:p>
    <w:p>
      <w:pPr>
        <w:pStyle w:val="Style20"/>
        <w:keepNext/>
        <w:keepLines/>
        <w:widowControl w:val="0"/>
        <w:shd w:val="clear" w:color="auto" w:fill="auto"/>
        <w:bidi w:val="0"/>
        <w:spacing w:before="0" w:after="0" w:line="470" w:lineRule="exact"/>
        <w:ind w:left="0" w:right="0" w:firstLine="0"/>
        <w:jc w:val="both"/>
        <w:rPr>
          <w:sz w:val="20"/>
          <w:szCs w:val="20"/>
        </w:rPr>
      </w:pPr>
      <w:bookmarkStart w:id="66" w:name="bookmark66"/>
      <w:bookmarkStart w:id="67" w:name="bookmark67"/>
      <w:bookmarkStart w:id="68" w:name="bookmark68"/>
      <w:r>
        <w:rPr>
          <w:color w:val="000000"/>
          <w:spacing w:val="0"/>
          <w:w w:val="100"/>
          <w:position w:val="0"/>
          <w:sz w:val="20"/>
          <w:szCs w:val="20"/>
        </w:rPr>
        <w:t>二、报告期内公司从事的主要业务</w:t>
      </w:r>
      <w:bookmarkEnd w:id="66"/>
      <w:bookmarkEnd w:id="67"/>
      <w:bookmarkEnd w:id="68"/>
    </w:p>
    <w:p>
      <w:pPr>
        <w:pStyle w:val="Style17"/>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号——行业信息披露》中电力相关业的披露要求</w:t>
      </w:r>
    </w:p>
    <w:p>
      <w:pPr>
        <w:pStyle w:val="Style17"/>
        <w:keepNext w:val="0"/>
        <w:keepLines w:val="0"/>
        <w:widowControl w:val="0"/>
        <w:shd w:val="clear" w:color="auto" w:fill="auto"/>
        <w:bidi w:val="0"/>
        <w:spacing w:before="0" w:after="0" w:line="470" w:lineRule="exact"/>
        <w:ind w:left="0" w:right="0" w:firstLine="440"/>
        <w:jc w:val="both"/>
      </w:pPr>
      <w:bookmarkStart w:id="69" w:name="bookmark69"/>
      <w:r>
        <w:rPr>
          <w:color w:val="000000"/>
          <w:spacing w:val="0"/>
          <w:w w:val="100"/>
          <w:position w:val="0"/>
        </w:rPr>
        <w:t>（</w:t>
      </w:r>
      <w:bookmarkEnd w:id="69"/>
      <w:r>
        <w:rPr>
          <w:color w:val="000000"/>
          <w:spacing w:val="0"/>
          <w:w w:val="100"/>
          <w:position w:val="0"/>
        </w:rPr>
        <w:t>一）公司的业务构成</w:t>
      </w:r>
    </w:p>
    <w:p>
      <w:pPr>
        <w:pStyle w:val="Style17"/>
        <w:keepNext w:val="0"/>
        <w:keepLines w:val="0"/>
        <w:widowControl w:val="0"/>
        <w:shd w:val="clear" w:color="auto" w:fill="auto"/>
        <w:bidi w:val="0"/>
        <w:spacing w:before="0" w:after="0" w:line="470" w:lineRule="exact"/>
        <w:ind w:left="0" w:right="0" w:firstLine="440"/>
        <w:jc w:val="both"/>
      </w:pPr>
      <w:bookmarkStart w:id="70" w:name="bookmark70"/>
      <w:r>
        <w:rPr>
          <w:rFonts w:ascii="Times New Roman" w:eastAsia="Times New Roman" w:hAnsi="Times New Roman" w:cs="Times New Roman"/>
          <w:color w:val="000000"/>
          <w:spacing w:val="0"/>
          <w:w w:val="100"/>
          <w:position w:val="0"/>
        </w:rPr>
        <w:t>1</w:t>
      </w:r>
      <w:bookmarkEnd w:id="70"/>
      <w:r>
        <w:rPr>
          <w:color w:val="000000"/>
          <w:spacing w:val="0"/>
          <w:w w:val="100"/>
          <w:position w:val="0"/>
        </w:rPr>
        <w:t>、主营业务</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新能源业务。公司拥有光伏组件生产、电站开发、施工建设、智能运维、技术研发等完整光伏发电体 系，自持光伏电站并网装机容量约</w:t>
      </w:r>
      <w:r>
        <w:rPr>
          <w:rFonts w:ascii="Times New Roman" w:eastAsia="Times New Roman" w:hAnsi="Times New Roman" w:cs="Times New Roman"/>
          <w:color w:val="000000"/>
          <w:spacing w:val="0"/>
          <w:w w:val="100"/>
          <w:position w:val="0"/>
        </w:rPr>
        <w:t>1GW</w:t>
      </w:r>
      <w:r>
        <w:rPr>
          <w:color w:val="000000"/>
          <w:spacing w:val="0"/>
          <w:w w:val="100"/>
          <w:position w:val="0"/>
        </w:rPr>
        <w:t>。</w:t>
      </w:r>
      <w:r>
        <w:rPr>
          <w:color w:val="000000"/>
          <w:spacing w:val="0"/>
          <w:w w:val="100"/>
          <w:position w:val="0"/>
        </w:rPr>
        <w:t>公司已搭建起光伏电站智能运维管理平台，实现了光伏电站大数 据采集、智能化故障诊断、运维管理全周期的智慧能源管理</w:t>
      </w:r>
      <w:r>
        <w:rPr>
          <w:color w:val="000000"/>
          <w:spacing w:val="0"/>
          <w:w w:val="100"/>
          <w:position w:val="0"/>
        </w:rPr>
        <w:t>，</w:t>
      </w:r>
      <w:r>
        <w:rPr>
          <w:color w:val="000000"/>
          <w:spacing w:val="0"/>
          <w:w w:val="100"/>
          <w:position w:val="0"/>
        </w:rPr>
        <w:t>自运维及代运维项目超</w:t>
      </w:r>
      <w:r>
        <w:rPr>
          <w:rFonts w:ascii="Times New Roman" w:eastAsia="Times New Roman" w:hAnsi="Times New Roman" w:cs="Times New Roman"/>
          <w:color w:val="000000"/>
          <w:spacing w:val="0"/>
          <w:w w:val="100"/>
          <w:position w:val="0"/>
        </w:rPr>
        <w:t>2GW</w:t>
      </w:r>
      <w:r>
        <w:rPr>
          <w:color w:val="000000"/>
          <w:spacing w:val="0"/>
          <w:w w:val="100"/>
          <w:position w:val="0"/>
        </w:rPr>
        <w:t>。</w:t>
      </w:r>
    </w:p>
    <w:p>
      <w:pPr>
        <w:pStyle w:val="Style17"/>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生态环保业务。公司立足生态综合治理、水环境修复及运营、土壤修复等领域，为地方政府提供基础 设施建设和生态环保等领域的规划、设计、投资、建设、运营、管理等全周期解决方案。近年来因受</w:t>
      </w:r>
      <w:r>
        <w:rPr>
          <w:rFonts w:ascii="Times New Roman" w:eastAsia="Times New Roman" w:hAnsi="Times New Roman" w:cs="Times New Roman"/>
          <w:color w:val="000000"/>
          <w:spacing w:val="0"/>
          <w:w w:val="100"/>
          <w:position w:val="0"/>
        </w:rPr>
        <w:t xml:space="preserve">PPP </w:t>
      </w:r>
      <w:r>
        <w:rPr>
          <w:color w:val="000000"/>
          <w:spacing w:val="0"/>
          <w:w w:val="100"/>
          <w:position w:val="0"/>
        </w:rPr>
        <w:t xml:space="preserve">项目清库等行业政策影响，公司生态环保业务收入持续下降。作为传统生态治理业务的补充，在国家乡村 </w:t>
      </w:r>
      <w:r>
        <w:rPr>
          <w:color w:val="000000"/>
          <w:spacing w:val="0"/>
          <w:w w:val="100"/>
          <w:position w:val="0"/>
        </w:rPr>
        <w:t>振兴战略的指引下，公司依托现有光伏基地，采用</w:t>
      </w:r>
      <w:r>
        <w:rPr>
          <w:rFonts w:ascii="Times New Roman" w:eastAsia="Times New Roman" w:hAnsi="Times New Roman" w:cs="Times New Roman"/>
          <w:color w:val="000000"/>
          <w:spacing w:val="0"/>
          <w:w w:val="100"/>
          <w:position w:val="0"/>
        </w:rPr>
        <w:t>“</w:t>
      </w:r>
      <w:r>
        <w:rPr>
          <w:color w:val="000000"/>
          <w:spacing w:val="0"/>
          <w:w w:val="100"/>
          <w:position w:val="0"/>
        </w:rPr>
        <w:t>农光互补</w:t>
      </w:r>
      <w:r>
        <w:rPr>
          <w:rFonts w:ascii="Times New Roman" w:eastAsia="Times New Roman" w:hAnsi="Times New Roman" w:cs="Times New Roman"/>
          <w:color w:val="000000"/>
          <w:spacing w:val="0"/>
          <w:w w:val="100"/>
          <w:position w:val="0"/>
        </w:rPr>
        <w:t>”</w:t>
      </w:r>
      <w:r>
        <w:rPr>
          <w:color w:val="000000"/>
          <w:spacing w:val="0"/>
          <w:w w:val="100"/>
          <w:position w:val="0"/>
        </w:rPr>
        <w:t>模式，试点</w:t>
      </w:r>
      <w:r>
        <w:rPr>
          <w:rFonts w:ascii="Times New Roman" w:eastAsia="Times New Roman" w:hAnsi="Times New Roman" w:cs="Times New Roman"/>
          <w:color w:val="000000"/>
          <w:spacing w:val="0"/>
          <w:w w:val="100"/>
          <w:position w:val="0"/>
        </w:rPr>
        <w:t>“</w:t>
      </w:r>
      <w:r>
        <w:rPr>
          <w:color w:val="000000"/>
          <w:spacing w:val="0"/>
          <w:w w:val="100"/>
          <w:position w:val="0"/>
        </w:rPr>
        <w:t>茶园综合体</w:t>
      </w:r>
      <w:r>
        <w:rPr>
          <w:rFonts w:ascii="Times New Roman" w:eastAsia="Times New Roman" w:hAnsi="Times New Roman" w:cs="Times New Roman"/>
          <w:color w:val="000000"/>
          <w:spacing w:val="0"/>
          <w:w w:val="100"/>
          <w:position w:val="0"/>
        </w:rPr>
        <w:t>”</w:t>
      </w:r>
      <w:r>
        <w:rPr>
          <w:color w:val="000000"/>
          <w:spacing w:val="0"/>
          <w:w w:val="100"/>
          <w:position w:val="0"/>
        </w:rPr>
        <w:t>项目，建成以大别 山油茶产业化为基础，从育种、育苗、栽培到油茶压榨全流程农产品产业，努力打造中国茶油知名品牌。</w:t>
      </w:r>
    </w:p>
    <w:p>
      <w:pPr>
        <w:pStyle w:val="Style17"/>
        <w:keepNext w:val="0"/>
        <w:keepLines w:val="0"/>
        <w:widowControl w:val="0"/>
        <w:shd w:val="clear" w:color="auto" w:fill="auto"/>
        <w:bidi w:val="0"/>
        <w:spacing w:before="0" w:after="0"/>
        <w:ind w:left="0" w:right="0" w:firstLine="440"/>
        <w:jc w:val="left"/>
      </w:pPr>
      <w:bookmarkStart w:id="71" w:name="bookmark71"/>
      <w:r>
        <w:rPr>
          <w:rFonts w:ascii="Times New Roman" w:eastAsia="Times New Roman" w:hAnsi="Times New Roman" w:cs="Times New Roman"/>
          <w:color w:val="000000"/>
          <w:spacing w:val="0"/>
          <w:w w:val="100"/>
          <w:position w:val="0"/>
        </w:rPr>
        <w:t>2</w:t>
      </w:r>
      <w:bookmarkEnd w:id="71"/>
      <w:r>
        <w:rPr>
          <w:color w:val="000000"/>
          <w:spacing w:val="0"/>
          <w:w w:val="100"/>
          <w:position w:val="0"/>
        </w:rPr>
        <w:t>、其他业务</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供应链业务</w:t>
      </w:r>
      <w:r>
        <w:rPr>
          <w:color w:val="000000"/>
          <w:spacing w:val="0"/>
          <w:w w:val="100"/>
          <w:position w:val="0"/>
        </w:rPr>
        <w:t>，</w:t>
      </w:r>
      <w:r>
        <w:rPr>
          <w:color w:val="000000"/>
          <w:spacing w:val="0"/>
          <w:w w:val="100"/>
          <w:position w:val="0"/>
        </w:rPr>
        <w:t>主要是为河北华融环保产业园区入园企业提供丝网原材料。我司子公司过往曾负责园区经 营，该子公司被转让后，出于过往的良好合作关系，我司在一段时间内仍协助受让方保持供应链客户稳定、 渠道畅通，及业务延续性，故转让至今我司仍从事原有丝网制品原材料的集中采购，供应链业务才一直延 续至今。</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随着公司继续集中资源发展主业，及新能源、生态环保等主营业务的收入规模逐步回升，供应链占比 正逐渐下降。</w:t>
      </w:r>
    </w:p>
    <w:p>
      <w:pPr>
        <w:pStyle w:val="Style17"/>
        <w:keepNext w:val="0"/>
        <w:keepLines w:val="0"/>
        <w:widowControl w:val="0"/>
        <w:shd w:val="clear" w:color="auto" w:fill="auto"/>
        <w:bidi w:val="0"/>
        <w:spacing w:before="0" w:after="0" w:line="469" w:lineRule="exact"/>
        <w:ind w:left="0" w:right="0" w:firstLine="440"/>
        <w:jc w:val="left"/>
      </w:pPr>
      <w:bookmarkStart w:id="72" w:name="bookmark72"/>
      <w:r>
        <w:rPr>
          <w:color w:val="000000"/>
          <w:spacing w:val="0"/>
          <w:w w:val="100"/>
          <w:position w:val="0"/>
        </w:rPr>
        <w:t>（</w:t>
      </w:r>
      <w:bookmarkEnd w:id="72"/>
      <w:r>
        <w:rPr>
          <w:color w:val="000000"/>
          <w:spacing w:val="0"/>
          <w:w w:val="100"/>
          <w:position w:val="0"/>
        </w:rPr>
        <w:t>二）公司的主要经营模式</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对于新能源业务中的光伏发电业务，公司自持电站运营发电取得电费收入，采用电量销售结算经营模 式。涉及风电和太阳能光伏电站需完成项目核准</w:t>
      </w:r>
      <w:r>
        <w:rPr>
          <w:rFonts w:ascii="Times New Roman" w:eastAsia="Times New Roman" w:hAnsi="Times New Roman" w:cs="Times New Roman"/>
          <w:color w:val="000000"/>
          <w:spacing w:val="0"/>
          <w:w w:val="100"/>
          <w:position w:val="0"/>
        </w:rPr>
        <w:t>/</w:t>
      </w:r>
      <w:r>
        <w:rPr>
          <w:color w:val="000000"/>
          <w:spacing w:val="0"/>
          <w:w w:val="100"/>
          <w:position w:val="0"/>
        </w:rPr>
        <w:t>备案、环评、节能评估、土地等相关流程后开工建设，建 设完成后需要取得电力业务许可证并与电网公司签署购售电协议后投入运行，发电量并入指定的并网点， 实现电量交割，电价执行国家有关主管部门批复的上网电价。</w:t>
      </w:r>
    </w:p>
    <w:p>
      <w:pPr>
        <w:pStyle w:val="Style17"/>
        <w:keepNext w:val="0"/>
        <w:keepLines w:val="0"/>
        <w:widowControl w:val="0"/>
        <w:shd w:val="clear" w:color="auto" w:fill="auto"/>
        <w:bidi w:val="0"/>
        <w:spacing w:before="0" w:after="80" w:line="469" w:lineRule="exact"/>
        <w:ind w:left="0" w:right="0" w:firstLine="440"/>
        <w:jc w:val="left"/>
        <w:rPr>
          <w:sz w:val="16"/>
          <w:szCs w:val="16"/>
        </w:rPr>
      </w:pPr>
      <w:r>
        <w:rPr>
          <w:color w:val="000000"/>
          <w:spacing w:val="0"/>
          <w:w w:val="100"/>
          <w:position w:val="0"/>
          <w:sz w:val="20"/>
          <w:szCs w:val="20"/>
        </w:rPr>
        <w:t>对于新能源及生态环保业务中涉及的工程类业务，主要模式包括施工总承包、专业分包、</w:t>
      </w:r>
      <w:r>
        <w:rPr>
          <w:rFonts w:ascii="Times New Roman" w:eastAsia="Times New Roman" w:hAnsi="Times New Roman" w:cs="Times New Roman"/>
          <w:color w:val="000000"/>
          <w:spacing w:val="0"/>
          <w:w w:val="100"/>
          <w:position w:val="0"/>
          <w:sz w:val="20"/>
          <w:szCs w:val="20"/>
        </w:rPr>
        <w:t>EPC</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PPP </w:t>
      </w:r>
      <w:r>
        <w:rPr>
          <w:color w:val="000000"/>
          <w:spacing w:val="0"/>
          <w:w w:val="100"/>
          <w:position w:val="0"/>
          <w:sz w:val="20"/>
          <w:szCs w:val="20"/>
        </w:rPr>
        <w:t>等，项目运作主要包含项目策划</w:t>
      </w:r>
      <w:r>
        <w:rPr>
          <w:color w:val="000000"/>
          <w:spacing w:val="0"/>
          <w:w w:val="100"/>
          <w:position w:val="0"/>
          <w:sz w:val="20"/>
          <w:szCs w:val="20"/>
        </w:rPr>
        <w:t>一一</w:t>
      </w:r>
      <w:r>
        <w:rPr>
          <w:color w:val="000000"/>
          <w:spacing w:val="0"/>
          <w:w w:val="100"/>
          <w:position w:val="0"/>
          <w:sz w:val="20"/>
          <w:szCs w:val="20"/>
        </w:rPr>
        <w:t>项目规划</w:t>
      </w:r>
      <w:r>
        <w:rPr>
          <w:color w:val="000000"/>
          <w:spacing w:val="0"/>
          <w:w w:val="100"/>
          <w:position w:val="0"/>
          <w:sz w:val="20"/>
          <w:szCs w:val="20"/>
        </w:rPr>
        <w:t>一一</w:t>
      </w:r>
      <w:r>
        <w:rPr>
          <w:color w:val="000000"/>
          <w:spacing w:val="0"/>
          <w:w w:val="100"/>
          <w:position w:val="0"/>
          <w:sz w:val="20"/>
          <w:szCs w:val="20"/>
        </w:rPr>
        <w:t>项目设计</w:t>
      </w:r>
      <w:r>
        <w:rPr>
          <w:color w:val="000000"/>
          <w:spacing w:val="0"/>
          <w:w w:val="100"/>
          <w:position w:val="0"/>
          <w:sz w:val="20"/>
          <w:szCs w:val="20"/>
        </w:rPr>
        <w:t>一一</w:t>
      </w:r>
      <w:r>
        <w:rPr>
          <w:color w:val="000000"/>
          <w:spacing w:val="0"/>
          <w:w w:val="100"/>
          <w:position w:val="0"/>
          <w:sz w:val="20"/>
          <w:szCs w:val="20"/>
        </w:rPr>
        <w:t>项目融资</w:t>
      </w:r>
      <w:r>
        <w:rPr>
          <w:color w:val="000000"/>
          <w:spacing w:val="0"/>
          <w:w w:val="100"/>
          <w:position w:val="0"/>
          <w:sz w:val="20"/>
          <w:szCs w:val="20"/>
        </w:rPr>
        <w:t>一一</w:t>
      </w:r>
      <w:r>
        <w:rPr>
          <w:color w:val="000000"/>
          <w:spacing w:val="0"/>
          <w:w w:val="100"/>
          <w:position w:val="0"/>
          <w:sz w:val="20"/>
          <w:szCs w:val="20"/>
        </w:rPr>
        <w:t>项目实施一建设交付- 项目运营</w:t>
      </w:r>
      <w:r>
        <w:rPr>
          <w:color w:val="000000"/>
          <w:spacing w:val="0"/>
          <w:w w:val="100"/>
          <w:position w:val="0"/>
          <w:sz w:val="20"/>
          <w:szCs w:val="20"/>
        </w:rPr>
        <w:t>一一</w:t>
      </w:r>
      <w:r>
        <w:rPr>
          <w:color w:val="000000"/>
          <w:spacing w:val="0"/>
          <w:w w:val="100"/>
          <w:position w:val="0"/>
          <w:sz w:val="20"/>
          <w:szCs w:val="20"/>
        </w:rPr>
        <w:t>项目退出八大环节；</w:t>
      </w:r>
      <w:r>
        <w:rPr>
          <w:rFonts w:ascii="Times New Roman" w:eastAsia="Times New Roman" w:hAnsi="Times New Roman" w:cs="Times New Roman"/>
          <w:color w:val="000000"/>
          <w:spacing w:val="0"/>
          <w:w w:val="100"/>
          <w:position w:val="0"/>
          <w:sz w:val="20"/>
          <w:szCs w:val="20"/>
        </w:rPr>
        <w:t>EPC</w:t>
      </w:r>
      <w:r>
        <w:rPr>
          <w:color w:val="000000"/>
          <w:spacing w:val="0"/>
          <w:w w:val="100"/>
          <w:position w:val="0"/>
          <w:sz w:val="20"/>
          <w:szCs w:val="20"/>
        </w:rPr>
        <w:t xml:space="preserve">模式下项目运作包含设计一采购一施工的全过程总承包。 </w:t>
      </w:r>
      <w:r>
        <w:rPr>
          <w:color w:val="000000"/>
          <w:spacing w:val="0"/>
          <w:w w:val="100"/>
          <w:position w:val="0"/>
          <w:sz w:val="16"/>
          <w:szCs w:val="16"/>
        </w:rPr>
        <w:t>主要生产经营信息</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总装机容量（万千瓦）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新投产机组的装机容量（万千瓦）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核准项目的计划装机容量（万千瓦）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在建项目的计划装机容量（万千瓦）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发电量（亿千瓦时）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上网电量或售电量（亿千瓦时）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平均上网电价或售电价（元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亿千瓦时， 含税）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65,928,619.10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74,929,402.00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发电厂平均用电率（</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发电厂利用小时数（小时）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公司售电业务情况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119" w:line="1" w:lineRule="exact"/>
      </w:pP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相关数据发生重大变化的原因</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rPr>
        <w:t>1.2021</w:t>
      </w:r>
      <w:r>
        <w:rPr>
          <w:color w:val="000000"/>
          <w:spacing w:val="0"/>
          <w:w w:val="100"/>
          <w:position w:val="0"/>
        </w:rPr>
        <w:t>年度总装机容量较去年同期减少约</w:t>
      </w:r>
      <w:r>
        <w:rPr>
          <w:rFonts w:ascii="Times New Roman" w:eastAsia="Times New Roman" w:hAnsi="Times New Roman" w:cs="Times New Roman"/>
          <w:color w:val="000000"/>
          <w:spacing w:val="0"/>
          <w:w w:val="100"/>
          <w:position w:val="0"/>
        </w:rPr>
        <w:t>92MW</w:t>
      </w:r>
      <w:r>
        <w:rPr>
          <w:color w:val="000000"/>
          <w:spacing w:val="0"/>
          <w:w w:val="100"/>
          <w:position w:val="0"/>
        </w:rPr>
        <w:t>，主要原因是汪清电站出售减少</w:t>
      </w:r>
      <w:r>
        <w:rPr>
          <w:rFonts w:ascii="Times New Roman" w:eastAsia="Times New Roman" w:hAnsi="Times New Roman" w:cs="Times New Roman"/>
          <w:color w:val="000000"/>
          <w:spacing w:val="0"/>
          <w:w w:val="100"/>
          <w:position w:val="0"/>
        </w:rPr>
        <w:t>130MW</w:t>
      </w:r>
      <w:r>
        <w:rPr>
          <w:color w:val="000000"/>
          <w:spacing w:val="0"/>
          <w:w w:val="100"/>
          <w:position w:val="0"/>
        </w:rPr>
        <w:t>，新收购蒙阴 电站</w:t>
      </w:r>
      <w:r>
        <w:rPr>
          <w:rFonts w:ascii="Times New Roman" w:eastAsia="Times New Roman" w:hAnsi="Times New Roman" w:cs="Times New Roman"/>
          <w:color w:val="000000"/>
          <w:spacing w:val="0"/>
          <w:w w:val="100"/>
          <w:position w:val="0"/>
        </w:rPr>
        <w:t>20MW</w:t>
      </w:r>
      <w:r>
        <w:rPr>
          <w:color w:val="000000"/>
          <w:spacing w:val="0"/>
          <w:w w:val="100"/>
          <w:position w:val="0"/>
        </w:rPr>
        <w:t>，都昌电站</w:t>
      </w:r>
      <w:r>
        <w:rPr>
          <w:rFonts w:ascii="Times New Roman" w:eastAsia="Times New Roman" w:hAnsi="Times New Roman" w:cs="Times New Roman"/>
          <w:color w:val="000000"/>
          <w:spacing w:val="0"/>
          <w:w w:val="100"/>
          <w:position w:val="0"/>
        </w:rPr>
        <w:t>18MW</w:t>
      </w:r>
      <w:r>
        <w:rPr>
          <w:color w:val="000000"/>
          <w:spacing w:val="0"/>
          <w:w w:val="100"/>
          <w:position w:val="0"/>
        </w:rPr>
        <w:t>。</w:t>
      </w:r>
    </w:p>
    <w:p>
      <w:pPr>
        <w:pStyle w:val="Style17"/>
        <w:keepNext w:val="0"/>
        <w:keepLines w:val="0"/>
        <w:widowControl w:val="0"/>
        <w:shd w:val="clear" w:color="auto" w:fill="auto"/>
        <w:bidi w:val="0"/>
        <w:spacing w:before="0" w:after="560" w:line="473" w:lineRule="exact"/>
        <w:ind w:left="0" w:right="0"/>
        <w:jc w:val="both"/>
      </w:pPr>
      <w:r>
        <w:rPr>
          <w:rFonts w:ascii="Times New Roman" w:eastAsia="Times New Roman" w:hAnsi="Times New Roman" w:cs="Times New Roman"/>
          <w:color w:val="000000"/>
          <w:spacing w:val="0"/>
          <w:w w:val="100"/>
          <w:position w:val="0"/>
        </w:rPr>
        <w:t>2.2021</w:t>
      </w:r>
      <w:r>
        <w:rPr>
          <w:color w:val="000000"/>
          <w:spacing w:val="0"/>
          <w:w w:val="100"/>
          <w:position w:val="0"/>
        </w:rPr>
        <w:t>年度发电厂等效利用小时数较上年同期小幅下降，主要原因是</w:t>
      </w:r>
      <w:r>
        <w:rPr>
          <w:rFonts w:ascii="Times New Roman" w:eastAsia="Times New Roman" w:hAnsi="Times New Roman" w:cs="Times New Roman"/>
          <w:color w:val="000000"/>
          <w:spacing w:val="0"/>
          <w:w w:val="100"/>
          <w:position w:val="0"/>
        </w:rPr>
        <w:t>2021</w:t>
      </w:r>
      <w:r>
        <w:rPr>
          <w:color w:val="000000"/>
          <w:spacing w:val="0"/>
          <w:w w:val="100"/>
          <w:position w:val="0"/>
        </w:rPr>
        <w:t>年公司电站所在区域光资源 略有下降；其次部分区域如山东、冀北、宁夏、蒙东等地限电率较上年同期略有增加所致。</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涉及到新能源发电业务</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四、主营业务分析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0"/>
        <w:keepNext/>
        <w:keepLines/>
        <w:widowControl w:val="0"/>
        <w:shd w:val="clear" w:color="auto" w:fill="auto"/>
        <w:bidi w:val="0"/>
        <w:spacing w:before="0" w:after="20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17"/>
        <w:keepNext w:val="0"/>
        <w:keepLines w:val="0"/>
        <w:widowControl w:val="0"/>
        <w:shd w:val="clear" w:color="auto" w:fill="auto"/>
        <w:tabs>
          <w:tab w:pos="965" w:val="left"/>
        </w:tabs>
        <w:bidi w:val="0"/>
        <w:spacing w:before="0" w:after="0" w:line="470" w:lineRule="exact"/>
        <w:ind w:left="0" w:right="0"/>
        <w:jc w:val="left"/>
      </w:pPr>
      <w:bookmarkStart w:id="77" w:name="bookmark77"/>
      <w:r>
        <w:rPr>
          <w:color w:val="000000"/>
          <w:spacing w:val="0"/>
          <w:w w:val="100"/>
          <w:position w:val="0"/>
        </w:rPr>
        <w:t>（</w:t>
      </w:r>
      <w:bookmarkEnd w:id="77"/>
      <w:r>
        <w:rPr>
          <w:color w:val="000000"/>
          <w:spacing w:val="0"/>
          <w:w w:val="100"/>
          <w:position w:val="0"/>
        </w:rPr>
        <w:t>一）</w:t>
        <w:tab/>
        <w:t>商业模式优势</w:t>
      </w:r>
    </w:p>
    <w:p>
      <w:pPr>
        <w:pStyle w:val="Style17"/>
        <w:keepNext w:val="0"/>
        <w:keepLines w:val="0"/>
        <w:widowControl w:val="0"/>
        <w:shd w:val="clear" w:color="auto" w:fill="auto"/>
        <w:bidi w:val="0"/>
        <w:spacing w:before="0" w:after="0" w:line="470" w:lineRule="exact"/>
        <w:ind w:left="0" w:right="0"/>
        <w:jc w:val="left"/>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让天更蓝，让生活更美好</w:t>
      </w:r>
      <w:r>
        <w:rPr>
          <w:rFonts w:ascii="Times New Roman" w:eastAsia="Times New Roman" w:hAnsi="Times New Roman" w:cs="Times New Roman"/>
          <w:color w:val="000000"/>
          <w:spacing w:val="0"/>
          <w:w w:val="100"/>
          <w:position w:val="0"/>
        </w:rPr>
        <w:t>”</w:t>
      </w:r>
      <w:r>
        <w:rPr>
          <w:color w:val="000000"/>
          <w:spacing w:val="0"/>
          <w:w w:val="100"/>
          <w:position w:val="0"/>
        </w:rPr>
        <w:t>的企业愿景，聚焦绿色产业，巩固推进</w:t>
      </w:r>
      <w:r>
        <w:rPr>
          <w:rFonts w:ascii="Times New Roman" w:eastAsia="Times New Roman" w:hAnsi="Times New Roman" w:cs="Times New Roman"/>
          <w:color w:val="000000"/>
          <w:spacing w:val="0"/>
          <w:w w:val="100"/>
          <w:position w:val="0"/>
        </w:rPr>
        <w:t>“</w:t>
      </w:r>
      <w:r>
        <w:rPr>
          <w:color w:val="000000"/>
          <w:spacing w:val="0"/>
          <w:w w:val="100"/>
          <w:position w:val="0"/>
        </w:rPr>
        <w:t>智慧能源</w:t>
      </w:r>
      <w:r>
        <w:rPr>
          <w:rFonts w:ascii="Times New Roman" w:eastAsia="Times New Roman" w:hAnsi="Times New Roman" w:cs="Times New Roman"/>
          <w:color w:val="000000"/>
          <w:spacing w:val="0"/>
          <w:w w:val="100"/>
          <w:position w:val="0"/>
        </w:rPr>
        <w:t>+</w:t>
      </w:r>
      <w:r>
        <w:rPr>
          <w:color w:val="000000"/>
          <w:spacing w:val="0"/>
          <w:w w:val="100"/>
          <w:position w:val="0"/>
        </w:rPr>
        <w:t>环保治理</w:t>
      </w:r>
      <w:r>
        <w:rPr>
          <w:rFonts w:ascii="Times New Roman" w:eastAsia="Times New Roman" w:hAnsi="Times New Roman" w:cs="Times New Roman"/>
          <w:color w:val="000000"/>
          <w:spacing w:val="0"/>
          <w:w w:val="100"/>
          <w:position w:val="0"/>
        </w:rPr>
        <w:t>''</w:t>
      </w:r>
      <w:r>
        <w:rPr>
          <w:color w:val="000000"/>
          <w:spacing w:val="0"/>
          <w:w w:val="100"/>
          <w:position w:val="0"/>
        </w:rPr>
        <w:t>的产 业模式，致力于成为领先的环保新能源综合服务商。公司凭借独特的商业模式、强大的产业整合能力及市 场开拓能力等优势，通过打造综合化服务平台，为客户提供智慧能源运营服务、生态环境治理等一揽子绿 色发展解决方案，核心竞争力和抗风险能力得以提升。</w:t>
      </w:r>
    </w:p>
    <w:p>
      <w:pPr>
        <w:pStyle w:val="Style17"/>
        <w:keepNext w:val="0"/>
        <w:keepLines w:val="0"/>
        <w:widowControl w:val="0"/>
        <w:shd w:val="clear" w:color="auto" w:fill="auto"/>
        <w:tabs>
          <w:tab w:pos="965" w:val="left"/>
        </w:tabs>
        <w:bidi w:val="0"/>
        <w:spacing w:before="0" w:after="0" w:line="470" w:lineRule="exact"/>
        <w:ind w:left="0" w:right="0"/>
        <w:jc w:val="left"/>
      </w:pPr>
      <w:bookmarkStart w:id="78" w:name="bookmark78"/>
      <w:r>
        <w:rPr>
          <w:color w:val="000000"/>
          <w:spacing w:val="0"/>
          <w:w w:val="100"/>
          <w:position w:val="0"/>
        </w:rPr>
        <w:t>（</w:t>
      </w:r>
      <w:bookmarkEnd w:id="78"/>
      <w:r>
        <w:rPr>
          <w:color w:val="000000"/>
          <w:spacing w:val="0"/>
          <w:w w:val="100"/>
          <w:position w:val="0"/>
        </w:rPr>
        <w:t>二）</w:t>
        <w:tab/>
        <w:t>规模化运营优势</w:t>
      </w:r>
    </w:p>
    <w:p>
      <w:pPr>
        <w:pStyle w:val="Style17"/>
        <w:keepNext w:val="0"/>
        <w:keepLines w:val="0"/>
        <w:widowControl w:val="0"/>
        <w:shd w:val="clear" w:color="auto" w:fill="auto"/>
        <w:bidi w:val="0"/>
        <w:spacing w:before="0" w:after="0" w:line="470" w:lineRule="exact"/>
        <w:ind w:left="0" w:right="0"/>
        <w:jc w:val="left"/>
      </w:pPr>
      <w:r>
        <w:rPr>
          <w:color w:val="000000"/>
          <w:spacing w:val="0"/>
          <w:w w:val="100"/>
          <w:position w:val="0"/>
        </w:rPr>
        <w:t>公司拥有新能源电站开发、工程设计、施工建设、智能运维、技术研发等完整的发电业务体系。公司 依托强大的业务体系后盾，通过近年来新能源项目开发的业务积累，在全国百余县市建立了电站项目公司， 同当地政府保持了良好的合作关系。截至报告期末，公司并网电站规模已超</w:t>
      </w:r>
      <w:r>
        <w:rPr>
          <w:rFonts w:ascii="Times New Roman" w:eastAsia="Times New Roman" w:hAnsi="Times New Roman" w:cs="Times New Roman"/>
          <w:color w:val="000000"/>
          <w:spacing w:val="0"/>
          <w:w w:val="100"/>
          <w:position w:val="0"/>
        </w:rPr>
        <w:t>1GW</w:t>
      </w:r>
      <w:r>
        <w:rPr>
          <w:color w:val="000000"/>
          <w:spacing w:val="0"/>
          <w:w w:val="100"/>
          <w:position w:val="0"/>
        </w:rPr>
        <w:t>，</w:t>
      </w:r>
      <w:r>
        <w:rPr>
          <w:color w:val="000000"/>
          <w:spacing w:val="0"/>
          <w:w w:val="100"/>
          <w:position w:val="0"/>
        </w:rPr>
        <w:t>已建成电站批复电价维 持二十年不变，可带来持续稳定的业绩保障，是公司重要的压舱石资产。公司拥有自主知识产权的光伏电 站远程集控智能运维平台已投运，经过不断优化升级，该系统已实现了光伏电站大数据采集、智能化故障 诊断、运维管理全周期的智慧能源管理，为电站的安全平稳运营提供重要保障，通过规模化电站运维，摊 薄运维成本，提升公司盈利能力。</w:t>
      </w:r>
    </w:p>
    <w:p>
      <w:pPr>
        <w:pStyle w:val="Style17"/>
        <w:keepNext w:val="0"/>
        <w:keepLines w:val="0"/>
        <w:widowControl w:val="0"/>
        <w:shd w:val="clear" w:color="auto" w:fill="auto"/>
        <w:tabs>
          <w:tab w:pos="965" w:val="left"/>
        </w:tabs>
        <w:bidi w:val="0"/>
        <w:spacing w:before="0" w:after="0" w:line="470" w:lineRule="exact"/>
        <w:ind w:left="0" w:right="0"/>
        <w:jc w:val="both"/>
      </w:pPr>
      <w:bookmarkStart w:id="79" w:name="bookmark79"/>
      <w:r>
        <w:rPr>
          <w:color w:val="000000"/>
          <w:spacing w:val="0"/>
          <w:w w:val="100"/>
          <w:position w:val="0"/>
        </w:rPr>
        <w:t>（</w:t>
      </w:r>
      <w:bookmarkEnd w:id="79"/>
      <w:r>
        <w:rPr>
          <w:color w:val="000000"/>
          <w:spacing w:val="0"/>
          <w:w w:val="100"/>
          <w:position w:val="0"/>
        </w:rPr>
        <w:t>三）</w:t>
        <w:tab/>
        <w:t>产业整合优势</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经过多年产业积累和产业链整合，公司快速实现了新能源产业布局，并成功拓宽了绿色产业链，全面 布局生态环保行业，涉足生态修复、流域治理、水处理等业务领域，积累了丰富的行业整合经验，也为公 司未来开拓新的增长动能提供了有力保障。</w:t>
      </w:r>
    </w:p>
    <w:p>
      <w:pPr>
        <w:pStyle w:val="Style17"/>
        <w:keepNext w:val="0"/>
        <w:keepLines w:val="0"/>
        <w:widowControl w:val="0"/>
        <w:shd w:val="clear" w:color="auto" w:fill="auto"/>
        <w:tabs>
          <w:tab w:pos="965" w:val="left"/>
        </w:tabs>
        <w:bidi w:val="0"/>
        <w:spacing w:before="0" w:after="0" w:line="470" w:lineRule="exact"/>
        <w:ind w:left="0" w:right="0"/>
        <w:jc w:val="both"/>
      </w:pPr>
      <w:bookmarkStart w:id="80" w:name="bookmark80"/>
      <w:r>
        <w:rPr>
          <w:color w:val="000000"/>
          <w:spacing w:val="0"/>
          <w:w w:val="100"/>
          <w:position w:val="0"/>
        </w:rPr>
        <w:t>（</w:t>
      </w:r>
      <w:bookmarkEnd w:id="80"/>
      <w:r>
        <w:rPr>
          <w:color w:val="000000"/>
          <w:spacing w:val="0"/>
          <w:w w:val="100"/>
          <w:position w:val="0"/>
        </w:rPr>
        <w:t>四）</w:t>
        <w:tab/>
        <w:t>人才使用效能优势</w:t>
      </w:r>
    </w:p>
    <w:p>
      <w:pPr>
        <w:pStyle w:val="Style17"/>
        <w:keepNext w:val="0"/>
        <w:keepLines w:val="0"/>
        <w:widowControl w:val="0"/>
        <w:shd w:val="clear" w:color="auto" w:fill="auto"/>
        <w:bidi w:val="0"/>
        <w:spacing w:before="0" w:after="440" w:line="470" w:lineRule="exact"/>
        <w:ind w:left="0" w:right="0"/>
        <w:jc w:val="both"/>
      </w:pPr>
      <w:r>
        <w:rPr>
          <w:color w:val="000000"/>
          <w:spacing w:val="0"/>
          <w:w w:val="100"/>
          <w:position w:val="0"/>
        </w:rPr>
        <w:t xml:space="preserve">公司高度重视人才培养，积极营造尊重人才、爱护人才的企业氛围，积极为员工干事创业和实现价值 提供机会和条件，营造良性的学习与竞争氛围，努力形成团结奋进的合作共事平台。通过近几年规模化的 </w:t>
      </w:r>
      <w:r>
        <w:rPr>
          <w:color w:val="000000"/>
          <w:spacing w:val="0"/>
          <w:w w:val="100"/>
          <w:position w:val="0"/>
        </w:rPr>
        <w:t>运作，公司团队综合能力进一步增强、队伍结构更加优化、人才使用效能不断提高。</w:t>
      </w:r>
    </w:p>
    <w:p>
      <w:pPr>
        <w:pStyle w:val="Style20"/>
        <w:keepNext/>
        <w:keepLines/>
        <w:widowControl w:val="0"/>
        <w:shd w:val="clear" w:color="auto" w:fill="auto"/>
        <w:bidi w:val="0"/>
        <w:spacing w:before="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四</w:t>
      </w:r>
      <w:bookmarkEnd w:id="83"/>
      <w:r>
        <w:rPr>
          <w:color w:val="000000"/>
          <w:spacing w:val="0"/>
          <w:w w:val="100"/>
          <w:position w:val="0"/>
        </w:rPr>
        <w:t>、主营业务分析</w:t>
      </w:r>
      <w:bookmarkEnd w:id="81"/>
      <w:bookmarkEnd w:id="82"/>
      <w:bookmarkEnd w:id="84"/>
    </w:p>
    <w:p>
      <w:pPr>
        <w:pStyle w:val="Style31"/>
        <w:keepNext/>
        <w:keepLines/>
        <w:widowControl w:val="0"/>
        <w:shd w:val="clear" w:color="auto" w:fill="auto"/>
        <w:bidi w:val="0"/>
        <w:spacing w:before="0" w:after="0" w:line="48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1</w:t>
      </w:r>
      <w:bookmarkEnd w:id="87"/>
      <w:r>
        <w:rPr>
          <w:color w:val="000000"/>
          <w:spacing w:val="0"/>
          <w:w w:val="100"/>
          <w:position w:val="0"/>
        </w:rPr>
        <w:t>、概述</w:t>
      </w:r>
      <w:bookmarkEnd w:id="85"/>
      <w:bookmarkEnd w:id="86"/>
      <w:bookmarkEnd w:id="88"/>
    </w:p>
    <w:p>
      <w:pPr>
        <w:pStyle w:val="Style17"/>
        <w:keepNext w:val="0"/>
        <w:keepLines w:val="0"/>
        <w:widowControl w:val="0"/>
        <w:shd w:val="clear" w:color="auto" w:fill="auto"/>
        <w:bidi w:val="0"/>
        <w:spacing w:before="0" w:after="0" w:line="467"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年在宏观经济下行、新冠肺炎疫情反复影响等诸多不确定性因素下，公司保持战略定力，聚焦主 业，在新一届董事会及管理层的带领下，对外强力开拓市场、强化资金回笼，对内增强管理效能、降本提 质增效，持续推动组织体系再造，积极谋划部署各项新项目合作，改善公司经营困境。</w:t>
      </w:r>
    </w:p>
    <w:p>
      <w:pPr>
        <w:pStyle w:val="Style17"/>
        <w:keepNext w:val="0"/>
        <w:keepLines w:val="0"/>
        <w:widowControl w:val="0"/>
        <w:shd w:val="clear" w:color="auto" w:fill="auto"/>
        <w:bidi w:val="0"/>
        <w:spacing w:before="0" w:after="0" w:line="467" w:lineRule="exact"/>
        <w:ind w:left="0" w:right="0"/>
        <w:jc w:val="left"/>
      </w:pPr>
      <w:r>
        <w:rPr>
          <w:color w:val="000000"/>
          <w:spacing w:val="0"/>
          <w:w w:val="100"/>
          <w:position w:val="0"/>
        </w:rPr>
        <w:t>报告期内，新能源发电业务收入持续保持稳定，满发稳供，提供持续现金流。</w:t>
      </w:r>
      <w:r>
        <w:rPr>
          <w:rFonts w:ascii="Times New Roman" w:eastAsia="Times New Roman" w:hAnsi="Times New Roman" w:cs="Times New Roman"/>
          <w:color w:val="000000"/>
          <w:spacing w:val="0"/>
          <w:w w:val="100"/>
          <w:position w:val="0"/>
        </w:rPr>
        <w:t>2021</w:t>
      </w:r>
      <w:r>
        <w:rPr>
          <w:color w:val="000000"/>
          <w:spacing w:val="0"/>
          <w:w w:val="100"/>
          <w:position w:val="0"/>
        </w:rPr>
        <w:t>年全年累计电费收 入约</w:t>
      </w:r>
      <w:r>
        <w:rPr>
          <w:rFonts w:ascii="Times New Roman" w:eastAsia="Times New Roman" w:hAnsi="Times New Roman" w:cs="Times New Roman"/>
          <w:color w:val="000000"/>
          <w:spacing w:val="0"/>
          <w:w w:val="100"/>
          <w:position w:val="0"/>
        </w:rPr>
        <w:t>7.6</w:t>
      </w:r>
      <w:r>
        <w:rPr>
          <w:color w:val="000000"/>
          <w:spacing w:val="0"/>
          <w:w w:val="100"/>
          <w:position w:val="0"/>
        </w:rPr>
        <w:t>亿元，截至</w:t>
      </w:r>
      <w:r>
        <w:rPr>
          <w:rFonts w:ascii="Times New Roman" w:eastAsia="Times New Roman" w:hAnsi="Times New Roman" w:cs="Times New Roman"/>
          <w:color w:val="000000"/>
          <w:spacing w:val="0"/>
          <w:w w:val="100"/>
          <w:position w:val="0"/>
        </w:rPr>
        <w:t>2021</w:t>
      </w:r>
      <w:r>
        <w:rPr>
          <w:color w:val="000000"/>
          <w:spacing w:val="0"/>
          <w:w w:val="100"/>
          <w:position w:val="0"/>
        </w:rPr>
        <w:t>年末应收新能源发电补贴款</w:t>
      </w:r>
      <w:r>
        <w:rPr>
          <w:rFonts w:ascii="Times New Roman" w:eastAsia="Times New Roman" w:hAnsi="Times New Roman" w:cs="Times New Roman"/>
          <w:color w:val="000000"/>
          <w:spacing w:val="0"/>
          <w:w w:val="100"/>
          <w:position w:val="0"/>
        </w:rPr>
        <w:t>15</w:t>
      </w:r>
      <w:r>
        <w:rPr>
          <w:color w:val="000000"/>
          <w:spacing w:val="0"/>
          <w:w w:val="100"/>
          <w:position w:val="0"/>
        </w:rPr>
        <w:t>亿元，年度内已收到新能源补贴</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w:t>
      </w:r>
      <w:r>
        <w:rPr>
          <w:color w:val="000000"/>
          <w:spacing w:val="0"/>
          <w:w w:val="100"/>
          <w:position w:val="0"/>
        </w:rPr>
        <w:t>亿元。生态环保 业务等资金驱动型业务较去年同期下降，全年营业收入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.84</w:t>
      </w:r>
      <w:r>
        <w:rPr>
          <w:color w:val="000000"/>
          <w:spacing w:val="0"/>
          <w:w w:val="100"/>
          <w:position w:val="0"/>
        </w:rPr>
        <w:t>亿元。</w:t>
      </w:r>
    </w:p>
    <w:p>
      <w:pPr>
        <w:pStyle w:val="Style17"/>
        <w:keepNext w:val="0"/>
        <w:keepLines w:val="0"/>
        <w:widowControl w:val="0"/>
        <w:shd w:val="clear" w:color="auto" w:fill="auto"/>
        <w:bidi w:val="0"/>
        <w:spacing w:before="0" w:after="0" w:line="467" w:lineRule="exact"/>
        <w:ind w:left="0" w:right="0"/>
        <w:jc w:val="left"/>
      </w:pPr>
      <w:r>
        <w:rPr>
          <w:color w:val="000000"/>
          <w:spacing w:val="0"/>
          <w:w w:val="100"/>
          <w:position w:val="0"/>
        </w:rPr>
        <w:t>公司全年实现营业收入</w:t>
      </w:r>
      <w:r>
        <w:rPr>
          <w:rFonts w:ascii="Times New Roman" w:eastAsia="Times New Roman" w:hAnsi="Times New Roman" w:cs="Times New Roman"/>
          <w:color w:val="000000"/>
          <w:spacing w:val="0"/>
          <w:w w:val="100"/>
          <w:position w:val="0"/>
        </w:rPr>
        <w:t>38.77</w:t>
      </w:r>
      <w:r>
        <w:rPr>
          <w:color w:val="000000"/>
          <w:spacing w:val="0"/>
          <w:w w:val="100"/>
          <w:position w:val="0"/>
        </w:rPr>
        <w:t>亿元，同比增长</w:t>
      </w:r>
      <w:r>
        <w:rPr>
          <w:rFonts w:ascii="Times New Roman" w:eastAsia="Times New Roman" w:hAnsi="Times New Roman" w:cs="Times New Roman"/>
          <w:color w:val="000000"/>
          <w:spacing w:val="0"/>
          <w:w w:val="100"/>
          <w:position w:val="0"/>
        </w:rPr>
        <w:t>11.68%</w:t>
      </w:r>
      <w:r>
        <w:rPr>
          <w:color w:val="000000"/>
          <w:spacing w:val="0"/>
          <w:w w:val="100"/>
          <w:position w:val="0"/>
        </w:rPr>
        <w:t>，实现归母净利润</w:t>
      </w:r>
      <w:r>
        <w:rPr>
          <w:rFonts w:ascii="Times New Roman" w:eastAsia="Times New Roman" w:hAnsi="Times New Roman" w:cs="Times New Roman"/>
          <w:color w:val="000000"/>
          <w:spacing w:val="0"/>
          <w:w w:val="100"/>
          <w:position w:val="0"/>
        </w:rPr>
        <w:t>-5.90</w:t>
      </w:r>
      <w:r>
        <w:rPr>
          <w:color w:val="000000"/>
          <w:spacing w:val="0"/>
          <w:w w:val="100"/>
          <w:position w:val="0"/>
        </w:rPr>
        <w:t>亿元，亏损较去年同期减 少。报告期末，公司总资产为</w:t>
      </w:r>
      <w:r>
        <w:rPr>
          <w:rFonts w:ascii="Times New Roman" w:eastAsia="Times New Roman" w:hAnsi="Times New Roman" w:cs="Times New Roman"/>
          <w:color w:val="000000"/>
          <w:spacing w:val="0"/>
          <w:w w:val="100"/>
          <w:position w:val="0"/>
        </w:rPr>
        <w:t>261.53</w:t>
      </w:r>
      <w:r>
        <w:rPr>
          <w:color w:val="000000"/>
          <w:spacing w:val="0"/>
          <w:w w:val="100"/>
          <w:position w:val="0"/>
        </w:rPr>
        <w:t>亿元，归母净资产为</w:t>
      </w:r>
      <w:r>
        <w:rPr>
          <w:rFonts w:ascii="Times New Roman" w:eastAsia="Times New Roman" w:hAnsi="Times New Roman" w:cs="Times New Roman"/>
          <w:color w:val="000000"/>
          <w:spacing w:val="0"/>
          <w:w w:val="100"/>
          <w:position w:val="0"/>
        </w:rPr>
        <w:t>115.85</w:t>
      </w:r>
      <w:r>
        <w:rPr>
          <w:color w:val="000000"/>
          <w:spacing w:val="0"/>
          <w:w w:val="100"/>
          <w:position w:val="0"/>
        </w:rPr>
        <w:t>亿元。</w:t>
      </w:r>
    </w:p>
    <w:p>
      <w:pPr>
        <w:pStyle w:val="Style17"/>
        <w:keepNext w:val="0"/>
        <w:keepLines w:val="0"/>
        <w:widowControl w:val="0"/>
        <w:shd w:val="clear" w:color="auto" w:fill="auto"/>
        <w:tabs>
          <w:tab w:pos="959" w:val="left"/>
        </w:tabs>
        <w:bidi w:val="0"/>
        <w:spacing w:before="0" w:after="0" w:line="467" w:lineRule="exact"/>
        <w:ind w:left="0" w:right="0"/>
        <w:jc w:val="left"/>
      </w:pPr>
      <w:bookmarkStart w:id="89" w:name="bookmark89"/>
      <w:r>
        <w:rPr>
          <w:b/>
          <w:bCs/>
          <w:color w:val="000000"/>
          <w:spacing w:val="0"/>
          <w:w w:val="100"/>
          <w:position w:val="0"/>
        </w:rPr>
        <w:t>（</w:t>
      </w:r>
      <w:bookmarkEnd w:id="89"/>
      <w:r>
        <w:rPr>
          <w:b/>
          <w:bCs/>
          <w:color w:val="000000"/>
          <w:spacing w:val="0"/>
          <w:w w:val="100"/>
          <w:position w:val="0"/>
        </w:rPr>
        <w:t>一）</w:t>
        <w:tab/>
        <w:t>坚定新能源主业，挖潜提质增效</w:t>
      </w:r>
    </w:p>
    <w:p>
      <w:pPr>
        <w:pStyle w:val="Style17"/>
        <w:keepNext w:val="0"/>
        <w:keepLines w:val="0"/>
        <w:widowControl w:val="0"/>
        <w:shd w:val="clear" w:color="auto" w:fill="auto"/>
        <w:bidi w:val="0"/>
        <w:spacing w:before="0" w:after="0" w:line="467" w:lineRule="exact"/>
        <w:ind w:left="0" w:right="0"/>
        <w:jc w:val="left"/>
      </w:pPr>
      <w:r>
        <w:rPr>
          <w:color w:val="000000"/>
          <w:spacing w:val="0"/>
          <w:w w:val="100"/>
          <w:position w:val="0"/>
        </w:rPr>
        <w:t>电站资产</w:t>
      </w:r>
      <w:r>
        <w:rPr>
          <w:rFonts w:ascii="Times New Roman" w:eastAsia="Times New Roman" w:hAnsi="Times New Roman" w:cs="Times New Roman"/>
          <w:color w:val="000000"/>
          <w:spacing w:val="0"/>
          <w:w w:val="100"/>
          <w:position w:val="0"/>
        </w:rPr>
        <w:t>“</w:t>
      </w:r>
      <w:r>
        <w:rPr>
          <w:color w:val="000000"/>
          <w:spacing w:val="0"/>
          <w:w w:val="100"/>
          <w:position w:val="0"/>
        </w:rPr>
        <w:t>压舱石</w:t>
      </w:r>
      <w:r>
        <w:rPr>
          <w:rFonts w:ascii="Times New Roman" w:eastAsia="Times New Roman" w:hAnsi="Times New Roman" w:cs="Times New Roman"/>
          <w:color w:val="000000"/>
          <w:spacing w:val="0"/>
          <w:w w:val="100"/>
          <w:position w:val="0"/>
        </w:rPr>
        <w:t>”</w:t>
      </w:r>
      <w:r>
        <w:rPr>
          <w:color w:val="000000"/>
          <w:spacing w:val="0"/>
          <w:w w:val="100"/>
          <w:position w:val="0"/>
        </w:rPr>
        <w:t>的战略定位不断夯实，公司运维业务技术、生产经营与营销管理领先业内，随着生 产标准化体系逐步落地，发电量实现稳定增长。报告期末，公司自持光伏电站</w:t>
      </w:r>
      <w:r>
        <w:rPr>
          <w:rFonts w:ascii="Times New Roman" w:eastAsia="Times New Roman" w:hAnsi="Times New Roman" w:cs="Times New Roman"/>
          <w:color w:val="000000"/>
          <w:spacing w:val="0"/>
          <w:w w:val="100"/>
          <w:position w:val="0"/>
        </w:rPr>
        <w:t>57</w:t>
      </w:r>
      <w:r>
        <w:rPr>
          <w:color w:val="000000"/>
          <w:spacing w:val="0"/>
          <w:w w:val="100"/>
          <w:position w:val="0"/>
        </w:rPr>
        <w:t>座，覆盖全国</w:t>
      </w:r>
      <w:r>
        <w:rPr>
          <w:rFonts w:ascii="Times New Roman" w:eastAsia="Times New Roman" w:hAnsi="Times New Roman" w:cs="Times New Roman"/>
          <w:color w:val="000000"/>
          <w:spacing w:val="0"/>
          <w:w w:val="100"/>
          <w:position w:val="0"/>
        </w:rPr>
        <w:t>20</w:t>
      </w:r>
      <w:r>
        <w:rPr>
          <w:color w:val="000000"/>
          <w:spacing w:val="0"/>
          <w:w w:val="100"/>
          <w:position w:val="0"/>
        </w:rPr>
        <w:t>个省市自 治区，并网装机量约</w:t>
      </w:r>
      <w:r>
        <w:rPr>
          <w:rFonts w:ascii="Times New Roman" w:eastAsia="Times New Roman" w:hAnsi="Times New Roman" w:cs="Times New Roman"/>
          <w:color w:val="000000"/>
          <w:spacing w:val="0"/>
          <w:w w:val="100"/>
          <w:position w:val="0"/>
        </w:rPr>
        <w:t>1GW</w:t>
      </w:r>
      <w:r>
        <w:rPr>
          <w:color w:val="000000"/>
          <w:spacing w:val="0"/>
          <w:w w:val="100"/>
          <w:position w:val="0"/>
        </w:rPr>
        <w:t>，</w:t>
      </w:r>
      <w:r>
        <w:rPr>
          <w:color w:val="000000"/>
          <w:spacing w:val="0"/>
          <w:w w:val="100"/>
          <w:position w:val="0"/>
        </w:rPr>
        <w:t>全年累计发电量</w:t>
      </w:r>
      <w:r>
        <w:rPr>
          <w:rFonts w:ascii="Times New Roman" w:eastAsia="Times New Roman" w:hAnsi="Times New Roman" w:cs="Times New Roman"/>
          <w:color w:val="000000"/>
          <w:spacing w:val="0"/>
          <w:w w:val="100"/>
          <w:position w:val="0"/>
        </w:rPr>
        <w:t>11.5</w:t>
      </w:r>
      <w:r>
        <w:rPr>
          <w:color w:val="000000"/>
          <w:spacing w:val="0"/>
          <w:w w:val="100"/>
          <w:position w:val="0"/>
        </w:rPr>
        <w:t>亿度，上网电量</w:t>
      </w:r>
      <w:r>
        <w:rPr>
          <w:rFonts w:ascii="Times New Roman" w:eastAsia="Times New Roman" w:hAnsi="Times New Roman" w:cs="Times New Roman"/>
          <w:color w:val="000000"/>
          <w:spacing w:val="0"/>
          <w:w w:val="100"/>
          <w:position w:val="0"/>
        </w:rPr>
        <w:t>11.4</w:t>
      </w:r>
      <w:r>
        <w:rPr>
          <w:rFonts w:ascii="Times New Roman" w:eastAsia="Times New Roman" w:hAnsi="Times New Roman" w:cs="Times New Roman"/>
          <w:color w:val="000000"/>
          <w:spacing w:val="0"/>
          <w:w w:val="100"/>
          <w:position w:val="0"/>
        </w:rPr>
        <w:t>1</w:t>
      </w:r>
      <w:r>
        <w:rPr>
          <w:color w:val="000000"/>
          <w:spacing w:val="0"/>
          <w:w w:val="100"/>
          <w:position w:val="0"/>
        </w:rPr>
        <w:t>亿度，等效利用小时数</w:t>
      </w:r>
      <w:r>
        <w:rPr>
          <w:rFonts w:ascii="Times New Roman" w:eastAsia="Times New Roman" w:hAnsi="Times New Roman" w:cs="Times New Roman"/>
          <w:color w:val="000000"/>
          <w:spacing w:val="0"/>
          <w:w w:val="100"/>
          <w:position w:val="0"/>
        </w:rPr>
        <w:t>1249</w:t>
      </w:r>
      <w:r>
        <w:rPr>
          <w:color w:val="000000"/>
          <w:spacing w:val="0"/>
          <w:w w:val="100"/>
          <w:position w:val="0"/>
        </w:rPr>
        <w:t>小时。</w:t>
      </w:r>
    </w:p>
    <w:p>
      <w:pPr>
        <w:pStyle w:val="Style17"/>
        <w:keepNext w:val="0"/>
        <w:keepLines w:val="0"/>
        <w:widowControl w:val="0"/>
        <w:shd w:val="clear" w:color="auto" w:fill="auto"/>
        <w:bidi w:val="0"/>
        <w:spacing w:before="0" w:after="0" w:line="467" w:lineRule="exact"/>
        <w:ind w:left="0" w:right="0"/>
        <w:jc w:val="left"/>
      </w:pPr>
      <w:r>
        <w:rPr>
          <w:color w:val="000000"/>
          <w:spacing w:val="0"/>
          <w:w w:val="100"/>
          <w:position w:val="0"/>
        </w:rPr>
        <w:t>公司集中优势力量推动与央企国企深度合作，优势互补。报告期内新增新能源工程订单</w:t>
      </w:r>
      <w:r>
        <w:rPr>
          <w:rFonts w:ascii="Times New Roman" w:eastAsia="Times New Roman" w:hAnsi="Times New Roman" w:cs="Times New Roman"/>
          <w:color w:val="000000"/>
          <w:spacing w:val="0"/>
          <w:w w:val="100"/>
          <w:position w:val="0"/>
        </w:rPr>
        <w:t>12.77</w:t>
      </w:r>
      <w:r>
        <w:rPr>
          <w:color w:val="000000"/>
          <w:spacing w:val="0"/>
          <w:w w:val="100"/>
          <w:position w:val="0"/>
        </w:rPr>
        <w:t>亿元。此 外公司新增收购光伏项目</w:t>
      </w:r>
      <w:r>
        <w:rPr>
          <w:rFonts w:ascii="Times New Roman" w:eastAsia="Times New Roman" w:hAnsi="Times New Roman" w:cs="Times New Roman"/>
          <w:color w:val="000000"/>
          <w:spacing w:val="0"/>
          <w:w w:val="100"/>
          <w:position w:val="0"/>
        </w:rPr>
        <w:t>2</w:t>
      </w:r>
      <w:r>
        <w:rPr>
          <w:color w:val="000000"/>
          <w:spacing w:val="0"/>
          <w:w w:val="100"/>
          <w:position w:val="0"/>
        </w:rPr>
        <w:t>个，共</w:t>
      </w:r>
      <w:r>
        <w:rPr>
          <w:rFonts w:ascii="Times New Roman" w:eastAsia="Times New Roman" w:hAnsi="Times New Roman" w:cs="Times New Roman"/>
          <w:color w:val="000000"/>
          <w:spacing w:val="0"/>
          <w:w w:val="100"/>
          <w:position w:val="0"/>
        </w:rPr>
        <w:t>38MW</w:t>
      </w:r>
      <w:r>
        <w:rPr>
          <w:color w:val="000000"/>
          <w:spacing w:val="0"/>
          <w:w w:val="100"/>
          <w:position w:val="0"/>
        </w:rPr>
        <w:t>。</w:t>
      </w:r>
      <w:r>
        <w:rPr>
          <w:color w:val="000000"/>
          <w:spacing w:val="0"/>
          <w:w w:val="100"/>
          <w:position w:val="0"/>
        </w:rPr>
        <w:t>报告期内，公司的运维团队走向业务前端，通过专业优质的服务 为公司带来新增代运维订单</w:t>
      </w:r>
      <w:r>
        <w:rPr>
          <w:rFonts w:ascii="Times New Roman" w:eastAsia="Times New Roman" w:hAnsi="Times New Roman" w:cs="Times New Roman"/>
          <w:color w:val="000000"/>
          <w:spacing w:val="0"/>
          <w:w w:val="100"/>
          <w:position w:val="0"/>
        </w:rPr>
        <w:t>304.97MW</w:t>
      </w:r>
      <w:r>
        <w:rPr>
          <w:color w:val="000000"/>
          <w:spacing w:val="0"/>
          <w:w w:val="100"/>
          <w:position w:val="0"/>
        </w:rPr>
        <w:t>，将客户电站发电效率平均提升</w:t>
      </w:r>
      <w:r>
        <w:rPr>
          <w:rFonts w:ascii="Times New Roman" w:eastAsia="Times New Roman" w:hAnsi="Times New Roman" w:cs="Times New Roman"/>
          <w:color w:val="000000"/>
          <w:spacing w:val="0"/>
          <w:w w:val="100"/>
          <w:position w:val="0"/>
        </w:rPr>
        <w:t>2%,</w:t>
      </w:r>
      <w:r>
        <w:rPr>
          <w:color w:val="000000"/>
          <w:spacing w:val="0"/>
          <w:w w:val="100"/>
          <w:position w:val="0"/>
        </w:rPr>
        <w:t>通过精细化管理，提升运维效益。</w:t>
      </w:r>
    </w:p>
    <w:p>
      <w:pPr>
        <w:pStyle w:val="Style17"/>
        <w:keepNext w:val="0"/>
        <w:keepLines w:val="0"/>
        <w:widowControl w:val="0"/>
        <w:shd w:val="clear" w:color="auto" w:fill="auto"/>
        <w:tabs>
          <w:tab w:pos="959" w:val="left"/>
        </w:tabs>
        <w:bidi w:val="0"/>
        <w:spacing w:before="0" w:after="0" w:line="467" w:lineRule="exact"/>
        <w:ind w:left="0" w:right="0"/>
        <w:jc w:val="left"/>
      </w:pPr>
      <w:bookmarkStart w:id="90" w:name="bookmark90"/>
      <w:r>
        <w:rPr>
          <w:b/>
          <w:bCs/>
          <w:color w:val="000000"/>
          <w:spacing w:val="0"/>
          <w:w w:val="100"/>
          <w:position w:val="0"/>
        </w:rPr>
        <w:t>（</w:t>
      </w:r>
      <w:bookmarkEnd w:id="90"/>
      <w:r>
        <w:rPr>
          <w:b/>
          <w:bCs/>
          <w:color w:val="000000"/>
          <w:spacing w:val="0"/>
          <w:w w:val="100"/>
          <w:position w:val="0"/>
        </w:rPr>
        <w:t>二）</w:t>
        <w:tab/>
        <w:t>生态环保业务稳字当先，生态农业打响名片</w:t>
      </w:r>
    </w:p>
    <w:p>
      <w:pPr>
        <w:pStyle w:val="Style17"/>
        <w:keepNext w:val="0"/>
        <w:keepLines w:val="0"/>
        <w:widowControl w:val="0"/>
        <w:shd w:val="clear" w:color="auto" w:fill="auto"/>
        <w:bidi w:val="0"/>
        <w:spacing w:before="0" w:after="0" w:line="468" w:lineRule="exact"/>
        <w:ind w:left="0" w:right="0"/>
        <w:jc w:val="left"/>
      </w:pPr>
      <w:r>
        <w:rPr>
          <w:color w:val="000000"/>
          <w:spacing w:val="0"/>
          <w:w w:val="100"/>
          <w:position w:val="0"/>
        </w:rPr>
        <w:t>生态环保业务是资金驱动型行业，多数新项目需要先垫资投入再回笼，受融资环境整体偏紧等因素影 响，公司及时调整生态环保业务战略，重新梳理业务及人员体系，做好现有项目的收尾及回款工作，强化 风险管理。</w:t>
      </w:r>
    </w:p>
    <w:p>
      <w:pPr>
        <w:pStyle w:val="Style17"/>
        <w:keepNext w:val="0"/>
        <w:keepLines w:val="0"/>
        <w:widowControl w:val="0"/>
        <w:shd w:val="clear" w:color="auto" w:fill="auto"/>
        <w:bidi w:val="0"/>
        <w:spacing w:before="0" w:after="0" w:line="468" w:lineRule="exact"/>
        <w:ind w:left="0" w:right="0"/>
        <w:jc w:val="left"/>
      </w:pPr>
      <w:r>
        <w:rPr>
          <w:color w:val="000000"/>
          <w:spacing w:val="0"/>
          <w:w w:val="100"/>
          <w:position w:val="0"/>
        </w:rPr>
        <w:t>为进一步开拓新的利润增长点，结合公司生态环保大布局及全资质，公司积极推进农业农村绿色发展， 协助实施一批美丽乡村建设、生态保护修复、复苏河湖生态环境工程项目，参照大别山</w:t>
      </w:r>
      <w:r>
        <w:rPr>
          <w:rFonts w:ascii="Times New Roman" w:eastAsia="Times New Roman" w:hAnsi="Times New Roman" w:cs="Times New Roman"/>
          <w:color w:val="000000"/>
          <w:spacing w:val="0"/>
          <w:w w:val="100"/>
          <w:position w:val="0"/>
        </w:rPr>
        <w:t>“</w:t>
      </w:r>
      <w:r>
        <w:rPr>
          <w:color w:val="000000"/>
          <w:spacing w:val="0"/>
          <w:w w:val="100"/>
          <w:position w:val="0"/>
        </w:rPr>
        <w:t>龙头企业</w:t>
      </w:r>
      <w:r>
        <w:rPr>
          <w:rFonts w:ascii="Times New Roman" w:eastAsia="Times New Roman" w:hAnsi="Times New Roman" w:cs="Times New Roman"/>
          <w:color w:val="000000"/>
          <w:spacing w:val="0"/>
          <w:w w:val="100"/>
          <w:position w:val="0"/>
        </w:rPr>
        <w:t>+</w:t>
      </w:r>
      <w:r>
        <w:rPr>
          <w:color w:val="000000"/>
          <w:spacing w:val="0"/>
          <w:w w:val="100"/>
          <w:position w:val="0"/>
        </w:rPr>
        <w:t>基地</w:t>
      </w:r>
      <w:r>
        <w:rPr>
          <w:rFonts w:ascii="Times New Roman" w:eastAsia="Times New Roman" w:hAnsi="Times New Roman" w:cs="Times New Roman"/>
          <w:color w:val="000000"/>
          <w:spacing w:val="0"/>
          <w:w w:val="100"/>
          <w:position w:val="0"/>
        </w:rPr>
        <w:t xml:space="preserve">+ </w:t>
      </w:r>
      <w:r>
        <w:rPr>
          <w:color w:val="000000"/>
          <w:spacing w:val="0"/>
          <w:w w:val="100"/>
          <w:position w:val="0"/>
        </w:rPr>
        <w:t>合作社</w:t>
      </w:r>
      <w:r>
        <w:rPr>
          <w:rFonts w:ascii="Times New Roman" w:eastAsia="Times New Roman" w:hAnsi="Times New Roman" w:cs="Times New Roman"/>
          <w:color w:val="000000"/>
          <w:spacing w:val="0"/>
          <w:w w:val="100"/>
          <w:position w:val="0"/>
        </w:rPr>
        <w:t>+</w:t>
      </w:r>
      <w:r>
        <w:rPr>
          <w:color w:val="000000"/>
          <w:spacing w:val="0"/>
          <w:w w:val="100"/>
          <w:position w:val="0"/>
        </w:rPr>
        <w:t>农户</w:t>
      </w:r>
      <w:r>
        <w:rPr>
          <w:rFonts w:ascii="Times New Roman" w:eastAsia="Times New Roman" w:hAnsi="Times New Roman" w:cs="Times New Roman"/>
          <w:color w:val="000000"/>
          <w:spacing w:val="0"/>
          <w:w w:val="100"/>
          <w:position w:val="0"/>
        </w:rPr>
        <w:t>”</w:t>
      </w:r>
      <w:r>
        <w:rPr>
          <w:color w:val="000000"/>
          <w:spacing w:val="0"/>
          <w:w w:val="100"/>
          <w:position w:val="0"/>
        </w:rPr>
        <w:t>茶油互联互动创新发展模式，培育优势特色油茶集群。目前拥有</w:t>
      </w:r>
      <w:r>
        <w:rPr>
          <w:rFonts w:ascii="Times New Roman" w:eastAsia="Times New Roman" w:hAnsi="Times New Roman" w:cs="Times New Roman"/>
          <w:color w:val="000000"/>
          <w:spacing w:val="0"/>
          <w:w w:val="100"/>
          <w:position w:val="0"/>
        </w:rPr>
        <w:t>5000</w:t>
      </w:r>
      <w:r>
        <w:rPr>
          <w:color w:val="000000"/>
          <w:spacing w:val="0"/>
          <w:w w:val="100"/>
          <w:position w:val="0"/>
        </w:rPr>
        <w:t xml:space="preserve">余亩的油茶种植基地和 </w:t>
      </w:r>
      <w:r>
        <w:rPr>
          <w:rFonts w:ascii="Times New Roman" w:eastAsia="Times New Roman" w:hAnsi="Times New Roman" w:cs="Times New Roman"/>
          <w:color w:val="000000"/>
          <w:spacing w:val="0"/>
          <w:w w:val="100"/>
          <w:position w:val="0"/>
        </w:rPr>
        <w:t>200</w:t>
      </w:r>
      <w:r>
        <w:rPr>
          <w:color w:val="000000"/>
          <w:spacing w:val="0"/>
          <w:w w:val="100"/>
          <w:position w:val="0"/>
        </w:rPr>
        <w:t>余亩的油茶良种育苗基地，具备</w:t>
      </w:r>
      <w:r>
        <w:rPr>
          <w:rFonts w:ascii="Times New Roman" w:eastAsia="Times New Roman" w:hAnsi="Times New Roman" w:cs="Times New Roman"/>
          <w:color w:val="000000"/>
          <w:spacing w:val="0"/>
          <w:w w:val="100"/>
          <w:position w:val="0"/>
        </w:rPr>
        <w:t>5</w:t>
      </w:r>
      <w:r>
        <w:rPr>
          <w:color w:val="000000"/>
          <w:spacing w:val="0"/>
          <w:w w:val="100"/>
          <w:position w:val="0"/>
        </w:rPr>
        <w:t>万吨年油茶籽加工产能，是安徽省林业和农业产业化双龙头企业，国 家高新技术企业，也是中国同行业中规模最大的油茶籽专业生产企业之一。</w:t>
      </w:r>
    </w:p>
    <w:p>
      <w:pPr>
        <w:pStyle w:val="Style17"/>
        <w:keepNext w:val="0"/>
        <w:keepLines w:val="0"/>
        <w:widowControl w:val="0"/>
        <w:shd w:val="clear" w:color="auto" w:fill="auto"/>
        <w:tabs>
          <w:tab w:pos="959" w:val="left"/>
        </w:tabs>
        <w:bidi w:val="0"/>
        <w:spacing w:before="0" w:after="0" w:line="468" w:lineRule="exact"/>
        <w:ind w:left="0" w:right="0"/>
        <w:jc w:val="left"/>
      </w:pPr>
      <w:bookmarkStart w:id="91" w:name="bookmark91"/>
      <w:r>
        <w:rPr>
          <w:b/>
          <w:bCs/>
          <w:color w:val="000000"/>
          <w:spacing w:val="0"/>
          <w:w w:val="100"/>
          <w:position w:val="0"/>
        </w:rPr>
        <w:t>（</w:t>
      </w:r>
      <w:bookmarkEnd w:id="91"/>
      <w:r>
        <w:rPr>
          <w:b/>
          <w:bCs/>
          <w:color w:val="000000"/>
          <w:spacing w:val="0"/>
          <w:w w:val="100"/>
          <w:position w:val="0"/>
        </w:rPr>
        <w:t>三）</w:t>
        <w:tab/>
        <w:t>锚定</w:t>
      </w:r>
      <w:r>
        <w:rPr>
          <w:rFonts w:ascii="Times New Roman" w:eastAsia="Times New Roman" w:hAnsi="Times New Roman" w:cs="Times New Roman"/>
          <w:b/>
          <w:bCs/>
          <w:color w:val="000000"/>
          <w:spacing w:val="0"/>
          <w:w w:val="100"/>
          <w:position w:val="0"/>
        </w:rPr>
        <w:t>“</w:t>
      </w:r>
      <w:r>
        <w:rPr>
          <w:b/>
          <w:bCs/>
          <w:color w:val="000000"/>
          <w:spacing w:val="0"/>
          <w:w w:val="100"/>
          <w:position w:val="0"/>
        </w:rPr>
        <w:t>碳中和、乡村振兴</w:t>
      </w:r>
      <w:r>
        <w:rPr>
          <w:rFonts w:ascii="Times New Roman" w:eastAsia="Times New Roman" w:hAnsi="Times New Roman" w:cs="Times New Roman"/>
          <w:b/>
          <w:bCs/>
          <w:color w:val="000000"/>
          <w:spacing w:val="0"/>
          <w:w w:val="100"/>
          <w:position w:val="0"/>
        </w:rPr>
        <w:t>”</w:t>
      </w:r>
      <w:r>
        <w:rPr>
          <w:b/>
          <w:bCs/>
          <w:color w:val="000000"/>
          <w:spacing w:val="0"/>
          <w:w w:val="100"/>
          <w:position w:val="0"/>
        </w:rPr>
        <w:t>战略，借势再发力</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报告期内，公司进一步调整完善业务布局，成立碳中和、乡村振兴两大产业事业部，统筹管理新能源 投资、开发、运营管理、高端光伏组件生产制造、生态环保、农业基地等业务领域。</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在安徽金寨，公司对国家扶贫政策及乡村振兴战略作出积极响应，结合当地特色，成立光伏组件制造 企业安徽东旭康图太阳能科技有限公司（以下简称：东旭康图），目前该公司已发展成为可年产光伏组件 </w:t>
      </w:r>
      <w:r>
        <w:rPr>
          <w:rFonts w:ascii="Times New Roman" w:eastAsia="Times New Roman" w:hAnsi="Times New Roman" w:cs="Times New Roman"/>
          <w:color w:val="000000"/>
          <w:spacing w:val="0"/>
          <w:w w:val="100"/>
          <w:position w:val="0"/>
        </w:rPr>
        <w:t>1GW</w:t>
      </w:r>
      <w:r>
        <w:rPr>
          <w:color w:val="000000"/>
          <w:spacing w:val="0"/>
          <w:w w:val="100"/>
          <w:position w:val="0"/>
        </w:rPr>
        <w:t>的高端光伏组件制造企业，成为公司光伏业务的重要组成部分。截至</w:t>
      </w:r>
      <w:r>
        <w:rPr>
          <w:rFonts w:ascii="Times New Roman" w:eastAsia="Times New Roman" w:hAnsi="Times New Roman" w:cs="Times New Roman"/>
          <w:color w:val="000000"/>
          <w:spacing w:val="0"/>
          <w:w w:val="100"/>
          <w:position w:val="0"/>
        </w:rPr>
        <w:t>2021</w:t>
      </w:r>
      <w:r>
        <w:rPr>
          <w:color w:val="000000"/>
          <w:spacing w:val="0"/>
          <w:w w:val="100"/>
          <w:position w:val="0"/>
        </w:rPr>
        <w:t>年，东旭康图的产品已远销 全球</w:t>
      </w:r>
      <w:r>
        <w:rPr>
          <w:rFonts w:ascii="Times New Roman" w:eastAsia="Times New Roman" w:hAnsi="Times New Roman" w:cs="Times New Roman"/>
          <w:color w:val="000000"/>
          <w:spacing w:val="0"/>
          <w:w w:val="100"/>
          <w:position w:val="0"/>
        </w:rPr>
        <w:t>25</w:t>
      </w:r>
      <w:r>
        <w:rPr>
          <w:color w:val="000000"/>
          <w:spacing w:val="0"/>
          <w:w w:val="100"/>
          <w:position w:val="0"/>
        </w:rPr>
        <w:t>个</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国家和地区。东旭康图不仅为金寨提供再就业岗位</w:t>
      </w:r>
      <w:r>
        <w:rPr>
          <w:rFonts w:ascii="Times New Roman" w:eastAsia="Times New Roman" w:hAnsi="Times New Roman" w:cs="Times New Roman"/>
          <w:color w:val="000000"/>
          <w:spacing w:val="0"/>
          <w:w w:val="100"/>
          <w:position w:val="0"/>
        </w:rPr>
        <w:t>100</w:t>
      </w:r>
      <w:r>
        <w:rPr>
          <w:color w:val="000000"/>
          <w:spacing w:val="0"/>
          <w:w w:val="100"/>
          <w:position w:val="0"/>
        </w:rPr>
        <w:t>多个，也带动周边数十家配套企 业并肩成长，成为当地光伏扶贫工程及乡村振兴项目典范。</w:t>
      </w:r>
    </w:p>
    <w:p>
      <w:pPr>
        <w:pStyle w:val="Style17"/>
        <w:keepNext w:val="0"/>
        <w:keepLines w:val="0"/>
        <w:widowControl w:val="0"/>
        <w:shd w:val="clear" w:color="auto" w:fill="auto"/>
        <w:tabs>
          <w:tab w:pos="936" w:val="left"/>
        </w:tabs>
        <w:bidi w:val="0"/>
        <w:spacing w:before="0" w:after="0" w:line="468" w:lineRule="exact"/>
        <w:ind w:left="0" w:right="0"/>
        <w:jc w:val="both"/>
      </w:pPr>
      <w:bookmarkStart w:id="92" w:name="bookmark92"/>
      <w:r>
        <w:rPr>
          <w:b/>
          <w:bCs/>
          <w:color w:val="000000"/>
          <w:spacing w:val="0"/>
          <w:w w:val="100"/>
          <w:position w:val="0"/>
        </w:rPr>
        <w:t>（</w:t>
      </w:r>
      <w:bookmarkEnd w:id="92"/>
      <w:r>
        <w:rPr>
          <w:b/>
          <w:bCs/>
          <w:color w:val="000000"/>
          <w:spacing w:val="0"/>
          <w:w w:val="100"/>
          <w:position w:val="0"/>
        </w:rPr>
        <w:t>四）</w:t>
        <w:tab/>
        <w:t>压降债务规模，清收盘活资产</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报告期内，公司清收盘活部门积极与各债权方协商债务化解方案，努力消除或减少控股股东债务违约 带来的不利因素。</w:t>
      </w:r>
      <w:r>
        <w:rPr>
          <w:rFonts w:ascii="Times New Roman" w:eastAsia="Times New Roman" w:hAnsi="Times New Roman" w:cs="Times New Roman"/>
          <w:color w:val="000000"/>
          <w:spacing w:val="0"/>
          <w:w w:val="100"/>
          <w:position w:val="0"/>
        </w:rPr>
        <w:t>2021</w:t>
      </w:r>
      <w:r>
        <w:rPr>
          <w:color w:val="000000"/>
          <w:spacing w:val="0"/>
          <w:w w:val="100"/>
          <w:position w:val="0"/>
        </w:rPr>
        <w:t>年度累计达成展期协议的贷款共计</w:t>
      </w:r>
      <w:r>
        <w:rPr>
          <w:rFonts w:ascii="Times New Roman" w:eastAsia="Times New Roman" w:hAnsi="Times New Roman" w:cs="Times New Roman"/>
          <w:color w:val="000000"/>
          <w:spacing w:val="0"/>
          <w:w w:val="100"/>
          <w:position w:val="0"/>
        </w:rPr>
        <w:t>42.41</w:t>
      </w:r>
      <w:r>
        <w:rPr>
          <w:color w:val="000000"/>
          <w:spacing w:val="0"/>
          <w:w w:val="100"/>
          <w:position w:val="0"/>
        </w:rPr>
        <w:t>亿元，截至报告期末公司有息负债合计</w:t>
      </w:r>
      <w:r>
        <w:rPr>
          <w:rFonts w:ascii="Times New Roman" w:eastAsia="Times New Roman" w:hAnsi="Times New Roman" w:cs="Times New Roman"/>
          <w:color w:val="000000"/>
          <w:spacing w:val="0"/>
          <w:w w:val="100"/>
          <w:position w:val="0"/>
        </w:rPr>
        <w:t xml:space="preserve">91.38 </w:t>
      </w:r>
      <w:r>
        <w:rPr>
          <w:color w:val="000000"/>
          <w:spacing w:val="0"/>
          <w:w w:val="100"/>
          <w:position w:val="0"/>
        </w:rPr>
        <w:t>亿元。同时，公司持续深化各类资产盘活及债权清收工作</w:t>
      </w:r>
      <w:r>
        <w:rPr>
          <w:rFonts w:ascii="Times New Roman" w:eastAsia="Times New Roman" w:hAnsi="Times New Roman" w:cs="Times New Roman"/>
          <w:color w:val="000000"/>
          <w:spacing w:val="0"/>
          <w:w w:val="100"/>
          <w:position w:val="0"/>
        </w:rPr>
        <w:t>,</w:t>
      </w:r>
      <w:r>
        <w:rPr>
          <w:color w:val="000000"/>
          <w:spacing w:val="0"/>
          <w:w w:val="100"/>
          <w:position w:val="0"/>
        </w:rPr>
        <w:t>收回部分抵偿资产。</w:t>
      </w:r>
    </w:p>
    <w:p>
      <w:pPr>
        <w:pStyle w:val="Style17"/>
        <w:keepNext w:val="0"/>
        <w:keepLines w:val="0"/>
        <w:widowControl w:val="0"/>
        <w:shd w:val="clear" w:color="auto" w:fill="auto"/>
        <w:tabs>
          <w:tab w:pos="936" w:val="left"/>
        </w:tabs>
        <w:bidi w:val="0"/>
        <w:spacing w:before="0" w:after="0" w:line="468" w:lineRule="exact"/>
        <w:ind w:left="0" w:right="0"/>
        <w:jc w:val="both"/>
      </w:pPr>
      <w:bookmarkStart w:id="93" w:name="bookmark93"/>
      <w:r>
        <w:rPr>
          <w:b/>
          <w:bCs/>
          <w:color w:val="000000"/>
          <w:spacing w:val="0"/>
          <w:w w:val="100"/>
          <w:position w:val="0"/>
        </w:rPr>
        <w:t>（</w:t>
      </w:r>
      <w:bookmarkEnd w:id="93"/>
      <w:r>
        <w:rPr>
          <w:b/>
          <w:bCs/>
          <w:color w:val="000000"/>
          <w:spacing w:val="0"/>
          <w:w w:val="100"/>
          <w:position w:val="0"/>
        </w:rPr>
        <w:t>五）</w:t>
        <w:tab/>
        <w:t>履行社会责任，践行绿色发展</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报告期间全国多地出现疫情反弹及局部灾害，公司积极响应国家号召，践行社会责任，以实际行动支 持新冠肺炎疫情防控工作，向安徽、浙江、江西等各地累计捐赠食用油、医用酒精等物资；向江西省分宜 县政府提供场所设施用于疫情防控集中隔离点。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月河南遭受特大暴雨侵袭导致洪灾泛滥，公司迅 速驰援助力抢险抗灾，向河南电池研究院、新乡牧野区政府捐赠了</w:t>
      </w:r>
      <w:r>
        <w:rPr>
          <w:rFonts w:ascii="Times New Roman" w:eastAsia="Times New Roman" w:hAnsi="Times New Roman" w:cs="Times New Roman"/>
          <w:color w:val="000000"/>
          <w:spacing w:val="0"/>
          <w:w w:val="100"/>
          <w:position w:val="0"/>
        </w:rPr>
        <w:t>2500</w:t>
      </w:r>
      <w:r>
        <w:rPr>
          <w:color w:val="000000"/>
          <w:spacing w:val="0"/>
          <w:w w:val="100"/>
          <w:position w:val="0"/>
        </w:rPr>
        <w:t>余件灾区急需的食品物资，累计价 值约</w:t>
      </w:r>
      <w:r>
        <w:rPr>
          <w:rFonts w:ascii="Times New Roman" w:eastAsia="Times New Roman" w:hAnsi="Times New Roman" w:cs="Times New Roman"/>
          <w:color w:val="000000"/>
          <w:spacing w:val="0"/>
          <w:w w:val="100"/>
          <w:position w:val="0"/>
        </w:rPr>
        <w:t>10</w:t>
      </w:r>
      <w:r>
        <w:rPr>
          <w:color w:val="000000"/>
          <w:spacing w:val="0"/>
          <w:w w:val="100"/>
          <w:position w:val="0"/>
        </w:rPr>
        <w:t>万元，为防汛抢险全面胜利贡献出绵薄力量。</w:t>
      </w:r>
    </w:p>
    <w:p>
      <w:pPr>
        <w:pStyle w:val="Style17"/>
        <w:keepNext w:val="0"/>
        <w:keepLines w:val="0"/>
        <w:widowControl w:val="0"/>
        <w:shd w:val="clear" w:color="auto" w:fill="auto"/>
        <w:tabs>
          <w:tab w:pos="936" w:val="left"/>
        </w:tabs>
        <w:bidi w:val="0"/>
        <w:spacing w:before="0" w:after="0" w:line="468" w:lineRule="exact"/>
        <w:ind w:left="0" w:right="0"/>
        <w:jc w:val="both"/>
      </w:pPr>
      <w:bookmarkStart w:id="94" w:name="bookmark94"/>
      <w:r>
        <w:rPr>
          <w:b/>
          <w:bCs/>
          <w:color w:val="000000"/>
          <w:spacing w:val="0"/>
          <w:w w:val="100"/>
          <w:position w:val="0"/>
        </w:rPr>
        <w:t>（</w:t>
      </w:r>
      <w:bookmarkEnd w:id="94"/>
      <w:r>
        <w:rPr>
          <w:b/>
          <w:bCs/>
          <w:color w:val="000000"/>
          <w:spacing w:val="0"/>
          <w:w w:val="100"/>
          <w:position w:val="0"/>
        </w:rPr>
        <w:t>六）</w:t>
        <w:tab/>
        <w:t>变革管理组织，服务战略业务</w:t>
      </w:r>
    </w:p>
    <w:p>
      <w:pPr>
        <w:pStyle w:val="Style17"/>
        <w:keepNext w:val="0"/>
        <w:keepLines w:val="0"/>
        <w:widowControl w:val="0"/>
        <w:shd w:val="clear" w:color="auto" w:fill="auto"/>
        <w:bidi w:val="0"/>
        <w:spacing w:before="0" w:after="460" w:line="469" w:lineRule="exact"/>
        <w:ind w:left="0" w:right="0"/>
        <w:jc w:val="both"/>
      </w:pPr>
      <w:r>
        <w:rPr>
          <w:color w:val="000000"/>
          <w:spacing w:val="0"/>
          <w:w w:val="100"/>
          <w:position w:val="0"/>
        </w:rPr>
        <w:t>公司持续推动业务和组织架构的优化，提升管理效率与运营效率，公司依据战略，从目标、组织、考 核、激励、管理五个方面进行重构。为贯彻落实管理体系改革目标，公司持续推进组织变革与人员优化， 积极组建高效管理团队，培养经营技术销售等骨干团队、强化骨干员工的主人翁意识，推动制度体系建设 等重点专项工作，有效提升公司凝聚力及人均效能。</w:t>
      </w:r>
    </w:p>
    <w:p>
      <w:pPr>
        <w:pStyle w:val="Style31"/>
        <w:keepNext/>
        <w:keepLines/>
        <w:widowControl w:val="0"/>
        <w:shd w:val="clear" w:color="auto" w:fill="auto"/>
        <w:bidi w:val="0"/>
        <w:spacing w:before="0" w:after="0" w:line="48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2</w:t>
      </w:r>
      <w:bookmarkEnd w:id="97"/>
      <w:r>
        <w:rPr>
          <w:color w:val="000000"/>
          <w:spacing w:val="0"/>
          <w:w w:val="100"/>
          <w:position w:val="0"/>
        </w:rPr>
        <w:t>、收入与成本</w:t>
      </w:r>
      <w:bookmarkEnd w:id="95"/>
      <w:bookmarkEnd w:id="96"/>
      <w:bookmarkEnd w:id="98"/>
    </w:p>
    <w:p>
      <w:pPr>
        <w:pStyle w:val="Style41"/>
        <w:keepNext/>
        <w:keepLines/>
        <w:widowControl w:val="0"/>
        <w:shd w:val="clear" w:color="auto" w:fill="auto"/>
        <w:bidi w:val="0"/>
        <w:spacing w:before="0" w:line="468" w:lineRule="exact"/>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2"/>
      <w:bookmarkEnd w:id="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79"/>
        <w:gridCol w:w="160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3,876,723,009.56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3,471,428,437.98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r>
      <w:tr>
        <w:trPr>
          <w:trHeight w:val="408" w:hRule="exact"/>
        </w:trPr>
        <w:tc>
          <w:tcPr>
            <w:gridSpan w:val="6"/>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物业及房屋租赁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143,600,376.27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88,527,968.47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2,274,583,159.76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1,349,642,742.20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生态环保收入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183,742,204.66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490,925,518.36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1,274,797,268.87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1,542,332,208.95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物业及房屋租赁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143,600,376.27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88,527,968.47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2,274,583,159.76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1,349,642,742.20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生态环保收入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183,742,204.66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490,925,518.36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1,274,797,268.87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1,542,332,208.95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368,928,317.41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203,586,671.31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1,218,333,597.04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1,209,796,516.49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1,846,898,897.56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1,077,765,841.29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35,392,730.72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170,445,118.00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52,234,080.40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258,280,678.34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57,523,410.22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49,640,977.77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288,683,139.67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499,322,394.24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8,728,836.54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2,590,240.54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236.99%</w:t>
            </w:r>
          </w:p>
        </w:tc>
      </w:tr>
    </w:tbl>
    <w:p>
      <w:pPr>
        <w:widowControl w:val="0"/>
        <w:spacing w:after="319" w:line="1" w:lineRule="exact"/>
      </w:pPr>
    </w:p>
    <w:p>
      <w:pPr>
        <w:pStyle w:val="Style41"/>
        <w:keepNext/>
        <w:keepLines/>
        <w:widowControl w:val="0"/>
        <w:numPr>
          <w:ilvl w:val="0"/>
          <w:numId w:val="1"/>
        </w:numPr>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bookmarkEnd w:id="10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3"/>
      <w:bookmarkEnd w:id="104"/>
      <w:bookmarkEnd w:id="10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号——行业信息披露》中电力相关业的披露要求</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2,274,583,159.76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1,693,418,781.67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1,274,797,268.87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1,275,577,796.13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1,218,333,597.04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1,069,607,731.50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1,846,898,897.56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1,552,369,965.25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相关财务指标发生较大变化的原因</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7"/>
      <w:bookmarkEnd w:id="108"/>
      <w:bookmarkEnd w:id="110"/>
    </w:p>
    <w:p>
      <w:pPr>
        <w:pStyle w:val="Style27"/>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亿千瓦时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亿千瓦时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1"/>
      <w:bookmarkEnd w:id="112"/>
      <w:bookmarkEnd w:id="11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5"/>
      <w:bookmarkEnd w:id="116"/>
      <w:bookmarkEnd w:id="11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物业及房屋租赁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66,315,747.56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76,514,429.86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1,693,468,560.43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908,594,427.07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生态环保收入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175,223,530.58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486,036,738.35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-63.95%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1,275,577,796.13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1,545,920,360.86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-17.49%</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物业及房屋租赁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66,315,747.56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76,514,429.86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1,693,468,560.43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908,594,427.07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生态环保收入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175,223,530.58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486,036,738.35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-63.95%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1,275,577,796.13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1,545,920,360.86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-17.49%</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9"/>
      <w:bookmarkEnd w:id="120"/>
      <w:bookmarkEnd w:id="122"/>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7"/>
        <w:keepNext w:val="0"/>
        <w:keepLines w:val="0"/>
        <w:widowControl w:val="0"/>
        <w:shd w:val="clear" w:color="auto" w:fill="auto"/>
        <w:bidi w:val="0"/>
        <w:spacing w:before="0" w:after="80" w:line="240" w:lineRule="auto"/>
        <w:ind w:left="0" w:right="0" w:firstLine="440"/>
        <w:jc w:val="left"/>
      </w:pPr>
      <w:bookmarkStart w:id="123" w:name="bookmark123"/>
      <w:r>
        <w:rPr>
          <w:rFonts w:ascii="Times New Roman" w:eastAsia="Times New Roman" w:hAnsi="Times New Roman" w:cs="Times New Roman"/>
          <w:color w:val="000000"/>
          <w:spacing w:val="0"/>
          <w:w w:val="100"/>
          <w:position w:val="0"/>
        </w:rPr>
        <w:t>1</w:t>
      </w:r>
      <w:bookmarkEnd w:id="123"/>
      <w:r>
        <w:rPr>
          <w:color w:val="000000"/>
          <w:spacing w:val="0"/>
          <w:w w:val="100"/>
          <w:position w:val="0"/>
        </w:rPr>
        <w:t>、本期发生的非同一控制下企业合并</w:t>
      </w:r>
    </w:p>
    <w:p>
      <w:pPr>
        <w:pStyle w:val="Style1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单位：人民币元</w:t>
      </w:r>
      <w:r>
        <w:br w:type="page"/>
      </w:r>
    </w:p>
    <w:tbl>
      <w:tblPr>
        <w:tblOverlap w:val="never"/>
        <w:jc w:val="center"/>
        <w:tblLayout w:type="fixed"/>
      </w:tblPr>
      <w:tblGrid>
        <w:gridCol w:w="1690"/>
        <w:gridCol w:w="931"/>
        <w:gridCol w:w="1138"/>
        <w:gridCol w:w="706"/>
        <w:gridCol w:w="710"/>
        <w:gridCol w:w="835"/>
        <w:gridCol w:w="1109"/>
        <w:gridCol w:w="974"/>
        <w:gridCol w:w="1138"/>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得时点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股权 取得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取得</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购买日的</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确定依据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购买日至期 末被购买方 的净利润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都昌县皓晖光伏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支付股权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9,564,440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3,753,205.4</w:t>
            </w: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电站有限公司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一控</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对价；实际</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制企</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蒙阴县盛康光伏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支付股权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6,003,294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-2,107,411.</w:t>
            </w: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发电有限公司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对价；实际</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w:t>
            </w: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0" w:right="0" w:firstLine="0"/>
        <w:jc w:val="left"/>
      </w:pPr>
      <w:bookmarkStart w:id="124" w:name="bookmark124"/>
      <w:r>
        <w:rPr>
          <w:rFonts w:ascii="Times New Roman" w:eastAsia="Times New Roman" w:hAnsi="Times New Roman" w:cs="Times New Roman"/>
          <w:color w:val="000000"/>
          <w:spacing w:val="0"/>
          <w:w w:val="100"/>
          <w:position w:val="0"/>
        </w:rPr>
        <w:t>2</w:t>
      </w:r>
      <w:bookmarkEnd w:id="124"/>
      <w:r>
        <w:rPr>
          <w:color w:val="000000"/>
          <w:spacing w:val="0"/>
          <w:w w:val="100"/>
          <w:position w:val="0"/>
        </w:rPr>
        <w:t>、本期减少合并范围</w:t>
      </w:r>
    </w:p>
    <w:tbl>
      <w:tblPr>
        <w:tblOverlap w:val="never"/>
        <w:jc w:val="center"/>
        <w:tblLayout w:type="fixed"/>
      </w:tblPr>
      <w:tblGrid>
        <w:gridCol w:w="1992"/>
        <w:gridCol w:w="1205"/>
        <w:gridCol w:w="614"/>
        <w:gridCol w:w="754"/>
        <w:gridCol w:w="1166"/>
        <w:gridCol w:w="1862"/>
        <w:gridCol w:w="1622"/>
      </w:tblGrid>
      <w:tr>
        <w:trPr>
          <w:trHeight w:val="25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股权处置 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股 权 处 置 比 例 （</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股权</w:t>
            </w:r>
          </w:p>
          <w:p>
            <w:pPr>
              <w:pStyle w:val="Style2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处置</w:t>
            </w:r>
          </w:p>
          <w:p>
            <w:pPr>
              <w:pStyle w:val="Style2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方式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丧失控制</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权的时点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丧失控制权时点 的确定依据</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处置价款与处 置投资对应的 合并报表层面 享有该子公司 净资产份额的 差额</w:t>
            </w:r>
          </w:p>
        </w:tc>
      </w:tr>
      <w:tr>
        <w:trPr>
          <w:trHeight w:val="10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华融金属表面处理（安 平）科技有限公司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85,000,000.0</w:t>
            </w:r>
          </w:p>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协议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 财产交接，控制权转 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-142,551.34</w:t>
            </w:r>
          </w:p>
        </w:tc>
      </w:tr>
      <w:tr>
        <w:trPr>
          <w:trHeight w:val="10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安达市旭蓝新能源有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协议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 财产交接，控制权转 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964,391.27</w:t>
            </w:r>
          </w:p>
        </w:tc>
      </w:tr>
      <w:tr>
        <w:trPr>
          <w:trHeight w:val="10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邢台天宏祥燃气有限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19,800,000.0</w:t>
            </w:r>
          </w:p>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pPr>
            <w:r>
              <w:rPr>
                <w:color w:val="000000"/>
                <w:spacing w:val="0"/>
                <w:w w:val="100"/>
                <w:position w:val="0"/>
              </w:rPr>
              <w:t>协议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权力机构批准，完成 财产交接，控制权转 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-1,985,782.20</w:t>
            </w:r>
          </w:p>
        </w:tc>
      </w:tr>
      <w:tr>
        <w:trPr>
          <w:trHeight w:val="10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张北旭源新能源科技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pPr>
            <w:r>
              <w:rPr>
                <w:color w:val="000000"/>
                <w:spacing w:val="0"/>
                <w:w w:val="100"/>
                <w:position w:val="0"/>
              </w:rPr>
              <w:t>协议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权力机构批准，完成 财产交接，控制权转 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2,246.64</w:t>
            </w:r>
          </w:p>
        </w:tc>
      </w:tr>
      <w:tr>
        <w:trPr>
          <w:trHeight w:val="10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宁夏旭蓝新能源科技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协议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 财产交接，控制权转 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136,934.57</w:t>
            </w:r>
          </w:p>
        </w:tc>
      </w:tr>
      <w:tr>
        <w:trPr>
          <w:trHeight w:val="10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鄂托克前旗晟日新能 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371,500.00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协议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 财产交接，控制权转 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-3,945,563.80</w:t>
            </w:r>
          </w:p>
        </w:tc>
      </w:tr>
      <w:tr>
        <w:trPr>
          <w:trHeight w:val="10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湖南旭腾医疗管理有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pPr>
            <w:r>
              <w:rPr>
                <w:color w:val="000000"/>
                <w:spacing w:val="0"/>
                <w:w w:val="100"/>
                <w:position w:val="0"/>
              </w:rPr>
              <w:t>协议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权力机构批准，完成 财产交接，控制权转 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84,222.54</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乌兰察布旭晨新能源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权力机构批准，完成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300,000.00</w:t>
            </w:r>
          </w:p>
        </w:tc>
      </w:tr>
    </w:tbl>
    <w:p>
      <w:pPr>
        <w:spacing w:lineRule="exact" w:line="1"/>
        <w:rPr>
          <w:sz w:val="2"/>
          <w:szCs w:val="2"/>
        </w:rPr>
      </w:pPr>
      <w:r>
        <w:br w:type="page"/>
      </w:r>
    </w:p>
    <w:tbl>
      <w:tblPr>
        <w:tblOverlap w:val="never"/>
        <w:jc w:val="center"/>
        <w:tblLayout w:type="fixed"/>
      </w:tblPr>
      <w:tblGrid>
        <w:gridCol w:w="1992"/>
        <w:gridCol w:w="1205"/>
        <w:gridCol w:w="614"/>
        <w:gridCol w:w="754"/>
        <w:gridCol w:w="1166"/>
        <w:gridCol w:w="1862"/>
        <w:gridCol w:w="1622"/>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财产交接，控制权转 移</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宁夏旭盛新能源科技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协议</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 财产交接，控制权转 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1,099.58</w:t>
            </w:r>
          </w:p>
        </w:tc>
      </w:tr>
      <w:tr>
        <w:trPr>
          <w:trHeight w:val="10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南阳永召新能源有限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180"/>
              <w:jc w:val="left"/>
            </w:pPr>
            <w:r>
              <w:rPr>
                <w:color w:val="000000"/>
                <w:spacing w:val="0"/>
                <w:w w:val="100"/>
                <w:position w:val="0"/>
              </w:rPr>
              <w:t>协议</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 财产交接，控制权转 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-900.76</w:t>
            </w:r>
          </w:p>
        </w:tc>
      </w:tr>
      <w:tr>
        <w:trPr>
          <w:trHeight w:val="64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106,471,501.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-4,585,903.50</w:t>
            </w:r>
          </w:p>
        </w:tc>
      </w:tr>
    </w:tbl>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续前表:</w:t>
      </w:r>
    </w:p>
    <w:tbl>
      <w:tblPr>
        <w:tblOverlap w:val="never"/>
        <w:jc w:val="center"/>
        <w:tblLayout w:type="fixed"/>
      </w:tblPr>
      <w:tblGrid>
        <w:gridCol w:w="2179"/>
        <w:gridCol w:w="1214"/>
        <w:gridCol w:w="1037"/>
        <w:gridCol w:w="926"/>
        <w:gridCol w:w="1248"/>
        <w:gridCol w:w="1109"/>
        <w:gridCol w:w="1502"/>
      </w:tblGrid>
      <w:tr>
        <w:trPr>
          <w:trHeight w:val="22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丧失控制 权之日剩 余股权的 比例（</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丧失控 制权之 日剩余 股权的 账面价 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8" w:lineRule="exact"/>
              <w:ind w:left="0" w:right="0" w:firstLine="0"/>
              <w:jc w:val="center"/>
              <w:rPr>
                <w:sz w:val="20"/>
                <w:szCs w:val="20"/>
              </w:rPr>
            </w:pPr>
            <w:r>
              <w:rPr>
                <w:color w:val="000000"/>
                <w:spacing w:val="0"/>
                <w:w w:val="100"/>
                <w:position w:val="0"/>
                <w:sz w:val="20"/>
                <w:szCs w:val="20"/>
              </w:rPr>
              <w:t>丧失控 制权之 日剩余 股权的 公允价 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5" w:lineRule="exact"/>
              <w:ind w:left="200" w:right="0" w:firstLine="0"/>
              <w:jc w:val="left"/>
              <w:rPr>
                <w:sz w:val="20"/>
                <w:szCs w:val="20"/>
              </w:rPr>
            </w:pPr>
            <w:r>
              <w:rPr>
                <w:color w:val="000000"/>
                <w:spacing w:val="0"/>
                <w:w w:val="100"/>
                <w:position w:val="0"/>
                <w:sz w:val="20"/>
                <w:szCs w:val="20"/>
              </w:rPr>
              <w:t>按照公允</w:t>
            </w:r>
          </w:p>
          <w:p>
            <w:pPr>
              <w:pStyle w:val="Style22"/>
              <w:keepNext w:val="0"/>
              <w:keepLines w:val="0"/>
              <w:widowControl w:val="0"/>
              <w:shd w:val="clear" w:color="auto" w:fill="auto"/>
              <w:bidi w:val="0"/>
              <w:spacing w:before="0" w:after="0" w:line="315" w:lineRule="exact"/>
              <w:ind w:left="200" w:right="0" w:firstLine="0"/>
              <w:jc w:val="left"/>
              <w:rPr>
                <w:sz w:val="20"/>
                <w:szCs w:val="20"/>
              </w:rPr>
            </w:pPr>
            <w:r>
              <w:rPr>
                <w:color w:val="000000"/>
                <w:spacing w:val="0"/>
                <w:w w:val="100"/>
                <w:position w:val="0"/>
                <w:sz w:val="20"/>
                <w:szCs w:val="20"/>
              </w:rPr>
              <w:t>价值重新 计量剩余 股权产生</w:t>
            </w:r>
          </w:p>
          <w:p>
            <w:pPr>
              <w:pStyle w:val="Style22"/>
              <w:keepNext w:val="0"/>
              <w:keepLines w:val="0"/>
              <w:widowControl w:val="0"/>
              <w:shd w:val="clear" w:color="auto" w:fill="auto"/>
              <w:bidi w:val="0"/>
              <w:spacing w:before="0" w:after="0" w:line="315" w:lineRule="exact"/>
              <w:ind w:left="0" w:right="0" w:firstLine="0"/>
              <w:jc w:val="center"/>
              <w:rPr>
                <w:sz w:val="20"/>
                <w:szCs w:val="20"/>
              </w:rPr>
            </w:pPr>
            <w:r>
              <w:rPr>
                <w:color w:val="000000"/>
                <w:spacing w:val="0"/>
                <w:w w:val="100"/>
                <w:position w:val="0"/>
                <w:sz w:val="20"/>
                <w:szCs w:val="20"/>
              </w:rPr>
              <w:t>的利得或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丧失控制 权之日剩 余股权公 允价值的 确定方法 及主要假 设</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80" w:line="240" w:lineRule="auto"/>
              <w:ind w:left="0" w:right="0" w:firstLine="0"/>
              <w:jc w:val="left"/>
              <w:rPr>
                <w:sz w:val="20"/>
                <w:szCs w:val="20"/>
              </w:rPr>
            </w:pPr>
            <w:r>
              <w:rPr>
                <w:color w:val="000000"/>
                <w:spacing w:val="0"/>
                <w:w w:val="100"/>
                <w:position w:val="0"/>
                <w:sz w:val="20"/>
                <w:szCs w:val="20"/>
              </w:rPr>
              <w:t>与原子公司股</w:t>
            </w:r>
          </w:p>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权投资相关的</w:t>
            </w:r>
          </w:p>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其他综合收益</w:t>
            </w:r>
          </w:p>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转入投资损益</w:t>
            </w:r>
          </w:p>
          <w:p>
            <w:pPr>
              <w:pStyle w:val="Style2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的金额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华融金属表面处理（安 平）科技有限公司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安达市旭蓝新能源有限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邢台天宏祥燃气有限公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张北旭源新能源科技有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宁夏旭蓝新能源科技有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鄂托克前旗晟日新能源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湖南旭腾医疗管理有限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乌兰察布旭晨新能源科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宁夏旭盛新能源科技有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南阳永召新能源有限公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18"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、安达市旭蓝新能源有限公司的子公司安达市旭达新能源有限公司随母公司处置而减少；</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、乌兰察布旭晨新能源科技有限公司的子公司化德旭通新能源科技有限公司随母公司处置而减少；</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、鄂托克前旗晟日新能源科技有限公司的子公司尚义县旭蓝新能源科技有限公司随母公司的处置而减少；</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、南阳永召新能源有限公司的子公司南召育开新能源有限公司随母公司的处置而减少。</w:t>
      </w:r>
    </w:p>
    <w:p>
      <w:pPr>
        <w:pStyle w:val="Style17"/>
        <w:keepNext w:val="0"/>
        <w:keepLines w:val="0"/>
        <w:widowControl w:val="0"/>
        <w:shd w:val="clear" w:color="auto" w:fill="auto"/>
        <w:bidi w:val="0"/>
        <w:spacing w:before="0" w:after="0" w:line="468" w:lineRule="exact"/>
        <w:ind w:left="0" w:right="0" w:firstLine="440"/>
        <w:jc w:val="both"/>
      </w:pPr>
      <w:bookmarkStart w:id="125" w:name="bookmark125"/>
      <w:r>
        <w:rPr>
          <w:rFonts w:ascii="Times New Roman" w:eastAsia="Times New Roman" w:hAnsi="Times New Roman" w:cs="Times New Roman"/>
          <w:color w:val="000000"/>
          <w:spacing w:val="0"/>
          <w:w w:val="100"/>
          <w:position w:val="0"/>
        </w:rPr>
        <w:t>3</w:t>
      </w:r>
      <w:bookmarkEnd w:id="125"/>
      <w:r>
        <w:rPr>
          <w:color w:val="000000"/>
          <w:spacing w:val="0"/>
          <w:w w:val="100"/>
          <w:position w:val="0"/>
        </w:rPr>
        <w:t>、其他原因的合并范围变动</w:t>
      </w:r>
    </w:p>
    <w:p>
      <w:pPr>
        <w:pStyle w:val="Style27"/>
        <w:keepNext w:val="0"/>
        <w:keepLines w:val="0"/>
        <w:widowControl w:val="0"/>
        <w:shd w:val="clear" w:color="auto" w:fill="auto"/>
        <w:bidi w:val="0"/>
        <w:spacing w:before="0" w:after="540" w:line="468" w:lineRule="exact"/>
        <w:ind w:left="0" w:right="0" w:firstLine="440"/>
        <w:jc w:val="both"/>
      </w:pPr>
      <w:r>
        <w:rPr>
          <w:color w:val="000000"/>
          <w:spacing w:val="0"/>
          <w:w w:val="100"/>
          <w:position w:val="0"/>
        </w:rPr>
        <w:t>本公司子公司北京绿产国际科技发展有限公司、河北天环建筑工程有限公司、义县弘吉太阳能发电有限公司、义县旭 阳太阳能发电有限公司、河北旭昂供应链管理有限公司、青岛旭阳新能源有限公司、内蒙古旭日昇新能源科技有限公司、滨 州市旭农农业科技有限公司、内蒙古旭凯新能源科技有限公司、佳木斯市旭宏新能源有限公司、东营旭蓝光伏发电有限公司、 中方县旭弘电力有限公司、朔州旭蓝新能源科技有限公司、霍尔果斯东旭新能源科技有限公司、新泰旭农农业科技有限公司、 广西南宁粒子新能源投资有限公司、金寨旭辉新能源投资有限公司、安徽康图智能科技有限公司、安平县旭洲商贸有限公司、 滦平县旭欣新能源科技有限公司、平度市旭弘新能源有限公司、绍兴旭蓝新能源有限公司、太原旭木贸易有限公司、甘肃旭 粟农业发展有限公司已于本报告期注销。</w:t>
      </w:r>
    </w:p>
    <w:p>
      <w:pPr>
        <w:pStyle w:val="Style41"/>
        <w:keepNext/>
        <w:keepLines/>
        <w:widowControl w:val="0"/>
        <w:shd w:val="clear" w:color="auto" w:fill="auto"/>
        <w:tabs>
          <w:tab w:pos="493" w:val="left"/>
        </w:tabs>
        <w:bidi w:val="0"/>
        <w:spacing w:before="0" w:after="140" w:line="468" w:lineRule="exact"/>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6"/>
      <w:bookmarkEnd w:id="127"/>
      <w:bookmarkEnd w:id="129"/>
    </w:p>
    <w:p>
      <w:pPr>
        <w:pStyle w:val="Style27"/>
        <w:keepNext w:val="0"/>
        <w:keepLines w:val="0"/>
        <w:widowControl w:val="0"/>
        <w:shd w:val="clear" w:color="auto" w:fill="auto"/>
        <w:bidi w:val="0"/>
        <w:spacing w:before="0" w:line="46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140" w:line="468" w:lineRule="exact"/>
        <w:ind w:left="0" w:right="0" w:firstLine="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0"/>
      <w:bookmarkEnd w:id="131"/>
      <w:bookmarkEnd w:id="133"/>
    </w:p>
    <w:p>
      <w:pPr>
        <w:pStyle w:val="Style27"/>
        <w:keepNext w:val="0"/>
        <w:keepLines w:val="0"/>
        <w:widowControl w:val="0"/>
        <w:shd w:val="clear" w:color="auto" w:fill="auto"/>
        <w:bidi w:val="0"/>
        <w:spacing w:before="0" w:after="100" w:line="468"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1,880,745,026.39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789,607,696.64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381,084,196.69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300,502,995.96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237,456,264.70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172,093,872.40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1,880,745,026.39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公司主要供应商情况</w:t>
      </w: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2,246,919,756.00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932,736,145.54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506,704,588.13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427,143,535.21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222,371,767.00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157,963,720.00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2,246,919,755.88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61.62%</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3</w:t>
      </w:r>
      <w:bookmarkEnd w:id="136"/>
      <w:r>
        <w:rPr>
          <w:color w:val="000000"/>
          <w:spacing w:val="0"/>
          <w:w w:val="100"/>
          <w:position w:val="0"/>
        </w:rPr>
        <w:t>、费用</w:t>
      </w:r>
      <w:bookmarkEnd w:id="134"/>
      <w:bookmarkEnd w:id="135"/>
      <w:bookmarkEnd w:id="13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9,650,626.98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9,258,625.66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人员变动薪酬减少所致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170,238,543.31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171,725,800.07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人员变动薪酬减少所致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620,400,173.88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638,099,541.48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本期融资展期，财务费用减少</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36,553,365.45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26,008,248.71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本期研发投入增大</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、研发投入</w:t>
      </w:r>
      <w:bookmarkEnd w:id="138"/>
      <w:bookmarkEnd w:id="139"/>
      <w:bookmarkEnd w:id="141"/>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六安金寨县</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200MW </w:t>
            </w:r>
            <w:r>
              <w:rPr>
                <w:color w:val="000000"/>
                <w:spacing w:val="0"/>
                <w:w w:val="100"/>
                <w:position w:val="0"/>
              </w:rPr>
              <w:t>一期组件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高功率，高效率高端光 伏组件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6"/>
                <w:szCs w:val="16"/>
              </w:rPr>
              <w:t>单块组件产品发电功率由目 前的</w:t>
            </w:r>
            <w:r>
              <w:rPr>
                <w:rFonts w:ascii="Times New Roman" w:eastAsia="Times New Roman" w:hAnsi="Times New Roman" w:cs="Times New Roman"/>
                <w:color w:val="000000"/>
                <w:spacing w:val="0"/>
                <w:w w:val="100"/>
                <w:position w:val="0"/>
                <w:sz w:val="18"/>
                <w:szCs w:val="18"/>
              </w:rPr>
              <w:t>450w</w:t>
            </w:r>
            <w:r>
              <w:rPr>
                <w:color w:val="000000"/>
                <w:spacing w:val="0"/>
                <w:w w:val="100"/>
                <w:position w:val="0"/>
                <w:sz w:val="16"/>
                <w:szCs w:val="16"/>
              </w:rPr>
              <w:t>提升到</w:t>
            </w:r>
            <w:r>
              <w:rPr>
                <w:rFonts w:ascii="Times New Roman" w:eastAsia="Times New Roman" w:hAnsi="Times New Roman" w:cs="Times New Roman"/>
                <w:color w:val="000000"/>
                <w:spacing w:val="0"/>
                <w:w w:val="100"/>
                <w:position w:val="0"/>
                <w:sz w:val="18"/>
                <w:szCs w:val="18"/>
              </w:rPr>
              <w:t>550w,</w:t>
            </w:r>
            <w:r>
              <w:rPr>
                <w:color w:val="000000"/>
                <w:spacing w:val="0"/>
                <w:w w:val="100"/>
                <w:position w:val="0"/>
                <w:sz w:val="16"/>
                <w:szCs w:val="16"/>
              </w:rPr>
              <w:t xml:space="preserve">提升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降低组件生产成本</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基于物联网的新能 源路灯的研发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提高了路灯对新能源的 利用</w:t>
            </w:r>
            <w:r>
              <w:rPr>
                <w:color w:val="000000"/>
                <w:spacing w:val="0"/>
                <w:w w:val="100"/>
                <w:position w:val="0"/>
                <w:sz w:val="18"/>
                <w:szCs w:val="18"/>
              </w:rPr>
              <w:t>，</w:t>
            </w:r>
            <w:r>
              <w:rPr>
                <w:color w:val="000000"/>
                <w:spacing w:val="0"/>
                <w:w w:val="100"/>
                <w:position w:val="0"/>
              </w:rPr>
              <w:t>节约能源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太阳能板能够调整角度</w:t>
            </w:r>
            <w:r>
              <w:rPr>
                <w:color w:val="000000"/>
                <w:spacing w:val="0"/>
                <w:w w:val="100"/>
                <w:position w:val="0"/>
                <w:sz w:val="18"/>
                <w:szCs w:val="18"/>
              </w:rPr>
              <w:t>，</w:t>
            </w:r>
            <w:r>
              <w:rPr>
                <w:color w:val="000000"/>
                <w:spacing w:val="0"/>
                <w:w w:val="100"/>
                <w:position w:val="0"/>
              </w:rPr>
              <w:t>从 而增强对太阳能的吸收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方便工作人员对其进行维 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提高工作效率</w:t>
            </w:r>
            <w:r>
              <w:rPr>
                <w:color w:val="000000"/>
                <w:spacing w:val="0"/>
                <w:w w:val="100"/>
                <w:position w:val="0"/>
                <w:sz w:val="18"/>
                <w:szCs w:val="18"/>
              </w:rPr>
              <w:t>，</w:t>
            </w:r>
            <w:r>
              <w:rPr>
                <w:color w:val="000000"/>
                <w:spacing w:val="0"/>
                <w:w w:val="100"/>
                <w:position w:val="0"/>
              </w:rPr>
              <w:t>减轻工作 负担及风险</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建筑相关技术的研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施工减少环境污染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已完成项目验收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固废的利用率，解决工程问 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迎合绿色建筑的理念，降低 处置成本，减少环境污染</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配电网控制系统的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智能配电网控制系统，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散热</w:t>
            </w:r>
            <w:r>
              <w:rPr>
                <w:color w:val="000000"/>
                <w:spacing w:val="0"/>
                <w:w w:val="100"/>
                <w:position w:val="0"/>
                <w:sz w:val="18"/>
                <w:szCs w:val="18"/>
              </w:rPr>
              <w:t>，</w:t>
            </w:r>
            <w:r>
              <w:rPr>
                <w:color w:val="000000"/>
                <w:spacing w:val="0"/>
                <w:w w:val="100"/>
                <w:position w:val="0"/>
              </w:rPr>
              <w:t>降温效果好</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配电网智能化，从而降低成</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操作简洁，安全高效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本，提高效率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土壤修复相关技术 的研究项目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修复复燃土地，保证受 污染地块的安全利用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已完成项目验收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净化污染土壤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降低处置成本，减少环境污 染</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一种建筑排水结构 的研究项目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减少杂物进入排水管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带有多重漏网</w:t>
            </w:r>
            <w:r>
              <w:rPr>
                <w:color w:val="000000"/>
                <w:spacing w:val="0"/>
                <w:w w:val="100"/>
                <w:position w:val="0"/>
                <w:sz w:val="18"/>
                <w:szCs w:val="18"/>
              </w:rPr>
              <w:t>，</w:t>
            </w:r>
            <w:r>
              <w:rPr>
                <w:color w:val="000000"/>
                <w:spacing w:val="0"/>
                <w:w w:val="100"/>
                <w:position w:val="0"/>
              </w:rPr>
              <w:t>减少杂物进 入排水管</w:t>
            </w:r>
            <w:r>
              <w:rPr>
                <w:color w:val="000000"/>
                <w:spacing w:val="0"/>
                <w:w w:val="100"/>
                <w:position w:val="0"/>
                <w:sz w:val="18"/>
                <w:szCs w:val="18"/>
              </w:rPr>
              <w:t>，</w:t>
            </w:r>
            <w:r>
              <w:rPr>
                <w:color w:val="000000"/>
                <w:spacing w:val="0"/>
                <w:w w:val="100"/>
                <w:position w:val="0"/>
              </w:rPr>
              <w:t>排水管不容易堵 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排水效果较好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拆卸方便，维护成本更低</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一种喷泉的过滤系 统的研究项目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改变传统固定过滤网的 方式，使得使用更加便 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避免了杂物进入水箱而使得 喷水管堵塞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滤网的拆卸更加方便</w:t>
            </w:r>
            <w:r>
              <w:rPr>
                <w:color w:val="000000"/>
                <w:spacing w:val="0"/>
                <w:w w:val="100"/>
                <w:position w:val="0"/>
                <w:sz w:val="18"/>
                <w:szCs w:val="18"/>
              </w:rPr>
              <w:t>，</w:t>
            </w:r>
            <w:r>
              <w:rPr>
                <w:color w:val="000000"/>
                <w:spacing w:val="0"/>
                <w:w w:val="100"/>
                <w:position w:val="0"/>
              </w:rPr>
              <w:t>从而 有利于工作人员进行清理和 更换</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家庭能源管理系统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节约能耗，实现电力有 效利用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透过</w:t>
            </w:r>
            <w:r>
              <w:rPr>
                <w:rFonts w:ascii="Times New Roman" w:eastAsia="Times New Roman" w:hAnsi="Times New Roman" w:cs="Times New Roman"/>
                <w:color w:val="000000"/>
                <w:spacing w:val="0"/>
                <w:w w:val="100"/>
                <w:position w:val="0"/>
                <w:sz w:val="18"/>
                <w:szCs w:val="18"/>
              </w:rPr>
              <w:t>HEMS,</w:t>
            </w:r>
            <w:r>
              <w:rPr>
                <w:color w:val="000000"/>
                <w:spacing w:val="0"/>
                <w:w w:val="100"/>
                <w:position w:val="0"/>
              </w:rPr>
              <w:t>实现与能源机 器、住宅设备仪器、电动汽 车、家庭网络闸道、电表相 连接，实现对家庭能源的管 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向使用者提出高效用电的可 行性建议，实现低碳社会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模块化建筑系统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小生态环境建设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增加更多的绿化空间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节约土地，提高绿地使用效 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塑钢窗的安装结构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增加焊接后的塑钢型材 连接强度和可靠性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增加整体美观性和可靠性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提高产品质量，提升客户购 买率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一种适应不同地形 的树木支撑架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提供一种适用多种地形 的园林绿化树木支撑架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可以调节支撑高度及角度的 功能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实用新型可以适用于不同地 形的变化</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用于矿山岩区生态 修复的绿化种植构 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解决现有技术中存在的 问题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使用方便成本低，优化坡面 草坪铺设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降低成本，利于矿区生态环 境改造</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变电站运维一体化 现场工作信息采集 装置以及采集系统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实现运维一体化中现场 数据采集的标准化作业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建立完善高效的变电站运维 一体化现场工作信息采集装 置以及采集系统，实现数据 采集的高效标准化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实现公司发展方式转变，助 力变电站运维班组职能转 变，实现运维一体化</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光伏发电系统</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MPPT</w:t>
            </w:r>
            <w:r>
              <w:rPr>
                <w:color w:val="000000"/>
                <w:spacing w:val="0"/>
                <w:w w:val="100"/>
                <w:position w:val="0"/>
              </w:rPr>
              <w:t>技术研究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研发一种光伏发电系统 </w:t>
            </w:r>
            <w:r>
              <w:rPr>
                <w:rFonts w:ascii="Times New Roman" w:eastAsia="Times New Roman" w:hAnsi="Times New Roman" w:cs="Times New Roman"/>
                <w:color w:val="000000"/>
                <w:spacing w:val="0"/>
                <w:w w:val="100"/>
                <w:position w:val="0"/>
                <w:sz w:val="18"/>
                <w:szCs w:val="18"/>
              </w:rPr>
              <w:t>MPPT</w:t>
            </w:r>
            <w:r>
              <w:rPr>
                <w:color w:val="000000"/>
                <w:spacing w:val="0"/>
                <w:w w:val="100"/>
                <w:position w:val="0"/>
              </w:rPr>
              <w:t>控制方法，具备 更强的全局寻优能力， 提高系统的稳定性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已完成项目验收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研发一种光伏发电系统</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MPPT</w:t>
            </w:r>
            <w:r>
              <w:rPr>
                <w:color w:val="000000"/>
                <w:spacing w:val="0"/>
                <w:w w:val="100"/>
                <w:position w:val="0"/>
              </w:rPr>
              <w:t>控制方法，具备更强 的全局寻优能力，提高系统 的稳定性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光伏发电系统</w:t>
            </w:r>
            <w:r>
              <w:rPr>
                <w:rFonts w:ascii="Times New Roman" w:eastAsia="Times New Roman" w:hAnsi="Times New Roman" w:cs="Times New Roman"/>
                <w:color w:val="000000"/>
                <w:spacing w:val="0"/>
                <w:w w:val="100"/>
                <w:position w:val="0"/>
                <w:sz w:val="18"/>
                <w:szCs w:val="18"/>
              </w:rPr>
              <w:t xml:space="preserve">MPPT </w:t>
            </w:r>
            <w:r>
              <w:rPr>
                <w:color w:val="000000"/>
                <w:spacing w:val="0"/>
                <w:w w:val="100"/>
                <w:position w:val="0"/>
              </w:rPr>
              <w:t>控制方法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在实际技术服务 项目中得到应用，为公司带 来经济收益</w:t>
            </w:r>
          </w:p>
        </w:tc>
      </w:tr>
      <w:tr>
        <w:trPr>
          <w:trHeight w:val="13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基于北斗与</w:t>
            </w:r>
            <w:r>
              <w:rPr>
                <w:rFonts w:ascii="Times New Roman" w:eastAsia="Times New Roman" w:hAnsi="Times New Roman" w:cs="Times New Roman"/>
                <w:color w:val="000000"/>
                <w:spacing w:val="0"/>
                <w:w w:val="100"/>
                <w:position w:val="0"/>
                <w:sz w:val="18"/>
                <w:szCs w:val="18"/>
              </w:rPr>
              <w:t xml:space="preserve">SLAM </w:t>
            </w:r>
            <w:r>
              <w:rPr>
                <w:color w:val="000000"/>
                <w:spacing w:val="0"/>
                <w:w w:val="100"/>
                <w:position w:val="0"/>
              </w:rPr>
              <w:t>融合的大型光伏电 站自动运维系统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保障光伏组件寿命，降 低相关损失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形成基于北斗与</w:t>
            </w:r>
            <w:r>
              <w:rPr>
                <w:rFonts w:ascii="Times New Roman" w:eastAsia="Times New Roman" w:hAnsi="Times New Roman" w:cs="Times New Roman"/>
                <w:color w:val="000000"/>
                <w:spacing w:val="0"/>
                <w:w w:val="100"/>
                <w:position w:val="0"/>
                <w:sz w:val="18"/>
                <w:szCs w:val="18"/>
              </w:rPr>
              <w:t>SLAM</w:t>
            </w:r>
            <w:r>
              <w:rPr>
                <w:color w:val="000000"/>
                <w:spacing w:val="0"/>
                <w:w w:val="100"/>
                <w:position w:val="0"/>
              </w:rPr>
              <w:t>融 合的大型光伏电站自动运维 系统</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保证光伏电站的核心组件安 全，为企业降低不必要的损 失</w:t>
            </w:r>
          </w:p>
        </w:tc>
      </w:tr>
      <w:tr>
        <w:trPr>
          <w:trHeight w:val="169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基于泛在电力物联 网的变电设备状态 监测系统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提出一种基于泛在电</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力物联网的变电设备状</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监测系统，实现数据融</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6"/>
                <w:szCs w:val="16"/>
              </w:rPr>
              <w:t>通共享与应用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提出一种基于泛在电力物 联网的变电设备状态</w:t>
            </w:r>
          </w:p>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6"/>
                <w:szCs w:val="16"/>
              </w:rPr>
              <w:t>监测系统，实现数据融通共 享与应用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提供企业资源利用率，降低 建设成本</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16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基于输出阻抗的三 相</w:t>
            </w:r>
            <w:r>
              <w:rPr>
                <w:rFonts w:ascii="Times New Roman" w:eastAsia="Times New Roman" w:hAnsi="Times New Roman" w:cs="Times New Roman"/>
                <w:color w:val="000000"/>
                <w:spacing w:val="0"/>
                <w:w w:val="100"/>
                <w:position w:val="0"/>
                <w:sz w:val="18"/>
                <w:szCs w:val="18"/>
              </w:rPr>
              <w:t>LCL</w:t>
            </w:r>
            <w:r>
              <w:rPr>
                <w:color w:val="000000"/>
                <w:spacing w:val="0"/>
                <w:w w:val="100"/>
                <w:position w:val="0"/>
              </w:rPr>
              <w:t>型光伏逆变 器稳定性分析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解决</w:t>
            </w:r>
            <w:r>
              <w:rPr>
                <w:rFonts w:ascii="Times New Roman" w:eastAsia="Times New Roman" w:hAnsi="Times New Roman" w:cs="Times New Roman"/>
                <w:color w:val="000000"/>
                <w:spacing w:val="0"/>
                <w:w w:val="100"/>
                <w:position w:val="0"/>
                <w:sz w:val="18"/>
                <w:szCs w:val="18"/>
              </w:rPr>
              <w:t>LCL</w:t>
            </w:r>
            <w:r>
              <w:rPr>
                <w:color w:val="000000"/>
                <w:spacing w:val="0"/>
                <w:w w:val="100"/>
                <w:position w:val="0"/>
              </w:rPr>
              <w:t>型光伏并网 逆变器相对于传统并网 逆变器增加了其控制策 略的难度问题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已完成项目验收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研发出一种基于输出阻抗的 三相</w:t>
            </w:r>
            <w:r>
              <w:rPr>
                <w:rFonts w:ascii="Times New Roman" w:eastAsia="Times New Roman" w:hAnsi="Times New Roman" w:cs="Times New Roman"/>
                <w:color w:val="000000"/>
                <w:spacing w:val="0"/>
                <w:w w:val="100"/>
                <w:position w:val="0"/>
                <w:sz w:val="18"/>
                <w:szCs w:val="18"/>
              </w:rPr>
              <w:t>LCL</w:t>
            </w:r>
            <w:r>
              <w:rPr>
                <w:color w:val="000000"/>
                <w:spacing w:val="0"/>
                <w:w w:val="100"/>
                <w:position w:val="0"/>
              </w:rPr>
              <w:t>型光伏逆变器控制 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基于输出阻抗的三相 </w:t>
            </w:r>
            <w:r>
              <w:rPr>
                <w:rFonts w:ascii="Times New Roman" w:eastAsia="Times New Roman" w:hAnsi="Times New Roman" w:cs="Times New Roman"/>
                <w:color w:val="000000"/>
                <w:spacing w:val="0"/>
                <w:w w:val="100"/>
                <w:position w:val="0"/>
                <w:sz w:val="18"/>
                <w:szCs w:val="18"/>
              </w:rPr>
              <w:t>LCL</w:t>
            </w:r>
            <w:r>
              <w:rPr>
                <w:color w:val="000000"/>
                <w:spacing w:val="0"/>
                <w:w w:val="100"/>
                <w:position w:val="0"/>
              </w:rPr>
              <w:t>型光伏逆变器控制方 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在实际技术服务项目中 得到应用，为公司带来经济 收益</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面向多能互补的分 布式光伏与气电混 合容量规划方法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研发一种多能互补系 统的分布式光伏与气电 混合容量规划</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方法，提升准确性</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已完成项目验收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提供一种更准确的多能互补 系统的分布式光伏与气电混 合容量规划方法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多能互补系统的分布 式光伏与气电混合容量规划 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在实际技术服务项目 中得到应用，为公司带来经 济收益</w:t>
            </w:r>
          </w:p>
        </w:tc>
      </w:tr>
      <w:tr>
        <w:trPr>
          <w:trHeight w:val="142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一种用于变电站运</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维安全管理的视频 监控系统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提供一种用于变电站运 维安全管理的视频监控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形成一种用于变电站运维安 全管理的视频监控系统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解决变电站运维中的安全作</w:t>
            </w:r>
          </w:p>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业隐患</w:t>
            </w:r>
          </w:p>
          <w:p>
            <w:pPr>
              <w:pStyle w:val="Style2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应用于光伏电站的 状态预测及故障诊 断装置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提高光伏电站状态预测 及故障诊断的效率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提供一种光伏电站状态预测 及故障诊断方法和系统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保障光伏电站稳定运营，降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低公司相关成本</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光伏发电系统远程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智能安全监控系统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建立健全的光伏电站运 维团队和智能化的监控 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搭建光伏电站智能监控系 统，实现监测数据信息共享、 交换、传输等功能，满足用 户中心数据库的要求，在进 行远程数据采集和控制时， 保证了光伏数据的实时性和 可靠性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搭建光伏电站智能监控系 统，实现监测数据信息共享、 交换、传输等功能，满足用 户中心数据库的要求，在进 行远程数据采集和控制时， 保证了光伏数据的实时性和 可靠性</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东旭安徽大别山项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深入挖掘油茶重要遗传 资源，构建核心育种群 体，建立高产育种示范 基地研究精制茶油在化 妆品中的应用，进行茶 皂素连续提取工艺的优 化与研究，并研究其应 用场景建立一套成熟的 抗炎抗癌活性天然单体 的提取、分离纯化工艺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深入挖掘油茶重要遗传资 源，构建核心育种群体，建 立高产育种示范基地研究精 制茶油在化妆品中的应用， 进行茶皂素连续提取工艺的 优化与研究，并研究其应用 场景建立一套成熟的抗炎抗 癌活性天然单体的提取、分 离纯化工艺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增强公司核心技术能力，提 升软实力</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光伏发电智能化操 控系统研发项目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实现多方数据集成与共 享，全方位掌握、监测 有序用电和需求响应实 施过程总涉及到的全部 数据信息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为有序用电和需求响应的方 案制定、信息管理、评价结 算等实施全过程提供数据和 信息化方面的支撑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实现多方数据集成与共享， 全方位掌握、监测有序用电 和需求响应实施过程总涉及 到的全部数据信息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联合办公在线管理 系统研发项目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打造智能化、平台化、</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数字化办公系统，提升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与其他异构系统集成构建统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一工作平台，让组织每位成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打造智能化、平台化、数字 化办公系统，提升运营管理</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运营管理效率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员拥有一位</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小时的智 能办公助理，告别纸张办公， 让组织的整个运营流程完全 电子化</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效率</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物业综合管理系统 研发项目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实现数据共享和集中处 理。联动控制等高度智 能化的管理功能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显著提高工作管理效率和管 理水平，获得良好的经济效 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实现数据共享和集中处理。</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联动控制等高度智能化的管</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理功能</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消防应急系统研发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3" w:lineRule="exact"/>
              <w:ind w:left="0" w:right="0" w:firstLine="0"/>
              <w:jc w:val="both"/>
            </w:pPr>
            <w:r>
              <w:rPr>
                <w:color w:val="000000"/>
                <w:spacing w:val="0"/>
                <w:w w:val="100"/>
                <w:position w:val="0"/>
              </w:rPr>
              <w:t>管理后台和智慧消防传 感终端，通过多种类型 的传感器采集接收周边 的环境数据，做出预警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已完成项目验收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构建一套立体防控、多元防 御、实时防范的安全隐患预 警体系，实现所服务场所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预 警在先、及时处警、防患在 前</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解决了现有的防火监控技术 中，防火装置内部容易进入 灰尘，清理不便，且如果监 控装置安装在湿度较大的地 方，内部容易受潮，监控装 置就容易受到损坏，无法实 现火灾的及时预警及防范</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智能安防门禁系统 研发项目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加强安保效果的紧急按 钮，易误按键造成报警， 有效避免不必要的人员 成本浪费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已完成项目验收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以加强安保效果的紧急按 钮，直接暴露在外部，经常 导致误触紧急按钮的问题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解决目前有楼宇障碍物阻挡 时的通讯信号差，易误按键 造成报警，有效避免不必要 的人员成本浪费</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智能监控系统及装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置研发项目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对所处空间环境状况进 行实时监测及调控，提 高了火灾监控预防的准 确性和可靠性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已完成项目验收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基于物联网的智能安防联动 处理系统的研发，增加了人 脸识别器的使用寿命，适应 能力强，便于满足不同的使 用需求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对所处空间环境状况进行实 时监测及调控，提高了火灾 监控预防的准确性和可靠性</w:t>
            </w: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智能楼宇系统研发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提供一种高层建筑的物 联网安防监控装置及其 系统，通过技术改进， 安防监控系统通过弧形 板刷和喷水单元将摄像 头罩上的灰尘和污浊清 理干净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已完成项目验收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智能摄像头结构简单，安装 和使用方便，摄像头的角度 可进行摆动调节，从而扩大 检测视角，同时可对外侧防 护罩的灰尘进行及时清理， 保证成像的质量</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提高高层建筑的安防系统安 全性</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34,230,640.14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30,408,060.99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608,623.50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4,399,812.28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本年转入主要资金为期初投入未转化资金，本年投入资本化少，去年基本为当年投入使用。</w:t>
      </w:r>
    </w:p>
    <w:p>
      <w:pPr>
        <w:pStyle w:val="Style31"/>
        <w:keepNext/>
        <w:keepLines/>
        <w:widowControl w:val="0"/>
        <w:shd w:val="clear" w:color="auto" w:fill="auto"/>
        <w:bidi w:val="0"/>
        <w:spacing w:before="0" w:after="40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5</w:t>
      </w:r>
      <w:bookmarkEnd w:id="144"/>
      <w:r>
        <w:rPr>
          <w:color w:val="000000"/>
          <w:spacing w:val="0"/>
          <w:w w:val="100"/>
          <w:position w:val="0"/>
        </w:rPr>
        <w:t>、现金流</w:t>
      </w:r>
      <w:bookmarkEnd w:id="142"/>
      <w:bookmarkEnd w:id="143"/>
      <w:bookmarkEnd w:id="1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4,176,204,150.42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3,726,937,085.92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3,918,452,286.20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3,179,200,106.63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257,751,864.22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547,736,979.29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152,751,798.78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347,260,651.90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366,435,750.36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1,311,276,194.00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-213,683,951.58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-964,015,542.10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664,885,613.10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1,117,578,471.38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608,944,443.01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1,057,354,854.81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55,941,170.09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60,223,616.57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99,438,994.36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-357,396,511.81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127.82%</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本期经营活动现金流量净额减少主要系本期经营活动支出增加的影响</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本期投资活动产生的现金流量净额减少主要系本期投资活动减少的影响</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本期经营活动产生的现金净流量大于年度净利润，主要系本期计提各类减值及应付未付的利息影响。</w:t>
      </w:r>
    </w:p>
    <w:p>
      <w:pPr>
        <w:pStyle w:val="Style20"/>
        <w:keepNext/>
        <w:keepLines/>
        <w:widowControl w:val="0"/>
        <w:shd w:val="clear" w:color="auto" w:fill="auto"/>
        <w:bidi w:val="0"/>
        <w:spacing w:before="0" w:line="240" w:lineRule="auto"/>
        <w:ind w:left="0" w:right="0" w:firstLine="0"/>
        <w:jc w:val="both"/>
      </w:pPr>
      <w:bookmarkStart w:id="146" w:name="bookmark146"/>
      <w:bookmarkStart w:id="147" w:name="bookmark147"/>
      <w:bookmarkStart w:id="148" w:name="bookmark148"/>
      <w:bookmarkStart w:id="149" w:name="bookmark149"/>
      <w:r>
        <w:rPr>
          <w:color w:val="000000"/>
          <w:spacing w:val="0"/>
          <w:w w:val="100"/>
          <w:position w:val="0"/>
        </w:rPr>
        <w:t>五</w:t>
      </w:r>
      <w:bookmarkEnd w:id="148"/>
      <w:r>
        <w:rPr>
          <w:color w:val="000000"/>
          <w:spacing w:val="0"/>
          <w:w w:val="100"/>
          <w:position w:val="0"/>
        </w:rPr>
        <w:t>、非主营业务分析</w:t>
      </w:r>
      <w:bookmarkEnd w:id="146"/>
      <w:bookmarkEnd w:id="147"/>
      <w:bookmarkEnd w:id="149"/>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-2,841,656.64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主要系本期处置子公司亏 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-300,387,132.68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主要系本期合同资产及商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誉计提减值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1,300,888.67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主要系本期收到保险赔款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132,276,067.62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主要系公益性捐赠支出及 逾期借款违约金的影响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-100,474,228.25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主要系本期应收账款、其他 应收款减值</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六</w:t>
      </w:r>
      <w:bookmarkEnd w:id="152"/>
      <w:r>
        <w:rPr>
          <w:color w:val="000000"/>
          <w:spacing w:val="0"/>
          <w:w w:val="100"/>
          <w:position w:val="0"/>
        </w:rPr>
        <w:t>、资产及负债状况分析</w:t>
      </w:r>
      <w:bookmarkEnd w:id="150"/>
      <w:bookmarkEnd w:id="151"/>
      <w:bookmarkEnd w:id="153"/>
    </w:p>
    <w:p>
      <w:pPr>
        <w:pStyle w:val="Style31"/>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3,386,097,374.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3,370,043,797.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3,283,068,556.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2,903,702,603.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963,573,702.7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1,041,860,994.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85,874,309.18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96,439,466.66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1,432,684,408.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1,493,750,910.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10,086,951.10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9,538,649.27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5,397,974,733.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5,279,901,076.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900,256,314.9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656,334,037.30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346,675,122.0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365,324,708.57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主要系新租赁准则调整增加使用权 资产租赁的影响</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1,644,157,817.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1,747,149,315.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291,132,282.6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224,776,710.71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1,866,702,054.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2,504,442,228.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247,886,906.5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222,754,514.80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41,964,510.31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68,425,836.95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102,423,778.1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151,397,713.94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主要系本期处置邢台天宏祥及华融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产业园的影响</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250,282,794.3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368,565,269.48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根据新租赁准则租赁调整至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使用权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列报项目</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本期计提的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622,331,985.2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3,310,255.18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1,726,900.65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627,369,141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622,331,985.2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3,310,255.18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1,726,900.65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627,369,141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r>
        <w:br w:type="page"/>
      </w:r>
    </w:p>
    <w:p>
      <w:pPr>
        <w:pStyle w:val="Style31"/>
        <w:keepNext/>
        <w:keepLines/>
        <w:widowControl w:val="0"/>
        <w:shd w:val="clear" w:color="auto" w:fill="auto"/>
        <w:bidi w:val="0"/>
        <w:spacing w:before="0" w:after="36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tbl>
      <w:tblPr>
        <w:tblOverlap w:val="never"/>
        <w:jc w:val="center"/>
        <w:tblLayout w:type="fixed"/>
      </w:tblPr>
      <w:tblGrid>
        <w:gridCol w:w="2390"/>
        <w:gridCol w:w="1997"/>
        <w:gridCol w:w="4930"/>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受限原因</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2,986,603,118.79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集团财务公司存款、保证金存款、司法冻结资金、银行 质押及共管资金、存出投资款</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1,446,284,812.23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1,442,136,806.23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47,664,070.70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3,899,947,374.69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317,673,953.00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10,140,310,135.64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0"/>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七</w:t>
      </w:r>
      <w:bookmarkEnd w:id="168"/>
      <w:r>
        <w:rPr>
          <w:color w:val="000000"/>
          <w:spacing w:val="0"/>
          <w:w w:val="100"/>
          <w:position w:val="0"/>
        </w:rPr>
        <w:t>、投资状况分析</w:t>
      </w:r>
      <w:bookmarkEnd w:id="166"/>
      <w:bookmarkEnd w:id="167"/>
      <w:bookmarkEnd w:id="169"/>
    </w:p>
    <w:p>
      <w:pPr>
        <w:pStyle w:val="Style31"/>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、总体情况</w:t>
      </w:r>
      <w:bookmarkEnd w:id="170"/>
      <w:bookmarkEnd w:id="171"/>
      <w:bookmarkEnd w:id="17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366,435,750.36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1,117,139,721.49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w:t>
            </w:r>
          </w:p>
        </w:tc>
      </w:tr>
    </w:tbl>
    <w:p>
      <w:pPr>
        <w:widowControl w:val="0"/>
        <w:spacing w:after="35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报告期内获取的重大的股权投资情况</w:t>
      </w:r>
      <w:bookmarkEnd w:id="174"/>
      <w:bookmarkEnd w:id="175"/>
      <w:bookmarkEnd w:id="17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报告期内正在进行的重大的非股权投资情况</w:t>
      </w:r>
      <w:bookmarkEnd w:id="178"/>
      <w:bookmarkEnd w:id="179"/>
      <w:bookmarkEnd w:id="181"/>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金寨一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100MW</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光伏行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49,510,1</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404,307,</w:t>
            </w:r>
          </w:p>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金寨二</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100MW</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光伏行 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22,556,8</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165,895,</w:t>
            </w:r>
          </w:p>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林州东</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姚镇石</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光伏行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168,140,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河南卫 辉唐庄 乡新农 村</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20MW</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屋顶分 布式项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光伏行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6,132,47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93,321,5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东旭大 别山年 产 </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吨茶油 产业园 建设项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51,866,3</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111,134,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鸿基禧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悦大厦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284,336,</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454,390,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414,402,</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1,397,19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0,302.14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、金融资产投资</w:t>
      </w:r>
      <w:bookmarkEnd w:id="182"/>
      <w:bookmarkEnd w:id="183"/>
      <w:bookmarkEnd w:id="185"/>
    </w:p>
    <w:p>
      <w:pPr>
        <w:pStyle w:val="Style41"/>
        <w:keepNext/>
        <w:keepLines/>
        <w:widowControl w:val="0"/>
        <w:shd w:val="clear" w:color="auto" w:fill="auto"/>
        <w:tabs>
          <w:tab w:pos="493"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6"/>
      <w:bookmarkEnd w:id="187"/>
      <w:bookmarkEnd w:id="18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1"/>
        <w:keepNext/>
        <w:keepLines/>
        <w:widowControl w:val="0"/>
        <w:shd w:val="clear" w:color="auto" w:fill="auto"/>
        <w:tabs>
          <w:tab w:pos="493"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0"/>
      <w:bookmarkEnd w:id="191"/>
      <w:bookmarkEnd w:id="19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1"/>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、募集资金使用情况</w:t>
      </w:r>
      <w:bookmarkEnd w:id="194"/>
      <w:bookmarkEnd w:id="195"/>
      <w:bookmarkEnd w:id="197"/>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0"/>
        <w:keepNext/>
        <w:keepLines/>
        <w:widowControl w:val="0"/>
        <w:shd w:val="clear" w:color="auto" w:fill="auto"/>
        <w:tabs>
          <w:tab w:pos="517"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八</w:t>
      </w:r>
      <w:bookmarkEnd w:id="200"/>
      <w:r>
        <w:rPr>
          <w:color w:val="000000"/>
          <w:spacing w:val="0"/>
          <w:w w:val="100"/>
          <w:position w:val="0"/>
        </w:rPr>
        <w:t>、</w:t>
        <w:tab/>
        <w:t>重大资产和股权出售</w:t>
      </w:r>
      <w:bookmarkEnd w:id="198"/>
      <w:bookmarkEnd w:id="199"/>
      <w:bookmarkEnd w:id="201"/>
    </w:p>
    <w:p>
      <w:pPr>
        <w:pStyle w:val="Style31"/>
        <w:keepNext/>
        <w:keepLines/>
        <w:widowControl w:val="0"/>
        <w:shd w:val="clear" w:color="auto" w:fill="auto"/>
        <w:tabs>
          <w:tab w:pos="392"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出售重大资产情况</w:t>
      </w:r>
      <w:bookmarkEnd w:id="202"/>
      <w:bookmarkEnd w:id="203"/>
      <w:bookmarkEnd w:id="205"/>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392"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出售重大股权情况</w:t>
      </w:r>
      <w:bookmarkEnd w:id="206"/>
      <w:bookmarkEnd w:id="207"/>
      <w:bookmarkEnd w:id="20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九</w:t>
      </w:r>
      <w:bookmarkEnd w:id="212"/>
      <w:r>
        <w:rPr>
          <w:color w:val="000000"/>
          <w:spacing w:val="0"/>
          <w:w w:val="100"/>
          <w:position w:val="0"/>
        </w:rPr>
        <w:t>、</w:t>
        <w:tab/>
        <w:t>主要控股参股公司分析</w:t>
      </w:r>
      <w:bookmarkEnd w:id="210"/>
      <w:bookmarkEnd w:id="211"/>
      <w:bookmarkEnd w:id="21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东旭新能源</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投资有限公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投资兴办实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10,946,973,2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18,277,287,7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9,311,037,59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88,614,314.9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-299,106,373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-300,139,761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四川东旭电</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力工程有限</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2,552,174,98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277,317,650.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1,085,910,42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55,094,722.8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51,758,065.3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西藏东旭电</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力工程有限</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4,420,828,99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-157,661,039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107,008,637.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-354,979,869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-377,823,030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安徽东旭康 图太阳能科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光伏组件生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553,921,281.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116,430,479.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343,596,197.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361,912,935.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366,570,340.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星景生态环 保科技（苏 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生态环保工 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1,628,180,37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866,560,158.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37,992,464.9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-59,889,056.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-77,522,229.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东旭蓝天生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态环保科技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生态环保工 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1,450,986,39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-59,333,046.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146,936,282.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-71,145,880.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-71,598,407.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都昌县皓晖光伏电站有限公司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蒙阴县盛康光伏发电有限公司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2"/>
        <w:gridCol w:w="3192"/>
        <w:gridCol w:w="3202"/>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华融金属表面处理（安平）科技有限公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-142551.34</w:t>
            </w:r>
            <w:r>
              <w:rPr>
                <w:color w:val="000000"/>
                <w:spacing w:val="0"/>
                <w:w w:val="100"/>
                <w:position w:val="0"/>
              </w:rPr>
              <w:t>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安达市旭蓝新能源有限公司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964391.27</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邢台天宏祥燃气有限公司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-1985782.2</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张北旭源新能源科技有限公司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2246.64</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宁夏旭蓝新能源科技有限公司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136934.57</w:t>
            </w:r>
            <w:r>
              <w:rPr>
                <w:color w:val="000000"/>
                <w:spacing w:val="0"/>
                <w:w w:val="100"/>
                <w:position w:val="0"/>
              </w:rPr>
              <w:t>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鄂托克前旗晟日新能源科技有限公司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-3945563.8</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湖南旭腾医疗管理有限公司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84222.54</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乌兰察布旭晨新能源科技有限公司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宁夏旭盛新能源科技有限公司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1099.58</w:t>
            </w:r>
            <w:r>
              <w:rPr>
                <w:color w:val="000000"/>
                <w:spacing w:val="0"/>
                <w:w w:val="100"/>
                <w:position w:val="0"/>
              </w:rPr>
              <w:t>元</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南阳永召新能源有限公司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-900.76</w:t>
            </w:r>
            <w:r>
              <w:rPr>
                <w:color w:val="000000"/>
                <w:spacing w:val="0"/>
                <w:w w:val="100"/>
                <w:position w:val="0"/>
              </w:rPr>
              <w:t>元</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0"/>
        <w:keepNext/>
        <w:keepLines/>
        <w:widowControl w:val="0"/>
        <w:shd w:val="clear" w:color="auto" w:fill="auto"/>
        <w:bidi w:val="0"/>
        <w:spacing w:before="0" w:after="360" w:line="240" w:lineRule="auto"/>
        <w:ind w:left="0" w:right="0" w:firstLine="0"/>
        <w:jc w:val="both"/>
      </w:pPr>
      <w:bookmarkStart w:id="214" w:name="bookmark214"/>
      <w:bookmarkStart w:id="215" w:name="bookmark215"/>
      <w:bookmarkStart w:id="216" w:name="bookmark216"/>
      <w:r>
        <w:rPr>
          <w:color w:val="000000"/>
          <w:spacing w:val="0"/>
          <w:w w:val="100"/>
          <w:position w:val="0"/>
        </w:rPr>
        <w:t>十、公司控制的结构化主体情况</w:t>
      </w:r>
      <w:bookmarkEnd w:id="214"/>
      <w:bookmarkEnd w:id="215"/>
      <w:bookmarkEnd w:id="216"/>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日，本公司与信达金控（宁波）投资管理有限公司（以下简称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信达金控</w:t>
      </w:r>
      <w:r>
        <w:rPr>
          <w:rFonts w:ascii="Times New Roman" w:eastAsia="Times New Roman" w:hAnsi="Times New Roman" w:cs="Times New Roman"/>
          <w:color w:val="000000"/>
          <w:spacing w:val="0"/>
          <w:w w:val="100"/>
          <w:position w:val="0"/>
        </w:rPr>
        <w:t>”</w:t>
      </w:r>
      <w:r>
        <w:rPr>
          <w:color w:val="000000"/>
          <w:spacing w:val="0"/>
          <w:w w:val="100"/>
          <w:position w:val="0"/>
        </w:rPr>
        <w:t>）、国投泰康 信托有限公司（以下简称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国投泰康</w:t>
      </w:r>
      <w:r>
        <w:rPr>
          <w:rFonts w:ascii="Times New Roman" w:eastAsia="Times New Roman" w:hAnsi="Times New Roman" w:cs="Times New Roman"/>
          <w:color w:val="000000"/>
          <w:spacing w:val="0"/>
          <w:w w:val="100"/>
          <w:position w:val="0"/>
        </w:rPr>
        <w:t>”</w:t>
      </w:r>
      <w:r>
        <w:rPr>
          <w:color w:val="000000"/>
          <w:spacing w:val="0"/>
          <w:w w:val="100"/>
          <w:position w:val="0"/>
        </w:rPr>
        <w:t>）共同投资设立宁波梅山保税港区信控东旭新能源投资合伙企业（有 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宁波信控新能源合伙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月，信达金控作为普通合伙人出资</w:t>
      </w:r>
      <w:r>
        <w:rPr>
          <w:rFonts w:ascii="Times New Roman" w:eastAsia="Times New Roman" w:hAnsi="Times New Roman" w:cs="Times New Roman"/>
          <w:color w:val="000000"/>
          <w:spacing w:val="0"/>
          <w:w w:val="100"/>
          <w:position w:val="0"/>
        </w:rPr>
        <w:t>100</w:t>
      </w:r>
      <w:r>
        <w:rPr>
          <w:color w:val="000000"/>
          <w:spacing w:val="0"/>
          <w:w w:val="100"/>
          <w:position w:val="0"/>
        </w:rPr>
        <w:t>万元，国 投泰康信托有限公司作为优先级有限合伙人出资</w:t>
      </w:r>
      <w:r>
        <w:rPr>
          <w:rFonts w:ascii="Times New Roman" w:eastAsia="Times New Roman" w:hAnsi="Times New Roman" w:cs="Times New Roman"/>
          <w:color w:val="000000"/>
          <w:spacing w:val="0"/>
          <w:w w:val="100"/>
          <w:position w:val="0"/>
        </w:rPr>
        <w:t>10</w:t>
      </w:r>
      <w:r>
        <w:rPr>
          <w:color w:val="000000"/>
          <w:spacing w:val="0"/>
          <w:w w:val="100"/>
          <w:position w:val="0"/>
        </w:rPr>
        <w:t>亿元，本公司作为劣后级有限合伙人出资</w:t>
      </w:r>
      <w:r>
        <w:rPr>
          <w:rFonts w:ascii="Times New Roman" w:eastAsia="Times New Roman" w:hAnsi="Times New Roman" w:cs="Times New Roman"/>
          <w:color w:val="000000"/>
          <w:spacing w:val="0"/>
          <w:w w:val="100"/>
          <w:position w:val="0"/>
        </w:rPr>
        <w:t>5</w:t>
      </w:r>
      <w:r>
        <w:rPr>
          <w:color w:val="000000"/>
          <w:spacing w:val="0"/>
          <w:w w:val="100"/>
          <w:position w:val="0"/>
        </w:rPr>
        <w:t>亿元。</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日，公司全资子公司东旭新能源投资有限公司向其融资人民币</w:t>
      </w:r>
      <w:r>
        <w:rPr>
          <w:rFonts w:ascii="Times New Roman" w:eastAsia="Times New Roman" w:hAnsi="Times New Roman" w:cs="Times New Roman"/>
          <w:color w:val="000000"/>
          <w:spacing w:val="0"/>
          <w:w w:val="100"/>
          <w:position w:val="0"/>
        </w:rPr>
        <w:t>15</w:t>
      </w:r>
      <w:r>
        <w:rPr>
          <w:color w:val="000000"/>
          <w:spacing w:val="0"/>
          <w:w w:val="100"/>
          <w:position w:val="0"/>
        </w:rPr>
        <w:t>亿元，由于在国投泰康投资期内合 伙企业若不能按时足额分配国投泰康投资预期收益等情形下，公司需按相关协议约定条件受让国投泰康持 有的合伙企业份额，因此该有限合伙企业属于本公司控制的结构化主体，纳入合并范围。</w:t>
      </w:r>
    </w:p>
    <w:p>
      <w:pPr>
        <w:pStyle w:val="Style17"/>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日，本公司与广州南粤产业投资基金管理有限公司（以下简称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广州南粤</w:t>
      </w:r>
      <w:r>
        <w:rPr>
          <w:rFonts w:ascii="Times New Roman" w:eastAsia="Times New Roman" w:hAnsi="Times New Roman" w:cs="Times New Roman"/>
          <w:color w:val="000000"/>
          <w:spacing w:val="0"/>
          <w:w w:val="100"/>
          <w:position w:val="0"/>
        </w:rPr>
        <w:t>”</w:t>
      </w:r>
      <w:r>
        <w:rPr>
          <w:color w:val="000000"/>
          <w:spacing w:val="0"/>
          <w:w w:val="100"/>
          <w:position w:val="0"/>
        </w:rPr>
        <w:t>）、长城新盛信 托有限责任公司（以下简称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长城新盛信托</w:t>
      </w:r>
      <w:r>
        <w:rPr>
          <w:rFonts w:ascii="Times New Roman" w:eastAsia="Times New Roman" w:hAnsi="Times New Roman" w:cs="Times New Roman"/>
          <w:color w:val="000000"/>
          <w:spacing w:val="0"/>
          <w:w w:val="100"/>
          <w:position w:val="0"/>
        </w:rPr>
        <w:t>”</w:t>
      </w:r>
      <w:r>
        <w:rPr>
          <w:color w:val="000000"/>
          <w:spacing w:val="0"/>
          <w:w w:val="100"/>
          <w:position w:val="0"/>
        </w:rPr>
        <w:t>）共同设立广州南粤趋势创新投资中心（有限合伙）（以下简 称</w:t>
      </w:r>
      <w:r>
        <w:rPr>
          <w:rFonts w:ascii="Times New Roman" w:eastAsia="Times New Roman" w:hAnsi="Times New Roman" w:cs="Times New Roman"/>
          <w:color w:val="000000"/>
          <w:spacing w:val="0"/>
          <w:w w:val="100"/>
          <w:position w:val="0"/>
        </w:rPr>
        <w:t>“</w:t>
      </w:r>
      <w:r>
        <w:rPr>
          <w:color w:val="000000"/>
          <w:spacing w:val="0"/>
          <w:w w:val="100"/>
          <w:position w:val="0"/>
        </w:rPr>
        <w:t>广州南粤投资有限合伙</w:t>
      </w:r>
      <w:r>
        <w:rPr>
          <w:rFonts w:ascii="Times New Roman" w:eastAsia="Times New Roman" w:hAnsi="Times New Roman" w:cs="Times New Roman"/>
          <w:color w:val="000000"/>
          <w:spacing w:val="0"/>
          <w:w w:val="100"/>
          <w:position w:val="0"/>
        </w:rPr>
        <w:t>”</w:t>
      </w:r>
      <w:r>
        <w:rPr>
          <w:color w:val="000000"/>
          <w:spacing w:val="0"/>
          <w:w w:val="100"/>
          <w:position w:val="0"/>
        </w:rPr>
        <w:t>）。广州南粤作为普通合伙人出资</w:t>
      </w:r>
      <w:r>
        <w:rPr>
          <w:rFonts w:ascii="Times New Roman" w:eastAsia="Times New Roman" w:hAnsi="Times New Roman" w:cs="Times New Roman"/>
          <w:color w:val="000000"/>
          <w:spacing w:val="0"/>
          <w:w w:val="100"/>
          <w:position w:val="0"/>
        </w:rPr>
        <w:t>1</w:t>
      </w:r>
      <w:r>
        <w:rPr>
          <w:color w:val="000000"/>
          <w:spacing w:val="0"/>
          <w:w w:val="100"/>
          <w:position w:val="0"/>
        </w:rPr>
        <w:t>万元，长城新盛信托为优先级有限合伙人出 资</w:t>
      </w:r>
      <w:r>
        <w:rPr>
          <w:rFonts w:ascii="Times New Roman" w:eastAsia="Times New Roman" w:hAnsi="Times New Roman" w:cs="Times New Roman"/>
          <w:color w:val="000000"/>
          <w:spacing w:val="0"/>
          <w:w w:val="100"/>
          <w:position w:val="0"/>
        </w:rPr>
        <w:t>4.95</w:t>
      </w:r>
      <w:r>
        <w:rPr>
          <w:color w:val="000000"/>
          <w:spacing w:val="0"/>
          <w:w w:val="100"/>
          <w:position w:val="0"/>
        </w:rPr>
        <w:t>亿元，本公司作为劣后级有限合伙人出资</w:t>
      </w:r>
      <w:r>
        <w:rPr>
          <w:rFonts w:ascii="Times New Roman" w:eastAsia="Times New Roman" w:hAnsi="Times New Roman" w:cs="Times New Roman"/>
          <w:color w:val="000000"/>
          <w:spacing w:val="0"/>
          <w:w w:val="100"/>
          <w:position w:val="0"/>
        </w:rPr>
        <w:t>2</w:t>
      </w:r>
      <w:r>
        <w:rPr>
          <w:color w:val="000000"/>
          <w:spacing w:val="0"/>
          <w:w w:val="100"/>
          <w:position w:val="0"/>
        </w:rPr>
        <w:t>亿元。合伙企业成立后，本公司向其融资人民币</w:t>
      </w:r>
      <w:r>
        <w:rPr>
          <w:rFonts w:ascii="Times New Roman" w:eastAsia="Times New Roman" w:hAnsi="Times New Roman" w:cs="Times New Roman"/>
          <w:color w:val="000000"/>
          <w:spacing w:val="0"/>
          <w:w w:val="100"/>
          <w:position w:val="0"/>
        </w:rPr>
        <w:t>6.95</w:t>
      </w:r>
      <w:r>
        <w:rPr>
          <w:color w:val="000000"/>
          <w:spacing w:val="0"/>
          <w:w w:val="100"/>
          <w:position w:val="0"/>
        </w:rPr>
        <w:t>亿元， 由于优先级有限合伙人享有本金及利息优先受偿权，因此该有限合伙企业属于本公司控制的结构化主体， 纳入合并范围。</w:t>
      </w:r>
    </w:p>
    <w:p>
      <w:pPr>
        <w:pStyle w:val="Style17"/>
        <w:keepNext w:val="0"/>
        <w:keepLines w:val="0"/>
        <w:widowControl w:val="0"/>
        <w:shd w:val="clear" w:color="auto" w:fill="auto"/>
        <w:bidi w:val="0"/>
        <w:spacing w:before="0" w:after="18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日，本公司全资子公司东旭新能源投资有限公司向中信信托有限责任公司的</w:t>
      </w:r>
      <w:r>
        <w:rPr>
          <w:rFonts w:ascii="Times New Roman" w:eastAsia="Times New Roman" w:hAnsi="Times New Roman" w:cs="Times New Roman"/>
          <w:color w:val="000000"/>
          <w:spacing w:val="0"/>
          <w:w w:val="100"/>
          <w:position w:val="0"/>
        </w:rPr>
        <w:t>“</w:t>
      </w:r>
      <w:r>
        <w:rPr>
          <w:color w:val="000000"/>
          <w:spacing w:val="0"/>
          <w:w w:val="100"/>
          <w:position w:val="0"/>
        </w:rPr>
        <w:t>信金东旭二 期新能源投资基金''融资</w:t>
      </w:r>
      <w:r>
        <w:rPr>
          <w:rFonts w:ascii="Times New Roman" w:eastAsia="Times New Roman" w:hAnsi="Times New Roman" w:cs="Times New Roman"/>
          <w:color w:val="000000"/>
          <w:spacing w:val="0"/>
          <w:w w:val="100"/>
          <w:position w:val="0"/>
        </w:rPr>
        <w:t>7.5</w:t>
      </w:r>
      <w:r>
        <w:rPr>
          <w:color w:val="000000"/>
          <w:spacing w:val="0"/>
          <w:w w:val="100"/>
          <w:position w:val="0"/>
        </w:rPr>
        <w:t>亿元信托资金。基金计划由本公司的控股股东东旭集团有限公司作为保证人， 本公司作为基金计划的次级委托人，出资</w:t>
      </w:r>
      <w:r>
        <w:rPr>
          <w:rFonts w:ascii="Times New Roman" w:eastAsia="Times New Roman" w:hAnsi="Times New Roman" w:cs="Times New Roman"/>
          <w:color w:val="000000"/>
          <w:spacing w:val="0"/>
          <w:w w:val="100"/>
          <w:position w:val="0"/>
        </w:rPr>
        <w:t>2.5</w:t>
      </w:r>
      <w:r>
        <w:rPr>
          <w:color w:val="000000"/>
          <w:spacing w:val="0"/>
          <w:w w:val="100"/>
          <w:position w:val="0"/>
        </w:rPr>
        <w:t>亿认购次级收益权，并约定公司按相关协议约定条件受让中信 信托有限公司持有的合伙企业份额。因此该信托计划属于本公司控制的结构化主体，纳入合并范围。</w:t>
      </w:r>
    </w:p>
    <w:p>
      <w:pPr>
        <w:pStyle w:val="Style17"/>
        <w:keepNext w:val="0"/>
        <w:keepLines w:val="0"/>
        <w:widowControl w:val="0"/>
        <w:shd w:val="clear" w:color="auto" w:fill="auto"/>
        <w:bidi w:val="0"/>
        <w:spacing w:before="0" w:after="420" w:line="470"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日，本公司与宁波鼎杭投资管理有限公司（以下简称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宁波鼎杭</w:t>
      </w:r>
      <w:r>
        <w:rPr>
          <w:rFonts w:ascii="Times New Roman" w:eastAsia="Times New Roman" w:hAnsi="Times New Roman" w:cs="Times New Roman"/>
          <w:color w:val="000000"/>
          <w:spacing w:val="0"/>
          <w:w w:val="100"/>
          <w:position w:val="0"/>
        </w:rPr>
        <w:t>”</w:t>
      </w:r>
      <w:r>
        <w:rPr>
          <w:color w:val="000000"/>
          <w:spacing w:val="0"/>
          <w:w w:val="100"/>
          <w:position w:val="0"/>
        </w:rPr>
        <w:t>）、天津信托有限责任公 司（以下简称</w:t>
      </w:r>
      <w:r>
        <w:rPr>
          <w:rFonts w:ascii="Times New Roman" w:eastAsia="Times New Roman" w:hAnsi="Times New Roman" w:cs="Times New Roman"/>
          <w:color w:val="000000"/>
          <w:spacing w:val="0"/>
          <w:w w:val="100"/>
          <w:position w:val="0"/>
        </w:rPr>
        <w:t>“</w:t>
      </w:r>
      <w:r>
        <w:rPr>
          <w:color w:val="000000"/>
          <w:spacing w:val="0"/>
          <w:w w:val="100"/>
          <w:position w:val="0"/>
        </w:rPr>
        <w:t>天津信托</w:t>
      </w:r>
      <w:r>
        <w:rPr>
          <w:rFonts w:ascii="Times New Roman" w:eastAsia="Times New Roman" w:hAnsi="Times New Roman" w:cs="Times New Roman"/>
          <w:color w:val="000000"/>
          <w:spacing w:val="0"/>
          <w:w w:val="100"/>
          <w:position w:val="0"/>
        </w:rPr>
        <w:t>”</w:t>
      </w:r>
      <w:r>
        <w:rPr>
          <w:color w:val="000000"/>
          <w:spacing w:val="0"/>
          <w:w w:val="100"/>
          <w:position w:val="0"/>
        </w:rPr>
        <w:t>）共同投资设立杭州旭海鼎杭投资管理合伙企业（有限合伙）（以下简称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杭州 旭海合伙</w:t>
      </w:r>
      <w:r>
        <w:rPr>
          <w:rFonts w:ascii="Times New Roman" w:eastAsia="Times New Roman" w:hAnsi="Times New Roman" w:cs="Times New Roman"/>
          <w:color w:val="000000"/>
          <w:spacing w:val="0"/>
          <w:w w:val="100"/>
          <w:position w:val="0"/>
        </w:rPr>
        <w:t>”</w:t>
      </w:r>
      <w:r>
        <w:rPr>
          <w:color w:val="000000"/>
          <w:spacing w:val="0"/>
          <w:w w:val="100"/>
          <w:position w:val="0"/>
        </w:rPr>
        <w:t>）。宁波鼎杭作为普通合伙人出资</w:t>
      </w:r>
      <w:r>
        <w:rPr>
          <w:rFonts w:ascii="Times New Roman" w:eastAsia="Times New Roman" w:hAnsi="Times New Roman" w:cs="Times New Roman"/>
          <w:color w:val="000000"/>
          <w:spacing w:val="0"/>
          <w:w w:val="100"/>
          <w:position w:val="0"/>
        </w:rPr>
        <w:t>100</w:t>
      </w:r>
      <w:r>
        <w:rPr>
          <w:color w:val="000000"/>
          <w:spacing w:val="0"/>
          <w:w w:val="100"/>
          <w:position w:val="0"/>
        </w:rPr>
        <w:t>万元，天津信托作为优先级有限合伙人出资</w:t>
      </w:r>
      <w:r>
        <w:rPr>
          <w:rFonts w:ascii="Times New Roman" w:eastAsia="Times New Roman" w:hAnsi="Times New Roman" w:cs="Times New Roman"/>
          <w:color w:val="000000"/>
          <w:spacing w:val="0"/>
          <w:w w:val="100"/>
          <w:position w:val="0"/>
        </w:rPr>
        <w:t>10</w:t>
      </w:r>
      <w:r>
        <w:rPr>
          <w:color w:val="000000"/>
          <w:spacing w:val="0"/>
          <w:w w:val="100"/>
          <w:position w:val="0"/>
        </w:rPr>
        <w:t>亿元，本公 司作为劣后级有限合伙人出资</w:t>
      </w:r>
      <w:r>
        <w:rPr>
          <w:rFonts w:ascii="Times New Roman" w:eastAsia="Times New Roman" w:hAnsi="Times New Roman" w:cs="Times New Roman"/>
          <w:color w:val="000000"/>
          <w:spacing w:val="0"/>
          <w:w w:val="100"/>
          <w:position w:val="0"/>
        </w:rPr>
        <w:t>5</w:t>
      </w:r>
      <w:r>
        <w:rPr>
          <w:color w:val="000000"/>
          <w:spacing w:val="0"/>
          <w:w w:val="100"/>
          <w:position w:val="0"/>
        </w:rPr>
        <w:t>亿元。合伙企业成立后，公司全资子公司东旭新能源投资有限公司向其融 资人民币</w:t>
      </w:r>
      <w:r>
        <w:rPr>
          <w:rFonts w:ascii="Times New Roman" w:eastAsia="Times New Roman" w:hAnsi="Times New Roman" w:cs="Times New Roman"/>
          <w:color w:val="000000"/>
          <w:spacing w:val="0"/>
          <w:w w:val="100"/>
          <w:position w:val="0"/>
        </w:rPr>
        <w:t>15</w:t>
      </w:r>
      <w:r>
        <w:rPr>
          <w:color w:val="000000"/>
          <w:spacing w:val="0"/>
          <w:w w:val="100"/>
          <w:position w:val="0"/>
        </w:rPr>
        <w:t>亿元，由于在天津信托投资期内合伙企业若不能按时足额分配天津信托投资预期收益等情形 下，公司需按相关协议约定条件受让天津信托持有的合伙企业份额，因此该有限合伙企业属于本公司控制 的结构化主体，纳入合并范围。</w:t>
      </w:r>
    </w:p>
    <w:p>
      <w:pPr>
        <w:pStyle w:val="Style20"/>
        <w:keepNext/>
        <w:keepLines/>
        <w:widowControl w:val="0"/>
        <w:shd w:val="clear" w:color="auto" w:fill="auto"/>
        <w:bidi w:val="0"/>
        <w:spacing w:before="0" w:after="220" w:line="240" w:lineRule="auto"/>
        <w:ind w:left="0" w:right="0" w:firstLine="0"/>
        <w:jc w:val="left"/>
      </w:pPr>
      <w:bookmarkStart w:id="217" w:name="bookmark217"/>
      <w:bookmarkStart w:id="218" w:name="bookmark218"/>
      <w:bookmarkStart w:id="219" w:name="bookmark219"/>
      <w:r>
        <w:rPr>
          <w:color w:val="000000"/>
          <w:spacing w:val="0"/>
          <w:w w:val="100"/>
          <w:position w:val="0"/>
        </w:rPr>
        <w:t>十一、公司未来发展的展望</w:t>
      </w:r>
      <w:bookmarkEnd w:id="217"/>
      <w:bookmarkEnd w:id="218"/>
      <w:bookmarkEnd w:id="219"/>
    </w:p>
    <w:p>
      <w:pPr>
        <w:pStyle w:val="Style17"/>
        <w:keepNext w:val="0"/>
        <w:keepLines w:val="0"/>
        <w:widowControl w:val="0"/>
        <w:shd w:val="clear" w:color="auto" w:fill="auto"/>
        <w:tabs>
          <w:tab w:pos="905" w:val="left"/>
        </w:tabs>
        <w:bidi w:val="0"/>
        <w:spacing w:before="0" w:after="0" w:line="469" w:lineRule="exact"/>
        <w:ind w:left="0" w:right="0" w:firstLine="360"/>
        <w:jc w:val="left"/>
      </w:pPr>
      <w:bookmarkStart w:id="220" w:name="bookmark220"/>
      <w:r>
        <w:rPr>
          <w:color w:val="000000"/>
          <w:spacing w:val="0"/>
          <w:w w:val="100"/>
          <w:position w:val="0"/>
        </w:rPr>
        <w:t>（</w:t>
      </w:r>
      <w:bookmarkEnd w:id="220"/>
      <w:r>
        <w:rPr>
          <w:color w:val="000000"/>
          <w:spacing w:val="0"/>
          <w:w w:val="100"/>
          <w:position w:val="0"/>
        </w:rPr>
        <w:t>一）</w:t>
        <w:tab/>
        <w:t>公司所处行业格局及发展趋势</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详细内容请参见本报告第三节</w:t>
      </w:r>
      <w:r>
        <w:rPr>
          <w:rFonts w:ascii="Times New Roman" w:eastAsia="Times New Roman" w:hAnsi="Times New Roman" w:cs="Times New Roman"/>
          <w:color w:val="000000"/>
          <w:spacing w:val="0"/>
          <w:w w:val="100"/>
          <w:position w:val="0"/>
        </w:rPr>
        <w:t>“</w:t>
      </w:r>
      <w:r>
        <w:rPr>
          <w:color w:val="000000"/>
          <w:spacing w:val="0"/>
          <w:w w:val="100"/>
          <w:position w:val="0"/>
        </w:rPr>
        <w:t>公司业务概要</w:t>
      </w:r>
      <w:r>
        <w:rPr>
          <w:rFonts w:ascii="Times New Roman" w:eastAsia="Times New Roman" w:hAnsi="Times New Roman" w:cs="Times New Roman"/>
          <w:color w:val="000000"/>
          <w:spacing w:val="0"/>
          <w:w w:val="100"/>
          <w:position w:val="0"/>
        </w:rPr>
        <w:t>-</w:t>
      </w:r>
      <w:r>
        <w:rPr>
          <w:color w:val="000000"/>
          <w:spacing w:val="0"/>
          <w:w w:val="100"/>
          <w:position w:val="0"/>
        </w:rPr>
        <w:t>公司所处行业情况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tabs>
          <w:tab w:pos="925" w:val="left"/>
        </w:tabs>
        <w:bidi w:val="0"/>
        <w:spacing w:before="0" w:after="0" w:line="469" w:lineRule="exact"/>
        <w:ind w:left="0" w:right="0"/>
        <w:jc w:val="both"/>
      </w:pPr>
      <w:bookmarkStart w:id="221" w:name="bookmark221"/>
      <w:r>
        <w:rPr>
          <w:color w:val="000000"/>
          <w:spacing w:val="0"/>
          <w:w w:val="100"/>
          <w:position w:val="0"/>
        </w:rPr>
        <w:t>（</w:t>
      </w:r>
      <w:bookmarkEnd w:id="221"/>
      <w:r>
        <w:rPr>
          <w:color w:val="000000"/>
          <w:spacing w:val="0"/>
          <w:w w:val="100"/>
          <w:position w:val="0"/>
        </w:rPr>
        <w:t>二）</w:t>
        <w:tab/>
        <w:t>公司未来发展战略</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公司将紧跟国家</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乡村振兴</w:t>
      </w:r>
      <w:r>
        <w:rPr>
          <w:rFonts w:ascii="Times New Roman" w:eastAsia="Times New Roman" w:hAnsi="Times New Roman" w:cs="Times New Roman"/>
          <w:color w:val="000000"/>
          <w:spacing w:val="0"/>
          <w:w w:val="100"/>
          <w:position w:val="0"/>
        </w:rPr>
        <w:t>”</w:t>
      </w:r>
      <w:r>
        <w:rPr>
          <w:color w:val="000000"/>
          <w:spacing w:val="0"/>
          <w:w w:val="100"/>
          <w:position w:val="0"/>
        </w:rPr>
        <w:t>的战略步调，围绕</w:t>
      </w:r>
      <w:r>
        <w:rPr>
          <w:rFonts w:ascii="Times New Roman" w:eastAsia="Times New Roman" w:hAnsi="Times New Roman" w:cs="Times New Roman"/>
          <w:color w:val="000000"/>
          <w:spacing w:val="0"/>
          <w:w w:val="100"/>
          <w:position w:val="0"/>
        </w:rPr>
        <w:t>“</w:t>
      </w:r>
      <w:r>
        <w:rPr>
          <w:color w:val="000000"/>
          <w:spacing w:val="0"/>
          <w:w w:val="100"/>
          <w:position w:val="0"/>
        </w:rPr>
        <w:t>让天更蓝，让生活更美好</w:t>
      </w:r>
      <w:r>
        <w:rPr>
          <w:rFonts w:ascii="Times New Roman" w:eastAsia="Times New Roman" w:hAnsi="Times New Roman" w:cs="Times New Roman"/>
          <w:color w:val="000000"/>
          <w:spacing w:val="0"/>
          <w:w w:val="100"/>
          <w:position w:val="0"/>
        </w:rPr>
        <w:t>”</w:t>
      </w:r>
      <w:r>
        <w:rPr>
          <w:color w:val="000000"/>
          <w:spacing w:val="0"/>
          <w:w w:val="100"/>
          <w:position w:val="0"/>
        </w:rPr>
        <w:t>愿景，持续推进</w:t>
      </w:r>
      <w:r>
        <w:rPr>
          <w:rFonts w:ascii="Times New Roman" w:eastAsia="Times New Roman" w:hAnsi="Times New Roman" w:cs="Times New Roman"/>
          <w:color w:val="000000"/>
          <w:spacing w:val="0"/>
          <w:w w:val="100"/>
          <w:position w:val="0"/>
        </w:rPr>
        <w:t>“</w:t>
      </w:r>
      <w:r>
        <w:rPr>
          <w:color w:val="000000"/>
          <w:spacing w:val="0"/>
          <w:w w:val="100"/>
          <w:position w:val="0"/>
        </w:rPr>
        <w:t>智 慧能源</w:t>
      </w:r>
      <w:r>
        <w:rPr>
          <w:rFonts w:ascii="Times New Roman" w:eastAsia="Times New Roman" w:hAnsi="Times New Roman" w:cs="Times New Roman"/>
          <w:color w:val="000000"/>
          <w:spacing w:val="0"/>
          <w:w w:val="100"/>
          <w:position w:val="0"/>
        </w:rPr>
        <w:t>+</w:t>
      </w:r>
      <w:r>
        <w:rPr>
          <w:color w:val="000000"/>
          <w:spacing w:val="0"/>
          <w:w w:val="100"/>
          <w:position w:val="0"/>
        </w:rPr>
        <w:t>环保治理''产业模式，秉持</w:t>
      </w:r>
      <w:r>
        <w:rPr>
          <w:rFonts w:ascii="Times New Roman" w:eastAsia="Times New Roman" w:hAnsi="Times New Roman" w:cs="Times New Roman"/>
          <w:color w:val="000000"/>
          <w:spacing w:val="0"/>
          <w:w w:val="100"/>
          <w:position w:val="0"/>
        </w:rPr>
        <w:t>“</w:t>
      </w:r>
      <w:r>
        <w:rPr>
          <w:color w:val="000000"/>
          <w:spacing w:val="0"/>
          <w:w w:val="100"/>
          <w:position w:val="0"/>
        </w:rPr>
        <w:t>风光协同、环农共进''开发思路，深耕细作，加强技术研发，打通上下 游产业链，提升一体化、一站式的零碳解决方案能力；重点提升战略把控能力，优化产业布局，创新商业 模式，促进公司规模、效益可持续发展。坚持自主开发、合作开发与并购相结合的经营方针，加强在光伏 发电与风能发电领域的布局，同时不断加快环保、新农业等业务发展步伐，致力于成为国内领先的新能源 环保综合服务商。</w:t>
      </w:r>
    </w:p>
    <w:p>
      <w:pPr>
        <w:pStyle w:val="Style17"/>
        <w:keepNext w:val="0"/>
        <w:keepLines w:val="0"/>
        <w:widowControl w:val="0"/>
        <w:shd w:val="clear" w:color="auto" w:fill="auto"/>
        <w:tabs>
          <w:tab w:pos="925" w:val="left"/>
        </w:tabs>
        <w:bidi w:val="0"/>
        <w:spacing w:before="0" w:after="0" w:line="469" w:lineRule="exact"/>
        <w:ind w:left="0" w:right="0"/>
        <w:jc w:val="both"/>
      </w:pPr>
      <w:bookmarkStart w:id="222" w:name="bookmark222"/>
      <w:r>
        <w:rPr>
          <w:color w:val="000000"/>
          <w:spacing w:val="0"/>
          <w:w w:val="100"/>
          <w:position w:val="0"/>
        </w:rPr>
        <w:t>（</w:t>
      </w:r>
      <w:bookmarkEnd w:id="222"/>
      <w:r>
        <w:rPr>
          <w:color w:val="000000"/>
          <w:spacing w:val="0"/>
          <w:w w:val="100"/>
          <w:position w:val="0"/>
        </w:rPr>
        <w:t>三）</w:t>
        <w:tab/>
        <w:t>公司</w:t>
      </w:r>
      <w:r>
        <w:rPr>
          <w:rFonts w:ascii="Times New Roman" w:eastAsia="Times New Roman" w:hAnsi="Times New Roman" w:cs="Times New Roman"/>
          <w:color w:val="000000"/>
          <w:spacing w:val="0"/>
          <w:w w:val="100"/>
          <w:position w:val="0"/>
        </w:rPr>
        <w:t>2022</w:t>
      </w:r>
      <w:r>
        <w:rPr>
          <w:color w:val="000000"/>
          <w:spacing w:val="0"/>
          <w:w w:val="100"/>
          <w:position w:val="0"/>
        </w:rPr>
        <w:t>年工作重点</w:t>
      </w:r>
    </w:p>
    <w:p>
      <w:pPr>
        <w:pStyle w:val="Style17"/>
        <w:keepNext w:val="0"/>
        <w:keepLines w:val="0"/>
        <w:widowControl w:val="0"/>
        <w:shd w:val="clear" w:color="auto" w:fill="auto"/>
        <w:tabs>
          <w:tab w:pos="694" w:val="left"/>
        </w:tabs>
        <w:bidi w:val="0"/>
        <w:spacing w:before="0" w:after="0" w:line="467" w:lineRule="exact"/>
        <w:ind w:left="0" w:right="0"/>
        <w:jc w:val="both"/>
      </w:pPr>
      <w:bookmarkStart w:id="223" w:name="bookmark223"/>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新能源业务，确保运营稳定</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公司现有光伏电站可有效保障公司运营资金稳定。公司在手光伏电站资产质量较优；新业务方面，将 主动谋篇布局，加强平价竞价项目资源获取力度，首先积极争取内蒙、青海、甘肃、陕西等大型基地项目， 在资源条件好、就地消纳能力强的区域开发建设新能源综合示范基地，加快实现规模化增量；其次，计划 在资源丰富地区配合当地政府建设高效光伏组件智能制造基地项目和储能电池及材料等项目，完善新能源 产业链，巩固公司在新能源领域的核心竞争力；同时，着力打造智能物联网代运维平台，推动新能源业务 高质量、可持续发展。</w:t>
      </w:r>
    </w:p>
    <w:p>
      <w:pPr>
        <w:pStyle w:val="Style17"/>
        <w:keepNext w:val="0"/>
        <w:keepLines w:val="0"/>
        <w:widowControl w:val="0"/>
        <w:shd w:val="clear" w:color="auto" w:fill="auto"/>
        <w:tabs>
          <w:tab w:pos="705" w:val="left"/>
        </w:tabs>
        <w:bidi w:val="0"/>
        <w:spacing w:before="0" w:after="0" w:line="467" w:lineRule="exact"/>
        <w:ind w:left="0" w:right="0"/>
        <w:jc w:val="both"/>
      </w:pPr>
      <w:bookmarkStart w:id="224" w:name="bookmark224"/>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生态环保业务，稳中求进</w:t>
      </w:r>
    </w:p>
    <w:p>
      <w:pPr>
        <w:pStyle w:val="Style17"/>
        <w:keepNext w:val="0"/>
        <w:keepLines w:val="0"/>
        <w:widowControl w:val="0"/>
        <w:shd w:val="clear" w:color="auto" w:fill="auto"/>
        <w:bidi w:val="0"/>
        <w:spacing w:before="0" w:after="240" w:line="467" w:lineRule="exact"/>
        <w:ind w:left="0" w:right="0"/>
        <w:jc w:val="both"/>
      </w:pPr>
      <w:r>
        <w:rPr>
          <w:color w:val="000000"/>
          <w:spacing w:val="0"/>
          <w:w w:val="100"/>
          <w:position w:val="0"/>
        </w:rPr>
        <w:t xml:space="preserve">生态环保产业将一方面紧跟政策导向，积极投入污染防治攻坚战，多个细分领域协同发展，另一方面 在融资趋紧的外部环境下，根据项目的融资进展合理的调整施工进度，控制投资节奏，积极谋求转型发展。 </w:t>
      </w:r>
      <w:r>
        <w:rPr>
          <w:color w:val="000000"/>
          <w:spacing w:val="0"/>
          <w:w w:val="100"/>
          <w:position w:val="0"/>
        </w:rPr>
        <w:t>在生态农业等乡村振兴业务方面，结合公司在生态环保方面的优势资源，参与建设一批美丽乡村建设项目、 生态保护修复工程、河湖生态环境复苏等工程。公司参照大别山金寨</w:t>
      </w:r>
      <w:r>
        <w:rPr>
          <w:rFonts w:ascii="Times New Roman" w:eastAsia="Times New Roman" w:hAnsi="Times New Roman" w:cs="Times New Roman"/>
          <w:color w:val="000000"/>
          <w:spacing w:val="0"/>
          <w:w w:val="100"/>
          <w:position w:val="0"/>
        </w:rPr>
        <w:t>“</w:t>
      </w:r>
      <w:r>
        <w:rPr>
          <w:color w:val="000000"/>
          <w:spacing w:val="0"/>
          <w:w w:val="100"/>
          <w:position w:val="0"/>
        </w:rPr>
        <w:t>龙头企业</w:t>
      </w:r>
      <w:r>
        <w:rPr>
          <w:rFonts w:ascii="Times New Roman" w:eastAsia="Times New Roman" w:hAnsi="Times New Roman" w:cs="Times New Roman"/>
          <w:color w:val="000000"/>
          <w:spacing w:val="0"/>
          <w:w w:val="100"/>
          <w:position w:val="0"/>
        </w:rPr>
        <w:t>+</w:t>
      </w:r>
      <w:r>
        <w:rPr>
          <w:color w:val="000000"/>
          <w:spacing w:val="0"/>
          <w:w w:val="100"/>
          <w:position w:val="0"/>
        </w:rPr>
        <w:t>基地</w:t>
      </w:r>
      <w:r>
        <w:rPr>
          <w:rFonts w:ascii="Times New Roman" w:eastAsia="Times New Roman" w:hAnsi="Times New Roman" w:cs="Times New Roman"/>
          <w:color w:val="000000"/>
          <w:spacing w:val="0"/>
          <w:w w:val="100"/>
          <w:position w:val="0"/>
        </w:rPr>
        <w:t>+</w:t>
      </w:r>
      <w:r>
        <w:rPr>
          <w:color w:val="000000"/>
          <w:spacing w:val="0"/>
          <w:w w:val="100"/>
          <w:position w:val="0"/>
        </w:rPr>
        <w:t>合作社</w:t>
      </w:r>
      <w:r>
        <w:rPr>
          <w:rFonts w:ascii="Times New Roman" w:eastAsia="Times New Roman" w:hAnsi="Times New Roman" w:cs="Times New Roman"/>
          <w:color w:val="000000"/>
          <w:spacing w:val="0"/>
          <w:w w:val="100"/>
          <w:position w:val="0"/>
        </w:rPr>
        <w:t>+</w:t>
      </w:r>
      <w:r>
        <w:rPr>
          <w:color w:val="000000"/>
          <w:spacing w:val="0"/>
          <w:w w:val="100"/>
          <w:position w:val="0"/>
        </w:rPr>
        <w:t>农户</w:t>
      </w:r>
      <w:r>
        <w:rPr>
          <w:rFonts w:ascii="Times New Roman" w:eastAsia="Times New Roman" w:hAnsi="Times New Roman" w:cs="Times New Roman"/>
          <w:color w:val="000000"/>
          <w:spacing w:val="0"/>
          <w:w w:val="100"/>
          <w:position w:val="0"/>
        </w:rPr>
        <w:t>”</w:t>
      </w:r>
      <w:r>
        <w:rPr>
          <w:color w:val="000000"/>
          <w:spacing w:val="0"/>
          <w:w w:val="100"/>
          <w:position w:val="0"/>
        </w:rPr>
        <w:t>茶油 互联互动创新发展模式，培育优势特色油茶集群，创建一批国家农村产业融合发展示范园或大型特色农业 基地。</w:t>
      </w:r>
    </w:p>
    <w:p>
      <w:pPr>
        <w:pStyle w:val="Style17"/>
        <w:keepNext w:val="0"/>
        <w:keepLines w:val="0"/>
        <w:widowControl w:val="0"/>
        <w:shd w:val="clear" w:color="auto" w:fill="auto"/>
        <w:tabs>
          <w:tab w:pos="676" w:val="left"/>
        </w:tabs>
        <w:bidi w:val="0"/>
        <w:spacing w:before="0" w:after="0"/>
        <w:ind w:left="0" w:right="0" w:firstLine="360"/>
        <w:jc w:val="left"/>
      </w:pPr>
      <w:bookmarkStart w:id="225" w:name="bookmark225"/>
      <w:r>
        <w:rPr>
          <w:rFonts w:ascii="Times New Roman" w:eastAsia="Times New Roman" w:hAnsi="Times New Roman" w:cs="Times New Roman"/>
          <w:color w:val="000000"/>
          <w:spacing w:val="0"/>
          <w:w w:val="100"/>
          <w:position w:val="0"/>
        </w:rPr>
        <w:t>3</w:t>
      </w:r>
      <w:bookmarkEnd w:id="225"/>
      <w:r>
        <w:rPr>
          <w:color w:val="000000"/>
          <w:spacing w:val="0"/>
          <w:w w:val="100"/>
          <w:position w:val="0"/>
        </w:rPr>
        <w:t>、</w:t>
        <w:tab/>
        <w:t>风险化解，政策窗口下积极推进债务风险化解工作</w:t>
      </w:r>
    </w:p>
    <w:p>
      <w:pPr>
        <w:pStyle w:val="Style17"/>
        <w:keepNext w:val="0"/>
        <w:keepLines w:val="0"/>
        <w:widowControl w:val="0"/>
        <w:shd w:val="clear" w:color="auto" w:fill="auto"/>
        <w:bidi w:val="0"/>
        <w:spacing w:before="0" w:after="240" w:line="468" w:lineRule="exact"/>
        <w:ind w:left="0" w:right="0" w:firstLine="360"/>
        <w:jc w:val="left"/>
      </w:pPr>
      <w:r>
        <w:rPr>
          <w:color w:val="000000"/>
          <w:spacing w:val="0"/>
          <w:w w:val="100"/>
          <w:position w:val="0"/>
        </w:rPr>
        <w:t>公司将利用国家碳中和产业政策优势，改善经营状况的同时，继续加大与各债权机构的沟通力度，力 争通过与债权人谈判，推进公司债务展期以及通过债务重组、降息缓息等方式维持存量贷款稳定性，降 低财务成本。另外，公司控股股东东旭集团光电显示产业在解决国家</w:t>
      </w:r>
      <w:r>
        <w:rPr>
          <w:rFonts w:ascii="Times New Roman" w:eastAsia="Times New Roman" w:hAnsi="Times New Roman" w:cs="Times New Roman"/>
          <w:color w:val="000000"/>
          <w:spacing w:val="0"/>
          <w:w w:val="100"/>
          <w:position w:val="0"/>
        </w:rPr>
        <w:t>“</w:t>
      </w:r>
      <w:r>
        <w:rPr>
          <w:color w:val="000000"/>
          <w:spacing w:val="0"/>
          <w:w w:val="100"/>
          <w:position w:val="0"/>
        </w:rPr>
        <w:t>缺芯少屏</w:t>
      </w:r>
      <w:r>
        <w:rPr>
          <w:rFonts w:ascii="Times New Roman" w:eastAsia="Times New Roman" w:hAnsi="Times New Roman" w:cs="Times New Roman"/>
          <w:color w:val="000000"/>
          <w:spacing w:val="0"/>
          <w:w w:val="100"/>
          <w:position w:val="0"/>
        </w:rPr>
        <w:t>”</w:t>
      </w:r>
      <w:r>
        <w:rPr>
          <w:color w:val="000000"/>
          <w:spacing w:val="0"/>
          <w:w w:val="100"/>
          <w:position w:val="0"/>
        </w:rPr>
        <w:t>、维护供应链安全中发挥 了重要作用。自出现流动性危机以来，东旭集团得到了国家相关部门高度重视，并给予帮扶支持。东旭集 团及其控股公司通过发挥自身产业及科技优势，企业运营活力得以恢复，风险化解有序推进。东旭集团承 诺，公司在财务公司的存款将在其整体债务风险化解中得到优先保障。</w:t>
      </w:r>
    </w:p>
    <w:p>
      <w:pPr>
        <w:pStyle w:val="Style17"/>
        <w:keepNext w:val="0"/>
        <w:keepLines w:val="0"/>
        <w:widowControl w:val="0"/>
        <w:shd w:val="clear" w:color="auto" w:fill="auto"/>
        <w:tabs>
          <w:tab w:pos="676" w:val="left"/>
        </w:tabs>
        <w:bidi w:val="0"/>
        <w:spacing w:before="0" w:after="0"/>
        <w:ind w:left="0" w:right="0" w:firstLine="360"/>
        <w:jc w:val="left"/>
      </w:pPr>
      <w:bookmarkStart w:id="226" w:name="bookmark226"/>
      <w:r>
        <w:rPr>
          <w:rFonts w:ascii="Times New Roman" w:eastAsia="Times New Roman" w:hAnsi="Times New Roman" w:cs="Times New Roman"/>
          <w:color w:val="000000"/>
          <w:spacing w:val="0"/>
          <w:w w:val="100"/>
          <w:position w:val="0"/>
        </w:rPr>
        <w:t>4</w:t>
      </w:r>
      <w:bookmarkEnd w:id="226"/>
      <w:r>
        <w:rPr>
          <w:color w:val="000000"/>
          <w:spacing w:val="0"/>
          <w:w w:val="100"/>
          <w:position w:val="0"/>
        </w:rPr>
        <w:t>、</w:t>
        <w:tab/>
        <w:t>内部管理方面，继续加强成本管理和清收催款力度</w:t>
      </w:r>
    </w:p>
    <w:p>
      <w:pPr>
        <w:pStyle w:val="Style17"/>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公司将进一步加强成本管理和费用预算控制，加强对子公司及各业务单元的财务及风险管控，全面优 化经营管理措施，提升内部运营管理效率，降低各项运营费用。公司将持续优化现有流程，持续通过定期 考核、复盘分析做好过程管理、激发组织活力，通过内部管理改进，效率提升等推动成本降低。与此同时， 综合考虑当前市场环境、金融环境及企业自身现状，公司拟处置部分前期己布局但开发难度大、资金投 入高、不符合公司目前战略定位的项目，收回部分预付及应收资金，改善公司资产结构。</w:t>
      </w:r>
    </w:p>
    <w:p>
      <w:pPr>
        <w:pStyle w:val="Style17"/>
        <w:keepNext w:val="0"/>
        <w:keepLines w:val="0"/>
        <w:widowControl w:val="0"/>
        <w:shd w:val="clear" w:color="auto" w:fill="auto"/>
        <w:bidi w:val="0"/>
        <w:spacing w:before="0" w:after="240" w:line="468" w:lineRule="exact"/>
        <w:ind w:left="0" w:right="0" w:firstLine="360"/>
        <w:jc w:val="left"/>
      </w:pPr>
      <w:bookmarkStart w:id="227" w:name="bookmark227"/>
      <w:r>
        <w:rPr>
          <w:color w:val="000000"/>
          <w:spacing w:val="0"/>
          <w:w w:val="100"/>
          <w:position w:val="0"/>
        </w:rPr>
        <w:t>（</w:t>
      </w:r>
      <w:bookmarkEnd w:id="227"/>
      <w:r>
        <w:rPr>
          <w:color w:val="000000"/>
          <w:spacing w:val="0"/>
          <w:w w:val="100"/>
          <w:position w:val="0"/>
        </w:rPr>
        <w:t>四）公司可能面临的风险及应对措施</w:t>
      </w:r>
    </w:p>
    <w:p>
      <w:pPr>
        <w:pStyle w:val="Style17"/>
        <w:keepNext w:val="0"/>
        <w:keepLines w:val="0"/>
        <w:widowControl w:val="0"/>
        <w:shd w:val="clear" w:color="auto" w:fill="auto"/>
        <w:tabs>
          <w:tab w:pos="668" w:val="left"/>
        </w:tabs>
        <w:bidi w:val="0"/>
        <w:spacing w:before="0" w:after="0"/>
        <w:ind w:left="0" w:right="0" w:firstLine="360"/>
        <w:jc w:val="both"/>
      </w:pPr>
      <w:bookmarkStart w:id="228" w:name="bookmark228"/>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政策风险</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由于全球大部分国家及地区光伏发电成本已低于传统化石能源发电成本，光伏发电已成为大部分国家 实现碳减排的主要能源形式，各国也相继出台有关鼓励政策推动光伏发电规模的持续增加。尽管光伏行业 已进入无补贴时代，但国家若出台新的有关并网消纳、储能配置、非技术成本、市场化交易等方面的产业 政策，将对国内光伏行业的转型升级和光伏企业的经营带来一定的不确定性。</w:t>
      </w:r>
    </w:p>
    <w:p>
      <w:pPr>
        <w:pStyle w:val="Style17"/>
        <w:keepNext w:val="0"/>
        <w:keepLines w:val="0"/>
        <w:widowControl w:val="0"/>
        <w:shd w:val="clear" w:color="auto" w:fill="auto"/>
        <w:bidi w:val="0"/>
        <w:spacing w:before="0" w:after="240" w:line="446" w:lineRule="exact"/>
        <w:ind w:left="0" w:right="0" w:firstLine="360"/>
        <w:jc w:val="both"/>
      </w:pPr>
      <w:r>
        <w:rPr>
          <w:color w:val="000000"/>
          <w:spacing w:val="0"/>
          <w:w w:val="100"/>
          <w:position w:val="0"/>
        </w:rPr>
        <w:t>应对措施：针对以上风险，公司将紧跟行业动态及政策导向，将行业及政策的发展趋势与研发、生产 和销售结合起来，通过持续进行工艺改进、成本优化、效率提升等措施，实现降本、增效、提质，全面迎 接</w:t>
      </w:r>
      <w:r>
        <w:rPr>
          <w:rFonts w:ascii="Times New Roman" w:eastAsia="Times New Roman" w:hAnsi="Times New Roman" w:cs="Times New Roman"/>
          <w:color w:val="000000"/>
          <w:spacing w:val="0"/>
          <w:w w:val="100"/>
          <w:position w:val="0"/>
        </w:rPr>
        <w:t>“</w:t>
      </w:r>
      <w:r>
        <w:rPr>
          <w:color w:val="000000"/>
          <w:spacing w:val="0"/>
          <w:w w:val="100"/>
          <w:position w:val="0"/>
        </w:rPr>
        <w:t>平价上网</w:t>
      </w:r>
      <w:r>
        <w:rPr>
          <w:rFonts w:ascii="Times New Roman" w:eastAsia="Times New Roman" w:hAnsi="Times New Roman" w:cs="Times New Roman"/>
          <w:color w:val="000000"/>
          <w:spacing w:val="0"/>
          <w:w w:val="100"/>
          <w:position w:val="0"/>
        </w:rPr>
        <w:t>”</w:t>
      </w:r>
      <w:r>
        <w:rPr>
          <w:color w:val="000000"/>
          <w:spacing w:val="0"/>
          <w:w w:val="100"/>
          <w:position w:val="0"/>
        </w:rPr>
        <w:t>时代。</w:t>
      </w:r>
    </w:p>
    <w:p>
      <w:pPr>
        <w:pStyle w:val="Style17"/>
        <w:keepNext w:val="0"/>
        <w:keepLines w:val="0"/>
        <w:widowControl w:val="0"/>
        <w:shd w:val="clear" w:color="auto" w:fill="auto"/>
        <w:tabs>
          <w:tab w:pos="676" w:val="left"/>
        </w:tabs>
        <w:bidi w:val="0"/>
        <w:spacing w:before="0" w:after="0" w:line="492" w:lineRule="auto"/>
        <w:ind w:left="0" w:right="0" w:firstLine="360"/>
        <w:jc w:val="both"/>
      </w:pPr>
      <w:bookmarkStart w:id="229" w:name="bookmark229"/>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资金风险</w:t>
      </w:r>
    </w:p>
    <w:p>
      <w:pPr>
        <w:pStyle w:val="Style17"/>
        <w:keepNext w:val="0"/>
        <w:keepLines w:val="0"/>
        <w:widowControl w:val="0"/>
        <w:shd w:val="clear" w:color="auto" w:fill="auto"/>
        <w:bidi w:val="0"/>
        <w:spacing w:before="0" w:after="240" w:line="470" w:lineRule="exact"/>
        <w:ind w:left="0" w:right="0" w:firstLine="360"/>
        <w:jc w:val="both"/>
      </w:pPr>
      <w:r>
        <w:rPr>
          <w:color w:val="000000"/>
          <w:spacing w:val="0"/>
          <w:w w:val="100"/>
          <w:position w:val="0"/>
        </w:rPr>
        <w:t>新能源及生态环保产业均属资金密集型产业，对企业营运资金要求较高。受国家宏观形势变化及降杠 杆融资调控等政策影响，民营企业融资相对困难，信用风险增加。受东旭集团流动性危机影响，公司在财</w:t>
      </w:r>
    </w:p>
    <w:p>
      <w:pPr>
        <w:pStyle w:val="Style17"/>
        <w:keepNext w:val="0"/>
        <w:keepLines w:val="0"/>
        <w:widowControl w:val="0"/>
        <w:shd w:val="clear" w:color="auto" w:fill="auto"/>
        <w:bidi w:val="0"/>
        <w:spacing w:before="0" w:after="0" w:line="468" w:lineRule="exact"/>
        <w:ind w:left="0" w:right="0" w:firstLine="0"/>
        <w:jc w:val="both"/>
      </w:pPr>
      <w:r>
        <w:rPr>
          <w:color w:val="000000"/>
          <w:spacing w:val="0"/>
          <w:w w:val="100"/>
          <w:position w:val="0"/>
        </w:rPr>
        <w:t>务公司存款暂时受限，可自由支配的货币资金较为有限。同时，公司存量债务融资规模较大，财务费用居 高不下，影响公司整体盈利能力。</w:t>
      </w:r>
    </w:p>
    <w:p>
      <w:pPr>
        <w:pStyle w:val="Style17"/>
        <w:keepNext w:val="0"/>
        <w:keepLines w:val="0"/>
        <w:widowControl w:val="0"/>
        <w:shd w:val="clear" w:color="auto" w:fill="auto"/>
        <w:bidi w:val="0"/>
        <w:spacing w:before="0" w:after="240" w:line="468" w:lineRule="exact"/>
        <w:ind w:left="0" w:right="0" w:firstLine="360"/>
        <w:jc w:val="both"/>
      </w:pPr>
      <w:r>
        <w:rPr>
          <w:color w:val="000000"/>
          <w:spacing w:val="0"/>
          <w:w w:val="100"/>
          <w:position w:val="0"/>
        </w:rPr>
        <w:t>应对措施：一方面，公司将围绕年度经营和投资计划开源节流，积极主张各类债权加速资金回流，同 时严控各项成本费用支出。另一方面，公司将继续积极推进债务风险化解工作，加强与金融机构的沟通及 合作，通过展期、降息、债务重组等方式缓解公司资金及财务压力。</w:t>
      </w:r>
    </w:p>
    <w:p>
      <w:pPr>
        <w:pStyle w:val="Style17"/>
        <w:keepNext w:val="0"/>
        <w:keepLines w:val="0"/>
        <w:widowControl w:val="0"/>
        <w:numPr>
          <w:ilvl w:val="0"/>
          <w:numId w:val="3"/>
        </w:numPr>
        <w:shd w:val="clear" w:color="auto" w:fill="auto"/>
        <w:bidi w:val="0"/>
        <w:spacing w:before="0" w:after="0"/>
        <w:ind w:left="0" w:right="0" w:firstLine="360"/>
        <w:jc w:val="both"/>
      </w:pPr>
      <w:bookmarkStart w:id="230" w:name="bookmark230"/>
      <w:bookmarkEnd w:id="230"/>
      <w:r>
        <w:rPr>
          <w:color w:val="000000"/>
          <w:spacing w:val="0"/>
          <w:w w:val="100"/>
          <w:position w:val="0"/>
        </w:rPr>
        <w:t>人才流失风险</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公司经过多年的业务积累，拥有一支高素质的业务及管理人才队伍，在技术、市场及管理等重要环节 积累了丰富经验，是构成公司竞争优势的重要基础。随着新能源产业开启景气周期，国内外同行业头部企 业优先启动人才竞争策略，可能会对公司人员稳定产生一定影响，存在人才流失风险。</w:t>
      </w:r>
    </w:p>
    <w:p>
      <w:pPr>
        <w:pStyle w:val="Style17"/>
        <w:keepNext w:val="0"/>
        <w:keepLines w:val="0"/>
        <w:widowControl w:val="0"/>
        <w:shd w:val="clear" w:color="auto" w:fill="auto"/>
        <w:bidi w:val="0"/>
        <w:spacing w:before="0" w:after="460" w:line="468" w:lineRule="exact"/>
        <w:ind w:left="0" w:right="0" w:firstLine="360"/>
        <w:jc w:val="both"/>
      </w:pPr>
      <w:r>
        <w:rPr>
          <w:color w:val="000000"/>
          <w:spacing w:val="0"/>
          <w:w w:val="100"/>
          <w:position w:val="0"/>
        </w:rPr>
        <w:t>应对措施：公司将继续坚持企业文化建设，把提高员工素质和引进高层次人才作为公司发展的重中之 重，建立并完善业务人才和高级管理人才的引进和激励机制，以良好的工作环境与发展机遇吸引并留住人 才。同时，通过有计划、有步骤的培训机制，做好公司人才储备及培养工作。</w:t>
      </w:r>
    </w:p>
    <w:p>
      <w:pPr>
        <w:pStyle w:val="Style17"/>
        <w:keepNext w:val="0"/>
        <w:keepLines w:val="0"/>
        <w:widowControl w:val="0"/>
        <w:shd w:val="clear" w:color="auto" w:fill="auto"/>
        <w:bidi w:val="0"/>
        <w:spacing w:before="0" w:after="740" w:line="468" w:lineRule="exact"/>
        <w:ind w:left="0" w:right="0" w:firstLine="360"/>
        <w:jc w:val="both"/>
      </w:pPr>
      <w:r>
        <w:rPr>
          <w:color w:val="000000"/>
          <w:spacing w:val="0"/>
          <w:w w:val="100"/>
          <w:position w:val="0"/>
        </w:rPr>
        <w:t>（上述提示未包括公司可能发生但未列示的其他风险，请投资者谨慎投资。）</w:t>
      </w:r>
    </w:p>
    <w:p>
      <w:pPr>
        <w:pStyle w:val="Style20"/>
        <w:keepNext/>
        <w:keepLines/>
        <w:widowControl w:val="0"/>
        <w:shd w:val="clear" w:color="auto" w:fill="auto"/>
        <w:bidi w:val="0"/>
        <w:spacing w:before="0" w:line="240" w:lineRule="auto"/>
        <w:ind w:left="0" w:right="0" w:firstLine="0"/>
        <w:jc w:val="both"/>
      </w:pPr>
      <w:bookmarkStart w:id="231" w:name="bookmark231"/>
      <w:bookmarkStart w:id="232" w:name="bookmark232"/>
      <w:bookmarkStart w:id="233" w:name="bookmark233"/>
      <w:r>
        <w:rPr>
          <w:color w:val="000000"/>
          <w:spacing w:val="0"/>
          <w:w w:val="100"/>
          <w:position w:val="0"/>
        </w:rPr>
        <w:t>十二、报告期内接待调研、沟通、采访等活动</w:t>
      </w:r>
      <w:bookmarkEnd w:id="231"/>
      <w:bookmarkEnd w:id="232"/>
      <w:bookmarkEnd w:id="23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电话沟通记录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电话沟通记录</w:t>
            </w:r>
          </w:p>
        </w:tc>
      </w:tr>
    </w:tbl>
    <w:p>
      <w:pPr>
        <w:sectPr>
          <w:footnotePr>
            <w:pos w:val="pageBottom"/>
            <w:numFmt w:val="decimal"/>
            <w:numRestart w:val="continuous"/>
          </w:footnotePr>
          <w:pgSz w:w="11900" w:h="16840"/>
          <w:pgMar w:top="1316" w:right="1055" w:bottom="1566" w:left="1047" w:header="0" w:footer="3" w:gutter="0"/>
          <w:cols w:space="720"/>
          <w:noEndnote/>
          <w:rtlGutter w:val="0"/>
          <w:docGrid w:linePitch="360"/>
        </w:sectPr>
      </w:pPr>
    </w:p>
    <w:p>
      <w:pPr>
        <w:pStyle w:val="Style8"/>
        <w:keepNext/>
        <w:keepLines/>
        <w:widowControl w:val="0"/>
        <w:shd w:val="clear" w:color="auto" w:fill="auto"/>
        <w:bidi w:val="0"/>
        <w:spacing w:before="620" w:after="560" w:line="240" w:lineRule="auto"/>
        <w:ind w:left="0" w:right="0" w:firstLine="0"/>
        <w:jc w:val="center"/>
      </w:pPr>
      <w:bookmarkStart w:id="234" w:name="bookmark234"/>
      <w:bookmarkStart w:id="235" w:name="bookmark235"/>
      <w:bookmarkStart w:id="236" w:name="bookmark236"/>
      <w:r>
        <w:rPr>
          <w:color w:val="000000"/>
          <w:spacing w:val="0"/>
          <w:w w:val="100"/>
          <w:position w:val="0"/>
        </w:rPr>
        <w:t>第四节公司治理</w:t>
      </w:r>
      <w:bookmarkEnd w:id="234"/>
      <w:bookmarkEnd w:id="235"/>
      <w:bookmarkEnd w:id="236"/>
    </w:p>
    <w:p>
      <w:pPr>
        <w:pStyle w:val="Style20"/>
        <w:keepNext/>
        <w:keepLines/>
        <w:widowControl w:val="0"/>
        <w:shd w:val="clear" w:color="auto" w:fill="auto"/>
        <w:bidi w:val="0"/>
        <w:spacing w:before="0" w:after="200" w:line="240" w:lineRule="auto"/>
        <w:ind w:left="0" w:right="0" w:firstLine="0"/>
        <w:jc w:val="both"/>
      </w:pPr>
      <w:bookmarkStart w:id="237" w:name="bookmark237"/>
      <w:bookmarkStart w:id="238" w:name="bookmark238"/>
      <w:bookmarkStart w:id="239" w:name="bookmark239"/>
      <w:bookmarkStart w:id="240" w:name="bookmark240"/>
      <w:bookmarkStart w:id="241" w:name="bookmark241"/>
      <w:r>
        <w:rPr>
          <w:color w:val="000000"/>
          <w:spacing w:val="0"/>
          <w:w w:val="100"/>
          <w:position w:val="0"/>
        </w:rPr>
        <w:t>一</w:t>
      </w:r>
      <w:bookmarkEnd w:id="240"/>
      <w:r>
        <w:rPr>
          <w:color w:val="000000"/>
          <w:spacing w:val="0"/>
          <w:w w:val="100"/>
          <w:position w:val="0"/>
        </w:rPr>
        <w:t>、公司治理的基本状况</w:t>
      </w:r>
      <w:bookmarkEnd w:id="238"/>
      <w:bookmarkEnd w:id="239"/>
      <w:bookmarkEnd w:id="241"/>
      <w:bookmarkEnd w:id="237"/>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报告期内，公司按照《公司法》、《证券法》、《上市公司治理准则》、《深圳证券交易所股票上市 规则》和中国证监会、深圳证券交易所有关法律法规等的要求，不断完善公司治理结构，建立健全内部管 理和控制制度，提高治理水平。</w:t>
      </w:r>
    </w:p>
    <w:p>
      <w:pPr>
        <w:pStyle w:val="Style17"/>
        <w:keepNext w:val="0"/>
        <w:keepLines w:val="0"/>
        <w:widowControl w:val="0"/>
        <w:shd w:val="clear" w:color="auto" w:fill="auto"/>
        <w:tabs>
          <w:tab w:pos="954" w:val="left"/>
        </w:tabs>
        <w:bidi w:val="0"/>
        <w:spacing w:before="0" w:after="0" w:line="469" w:lineRule="exact"/>
        <w:ind w:left="0" w:right="0" w:firstLine="360"/>
        <w:jc w:val="both"/>
      </w:pPr>
      <w:bookmarkStart w:id="242" w:name="bookmark242"/>
      <w:r>
        <w:rPr>
          <w:color w:val="000000"/>
          <w:spacing w:val="0"/>
          <w:w w:val="100"/>
          <w:position w:val="0"/>
        </w:rPr>
        <w:t>（</w:t>
      </w:r>
      <w:bookmarkEnd w:id="242"/>
      <w:r>
        <w:rPr>
          <w:color w:val="000000"/>
          <w:spacing w:val="0"/>
          <w:w w:val="100"/>
          <w:position w:val="0"/>
        </w:rPr>
        <w:t>一）</w:t>
        <w:tab/>
        <w:t>关于股东与股东大会</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公司按照《上市公司股东大会规则》、《公司章程》以及《股东大会议事规则》的规定和要求，规范 股东大会的召集、召开及议事程序，并聘请律师进行现场见证，能够确保全体股东特别是中小股东享有平 等地位，充分行使自己的权力。</w:t>
      </w:r>
    </w:p>
    <w:p>
      <w:pPr>
        <w:pStyle w:val="Style17"/>
        <w:keepNext w:val="0"/>
        <w:keepLines w:val="0"/>
        <w:widowControl w:val="0"/>
        <w:shd w:val="clear" w:color="auto" w:fill="auto"/>
        <w:tabs>
          <w:tab w:pos="954" w:val="left"/>
        </w:tabs>
        <w:bidi w:val="0"/>
        <w:spacing w:before="0" w:after="0" w:line="469" w:lineRule="exact"/>
        <w:ind w:left="0" w:right="0" w:firstLine="360"/>
        <w:jc w:val="both"/>
      </w:pPr>
      <w:bookmarkStart w:id="243" w:name="bookmark243"/>
      <w:r>
        <w:rPr>
          <w:color w:val="000000"/>
          <w:spacing w:val="0"/>
          <w:w w:val="100"/>
          <w:position w:val="0"/>
        </w:rPr>
        <w:t>（</w:t>
      </w:r>
      <w:bookmarkEnd w:id="243"/>
      <w:r>
        <w:rPr>
          <w:color w:val="000000"/>
          <w:spacing w:val="0"/>
          <w:w w:val="100"/>
          <w:position w:val="0"/>
        </w:rPr>
        <w:t>二）</w:t>
        <w:tab/>
        <w:t>关于公司与控股股东</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公司的重大决策由股东大会依法做出，控股股东依法行使股东权利。公司拥有独立的业务和经营自主 能力，在业务、人员、资产、机构、财务等方面与控股股东相互独立。</w:t>
      </w:r>
    </w:p>
    <w:p>
      <w:pPr>
        <w:pStyle w:val="Style17"/>
        <w:keepNext w:val="0"/>
        <w:keepLines w:val="0"/>
        <w:widowControl w:val="0"/>
        <w:shd w:val="clear" w:color="auto" w:fill="auto"/>
        <w:tabs>
          <w:tab w:pos="954" w:val="left"/>
        </w:tabs>
        <w:bidi w:val="0"/>
        <w:spacing w:before="0" w:after="0" w:line="469" w:lineRule="exact"/>
        <w:ind w:left="0" w:right="0" w:firstLine="360"/>
        <w:jc w:val="both"/>
      </w:pPr>
      <w:bookmarkStart w:id="244" w:name="bookmark244"/>
      <w:r>
        <w:rPr>
          <w:color w:val="000000"/>
          <w:spacing w:val="0"/>
          <w:w w:val="100"/>
          <w:position w:val="0"/>
        </w:rPr>
        <w:t>（</w:t>
      </w:r>
      <w:bookmarkEnd w:id="244"/>
      <w:r>
        <w:rPr>
          <w:color w:val="000000"/>
          <w:spacing w:val="0"/>
          <w:w w:val="100"/>
          <w:position w:val="0"/>
        </w:rPr>
        <w:t>三）</w:t>
        <w:tab/>
        <w:t>关于董事与董事会</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公司严格按照《公司章程》规定的选聘程序选举董事，董事会的人数及人员构成符合法律法规和《公 司章程》的要求。公司全体董事能够依据《董事会议事规则》、《独立董事年报工作制度》等制度开展工 作，积极参加有关培训，学习有关法律法规，促进董事会规范运作和科学决策。</w:t>
      </w:r>
    </w:p>
    <w:p>
      <w:pPr>
        <w:pStyle w:val="Style17"/>
        <w:keepNext w:val="0"/>
        <w:keepLines w:val="0"/>
        <w:widowControl w:val="0"/>
        <w:shd w:val="clear" w:color="auto" w:fill="auto"/>
        <w:tabs>
          <w:tab w:pos="954" w:val="left"/>
        </w:tabs>
        <w:bidi w:val="0"/>
        <w:spacing w:before="0" w:after="0" w:line="469" w:lineRule="exact"/>
        <w:ind w:left="0" w:right="0" w:firstLine="360"/>
        <w:jc w:val="both"/>
      </w:pPr>
      <w:bookmarkStart w:id="245" w:name="bookmark245"/>
      <w:r>
        <w:rPr>
          <w:color w:val="000000"/>
          <w:spacing w:val="0"/>
          <w:w w:val="100"/>
          <w:position w:val="0"/>
        </w:rPr>
        <w:t>（</w:t>
      </w:r>
      <w:bookmarkEnd w:id="245"/>
      <w:r>
        <w:rPr>
          <w:color w:val="000000"/>
          <w:spacing w:val="0"/>
          <w:w w:val="100"/>
          <w:position w:val="0"/>
        </w:rPr>
        <w:t>四）</w:t>
        <w:tab/>
        <w:t>关于监事与监事会</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公司严格按照《公司法》、《公司章程》等的有关规定选举监事，监事会的人数及构成符合法律、法 规的要求。公司监事能够按照《监事会议事规则》等的要求，认真履行职责，诚信、勤勉、尽责地对公司 财务以及董事、高级管理人员履行职责的合法、合规性进行监督，维护公司及股东的合法权益。</w:t>
      </w:r>
    </w:p>
    <w:p>
      <w:pPr>
        <w:pStyle w:val="Style17"/>
        <w:keepNext w:val="0"/>
        <w:keepLines w:val="0"/>
        <w:widowControl w:val="0"/>
        <w:shd w:val="clear" w:color="auto" w:fill="auto"/>
        <w:tabs>
          <w:tab w:pos="954" w:val="left"/>
        </w:tabs>
        <w:bidi w:val="0"/>
        <w:spacing w:before="0" w:after="0" w:line="469" w:lineRule="exact"/>
        <w:ind w:left="0" w:right="0" w:firstLine="360"/>
        <w:jc w:val="both"/>
      </w:pPr>
      <w:bookmarkStart w:id="246" w:name="bookmark246"/>
      <w:r>
        <w:rPr>
          <w:color w:val="000000"/>
          <w:spacing w:val="0"/>
          <w:w w:val="100"/>
          <w:position w:val="0"/>
        </w:rPr>
        <w:t>（</w:t>
      </w:r>
      <w:bookmarkEnd w:id="246"/>
      <w:r>
        <w:rPr>
          <w:color w:val="000000"/>
          <w:spacing w:val="0"/>
          <w:w w:val="100"/>
          <w:position w:val="0"/>
        </w:rPr>
        <w:t>五）</w:t>
        <w:tab/>
        <w:t>关于信息披露与透明度</w:t>
      </w:r>
    </w:p>
    <w:p>
      <w:pPr>
        <w:pStyle w:val="Style17"/>
        <w:keepNext w:val="0"/>
        <w:keepLines w:val="0"/>
        <w:widowControl w:val="0"/>
        <w:shd w:val="clear" w:color="auto" w:fill="auto"/>
        <w:bidi w:val="0"/>
        <w:spacing w:before="0" w:after="680" w:line="469" w:lineRule="exact"/>
        <w:ind w:left="0" w:right="0" w:firstLine="360"/>
        <w:jc w:val="both"/>
      </w:pPr>
      <w:r>
        <w:rPr>
          <w:color w:val="000000"/>
          <w:spacing w:val="0"/>
          <w:w w:val="100"/>
          <w:position w:val="0"/>
        </w:rPr>
        <w:t>公司按照规定真实、准确、完整、及时地披露相关重大事项，确保公司所有股东能够以平等的机会及 时获得信息，不断提升信息披露的效率与质量。公司注重与投资者沟通交流，认真接待股东来电、来访和 咨询，向所有投资者公平披露信息，以维护市场公平，保障投资者特别是中小投资者的权益。</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tabs>
          <w:tab w:pos="571" w:val="left"/>
        </w:tabs>
        <w:bidi w:val="0"/>
        <w:spacing w:before="0" w:after="200" w:line="322" w:lineRule="exact"/>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二</w:t>
      </w:r>
      <w:bookmarkEnd w:id="249"/>
      <w:r>
        <w:rPr>
          <w:color w:val="000000"/>
          <w:spacing w:val="0"/>
          <w:w w:val="100"/>
          <w:position w:val="0"/>
        </w:rPr>
        <w:t>、</w:t>
        <w:tab/>
        <w:t>公司相对于控股股东、实际控制人在保证公司资产、人员、财务、机构、业务等方面的 独立情况</w:t>
      </w:r>
      <w:bookmarkEnd w:id="247"/>
      <w:bookmarkEnd w:id="248"/>
      <w:bookmarkEnd w:id="250"/>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公司拥有独立的业务和经营自主能力，在人员、资产、财务、机构、业务等方面与控股股东相互独立。 公司的重大决策由股东大会依法做出，控股股东依法行使股东权利，没有超越公司股东大会直接或间接干 预公司的决策和经营活动的行为。</w:t>
      </w:r>
    </w:p>
    <w:p>
      <w:pPr>
        <w:pStyle w:val="Style17"/>
        <w:keepNext w:val="0"/>
        <w:keepLines w:val="0"/>
        <w:widowControl w:val="0"/>
        <w:shd w:val="clear" w:color="auto" w:fill="auto"/>
        <w:bidi w:val="0"/>
        <w:spacing w:before="0" w:after="0" w:line="471" w:lineRule="exact"/>
        <w:ind w:left="0" w:right="0" w:firstLine="360"/>
        <w:jc w:val="left"/>
      </w:pPr>
      <w:bookmarkStart w:id="251" w:name="bookmark251"/>
      <w:r>
        <w:rPr>
          <w:rFonts w:ascii="Times New Roman" w:eastAsia="Times New Roman" w:hAnsi="Times New Roman" w:cs="Times New Roman"/>
          <w:color w:val="000000"/>
          <w:spacing w:val="0"/>
          <w:w w:val="100"/>
          <w:position w:val="0"/>
        </w:rPr>
        <w:t>1</w:t>
      </w:r>
      <w:bookmarkEnd w:id="251"/>
      <w:r>
        <w:rPr>
          <w:color w:val="000000"/>
          <w:spacing w:val="0"/>
          <w:w w:val="100"/>
          <w:position w:val="0"/>
        </w:rPr>
        <w:t>、人员独立：公司在劳动、人事及工资管理方面拥有独立完整的体系，完全独立于控股股东和实际 控制人。公司拥有独立的员工队伍，高级管理人员以及财务人员、业务人员均专职在公司工作并领取薪酬。</w:t>
      </w:r>
    </w:p>
    <w:p>
      <w:pPr>
        <w:pStyle w:val="Style17"/>
        <w:keepNext w:val="0"/>
        <w:keepLines w:val="0"/>
        <w:widowControl w:val="0"/>
        <w:shd w:val="clear" w:color="auto" w:fill="auto"/>
        <w:tabs>
          <w:tab w:pos="733" w:val="left"/>
        </w:tabs>
        <w:bidi w:val="0"/>
        <w:spacing w:before="0" w:after="0" w:line="471" w:lineRule="exact"/>
        <w:ind w:left="0" w:right="0" w:firstLine="360"/>
        <w:jc w:val="left"/>
      </w:pPr>
      <w:bookmarkStart w:id="252" w:name="bookmark252"/>
      <w:r>
        <w:rPr>
          <w:rFonts w:ascii="Times New Roman" w:eastAsia="Times New Roman" w:hAnsi="Times New Roman" w:cs="Times New Roman"/>
          <w:color w:val="000000"/>
          <w:spacing w:val="0"/>
          <w:w w:val="100"/>
          <w:position w:val="0"/>
        </w:rPr>
        <w:t>2</w:t>
      </w:r>
      <w:bookmarkEnd w:id="252"/>
      <w:r>
        <w:rPr>
          <w:color w:val="000000"/>
          <w:spacing w:val="0"/>
          <w:w w:val="100"/>
          <w:position w:val="0"/>
        </w:rPr>
        <w:t>、</w:t>
        <w:tab/>
        <w:t>资产独立：本公司具有独立完整的资产；</w:t>
      </w:r>
    </w:p>
    <w:p>
      <w:pPr>
        <w:pStyle w:val="Style17"/>
        <w:keepNext w:val="0"/>
        <w:keepLines w:val="0"/>
        <w:widowControl w:val="0"/>
        <w:shd w:val="clear" w:color="auto" w:fill="auto"/>
        <w:bidi w:val="0"/>
        <w:spacing w:before="0" w:after="0" w:line="471" w:lineRule="exact"/>
        <w:ind w:left="0" w:right="0" w:firstLine="360"/>
        <w:jc w:val="left"/>
      </w:pPr>
      <w:bookmarkStart w:id="253" w:name="bookmark253"/>
      <w:r>
        <w:rPr>
          <w:rFonts w:ascii="Times New Roman" w:eastAsia="Times New Roman" w:hAnsi="Times New Roman" w:cs="Times New Roman"/>
          <w:color w:val="000000"/>
          <w:spacing w:val="0"/>
          <w:w w:val="100"/>
          <w:position w:val="0"/>
        </w:rPr>
        <w:t>3</w:t>
      </w:r>
      <w:bookmarkEnd w:id="253"/>
      <w:r>
        <w:rPr>
          <w:color w:val="000000"/>
          <w:spacing w:val="0"/>
          <w:w w:val="100"/>
          <w:position w:val="0"/>
        </w:rPr>
        <w:t>、 财务独立：公司设有独立的财务部门，配备了专职的财务人员，建立了独立的财务核算体系，并符 合有关会计制度的要求，独立开展财务工作；公司制定了完善的财务管理制度，独立运营，不与控股股东、 关联企业或其他任何单位或个人共用银行账户；公司依法独立进行纳税申报，履行缴纳义务，不存在与股 东单位混合纳税的情况。</w:t>
      </w:r>
    </w:p>
    <w:p>
      <w:pPr>
        <w:pStyle w:val="Style17"/>
        <w:keepNext w:val="0"/>
        <w:keepLines w:val="0"/>
        <w:widowControl w:val="0"/>
        <w:shd w:val="clear" w:color="auto" w:fill="auto"/>
        <w:tabs>
          <w:tab w:pos="704" w:val="left"/>
        </w:tabs>
        <w:bidi w:val="0"/>
        <w:spacing w:before="0" w:after="0" w:line="471" w:lineRule="exact"/>
        <w:ind w:left="0" w:right="0" w:firstLine="360"/>
        <w:jc w:val="left"/>
      </w:pPr>
      <w:bookmarkStart w:id="254" w:name="bookmark254"/>
      <w:r>
        <w:rPr>
          <w:rFonts w:ascii="Times New Roman" w:eastAsia="Times New Roman" w:hAnsi="Times New Roman" w:cs="Times New Roman"/>
          <w:color w:val="000000"/>
          <w:spacing w:val="0"/>
          <w:w w:val="100"/>
          <w:position w:val="0"/>
        </w:rPr>
        <w:t>4</w:t>
      </w:r>
      <w:bookmarkEnd w:id="254"/>
      <w:r>
        <w:rPr>
          <w:color w:val="000000"/>
          <w:spacing w:val="0"/>
          <w:w w:val="100"/>
          <w:position w:val="0"/>
        </w:rPr>
        <w:t>、</w:t>
        <w:tab/>
        <w:t>机构独立：公司具有健全的股份公司法人治理结构，拥有独立、完整的组织机构，不存在与控股股 东机构设置混同的情形。</w:t>
      </w:r>
    </w:p>
    <w:p>
      <w:pPr>
        <w:pStyle w:val="Style17"/>
        <w:keepNext w:val="0"/>
        <w:keepLines w:val="0"/>
        <w:widowControl w:val="0"/>
        <w:shd w:val="clear" w:color="auto" w:fill="auto"/>
        <w:tabs>
          <w:tab w:pos="714" w:val="left"/>
        </w:tabs>
        <w:bidi w:val="0"/>
        <w:spacing w:before="0" w:after="360" w:line="471" w:lineRule="exact"/>
        <w:ind w:left="0" w:right="0" w:firstLine="360"/>
        <w:jc w:val="left"/>
      </w:pPr>
      <w:bookmarkStart w:id="255" w:name="bookmark255"/>
      <w:r>
        <w:rPr>
          <w:rFonts w:ascii="Times New Roman" w:eastAsia="Times New Roman" w:hAnsi="Times New Roman" w:cs="Times New Roman"/>
          <w:color w:val="000000"/>
          <w:spacing w:val="0"/>
          <w:w w:val="100"/>
          <w:position w:val="0"/>
        </w:rPr>
        <w:t>5</w:t>
      </w:r>
      <w:bookmarkEnd w:id="255"/>
      <w:r>
        <w:rPr>
          <w:color w:val="000000"/>
          <w:spacing w:val="0"/>
          <w:w w:val="100"/>
          <w:position w:val="0"/>
        </w:rPr>
        <w:t>、</w:t>
        <w:tab/>
        <w:t>业务独立：公司拥有完整的供应、生产和销售体系，具有独立面向市场自主经营的能力。具有独立 经营、独立核算和决策、独立承担责任与风险的能力。公司主营业务突出，未与控股股东、实际控制人及 其控制的其他企业形成同业竞争关系。</w:t>
      </w:r>
    </w:p>
    <w:p>
      <w:pPr>
        <w:pStyle w:val="Style20"/>
        <w:keepNext/>
        <w:keepLines/>
        <w:widowControl w:val="0"/>
        <w:shd w:val="clear" w:color="auto" w:fill="auto"/>
        <w:tabs>
          <w:tab w:pos="571" w:val="left"/>
        </w:tabs>
        <w:bidi w:val="0"/>
        <w:spacing w:before="0" w:after="360" w:line="322" w:lineRule="exact"/>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三</w:t>
      </w:r>
      <w:bookmarkEnd w:id="258"/>
      <w:r>
        <w:rPr>
          <w:color w:val="000000"/>
          <w:spacing w:val="0"/>
          <w:w w:val="100"/>
          <w:position w:val="0"/>
        </w:rPr>
        <w:t>、</w:t>
        <w:tab/>
        <w:t>同业竞争情况</w:t>
      </w:r>
      <w:bookmarkEnd w:id="256"/>
      <w:bookmarkEnd w:id="257"/>
      <w:bookmarkEnd w:id="25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四</w:t>
      </w:r>
      <w:bookmarkEnd w:id="262"/>
      <w:r>
        <w:rPr>
          <w:color w:val="000000"/>
          <w:spacing w:val="0"/>
          <w:w w:val="100"/>
          <w:position w:val="0"/>
        </w:rPr>
        <w:t>、报告期内召开的年度股东大会和临时股东大会的有关情况</w:t>
      </w:r>
      <w:bookmarkEnd w:id="260"/>
      <w:bookmarkEnd w:id="261"/>
      <w:bookmarkEnd w:id="263"/>
    </w:p>
    <w:p>
      <w:pPr>
        <w:pStyle w:val="Style31"/>
        <w:keepNext/>
        <w:keepLines/>
        <w:widowControl w:val="0"/>
        <w:shd w:val="clear" w:color="auto" w:fill="auto"/>
        <w:bidi w:val="0"/>
        <w:spacing w:before="0" w:after="36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、本报告期股东大会情况</w:t>
      </w:r>
      <w:bookmarkEnd w:id="264"/>
      <w:bookmarkEnd w:id="265"/>
      <w:bookmarkEnd w:id="267"/>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 大会决议公告》（公 告编号：</w:t>
            </w:r>
            <w:r>
              <w:rPr>
                <w:rFonts w:ascii="Times New Roman" w:eastAsia="Times New Roman" w:hAnsi="Times New Roman" w:cs="Times New Roman"/>
                <w:color w:val="000000"/>
                <w:spacing w:val="0"/>
                <w:w w:val="100"/>
                <w:position w:val="0"/>
                <w:sz w:val="18"/>
                <w:szCs w:val="18"/>
              </w:rPr>
              <w:t>2021-021</w:t>
            </w:r>
            <w:r>
              <w:rPr>
                <w:color w:val="000000"/>
                <w:spacing w:val="0"/>
                <w:w w:val="100"/>
                <w:position w:val="0"/>
              </w:rPr>
              <w:t xml:space="preserve">） </w:t>
            </w:r>
            <w:r>
              <w:rPr>
                <w:color w:val="000000"/>
                <w:spacing w:val="0"/>
                <w:w w:val="100"/>
                <w:position w:val="0"/>
              </w:rPr>
              <w:t>已在《中国证券报》、</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《证券时报》及巨潮 资讯网披露</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时股东大会决议公</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pPr>
            <w:r>
              <w:rPr>
                <w:color w:val="000000"/>
                <w:spacing w:val="0"/>
                <w:w w:val="100"/>
                <w:position w:val="0"/>
              </w:rPr>
              <w:t>告》（公告编号：</w:t>
            </w:r>
          </w:p>
          <w:p>
            <w:pPr>
              <w:pStyle w:val="Style2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2021-041</w:t>
            </w:r>
            <w:r>
              <w:rPr>
                <w:color w:val="000000"/>
                <w:spacing w:val="0"/>
                <w:w w:val="100"/>
                <w:position w:val="0"/>
              </w:rPr>
              <w:t>）</w:t>
            </w:r>
            <w:r>
              <w:rPr>
                <w:color w:val="000000"/>
                <w:spacing w:val="0"/>
                <w:w w:val="100"/>
                <w:position w:val="0"/>
              </w:rPr>
              <w:t>已在《中 国证券报》、《证券时 报》及巨潮资讯网披 露</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2</w:t>
      </w:r>
      <w:bookmarkEnd w:id="270"/>
      <w:r>
        <w:rPr>
          <w:color w:val="000000"/>
          <w:spacing w:val="0"/>
          <w:w w:val="100"/>
          <w:position w:val="0"/>
        </w:rPr>
        <w:t>、表决权恢复的优先股股东请求召开临时股东大会</w:t>
      </w:r>
      <w:bookmarkEnd w:id="268"/>
      <w:bookmarkEnd w:id="269"/>
      <w:bookmarkEnd w:id="27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五</w:t>
      </w:r>
      <w:bookmarkEnd w:id="274"/>
      <w:r>
        <w:rPr>
          <w:color w:val="000000"/>
          <w:spacing w:val="0"/>
          <w:w w:val="100"/>
          <w:position w:val="0"/>
        </w:rPr>
        <w:t>、董事、监事和高级管理人员情况</w:t>
      </w:r>
      <w:bookmarkEnd w:id="272"/>
      <w:bookmarkEnd w:id="273"/>
      <w:bookmarkEnd w:id="275"/>
    </w:p>
    <w:p>
      <w:pPr>
        <w:pStyle w:val="Style31"/>
        <w:keepNext/>
        <w:keepLines/>
        <w:widowControl w:val="0"/>
        <w:shd w:val="clear" w:color="auto" w:fill="auto"/>
        <w:bidi w:val="0"/>
        <w:spacing w:before="0" w:after="32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、基本情况</w:t>
      </w:r>
      <w:bookmarkEnd w:id="276"/>
      <w:bookmarkEnd w:id="277"/>
      <w:bookmarkEnd w:id="279"/>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w:t>
            </w:r>
          </w:p>
          <w:p>
            <w:pPr>
              <w:pStyle w:val="Style2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股数</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赵艳军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朱彦波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刘治钦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汪三贵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党丽珍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职工监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王正军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 秘书、副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财务总 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王甫民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黄志良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王正军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陈爱珍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王立勇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高建勋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邢丽芬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职工监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董辰京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邹德育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tabs>
          <w:tab w:pos="334" w:val="left"/>
        </w:tabs>
        <w:bidi w:val="0"/>
        <w:spacing w:before="0" w:after="100" w:line="240" w:lineRule="auto"/>
        <w:ind w:left="0" w:right="0" w:firstLine="0"/>
        <w:jc w:val="left"/>
      </w:pPr>
      <w:bookmarkStart w:id="280" w:name="bookmark280"/>
      <w:r>
        <w:rPr>
          <w:rFonts w:ascii="Times New Roman" w:eastAsia="Times New Roman" w:hAnsi="Times New Roman" w:cs="Times New Roman"/>
          <w:color w:val="000000"/>
          <w:spacing w:val="0"/>
          <w:w w:val="100"/>
          <w:position w:val="0"/>
          <w:sz w:val="18"/>
          <w:szCs w:val="18"/>
        </w:rPr>
        <w:t>1</w:t>
      </w:r>
      <w:bookmarkEnd w:id="2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日，邹德育先生因个人原因，辞去公司副总经理职务。</w:t>
      </w:r>
    </w:p>
    <w:p>
      <w:pPr>
        <w:pStyle w:val="Style27"/>
        <w:keepNext w:val="0"/>
        <w:keepLines w:val="0"/>
        <w:widowControl w:val="0"/>
        <w:shd w:val="clear" w:color="auto" w:fill="auto"/>
        <w:tabs>
          <w:tab w:pos="354" w:val="left"/>
        </w:tabs>
        <w:bidi w:val="0"/>
        <w:spacing w:before="0" w:after="100" w:line="240" w:lineRule="auto"/>
        <w:ind w:left="0" w:right="0" w:firstLine="0"/>
        <w:jc w:val="left"/>
      </w:pPr>
      <w:bookmarkStart w:id="281" w:name="bookmark281"/>
      <w:r>
        <w:rPr>
          <w:rFonts w:ascii="Times New Roman" w:eastAsia="Times New Roman" w:hAnsi="Times New Roman" w:cs="Times New Roman"/>
          <w:color w:val="000000"/>
          <w:spacing w:val="0"/>
          <w:w w:val="100"/>
          <w:position w:val="0"/>
          <w:sz w:val="18"/>
          <w:szCs w:val="18"/>
        </w:rPr>
        <w:t>2</w:t>
      </w:r>
      <w:bookmarkEnd w:id="28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日，王甫民先生因工作调整原因，辞去公司总经理职务；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日辞去董事长、总经理职务。</w:t>
      </w:r>
    </w:p>
    <w:p>
      <w:pPr>
        <w:pStyle w:val="Style27"/>
        <w:keepNext w:val="0"/>
        <w:keepLines w:val="0"/>
        <w:widowControl w:val="0"/>
        <w:shd w:val="clear" w:color="auto" w:fill="auto"/>
        <w:tabs>
          <w:tab w:pos="354" w:val="left"/>
        </w:tabs>
        <w:bidi w:val="0"/>
        <w:spacing w:before="0" w:after="100" w:line="240" w:lineRule="auto"/>
        <w:ind w:left="0" w:right="0" w:firstLine="0"/>
        <w:jc w:val="left"/>
      </w:pPr>
      <w:bookmarkStart w:id="282" w:name="bookmark282"/>
      <w:r>
        <w:rPr>
          <w:rFonts w:ascii="Times New Roman" w:eastAsia="Times New Roman" w:hAnsi="Times New Roman" w:cs="Times New Roman"/>
          <w:color w:val="000000"/>
          <w:spacing w:val="0"/>
          <w:w w:val="100"/>
          <w:position w:val="0"/>
          <w:sz w:val="18"/>
          <w:szCs w:val="18"/>
        </w:rPr>
        <w:t>3</w:t>
      </w:r>
      <w:bookmarkEnd w:id="2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日，陈巍先生因工作调整原因，辞去公司董事、副总经理职务。</w:t>
      </w:r>
    </w:p>
    <w:p>
      <w:pPr>
        <w:pStyle w:val="Style27"/>
        <w:keepNext w:val="0"/>
        <w:keepLines w:val="0"/>
        <w:widowControl w:val="0"/>
        <w:shd w:val="clear" w:color="auto" w:fill="auto"/>
        <w:tabs>
          <w:tab w:pos="354" w:val="left"/>
        </w:tabs>
        <w:bidi w:val="0"/>
        <w:spacing w:before="0" w:line="240" w:lineRule="auto"/>
        <w:ind w:left="0" w:right="0" w:firstLine="0"/>
        <w:jc w:val="left"/>
      </w:pPr>
      <w:bookmarkStart w:id="283" w:name="bookmark283"/>
      <w:r>
        <w:rPr>
          <w:rFonts w:ascii="Times New Roman" w:eastAsia="Times New Roman" w:hAnsi="Times New Roman" w:cs="Times New Roman"/>
          <w:color w:val="000000"/>
          <w:spacing w:val="0"/>
          <w:w w:val="100"/>
          <w:position w:val="0"/>
          <w:sz w:val="18"/>
          <w:szCs w:val="18"/>
        </w:rPr>
        <w:t>4</w:t>
      </w:r>
      <w:bookmarkEnd w:id="28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日，李泉年先生因工作调整原因，辞去公司董事职务。</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赵艳军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董事会选举</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赵艳军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董事会聘任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换届选举、聘任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朱彦波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换届选举、聘任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汪三贵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党丽珍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职工代表大会选举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董事会秘书、财 务总监、副总经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换届聘任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王甫民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因工作调整原因，辞去公司董事长职务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王甫民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因工作调整原因，辞去公司总经理职务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因工作调整原因，辞去公司董事职务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换届离任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换届离任</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换届离任</w:t>
            </w:r>
          </w:p>
        </w:tc>
      </w:tr>
    </w:tbl>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因工作调整原因，辞去公司董事、副总经理职务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高建勋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邢丽芬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董辰京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邹德育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因个人原因，申请辞去公司副总经理职务。</w:t>
            </w:r>
          </w:p>
        </w:tc>
      </w:tr>
    </w:tbl>
    <w:p>
      <w:pPr>
        <w:widowControl w:val="0"/>
        <w:spacing w:after="99" w:line="1" w:lineRule="exact"/>
      </w:pPr>
    </w:p>
    <w:p>
      <w:pPr>
        <w:pStyle w:val="Style31"/>
        <w:keepNext/>
        <w:keepLines/>
        <w:widowControl w:val="0"/>
        <w:shd w:val="clear" w:color="auto" w:fill="auto"/>
        <w:bidi w:val="0"/>
        <w:spacing w:before="0" w:after="400" w:line="470"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、任职情况</w:t>
      </w:r>
      <w:bookmarkEnd w:id="284"/>
      <w:bookmarkEnd w:id="285"/>
      <w:bookmarkEnd w:id="28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（一）董事</w:t>
      </w:r>
    </w:p>
    <w:p>
      <w:pPr>
        <w:pStyle w:val="Style17"/>
        <w:keepNext w:val="0"/>
        <w:keepLines w:val="0"/>
        <w:widowControl w:val="0"/>
        <w:shd w:val="clear" w:color="auto" w:fill="auto"/>
        <w:tabs>
          <w:tab w:pos="735" w:val="left"/>
        </w:tabs>
        <w:bidi w:val="0"/>
        <w:spacing w:before="0" w:after="0" w:line="470" w:lineRule="exact"/>
        <w:ind w:left="0" w:right="0" w:firstLine="440"/>
        <w:jc w:val="left"/>
      </w:pPr>
      <w:bookmarkStart w:id="288" w:name="bookmark288"/>
      <w:r>
        <w:rPr>
          <w:rFonts w:ascii="Times New Roman" w:eastAsia="Times New Roman" w:hAnsi="Times New Roman" w:cs="Times New Roman"/>
          <w:color w:val="000000"/>
          <w:spacing w:val="0"/>
          <w:w w:val="100"/>
          <w:position w:val="0"/>
        </w:rPr>
        <w:t>1</w:t>
      </w:r>
      <w:bookmarkEnd w:id="288"/>
      <w:r>
        <w:rPr>
          <w:color w:val="000000"/>
          <w:spacing w:val="0"/>
          <w:w w:val="100"/>
          <w:position w:val="0"/>
        </w:rPr>
        <w:t>、</w:t>
        <w:tab/>
        <w:t>赵艳军，男，</w:t>
      </w:r>
      <w:r>
        <w:rPr>
          <w:rFonts w:ascii="Times New Roman" w:eastAsia="Times New Roman" w:hAnsi="Times New Roman" w:cs="Times New Roman"/>
          <w:color w:val="000000"/>
          <w:spacing w:val="0"/>
          <w:w w:val="100"/>
          <w:position w:val="0"/>
        </w:rPr>
        <w:t>1987</w:t>
      </w:r>
      <w:r>
        <w:rPr>
          <w:color w:val="000000"/>
          <w:spacing w:val="0"/>
          <w:w w:val="100"/>
          <w:position w:val="0"/>
        </w:rPr>
        <w:t>年出生，中国国籍，中共党员，毕业于陕西科技大学机械设计制造专业，本科 学历。曾任英利光伏电力投资集团有限公司副总经理、华锐风电科技集团有限公司西北大区总经理。</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月入职东旭蓝天新能源股份有限公司，主导开发公司多个新能源电站项目，对公司向新能源战略转型 起到重要作用。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月任职东旭集团有限公司，负责集团战略规划及产业投资等工作。</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月起调任东旭蓝天工作，目前担任公司第十届董事会董事长、公司总经理职务。</w:t>
      </w:r>
    </w:p>
    <w:p>
      <w:pPr>
        <w:pStyle w:val="Style17"/>
        <w:keepNext w:val="0"/>
        <w:keepLines w:val="0"/>
        <w:widowControl w:val="0"/>
        <w:shd w:val="clear" w:color="auto" w:fill="auto"/>
        <w:tabs>
          <w:tab w:pos="735" w:val="left"/>
        </w:tabs>
        <w:bidi w:val="0"/>
        <w:spacing w:before="0" w:after="0" w:line="470" w:lineRule="exact"/>
        <w:ind w:left="0" w:right="0" w:firstLine="440"/>
        <w:jc w:val="left"/>
      </w:pPr>
      <w:bookmarkStart w:id="289" w:name="bookmark289"/>
      <w:r>
        <w:rPr>
          <w:rFonts w:ascii="Times New Roman" w:eastAsia="Times New Roman" w:hAnsi="Times New Roman" w:cs="Times New Roman"/>
          <w:color w:val="000000"/>
          <w:spacing w:val="0"/>
          <w:w w:val="100"/>
          <w:position w:val="0"/>
        </w:rPr>
        <w:t>2</w:t>
      </w:r>
      <w:bookmarkEnd w:id="289"/>
      <w:r>
        <w:rPr>
          <w:color w:val="000000"/>
          <w:spacing w:val="0"/>
          <w:w w:val="100"/>
          <w:position w:val="0"/>
        </w:rPr>
        <w:t>、</w:t>
        <w:tab/>
        <w:t>高超，男，</w:t>
      </w:r>
      <w:r>
        <w:rPr>
          <w:rFonts w:ascii="Times New Roman" w:eastAsia="Times New Roman" w:hAnsi="Times New Roman" w:cs="Times New Roman"/>
          <w:color w:val="000000"/>
          <w:spacing w:val="0"/>
          <w:w w:val="100"/>
          <w:position w:val="0"/>
        </w:rPr>
        <w:t>1986</w:t>
      </w:r>
      <w:r>
        <w:rPr>
          <w:color w:val="000000"/>
          <w:spacing w:val="0"/>
          <w:w w:val="100"/>
          <w:position w:val="0"/>
        </w:rPr>
        <w:t>年出生，中国国籍，毕业于山东科技大学土木工程专业，本科学历。国家一级注 册建造师、国家注册造价工程师、美国</w:t>
      </w:r>
      <w:r>
        <w:rPr>
          <w:rFonts w:ascii="Times New Roman" w:eastAsia="Times New Roman" w:hAnsi="Times New Roman" w:cs="Times New Roman"/>
          <w:color w:val="000000"/>
          <w:spacing w:val="0"/>
          <w:w w:val="100"/>
          <w:position w:val="0"/>
        </w:rPr>
        <w:t>PMI</w:t>
      </w:r>
      <w:r>
        <w:rPr>
          <w:color w:val="000000"/>
          <w:spacing w:val="0"/>
          <w:w w:val="100"/>
          <w:position w:val="0"/>
        </w:rPr>
        <w:t>协会</w:t>
      </w:r>
      <w:r>
        <w:rPr>
          <w:rFonts w:ascii="Times New Roman" w:eastAsia="Times New Roman" w:hAnsi="Times New Roman" w:cs="Times New Roman"/>
          <w:color w:val="000000"/>
          <w:spacing w:val="0"/>
          <w:w w:val="100"/>
          <w:position w:val="0"/>
        </w:rPr>
        <w:t>PMP</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入职东旭集团，历任东旭集团工程技术部部长、 东旭蓝天综合</w:t>
      </w:r>
      <w:r>
        <w:rPr>
          <w:rFonts w:ascii="Times New Roman" w:eastAsia="Times New Roman" w:hAnsi="Times New Roman" w:cs="Times New Roman"/>
          <w:color w:val="000000"/>
          <w:spacing w:val="0"/>
          <w:w w:val="100"/>
          <w:position w:val="0"/>
        </w:rPr>
        <w:t>EPC</w:t>
      </w:r>
      <w:r>
        <w:rPr>
          <w:color w:val="000000"/>
          <w:spacing w:val="0"/>
          <w:w w:val="100"/>
          <w:position w:val="0"/>
        </w:rPr>
        <w:t>开发建设中心总监，东旭蓝天项目中心总经理、运营中心总经理，总裁助理；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月调任东旭集团任运营人力委员会主任至今。</w:t>
      </w:r>
    </w:p>
    <w:p>
      <w:pPr>
        <w:pStyle w:val="Style17"/>
        <w:keepNext w:val="0"/>
        <w:keepLines w:val="0"/>
        <w:widowControl w:val="0"/>
        <w:shd w:val="clear" w:color="auto" w:fill="auto"/>
        <w:bidi w:val="0"/>
        <w:spacing w:before="0" w:after="0" w:line="470" w:lineRule="exact"/>
        <w:ind w:left="0" w:right="0" w:firstLine="440"/>
        <w:jc w:val="left"/>
      </w:pPr>
      <w:bookmarkStart w:id="290" w:name="bookmark290"/>
      <w:r>
        <w:rPr>
          <w:rFonts w:ascii="Times New Roman" w:eastAsia="Times New Roman" w:hAnsi="Times New Roman" w:cs="Times New Roman"/>
          <w:color w:val="000000"/>
          <w:spacing w:val="0"/>
          <w:w w:val="100"/>
          <w:position w:val="0"/>
        </w:rPr>
        <w:t>3</w:t>
      </w:r>
      <w:bookmarkEnd w:id="290"/>
      <w:r>
        <w:rPr>
          <w:color w:val="000000"/>
          <w:spacing w:val="0"/>
          <w:w w:val="100"/>
          <w:position w:val="0"/>
        </w:rPr>
        <w:t>、 丁锋，男，</w:t>
      </w:r>
      <w:r>
        <w:rPr>
          <w:rFonts w:ascii="Times New Roman" w:eastAsia="Times New Roman" w:hAnsi="Times New Roman" w:cs="Times New Roman"/>
          <w:color w:val="000000"/>
          <w:spacing w:val="0"/>
          <w:w w:val="100"/>
          <w:position w:val="0"/>
        </w:rPr>
        <w:t>1982</w:t>
      </w:r>
      <w:r>
        <w:rPr>
          <w:color w:val="000000"/>
          <w:spacing w:val="0"/>
          <w:w w:val="100"/>
          <w:position w:val="0"/>
        </w:rPr>
        <w:t xml:space="preserve">年出生，中国国籍，中共党员。毕业于河南师范大学管理专业，硕士研究生学历。 </w:t>
      </w:r>
      <w:r>
        <w:rPr>
          <w:rFonts w:ascii="Times New Roman" w:eastAsia="Times New Roman" w:hAnsi="Times New Roman" w:cs="Times New Roman"/>
          <w:color w:val="000000"/>
          <w:spacing w:val="0"/>
          <w:w w:val="100"/>
          <w:position w:val="0"/>
        </w:rPr>
        <w:t>2007-2016</w:t>
      </w:r>
      <w:r>
        <w:rPr>
          <w:color w:val="000000"/>
          <w:spacing w:val="0"/>
          <w:w w:val="100"/>
          <w:position w:val="0"/>
        </w:rPr>
        <w:t>年就职于国务院扶贫办金融合作与产业促进处。</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月入职公司，历任新能源开发中心总经 理、公司总裁助理，现任东旭蓝天副总经理，新能源投资事业部兼储能事业部总经理。</w:t>
      </w:r>
    </w:p>
    <w:p>
      <w:pPr>
        <w:pStyle w:val="Style17"/>
        <w:keepNext w:val="0"/>
        <w:keepLines w:val="0"/>
        <w:widowControl w:val="0"/>
        <w:shd w:val="clear" w:color="auto" w:fill="auto"/>
        <w:tabs>
          <w:tab w:pos="336" w:val="left"/>
        </w:tabs>
        <w:bidi w:val="0"/>
        <w:spacing w:before="0" w:after="0" w:line="470" w:lineRule="exact"/>
        <w:ind w:left="0" w:right="0" w:firstLine="420"/>
        <w:jc w:val="both"/>
      </w:pPr>
      <w:bookmarkStart w:id="291" w:name="bookmark291"/>
      <w:r>
        <w:rPr>
          <w:rFonts w:ascii="Times New Roman" w:eastAsia="Times New Roman" w:hAnsi="Times New Roman" w:cs="Times New Roman"/>
          <w:color w:val="000000"/>
          <w:spacing w:val="0"/>
          <w:w w:val="100"/>
          <w:position w:val="0"/>
        </w:rPr>
        <w:t>4</w:t>
      </w:r>
      <w:bookmarkEnd w:id="291"/>
      <w:r>
        <w:rPr>
          <w:color w:val="000000"/>
          <w:spacing w:val="0"/>
          <w:w w:val="100"/>
          <w:position w:val="0"/>
        </w:rPr>
        <w:t>、</w:t>
        <w:tab/>
        <w:t>杨武斌，男，</w:t>
      </w:r>
      <w:r>
        <w:rPr>
          <w:rFonts w:ascii="Times New Roman" w:eastAsia="Times New Roman" w:hAnsi="Times New Roman" w:cs="Times New Roman"/>
          <w:color w:val="000000"/>
          <w:spacing w:val="0"/>
          <w:w w:val="100"/>
          <w:position w:val="0"/>
        </w:rPr>
        <w:t>1972</w:t>
      </w:r>
      <w:r>
        <w:rPr>
          <w:color w:val="000000"/>
          <w:spacing w:val="0"/>
          <w:w w:val="100"/>
          <w:position w:val="0"/>
        </w:rPr>
        <w:t xml:space="preserve">年出生，中国国籍，中共党员，毕业于北京交通大学，光学专业博士。曾任北 </w:t>
      </w:r>
      <w:r>
        <w:rPr>
          <w:color w:val="000000"/>
          <w:spacing w:val="0"/>
          <w:w w:val="100"/>
          <w:position w:val="0"/>
        </w:rPr>
        <w:t>京燕山石化公司研究院课题组长，北京创业联合孵化器有限公司项目经理，新奥集团股份有限公司能源研 究院项目管理工程师兼首席科学家技术秘书，汉能科技有限公司技术总监，广西铟泰科技有限公司副总经 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月入职公司，担任材料产业中心技术总监，现任公司新产业研究院副院长。</w:t>
      </w:r>
    </w:p>
    <w:p>
      <w:pPr>
        <w:pStyle w:val="Style17"/>
        <w:keepNext w:val="0"/>
        <w:keepLines w:val="0"/>
        <w:widowControl w:val="0"/>
        <w:shd w:val="clear" w:color="auto" w:fill="auto"/>
        <w:tabs>
          <w:tab w:pos="754" w:val="left"/>
        </w:tabs>
        <w:bidi w:val="0"/>
        <w:spacing w:before="0" w:after="0" w:line="469" w:lineRule="exact"/>
        <w:ind w:left="0" w:right="0" w:firstLine="460"/>
        <w:jc w:val="left"/>
      </w:pPr>
      <w:bookmarkStart w:id="292" w:name="bookmark292"/>
      <w:r>
        <w:rPr>
          <w:rFonts w:ascii="Times New Roman" w:eastAsia="Times New Roman" w:hAnsi="Times New Roman" w:cs="Times New Roman"/>
          <w:color w:val="000000"/>
          <w:spacing w:val="0"/>
          <w:w w:val="100"/>
          <w:position w:val="0"/>
        </w:rPr>
        <w:t>5</w:t>
      </w:r>
      <w:bookmarkEnd w:id="292"/>
      <w:r>
        <w:rPr>
          <w:color w:val="000000"/>
          <w:spacing w:val="0"/>
          <w:w w:val="100"/>
          <w:position w:val="0"/>
        </w:rPr>
        <w:t>、</w:t>
        <w:tab/>
        <w:t>朱彦波，男，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年出生，中国国籍，民主党派，毕业于燕山大学电力系统及自动化专业，本科 学历。</w:t>
      </w:r>
      <w:r>
        <w:rPr>
          <w:rFonts w:ascii="Times New Roman" w:eastAsia="Times New Roman" w:hAnsi="Times New Roman" w:cs="Times New Roman"/>
          <w:color w:val="000000"/>
          <w:spacing w:val="0"/>
          <w:w w:val="100"/>
          <w:position w:val="0"/>
        </w:rPr>
        <w:t>2001-2008</w:t>
      </w:r>
      <w:r>
        <w:rPr>
          <w:color w:val="000000"/>
          <w:spacing w:val="0"/>
          <w:w w:val="100"/>
          <w:position w:val="0"/>
        </w:rPr>
        <w:t>年任秦皇岛同和热电有限公司电气主任；</w:t>
      </w:r>
      <w:r>
        <w:rPr>
          <w:rFonts w:ascii="Times New Roman" w:eastAsia="Times New Roman" w:hAnsi="Times New Roman" w:cs="Times New Roman"/>
          <w:color w:val="000000"/>
          <w:spacing w:val="0"/>
          <w:w w:val="100"/>
          <w:position w:val="0"/>
        </w:rPr>
        <w:t>2008-2013</w:t>
      </w:r>
      <w:r>
        <w:rPr>
          <w:color w:val="000000"/>
          <w:spacing w:val="0"/>
          <w:w w:val="100"/>
          <w:position w:val="0"/>
        </w:rPr>
        <w:t>年任华润电力（唐山曹妃甸）有限公 司电气主任；</w:t>
      </w:r>
      <w:r>
        <w:rPr>
          <w:rFonts w:ascii="Times New Roman" w:eastAsia="Times New Roman" w:hAnsi="Times New Roman" w:cs="Times New Roman"/>
          <w:color w:val="000000"/>
          <w:spacing w:val="0"/>
          <w:w w:val="100"/>
          <w:position w:val="0"/>
        </w:rPr>
        <w:t>2013-2016</w:t>
      </w:r>
      <w:r>
        <w:rPr>
          <w:color w:val="000000"/>
          <w:spacing w:val="0"/>
          <w:w w:val="100"/>
          <w:position w:val="0"/>
        </w:rPr>
        <w:t>年任开滦协鑫发电有限公司工程部经理；</w:t>
      </w:r>
      <w:r>
        <w:rPr>
          <w:rFonts w:ascii="Times New Roman" w:eastAsia="Times New Roman" w:hAnsi="Times New Roman" w:cs="Times New Roman"/>
          <w:color w:val="000000"/>
          <w:spacing w:val="0"/>
          <w:w w:val="100"/>
          <w:position w:val="0"/>
        </w:rPr>
        <w:t>2016-2017</w:t>
      </w:r>
      <w:r>
        <w:rPr>
          <w:color w:val="000000"/>
          <w:spacing w:val="0"/>
          <w:w w:val="100"/>
          <w:position w:val="0"/>
        </w:rPr>
        <w:t>年任协合新能源集团生产运营 副总经理；</w:t>
      </w:r>
      <w:r>
        <w:rPr>
          <w:rFonts w:ascii="Times New Roman" w:eastAsia="Times New Roman" w:hAnsi="Times New Roman" w:cs="Times New Roman"/>
          <w:color w:val="000000"/>
          <w:spacing w:val="0"/>
          <w:w w:val="100"/>
          <w:position w:val="0"/>
        </w:rPr>
        <w:t>2017-2018</w:t>
      </w:r>
      <w:r>
        <w:rPr>
          <w:color w:val="000000"/>
          <w:spacing w:val="0"/>
          <w:w w:val="100"/>
          <w:position w:val="0"/>
        </w:rPr>
        <w:t>年任协鑫新能源华南区副总经理；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月至今任公司电力运维事业部总经理。</w:t>
      </w:r>
    </w:p>
    <w:p>
      <w:pPr>
        <w:pStyle w:val="Style17"/>
        <w:keepNext w:val="0"/>
        <w:keepLines w:val="0"/>
        <w:widowControl w:val="0"/>
        <w:shd w:val="clear" w:color="auto" w:fill="auto"/>
        <w:tabs>
          <w:tab w:pos="754" w:val="left"/>
        </w:tabs>
        <w:bidi w:val="0"/>
        <w:spacing w:before="0" w:after="0" w:line="469" w:lineRule="exact"/>
        <w:ind w:left="0" w:right="0" w:firstLine="460"/>
        <w:jc w:val="left"/>
      </w:pPr>
      <w:bookmarkStart w:id="293" w:name="bookmark293"/>
      <w:r>
        <w:rPr>
          <w:rFonts w:ascii="Times New Roman" w:eastAsia="Times New Roman" w:hAnsi="Times New Roman" w:cs="Times New Roman"/>
          <w:color w:val="000000"/>
          <w:spacing w:val="0"/>
          <w:w w:val="100"/>
          <w:position w:val="0"/>
        </w:rPr>
        <w:t>6</w:t>
      </w:r>
      <w:bookmarkEnd w:id="293"/>
      <w:r>
        <w:rPr>
          <w:color w:val="000000"/>
          <w:spacing w:val="0"/>
          <w:w w:val="100"/>
          <w:position w:val="0"/>
        </w:rPr>
        <w:t>、</w:t>
        <w:tab/>
        <w:t>李明，男，</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年出生，中国国籍，毕业于解放军信息工程大学信息与通讯工程专业，硕士研究 生。</w:t>
      </w:r>
      <w:r>
        <w:rPr>
          <w:rFonts w:ascii="Times New Roman" w:eastAsia="Times New Roman" w:hAnsi="Times New Roman" w:cs="Times New Roman"/>
          <w:color w:val="000000"/>
          <w:spacing w:val="0"/>
          <w:w w:val="100"/>
          <w:position w:val="0"/>
        </w:rPr>
        <w:t>2006</w:t>
      </w:r>
      <w:r>
        <w:rPr>
          <w:color w:val="000000"/>
          <w:spacing w:val="0"/>
          <w:w w:val="100"/>
          <w:position w:val="0"/>
        </w:rPr>
        <w:t>年任世嘉时代（北京）顾问有限公司高级分析师、咨询顾问；</w:t>
      </w:r>
      <w:r>
        <w:rPr>
          <w:rFonts w:ascii="Times New Roman" w:eastAsia="Times New Roman" w:hAnsi="Times New Roman" w:cs="Times New Roman"/>
          <w:color w:val="000000"/>
          <w:spacing w:val="0"/>
          <w:w w:val="100"/>
          <w:position w:val="0"/>
        </w:rPr>
        <w:t>2008</w:t>
      </w:r>
      <w:r>
        <w:rPr>
          <w:color w:val="000000"/>
          <w:spacing w:val="0"/>
          <w:w w:val="100"/>
          <w:position w:val="0"/>
        </w:rPr>
        <w:t>年起历任九域时代企业管理咨 询有限公司项目经理、人力资源总监；</w:t>
      </w:r>
      <w:r>
        <w:rPr>
          <w:rFonts w:ascii="Times New Roman" w:eastAsia="Times New Roman" w:hAnsi="Times New Roman" w:cs="Times New Roman"/>
          <w:color w:val="000000"/>
          <w:spacing w:val="0"/>
          <w:w w:val="100"/>
          <w:position w:val="0"/>
        </w:rPr>
        <w:t>2012</w:t>
      </w:r>
      <w:r>
        <w:rPr>
          <w:color w:val="000000"/>
          <w:spacing w:val="0"/>
          <w:w w:val="100"/>
          <w:position w:val="0"/>
        </w:rPr>
        <w:t>年就职和致众成</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 xml:space="preserve">科技有限公司，任项目经理、项目总监; </w:t>
      </w:r>
      <w:r>
        <w:rPr>
          <w:rFonts w:ascii="Times New Roman" w:eastAsia="Times New Roman" w:hAnsi="Times New Roman" w:cs="Times New Roman"/>
          <w:color w:val="000000"/>
          <w:spacing w:val="0"/>
          <w:w w:val="100"/>
          <w:position w:val="0"/>
        </w:rPr>
        <w:t>2016</w:t>
      </w:r>
      <w:r>
        <w:rPr>
          <w:color w:val="000000"/>
          <w:spacing w:val="0"/>
          <w:w w:val="100"/>
          <w:position w:val="0"/>
        </w:rPr>
        <w:t>任职天职国际会计师事务所项目总监；</w:t>
      </w:r>
      <w:r>
        <w:rPr>
          <w:rFonts w:ascii="Times New Roman" w:eastAsia="Times New Roman" w:hAnsi="Times New Roman" w:cs="Times New Roman"/>
          <w:color w:val="000000"/>
          <w:spacing w:val="0"/>
          <w:w w:val="100"/>
          <w:position w:val="0"/>
        </w:rPr>
        <w:t>2017</w:t>
      </w:r>
      <w:r>
        <w:rPr>
          <w:color w:val="000000"/>
          <w:spacing w:val="0"/>
          <w:w w:val="100"/>
          <w:position w:val="0"/>
        </w:rPr>
        <w:t>起入职东旭集团，历任东旭集团人力资源部副总监、运营 管理部运营总监。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月至今任公司运营人力中心总经理。</w:t>
      </w:r>
    </w:p>
    <w:p>
      <w:pPr>
        <w:pStyle w:val="Style17"/>
        <w:keepNext w:val="0"/>
        <w:keepLines w:val="0"/>
        <w:widowControl w:val="0"/>
        <w:shd w:val="clear" w:color="auto" w:fill="auto"/>
        <w:tabs>
          <w:tab w:pos="754" w:val="left"/>
        </w:tabs>
        <w:bidi w:val="0"/>
        <w:spacing w:before="0" w:after="0" w:line="469" w:lineRule="exact"/>
        <w:ind w:left="0" w:right="0" w:firstLine="460"/>
        <w:jc w:val="left"/>
      </w:pPr>
      <w:bookmarkStart w:id="294" w:name="bookmark294"/>
      <w:r>
        <w:rPr>
          <w:rFonts w:ascii="Times New Roman" w:eastAsia="Times New Roman" w:hAnsi="Times New Roman" w:cs="Times New Roman"/>
          <w:color w:val="000000"/>
          <w:spacing w:val="0"/>
          <w:w w:val="100"/>
          <w:position w:val="0"/>
        </w:rPr>
        <w:t>7</w:t>
      </w:r>
      <w:bookmarkEnd w:id="294"/>
      <w:r>
        <w:rPr>
          <w:color w:val="000000"/>
          <w:spacing w:val="0"/>
          <w:w w:val="100"/>
          <w:position w:val="0"/>
        </w:rPr>
        <w:t>、</w:t>
        <w:tab/>
        <w:t>王晓东，男，</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年出生，中国国籍，毕业于清华大学化工系，硕士研究生、北京大学光华管理 学院</w:t>
      </w:r>
      <w:r>
        <w:rPr>
          <w:rFonts w:ascii="Times New Roman" w:eastAsia="Times New Roman" w:hAnsi="Times New Roman" w:cs="Times New Roman"/>
          <w:color w:val="000000"/>
          <w:spacing w:val="0"/>
          <w:w w:val="100"/>
          <w:position w:val="0"/>
        </w:rPr>
        <w:t>EMBA</w:t>
      </w:r>
      <w:r>
        <w:rPr>
          <w:color w:val="000000"/>
          <w:spacing w:val="0"/>
          <w:w w:val="100"/>
          <w:position w:val="0"/>
        </w:rPr>
        <w:t>。曾任中化泰国公司部门经理；中国联合石油公司部门总经理、中化实业有限公司石油项目部 总经理；北京市石油化工产品开发供应有限公司董事长；北京首创科技投资有限公司投资部、运营部总经 理、首创津燃燃气投资公司常务副总经理；清华控股有限公司投资部部长；香港新能源（控股）有限公司 部门总经理；北京易二零环境股份有限公司总经理；北京上善易和投资管理有限公司总经理。</w:t>
      </w:r>
    </w:p>
    <w:p>
      <w:pPr>
        <w:pStyle w:val="Style17"/>
        <w:keepNext w:val="0"/>
        <w:keepLines w:val="0"/>
        <w:widowControl w:val="0"/>
        <w:shd w:val="clear" w:color="auto" w:fill="auto"/>
        <w:tabs>
          <w:tab w:pos="754" w:val="left"/>
        </w:tabs>
        <w:bidi w:val="0"/>
        <w:spacing w:before="0" w:after="0" w:line="469" w:lineRule="exact"/>
        <w:ind w:left="0" w:right="0" w:firstLine="460"/>
        <w:jc w:val="left"/>
      </w:pPr>
      <w:bookmarkStart w:id="295" w:name="bookmark295"/>
      <w:r>
        <w:rPr>
          <w:rFonts w:ascii="Times New Roman" w:eastAsia="Times New Roman" w:hAnsi="Times New Roman" w:cs="Times New Roman"/>
          <w:color w:val="000000"/>
          <w:spacing w:val="0"/>
          <w:w w:val="100"/>
          <w:position w:val="0"/>
        </w:rPr>
        <w:t>8</w:t>
      </w:r>
      <w:bookmarkEnd w:id="295"/>
      <w:r>
        <w:rPr>
          <w:color w:val="000000"/>
          <w:spacing w:val="0"/>
          <w:w w:val="100"/>
          <w:position w:val="0"/>
        </w:rPr>
        <w:t>、</w:t>
        <w:tab/>
        <w:t>刘治钦，男，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年出生，中国国籍，毕业于中国农业大学，经济管理学博士，副教授，澳大利 亚注册会计师，</w:t>
      </w:r>
      <w:r>
        <w:rPr>
          <w:rFonts w:ascii="Times New Roman" w:eastAsia="Times New Roman" w:hAnsi="Times New Roman" w:cs="Times New Roman"/>
          <w:color w:val="000000"/>
          <w:spacing w:val="0"/>
          <w:w w:val="100"/>
          <w:position w:val="0"/>
        </w:rPr>
        <w:t>1994</w:t>
      </w:r>
      <w:r>
        <w:rPr>
          <w:color w:val="000000"/>
          <w:spacing w:val="0"/>
          <w:w w:val="100"/>
          <w:position w:val="0"/>
        </w:rPr>
        <w:t>年起于中国农业大学任教至今。</w:t>
      </w:r>
      <w:r>
        <w:rPr>
          <w:rFonts w:ascii="Times New Roman" w:eastAsia="Times New Roman" w:hAnsi="Times New Roman" w:cs="Times New Roman"/>
          <w:color w:val="000000"/>
          <w:spacing w:val="0"/>
          <w:w w:val="100"/>
          <w:position w:val="0"/>
        </w:rPr>
        <w:t>2004</w:t>
      </w:r>
      <w:r>
        <w:rPr>
          <w:color w:val="000000"/>
          <w:spacing w:val="0"/>
          <w:w w:val="100"/>
          <w:position w:val="0"/>
        </w:rPr>
        <w:t>年起任副教授，主讲会计学原理、公司理财、农 业会计专题等；</w:t>
      </w:r>
      <w:r>
        <w:rPr>
          <w:rFonts w:ascii="Times New Roman" w:eastAsia="Times New Roman" w:hAnsi="Times New Roman" w:cs="Times New Roman"/>
          <w:color w:val="000000"/>
          <w:spacing w:val="0"/>
          <w:w w:val="100"/>
          <w:position w:val="0"/>
        </w:rPr>
        <w:t>2007-2012</w:t>
      </w:r>
      <w:r>
        <w:rPr>
          <w:color w:val="000000"/>
          <w:spacing w:val="0"/>
          <w:w w:val="100"/>
          <w:position w:val="0"/>
        </w:rPr>
        <w:t>年任中国农业大学</w:t>
      </w:r>
      <w:r>
        <w:rPr>
          <w:rFonts w:ascii="Times New Roman" w:eastAsia="Times New Roman" w:hAnsi="Times New Roman" w:cs="Times New Roman"/>
          <w:color w:val="000000"/>
          <w:spacing w:val="0"/>
          <w:w w:val="100"/>
          <w:position w:val="0"/>
        </w:rPr>
        <w:t>MBA</w:t>
      </w:r>
      <w:r>
        <w:rPr>
          <w:color w:val="000000"/>
          <w:spacing w:val="0"/>
          <w:w w:val="100"/>
          <w:position w:val="0"/>
        </w:rPr>
        <w:t>中心副主任，</w:t>
      </w:r>
      <w:r>
        <w:rPr>
          <w:rFonts w:ascii="Times New Roman" w:eastAsia="Times New Roman" w:hAnsi="Times New Roman" w:cs="Times New Roman"/>
          <w:color w:val="000000"/>
          <w:spacing w:val="0"/>
          <w:w w:val="100"/>
          <w:position w:val="0"/>
        </w:rPr>
        <w:t>2013</w:t>
      </w:r>
      <w:r>
        <w:rPr>
          <w:color w:val="000000"/>
          <w:spacing w:val="0"/>
          <w:w w:val="100"/>
          <w:position w:val="0"/>
        </w:rPr>
        <w:t>年作为美国佛罗里达大学访问学者， 参与课程学习和合作研究。</w:t>
      </w:r>
      <w:r>
        <w:rPr>
          <w:rFonts w:ascii="Times New Roman" w:eastAsia="Times New Roman" w:hAnsi="Times New Roman" w:cs="Times New Roman"/>
          <w:color w:val="000000"/>
          <w:spacing w:val="0"/>
          <w:w w:val="100"/>
          <w:position w:val="0"/>
        </w:rPr>
        <w:t>2007-2017</w:t>
      </w:r>
      <w:r>
        <w:rPr>
          <w:color w:val="000000"/>
          <w:spacing w:val="0"/>
          <w:w w:val="100"/>
          <w:position w:val="0"/>
        </w:rPr>
        <w:t>年任财政部、农业部、中华供销总社项目评审专家。曾主持多个国家 级研究课题：环境会计的理论与方法研究（</w:t>
      </w:r>
      <w:r>
        <w:rPr>
          <w:rFonts w:ascii="Times New Roman" w:eastAsia="Times New Roman" w:hAnsi="Times New Roman" w:cs="Times New Roman"/>
          <w:color w:val="000000"/>
          <w:spacing w:val="0"/>
          <w:w w:val="100"/>
          <w:position w:val="0"/>
        </w:rPr>
        <w:t>2000</w:t>
      </w:r>
      <w:r>
        <w:rPr>
          <w:color w:val="000000"/>
          <w:spacing w:val="0"/>
          <w:w w:val="100"/>
          <w:position w:val="0"/>
        </w:rPr>
        <w:t>年农业部课题）；生物资产与农产品核算专业方法（</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年财政部和农业部课题）；农垦债务问题研究（</w:t>
      </w:r>
      <w:r>
        <w:rPr>
          <w:rFonts w:ascii="Times New Roman" w:eastAsia="Times New Roman" w:hAnsi="Times New Roman" w:cs="Times New Roman"/>
          <w:color w:val="000000"/>
          <w:spacing w:val="0"/>
          <w:w w:val="100"/>
          <w:position w:val="0"/>
        </w:rPr>
        <w:t>2004</w:t>
      </w:r>
      <w:r>
        <w:rPr>
          <w:color w:val="000000"/>
          <w:spacing w:val="0"/>
          <w:w w:val="100"/>
          <w:position w:val="0"/>
        </w:rPr>
        <w:t>年农业部课题）；小型农田灌排工程运行维护费估算 办法研究（</w:t>
      </w:r>
      <w:r>
        <w:rPr>
          <w:rFonts w:ascii="Times New Roman" w:eastAsia="Times New Roman" w:hAnsi="Times New Roman" w:cs="Times New Roman"/>
          <w:color w:val="000000"/>
          <w:spacing w:val="0"/>
          <w:w w:val="100"/>
          <w:position w:val="0"/>
        </w:rPr>
        <w:t>2006</w:t>
      </w:r>
      <w:r>
        <w:rPr>
          <w:color w:val="000000"/>
          <w:spacing w:val="0"/>
          <w:w w:val="100"/>
          <w:position w:val="0"/>
        </w:rPr>
        <w:t>水利部课题）；</w:t>
      </w:r>
      <w:r>
        <w:rPr>
          <w:rFonts w:ascii="Times New Roman" w:eastAsia="Times New Roman" w:hAnsi="Times New Roman" w:cs="Times New Roman"/>
          <w:color w:val="000000"/>
          <w:spacing w:val="0"/>
          <w:w w:val="100"/>
          <w:position w:val="0"/>
        </w:rPr>
        <w:t>2010</w:t>
      </w:r>
      <w:r>
        <w:rPr>
          <w:color w:val="000000"/>
          <w:spacing w:val="0"/>
          <w:w w:val="100"/>
          <w:position w:val="0"/>
        </w:rPr>
        <w:t>年中央财政扶贫资金绩效考核（</w:t>
      </w:r>
      <w:r>
        <w:rPr>
          <w:rFonts w:ascii="Times New Roman" w:eastAsia="Times New Roman" w:hAnsi="Times New Roman" w:cs="Times New Roman"/>
          <w:color w:val="000000"/>
          <w:spacing w:val="0"/>
          <w:w w:val="100"/>
          <w:position w:val="0"/>
        </w:rPr>
        <w:t>2011</w:t>
      </w:r>
      <w:r>
        <w:rPr>
          <w:color w:val="000000"/>
          <w:spacing w:val="0"/>
          <w:w w:val="100"/>
          <w:position w:val="0"/>
        </w:rPr>
        <w:t>国务院扶贫办课题）；</w:t>
      </w:r>
      <w:r>
        <w:rPr>
          <w:rFonts w:ascii="Times New Roman" w:eastAsia="Times New Roman" w:hAnsi="Times New Roman" w:cs="Times New Roman"/>
          <w:color w:val="000000"/>
          <w:spacing w:val="0"/>
          <w:w w:val="100"/>
          <w:position w:val="0"/>
        </w:rPr>
        <w:t>2011</w:t>
      </w:r>
      <w:r>
        <w:rPr>
          <w:color w:val="000000"/>
          <w:spacing w:val="0"/>
          <w:w w:val="100"/>
          <w:position w:val="0"/>
        </w:rPr>
        <w:t>年中 央财政扶贫资金绩效考核（</w:t>
      </w:r>
      <w:r>
        <w:rPr>
          <w:rFonts w:ascii="Times New Roman" w:eastAsia="Times New Roman" w:hAnsi="Times New Roman" w:cs="Times New Roman"/>
          <w:color w:val="000000"/>
          <w:spacing w:val="0"/>
          <w:w w:val="100"/>
          <w:position w:val="0"/>
        </w:rPr>
        <w:t>2012</w:t>
      </w:r>
      <w:r>
        <w:rPr>
          <w:color w:val="000000"/>
          <w:spacing w:val="0"/>
          <w:w w:val="100"/>
          <w:position w:val="0"/>
        </w:rPr>
        <w:t>国务院扶贫办课题）；北京市农业用水成本测算及水费征收方案设计（</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年北京市水科院）等。</w:t>
      </w:r>
      <w:r>
        <w:rPr>
          <w:rFonts w:ascii="Times New Roman" w:eastAsia="Times New Roman" w:hAnsi="Times New Roman" w:cs="Times New Roman"/>
          <w:color w:val="000000"/>
          <w:spacing w:val="0"/>
          <w:w w:val="100"/>
          <w:position w:val="0"/>
        </w:rPr>
        <w:t>2010</w:t>
      </w:r>
      <w:r>
        <w:rPr>
          <w:color w:val="000000"/>
          <w:spacing w:val="0"/>
          <w:w w:val="100"/>
          <w:position w:val="0"/>
        </w:rPr>
        <w:t>年起兼任中农大地科技有限公司监事，</w:t>
      </w:r>
      <w:r>
        <w:rPr>
          <w:rFonts w:ascii="Times New Roman" w:eastAsia="Times New Roman" w:hAnsi="Times New Roman" w:cs="Times New Roman"/>
          <w:color w:val="000000"/>
          <w:spacing w:val="0"/>
          <w:w w:val="100"/>
          <w:position w:val="0"/>
        </w:rPr>
        <w:t>2016</w:t>
      </w:r>
      <w:r>
        <w:rPr>
          <w:color w:val="000000"/>
          <w:spacing w:val="0"/>
          <w:w w:val="100"/>
          <w:position w:val="0"/>
        </w:rPr>
        <w:t>年起任该公司董事。</w:t>
      </w:r>
    </w:p>
    <w:p>
      <w:pPr>
        <w:pStyle w:val="Style17"/>
        <w:keepNext w:val="0"/>
        <w:keepLines w:val="0"/>
        <w:widowControl w:val="0"/>
        <w:shd w:val="clear" w:color="auto" w:fill="auto"/>
        <w:tabs>
          <w:tab w:pos="754" w:val="left"/>
        </w:tabs>
        <w:bidi w:val="0"/>
        <w:spacing w:before="0" w:after="0" w:line="469" w:lineRule="exact"/>
        <w:ind w:left="0" w:right="0" w:firstLine="460"/>
        <w:jc w:val="left"/>
      </w:pPr>
      <w:bookmarkStart w:id="296" w:name="bookmark296"/>
      <w:r>
        <w:rPr>
          <w:rFonts w:ascii="Times New Roman" w:eastAsia="Times New Roman" w:hAnsi="Times New Roman" w:cs="Times New Roman"/>
          <w:color w:val="000000"/>
          <w:spacing w:val="0"/>
          <w:w w:val="100"/>
          <w:position w:val="0"/>
        </w:rPr>
        <w:t>9</w:t>
      </w:r>
      <w:bookmarkEnd w:id="296"/>
      <w:r>
        <w:rPr>
          <w:color w:val="000000"/>
          <w:spacing w:val="0"/>
          <w:w w:val="100"/>
          <w:position w:val="0"/>
        </w:rPr>
        <w:t>、</w:t>
        <w:tab/>
        <w:t>汪三贵，男，</w:t>
      </w:r>
      <w:r>
        <w:rPr>
          <w:rFonts w:ascii="Times New Roman" w:eastAsia="Times New Roman" w:hAnsi="Times New Roman" w:cs="Times New Roman"/>
          <w:color w:val="000000"/>
          <w:spacing w:val="0"/>
          <w:w w:val="100"/>
          <w:position w:val="0"/>
        </w:rPr>
        <w:t>1962</w:t>
      </w:r>
      <w:r>
        <w:rPr>
          <w:color w:val="000000"/>
          <w:spacing w:val="0"/>
          <w:w w:val="100"/>
          <w:position w:val="0"/>
        </w:rPr>
        <w:t xml:space="preserve">年出生，中国国籍，毕业于中国农业科学院农业经济管理专业，博士研究生学 历。原国务院扶贫开发领导小组专家咨询委员会委员，中国发展研究基金会学术委员会委员。世界银行、 亚洲开发银行、联合国开发计划署、国际农发基金等多个国际发展机构咨询专家，国投创益国家产业扶贫 </w:t>
      </w:r>
      <w:r>
        <w:rPr>
          <w:color w:val="000000"/>
          <w:spacing w:val="0"/>
          <w:w w:val="100"/>
          <w:position w:val="0"/>
        </w:rPr>
        <w:t>（乡村振兴）基金战略咨询委员会委员，北京联想公益基金会理事。历任中国农业科学院农业经济研究所 贫困与发展研究室副主任、主任，中国农业科学院贫困问题研究中心主任；</w:t>
      </w:r>
      <w:r>
        <w:rPr>
          <w:rFonts w:ascii="Times New Roman" w:eastAsia="Times New Roman" w:hAnsi="Times New Roman" w:cs="Times New Roman"/>
          <w:color w:val="000000"/>
          <w:spacing w:val="0"/>
          <w:w w:val="100"/>
          <w:position w:val="0"/>
        </w:rPr>
        <w:t>2006</w:t>
      </w:r>
      <w:r>
        <w:rPr>
          <w:color w:val="000000"/>
          <w:spacing w:val="0"/>
          <w:w w:val="100"/>
          <w:position w:val="0"/>
        </w:rPr>
        <w:t>年调入中国人民大学农业 与农村发展学院，聘为教授，长期从事农村贫困和农村发展问题研究；先后主持国家自然科学基金重点项 目、国家社会科学基金重大项目、国家发改委、财政部、农业农村部、科技部、国务院扶贫办等政府部门 委托和招标项目</w:t>
      </w:r>
      <w:r>
        <w:rPr>
          <w:rFonts w:ascii="Times New Roman" w:eastAsia="Times New Roman" w:hAnsi="Times New Roman" w:cs="Times New Roman"/>
          <w:color w:val="000000"/>
          <w:spacing w:val="0"/>
          <w:w w:val="100"/>
          <w:position w:val="0"/>
        </w:rPr>
        <w:t>100</w:t>
      </w:r>
      <w:r>
        <w:rPr>
          <w:color w:val="000000"/>
          <w:spacing w:val="0"/>
          <w:w w:val="100"/>
          <w:position w:val="0"/>
        </w:rPr>
        <w:t>多项，公开出版学术专著</w:t>
      </w:r>
      <w:r>
        <w:rPr>
          <w:rFonts w:ascii="Times New Roman" w:eastAsia="Times New Roman" w:hAnsi="Times New Roman" w:cs="Times New Roman"/>
          <w:color w:val="000000"/>
          <w:spacing w:val="0"/>
          <w:w w:val="100"/>
          <w:position w:val="0"/>
        </w:rPr>
        <w:t>17</w:t>
      </w:r>
      <w:r>
        <w:rPr>
          <w:color w:val="000000"/>
          <w:spacing w:val="0"/>
          <w:w w:val="100"/>
          <w:position w:val="0"/>
        </w:rPr>
        <w:t>部，在《管理世界》、《金融研究》、《社会学研究》、</w:t>
      </w:r>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《中国农村经济》、《中国人民大学学报》、</w:t>
      </w:r>
      <w:r>
        <w:rPr>
          <w:rFonts w:ascii="Times New Roman" w:eastAsia="Times New Roman" w:hAnsi="Times New Roman" w:cs="Times New Roman"/>
          <w:color w:val="000000"/>
          <w:spacing w:val="0"/>
          <w:w w:val="100"/>
          <w:position w:val="0"/>
        </w:rPr>
        <w:t>Journal of Public Economic</w:t>
      </w:r>
      <w:r>
        <w:rPr>
          <w:color w:val="000000"/>
          <w:spacing w:val="0"/>
          <w:w w:val="100"/>
          <w:position w:val="0"/>
        </w:rPr>
        <w:t>，</w:t>
      </w:r>
      <w:r>
        <w:rPr>
          <w:rFonts w:ascii="Times New Roman" w:eastAsia="Times New Roman" w:hAnsi="Times New Roman" w:cs="Times New Roman"/>
          <w:color w:val="000000"/>
          <w:spacing w:val="0"/>
          <w:w w:val="100"/>
          <w:position w:val="0"/>
        </w:rPr>
        <w:t>Journal of Comparative Economics</w:t>
      </w:r>
      <w:r>
        <w:rPr>
          <w:color w:val="000000"/>
          <w:spacing w:val="0"/>
          <w:w w:val="100"/>
          <w:position w:val="0"/>
        </w:rPr>
        <w:t xml:space="preserve">， </w:t>
      </w:r>
      <w:r>
        <w:rPr>
          <w:rFonts w:ascii="Times New Roman" w:eastAsia="Times New Roman" w:hAnsi="Times New Roman" w:cs="Times New Roman"/>
          <w:color w:val="000000"/>
          <w:spacing w:val="0"/>
          <w:w w:val="100"/>
          <w:position w:val="0"/>
        </w:rPr>
        <w:t>WorldDevelopment</w:t>
      </w:r>
      <w:r>
        <w:rPr>
          <w:color w:val="000000"/>
          <w:spacing w:val="0"/>
          <w:w w:val="100"/>
          <w:position w:val="0"/>
        </w:rPr>
        <w:t>、</w:t>
      </w:r>
      <w:r>
        <w:rPr>
          <w:rFonts w:ascii="Times New Roman" w:eastAsia="Times New Roman" w:hAnsi="Times New Roman" w:cs="Times New Roman"/>
          <w:color w:val="000000"/>
          <w:spacing w:val="0"/>
          <w:w w:val="100"/>
          <w:position w:val="0"/>
        </w:rPr>
        <w:t>JournalofDevelopmentStudies</w:t>
      </w:r>
      <w:r>
        <w:rPr>
          <w:color w:val="000000"/>
          <w:spacing w:val="0"/>
          <w:w w:val="100"/>
          <w:position w:val="0"/>
        </w:rPr>
        <w:t>，</w:t>
      </w:r>
      <w:r>
        <w:rPr>
          <w:rFonts w:ascii="Times New Roman" w:eastAsia="Times New Roman" w:hAnsi="Times New Roman" w:cs="Times New Roman"/>
          <w:color w:val="000000"/>
          <w:spacing w:val="0"/>
          <w:w w:val="100"/>
          <w:position w:val="0"/>
        </w:rPr>
        <w:t>JournalofHousingEconomics</w:t>
      </w:r>
      <w:r>
        <w:rPr>
          <w:color w:val="000000"/>
          <w:spacing w:val="0"/>
          <w:w w:val="100"/>
          <w:position w:val="0"/>
        </w:rPr>
        <w:t>，</w:t>
      </w:r>
      <w:r>
        <w:rPr>
          <w:rFonts w:ascii="Times New Roman" w:eastAsia="Times New Roman" w:hAnsi="Times New Roman" w:cs="Times New Roman"/>
          <w:color w:val="000000"/>
          <w:spacing w:val="0"/>
          <w:w w:val="100"/>
          <w:position w:val="0"/>
        </w:rPr>
        <w:t>Agricultural Economics</w:t>
      </w:r>
      <w:r>
        <w:rPr>
          <w:color w:val="000000"/>
          <w:spacing w:val="0"/>
          <w:w w:val="100"/>
          <w:position w:val="0"/>
        </w:rPr>
        <w:t>等国 内外学术杂志发表论文</w:t>
      </w:r>
      <w:r>
        <w:rPr>
          <w:rFonts w:ascii="Times New Roman" w:eastAsia="Times New Roman" w:hAnsi="Times New Roman" w:cs="Times New Roman"/>
          <w:color w:val="000000"/>
          <w:spacing w:val="0"/>
          <w:w w:val="100"/>
          <w:position w:val="0"/>
        </w:rPr>
        <w:t>170</w:t>
      </w:r>
      <w:r>
        <w:rPr>
          <w:color w:val="000000"/>
          <w:spacing w:val="0"/>
          <w:w w:val="100"/>
          <w:position w:val="0"/>
        </w:rPr>
        <w:t>余篇。荣获教育部第八届高等学校科学研究成果奖（人文社会学科）一等奖， 第四届</w:t>
      </w:r>
      <w:r>
        <w:rPr>
          <w:rFonts w:ascii="Times New Roman" w:eastAsia="Times New Roman" w:hAnsi="Times New Roman" w:cs="Times New Roman"/>
          <w:color w:val="000000"/>
          <w:spacing w:val="0"/>
          <w:w w:val="100"/>
          <w:position w:val="0"/>
        </w:rPr>
        <w:t>“</w:t>
      </w:r>
      <w:r>
        <w:rPr>
          <w:color w:val="000000"/>
          <w:spacing w:val="0"/>
          <w:w w:val="100"/>
          <w:position w:val="0"/>
        </w:rPr>
        <w:t>中国农村发展研究奖</w:t>
      </w:r>
      <w:r>
        <w:rPr>
          <w:rFonts w:ascii="Times New Roman" w:eastAsia="Times New Roman" w:hAnsi="Times New Roman" w:cs="Times New Roman"/>
          <w:color w:val="000000"/>
          <w:spacing w:val="0"/>
          <w:w w:val="100"/>
          <w:position w:val="0"/>
        </w:rPr>
        <w:t>”</w:t>
      </w:r>
      <w:r>
        <w:rPr>
          <w:color w:val="000000"/>
          <w:spacing w:val="0"/>
          <w:w w:val="100"/>
          <w:position w:val="0"/>
        </w:rPr>
        <w:t>和国务院扶贫办首届</w:t>
      </w:r>
      <w:r>
        <w:rPr>
          <w:rFonts w:ascii="Times New Roman" w:eastAsia="Times New Roman" w:hAnsi="Times New Roman" w:cs="Times New Roman"/>
          <w:color w:val="000000"/>
          <w:spacing w:val="0"/>
          <w:w w:val="100"/>
          <w:position w:val="0"/>
        </w:rPr>
        <w:t>“</w:t>
      </w:r>
      <w:r>
        <w:rPr>
          <w:color w:val="000000"/>
          <w:spacing w:val="0"/>
          <w:w w:val="100"/>
          <w:position w:val="0"/>
        </w:rPr>
        <w:t>友成扶贫科研成果奖</w:t>
      </w:r>
      <w:r>
        <w:rPr>
          <w:rFonts w:ascii="Times New Roman" w:eastAsia="Times New Roman" w:hAnsi="Times New Roman" w:cs="Times New Roman"/>
          <w:color w:val="000000"/>
          <w:spacing w:val="0"/>
          <w:w w:val="100"/>
          <w:position w:val="0"/>
        </w:rPr>
        <w:t>”</w:t>
      </w:r>
      <w:r>
        <w:rPr>
          <w:color w:val="000000"/>
          <w:spacing w:val="0"/>
          <w:w w:val="100"/>
          <w:position w:val="0"/>
        </w:rPr>
        <w:t>；被国务院扶贫开发领导小组评 为全国扶贫开发先进个人。目前兼任中国人民大学中国扶贫研究院院长；享受政府特殊津贴专家，全国政 协参政议政人才库特聘专家。</w:t>
      </w:r>
    </w:p>
    <w:p>
      <w:pPr>
        <w:pStyle w:val="Style17"/>
        <w:keepNext w:val="0"/>
        <w:keepLines w:val="0"/>
        <w:widowControl w:val="0"/>
        <w:shd w:val="clear" w:color="auto" w:fill="auto"/>
        <w:tabs>
          <w:tab w:pos="954" w:val="left"/>
        </w:tabs>
        <w:bidi w:val="0"/>
        <w:spacing w:before="0" w:after="0" w:line="469" w:lineRule="exact"/>
        <w:ind w:left="0" w:right="0" w:firstLine="420"/>
        <w:jc w:val="both"/>
      </w:pPr>
      <w:bookmarkStart w:id="297" w:name="bookmark297"/>
      <w:r>
        <w:rPr>
          <w:color w:val="000000"/>
          <w:spacing w:val="0"/>
          <w:w w:val="100"/>
          <w:position w:val="0"/>
        </w:rPr>
        <w:t>（</w:t>
      </w:r>
      <w:bookmarkEnd w:id="297"/>
      <w:r>
        <w:rPr>
          <w:color w:val="000000"/>
          <w:spacing w:val="0"/>
          <w:w w:val="100"/>
          <w:position w:val="0"/>
        </w:rPr>
        <w:t>二）</w:t>
        <w:tab/>
        <w:t>监事</w:t>
      </w:r>
    </w:p>
    <w:p>
      <w:pPr>
        <w:pStyle w:val="Style17"/>
        <w:keepNext w:val="0"/>
        <w:keepLines w:val="0"/>
        <w:widowControl w:val="0"/>
        <w:shd w:val="clear" w:color="auto" w:fill="auto"/>
        <w:tabs>
          <w:tab w:pos="720" w:val="left"/>
        </w:tabs>
        <w:bidi w:val="0"/>
        <w:spacing w:before="0" w:after="0" w:line="469" w:lineRule="exact"/>
        <w:ind w:left="0" w:right="0" w:firstLine="420"/>
        <w:jc w:val="left"/>
      </w:pPr>
      <w:bookmarkStart w:id="298" w:name="bookmark298"/>
      <w:r>
        <w:rPr>
          <w:rFonts w:ascii="Times New Roman" w:eastAsia="Times New Roman" w:hAnsi="Times New Roman" w:cs="Times New Roman"/>
          <w:color w:val="000000"/>
          <w:spacing w:val="0"/>
          <w:w w:val="100"/>
          <w:position w:val="0"/>
        </w:rPr>
        <w:t>1</w:t>
      </w:r>
      <w:bookmarkEnd w:id="298"/>
      <w:r>
        <w:rPr>
          <w:color w:val="000000"/>
          <w:spacing w:val="0"/>
          <w:w w:val="100"/>
          <w:position w:val="0"/>
        </w:rPr>
        <w:t>、</w:t>
        <w:tab/>
        <w:t>王志波，男，</w:t>
      </w:r>
      <w:r>
        <w:rPr>
          <w:rFonts w:ascii="Times New Roman" w:eastAsia="Times New Roman" w:hAnsi="Times New Roman" w:cs="Times New Roman"/>
          <w:color w:val="000000"/>
          <w:spacing w:val="0"/>
          <w:w w:val="100"/>
          <w:position w:val="0"/>
        </w:rPr>
        <w:t>1982</w:t>
      </w:r>
      <w:r>
        <w:rPr>
          <w:color w:val="000000"/>
          <w:spacing w:val="0"/>
          <w:w w:val="100"/>
          <w:position w:val="0"/>
        </w:rPr>
        <w:t>年出生，中国国籍，毕业于北华航天工业学院工业与民用建筑专业及石家庄铁 道学院工程管理专业，本科学历，曾任石家庄建设集团八分公司工程技术总工，</w:t>
      </w:r>
      <w:r>
        <w:rPr>
          <w:rFonts w:ascii="Times New Roman" w:eastAsia="Times New Roman" w:hAnsi="Times New Roman" w:cs="Times New Roman"/>
          <w:color w:val="000000"/>
          <w:spacing w:val="0"/>
          <w:w w:val="100"/>
          <w:position w:val="0"/>
        </w:rPr>
        <w:t>2012</w:t>
      </w:r>
      <w:r>
        <w:rPr>
          <w:color w:val="000000"/>
          <w:spacing w:val="0"/>
          <w:w w:val="100"/>
          <w:position w:val="0"/>
        </w:rPr>
        <w:t>年起就职于东旭集团， 历任子公司采购与工程管理中心总经理助理、副总经理、东旭蓝天风控法务中心总经理、总裁助理；</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月调任东旭集团，任东旭集团董事长办公室副主任。</w:t>
      </w:r>
    </w:p>
    <w:p>
      <w:pPr>
        <w:pStyle w:val="Style17"/>
        <w:keepNext w:val="0"/>
        <w:keepLines w:val="0"/>
        <w:widowControl w:val="0"/>
        <w:shd w:val="clear" w:color="auto" w:fill="auto"/>
        <w:tabs>
          <w:tab w:pos="720" w:val="left"/>
        </w:tabs>
        <w:bidi w:val="0"/>
        <w:spacing w:before="0" w:after="0" w:line="469" w:lineRule="exact"/>
        <w:ind w:left="0" w:right="0" w:firstLine="420"/>
        <w:jc w:val="left"/>
      </w:pPr>
      <w:bookmarkStart w:id="299" w:name="bookmark299"/>
      <w:r>
        <w:rPr>
          <w:rFonts w:ascii="Times New Roman" w:eastAsia="Times New Roman" w:hAnsi="Times New Roman" w:cs="Times New Roman"/>
          <w:color w:val="000000"/>
          <w:spacing w:val="0"/>
          <w:w w:val="100"/>
          <w:position w:val="0"/>
        </w:rPr>
        <w:t>2</w:t>
      </w:r>
      <w:bookmarkEnd w:id="299"/>
      <w:r>
        <w:rPr>
          <w:color w:val="000000"/>
          <w:spacing w:val="0"/>
          <w:w w:val="100"/>
          <w:position w:val="0"/>
        </w:rPr>
        <w:t>、</w:t>
        <w:tab/>
        <w:t>郭篪，男，</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年出生，中国国籍，毕业于首都师范大学法学专业，本科学历，曾任中国建筑技 术集团有限公司法务经理，联合置地房地产开发有限公司法务经理，北京协同创新研究院法务主任。</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月入职东旭建设集团有限公司任法务部部长；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月入职东旭蓝天，现任公司风险管理部部长。</w:t>
      </w:r>
    </w:p>
    <w:p>
      <w:pPr>
        <w:pStyle w:val="Style17"/>
        <w:keepNext w:val="0"/>
        <w:keepLines w:val="0"/>
        <w:widowControl w:val="0"/>
        <w:shd w:val="clear" w:color="auto" w:fill="auto"/>
        <w:tabs>
          <w:tab w:pos="720" w:val="left"/>
        </w:tabs>
        <w:bidi w:val="0"/>
        <w:spacing w:before="0" w:after="0" w:line="469" w:lineRule="exact"/>
        <w:ind w:left="0" w:right="0" w:firstLine="420"/>
        <w:jc w:val="left"/>
      </w:pPr>
      <w:bookmarkStart w:id="300" w:name="bookmark300"/>
      <w:r>
        <w:rPr>
          <w:rFonts w:ascii="Times New Roman" w:eastAsia="Times New Roman" w:hAnsi="Times New Roman" w:cs="Times New Roman"/>
          <w:color w:val="000000"/>
          <w:spacing w:val="0"/>
          <w:w w:val="100"/>
          <w:position w:val="0"/>
        </w:rPr>
        <w:t>3</w:t>
      </w:r>
      <w:bookmarkEnd w:id="300"/>
      <w:r>
        <w:rPr>
          <w:color w:val="000000"/>
          <w:spacing w:val="0"/>
          <w:w w:val="100"/>
          <w:position w:val="0"/>
        </w:rPr>
        <w:t>、</w:t>
        <w:tab/>
        <w:t>党丽珍，女，</w:t>
      </w:r>
      <w:r>
        <w:rPr>
          <w:rFonts w:ascii="Times New Roman" w:eastAsia="Times New Roman" w:hAnsi="Times New Roman" w:cs="Times New Roman"/>
          <w:color w:val="000000"/>
          <w:spacing w:val="0"/>
          <w:w w:val="100"/>
          <w:position w:val="0"/>
        </w:rPr>
        <w:t>1986</w:t>
      </w:r>
      <w:r>
        <w:rPr>
          <w:color w:val="000000"/>
          <w:spacing w:val="0"/>
          <w:w w:val="100"/>
          <w:position w:val="0"/>
        </w:rPr>
        <w:t>年出生，中国国籍，中共党员，毕业于广西大学轻化工程专业，本科学历。</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年任广西博世科环保科技股份有限公司总工助理；</w:t>
      </w:r>
      <w:r>
        <w:rPr>
          <w:rFonts w:ascii="Times New Roman" w:eastAsia="Times New Roman" w:hAnsi="Times New Roman" w:cs="Times New Roman"/>
          <w:color w:val="000000"/>
          <w:spacing w:val="0"/>
          <w:w w:val="100"/>
          <w:position w:val="0"/>
        </w:rPr>
        <w:t>2009-2011</w:t>
      </w:r>
      <w:r>
        <w:rPr>
          <w:color w:val="000000"/>
          <w:spacing w:val="0"/>
          <w:w w:val="100"/>
          <w:position w:val="0"/>
        </w:rPr>
        <w:t xml:space="preserve">年任清大国华环保科技有限公司采购工程师。 </w:t>
      </w:r>
      <w:r>
        <w:rPr>
          <w:rFonts w:ascii="Times New Roman" w:eastAsia="Times New Roman" w:hAnsi="Times New Roman" w:cs="Times New Roman"/>
          <w:color w:val="000000"/>
          <w:spacing w:val="0"/>
          <w:w w:val="100"/>
          <w:position w:val="0"/>
        </w:rPr>
        <w:t>2011-2016</w:t>
      </w:r>
      <w:r>
        <w:rPr>
          <w:color w:val="000000"/>
          <w:spacing w:val="0"/>
          <w:w w:val="100"/>
          <w:position w:val="0"/>
        </w:rPr>
        <w:t>年，就职中兴能源有限公司，任采购经理、巴基斯坦物流组长、总裁助理。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月任东旭蓝天采购总监，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月调任东旭集团，任东旭集团采购中心总经理；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月调任东旭蓝天， 任东旭蓝天招采中心总经理。</w:t>
      </w:r>
    </w:p>
    <w:p>
      <w:pPr>
        <w:pStyle w:val="Style17"/>
        <w:keepNext w:val="0"/>
        <w:keepLines w:val="0"/>
        <w:widowControl w:val="0"/>
        <w:shd w:val="clear" w:color="auto" w:fill="auto"/>
        <w:tabs>
          <w:tab w:pos="954" w:val="left"/>
        </w:tabs>
        <w:bidi w:val="0"/>
        <w:spacing w:before="0" w:after="0" w:line="469" w:lineRule="exact"/>
        <w:ind w:left="0" w:right="0" w:firstLine="420"/>
        <w:jc w:val="both"/>
      </w:pPr>
      <w:bookmarkStart w:id="301" w:name="bookmark301"/>
      <w:r>
        <w:rPr>
          <w:color w:val="000000"/>
          <w:spacing w:val="0"/>
          <w:w w:val="100"/>
          <w:position w:val="0"/>
        </w:rPr>
        <w:t>（</w:t>
      </w:r>
      <w:bookmarkEnd w:id="301"/>
      <w:r>
        <w:rPr>
          <w:color w:val="000000"/>
          <w:spacing w:val="0"/>
          <w:w w:val="100"/>
          <w:position w:val="0"/>
        </w:rPr>
        <w:t>三）</w:t>
        <w:tab/>
        <w:t>高级管理人员</w:t>
      </w:r>
    </w:p>
    <w:p>
      <w:pPr>
        <w:pStyle w:val="Style17"/>
        <w:keepNext w:val="0"/>
        <w:keepLines w:val="0"/>
        <w:widowControl w:val="0"/>
        <w:shd w:val="clear" w:color="auto" w:fill="auto"/>
        <w:bidi w:val="0"/>
        <w:spacing w:before="0" w:after="240" w:line="469" w:lineRule="exact"/>
        <w:ind w:left="0" w:right="0" w:firstLine="420"/>
        <w:jc w:val="both"/>
      </w:pPr>
      <w:bookmarkStart w:id="302" w:name="bookmark302"/>
      <w:r>
        <w:rPr>
          <w:rFonts w:ascii="Times New Roman" w:eastAsia="Times New Roman" w:hAnsi="Times New Roman" w:cs="Times New Roman"/>
          <w:color w:val="000000"/>
          <w:spacing w:val="0"/>
          <w:w w:val="100"/>
          <w:position w:val="0"/>
        </w:rPr>
        <w:t>1</w:t>
      </w:r>
      <w:bookmarkEnd w:id="302"/>
      <w:r>
        <w:rPr>
          <w:color w:val="000000"/>
          <w:spacing w:val="0"/>
          <w:w w:val="100"/>
          <w:position w:val="0"/>
        </w:rPr>
        <w:t>、王正军，男，</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w:t>
      </w:r>
      <w:r>
        <w:rPr>
          <w:color w:val="000000"/>
          <w:spacing w:val="0"/>
          <w:w w:val="100"/>
          <w:position w:val="0"/>
        </w:rPr>
        <w:t>，</w:t>
      </w:r>
      <w:r>
        <w:rPr>
          <w:color w:val="000000"/>
          <w:spacing w:val="0"/>
          <w:w w:val="100"/>
          <w:position w:val="0"/>
        </w:rPr>
        <w:t>中国国籍</w:t>
      </w:r>
      <w:r>
        <w:rPr>
          <w:color w:val="000000"/>
          <w:spacing w:val="0"/>
          <w:w w:val="100"/>
          <w:position w:val="0"/>
        </w:rPr>
        <w:t>，</w:t>
      </w:r>
      <w:r>
        <w:rPr>
          <w:color w:val="000000"/>
          <w:spacing w:val="0"/>
          <w:w w:val="100"/>
          <w:position w:val="0"/>
        </w:rPr>
        <w:t>中共党员</w:t>
      </w:r>
      <w:r>
        <w:rPr>
          <w:rFonts w:ascii="Times New Roman" w:eastAsia="Times New Roman" w:hAnsi="Times New Roman" w:cs="Times New Roman"/>
          <w:color w:val="000000"/>
          <w:spacing w:val="0"/>
          <w:w w:val="100"/>
          <w:position w:val="0"/>
        </w:rPr>
        <w:t>,</w:t>
      </w:r>
      <w:r>
        <w:rPr>
          <w:color w:val="000000"/>
          <w:spacing w:val="0"/>
          <w:w w:val="100"/>
          <w:position w:val="0"/>
        </w:rPr>
        <w:t>中国人民解放军军事经济学院经济管理专业本科 学历。曾任中国人民解放军某部财务助理、财务主管、国泰君安证券股份有限公司投资分析师、机构部总 经理、神雾科技集团股份有限公司总经理助理、神雾节能股份有限公司副总经理、董事会秘书、非独立董 事等职。曾任公司第九届董事会董事。现任东旭蓝天新能源股份有限公司董事会秘书、财务总监及副总经</w:t>
        <w:br w:type="page"/>
      </w:r>
      <w:r>
        <w:rPr>
          <w:color w:val="000000"/>
          <w:spacing w:val="0"/>
          <w:w w:val="100"/>
          <w:position w:val="0"/>
        </w:rPr>
        <w:t>理。</w:t>
      </w:r>
    </w:p>
    <w:p>
      <w:pPr>
        <w:pStyle w:val="Style17"/>
        <w:keepNext w:val="0"/>
        <w:keepLines w:val="0"/>
        <w:widowControl w:val="0"/>
        <w:shd w:val="clear" w:color="auto" w:fill="auto"/>
        <w:tabs>
          <w:tab w:pos="893" w:val="left"/>
        </w:tabs>
        <w:bidi w:val="0"/>
        <w:spacing w:before="0" w:after="240" w:line="240" w:lineRule="auto"/>
        <w:ind w:left="0" w:right="0" w:firstLine="520"/>
        <w:jc w:val="left"/>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w:t>
        <w:tab/>
        <w:t>丁锋，详见上述董事简历。</w:t>
      </w:r>
    </w:p>
    <w:p>
      <w:pPr>
        <w:pStyle w:val="Style17"/>
        <w:keepNext w:val="0"/>
        <w:keepLines w:val="0"/>
        <w:widowControl w:val="0"/>
        <w:shd w:val="clear" w:color="auto" w:fill="auto"/>
        <w:tabs>
          <w:tab w:pos="893" w:val="left"/>
        </w:tabs>
        <w:bidi w:val="0"/>
        <w:spacing w:before="0" w:after="520" w:line="240" w:lineRule="auto"/>
        <w:ind w:left="0" w:right="0" w:firstLine="520"/>
        <w:jc w:val="left"/>
      </w:pPr>
      <w:bookmarkStart w:id="304" w:name="bookmark304"/>
      <w:r>
        <w:rPr>
          <w:rFonts w:ascii="Times New Roman" w:eastAsia="Times New Roman" w:hAnsi="Times New Roman" w:cs="Times New Roman"/>
          <w:color w:val="000000"/>
          <w:spacing w:val="0"/>
          <w:w w:val="100"/>
          <w:position w:val="0"/>
        </w:rPr>
        <w:t>3</w:t>
      </w:r>
      <w:bookmarkEnd w:id="304"/>
      <w:r>
        <w:rPr>
          <w:color w:val="000000"/>
          <w:spacing w:val="0"/>
          <w:w w:val="100"/>
          <w:position w:val="0"/>
        </w:rPr>
        <w:t>、</w:t>
        <w:tab/>
        <w:t>李明，详见上述董事简历。</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611"/>
        <w:gridCol w:w="1416"/>
        <w:gridCol w:w="1488"/>
        <w:gridCol w:w="1349"/>
        <w:gridCol w:w="149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运营人力委员会 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2597"/>
        <w:gridCol w:w="1416"/>
        <w:gridCol w:w="1584"/>
        <w:gridCol w:w="1358"/>
        <w:gridCol w:w="138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北京中农大地科技发展有限公司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天津麟玺创业投资管理有限公司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风控负责人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3</w:t>
      </w:r>
      <w:bookmarkEnd w:id="307"/>
      <w:r>
        <w:rPr>
          <w:color w:val="000000"/>
          <w:spacing w:val="0"/>
          <w:w w:val="100"/>
          <w:position w:val="0"/>
        </w:rPr>
        <w:t>、董事、监事、高级管理人员报酬情况</w:t>
      </w:r>
      <w:bookmarkEnd w:id="305"/>
      <w:bookmarkEnd w:id="306"/>
      <w:bookmarkEnd w:id="308"/>
    </w:p>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424"/>
        <w:gridCol w:w="7166"/>
      </w:tblGrid>
      <w:tr>
        <w:trPr>
          <w:trHeight w:val="893" w:hRule="exact"/>
        </w:trPr>
        <w:tc>
          <w:tcPr>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董事、监事、高级管理人员 报酬的决策程序</w:t>
            </w:r>
          </w:p>
        </w:tc>
        <w:tc>
          <w:tcPr>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根据《公司章程》的有关规定，股东大会决定董事、监事报酬，董事会决定高级管理人员</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董事、监事报酬确定依据：公司董事（含独立董事）、监事津贴由公司股东大会审议决定；</w:t>
            </w:r>
          </w:p>
        </w:tc>
      </w:tr>
      <w:tr>
        <w:trPr>
          <w:trHeight w:val="1253" w:hRule="exact"/>
        </w:trPr>
        <w:tc>
          <w:tcPr>
            <w:tcBorders/>
            <w:shd w:val="clear" w:color="auto" w:fill="FFFFFF"/>
            <w:vAlign w:val="top"/>
          </w:tcPr>
          <w:p>
            <w:pPr>
              <w:pStyle w:val="Style22"/>
              <w:keepNext w:val="0"/>
              <w:keepLines w:val="0"/>
              <w:widowControl w:val="0"/>
              <w:shd w:val="clear" w:color="auto" w:fill="auto"/>
              <w:bidi w:val="0"/>
              <w:spacing w:before="200" w:after="120" w:line="240" w:lineRule="auto"/>
              <w:ind w:left="0" w:right="0" w:firstLine="0"/>
              <w:jc w:val="left"/>
            </w:pPr>
            <w:r>
              <w:rPr>
                <w:color w:val="000000"/>
                <w:spacing w:val="0"/>
                <w:w w:val="100"/>
                <w:position w:val="0"/>
              </w:rPr>
              <w:t>董事、监事、高级管理人员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报酬确定依据</w:t>
            </w:r>
          </w:p>
        </w:tc>
        <w:tc>
          <w:tcPr>
            <w:tcBorders/>
            <w:shd w:val="clear" w:color="auto" w:fill="FFFFFF"/>
            <w:vAlign w:val="center"/>
          </w:tcPr>
          <w:p>
            <w:pPr>
              <w:pStyle w:val="Style22"/>
              <w:keepNext w:val="0"/>
              <w:keepLines w:val="0"/>
              <w:widowControl w:val="0"/>
              <w:shd w:val="clear" w:color="auto" w:fill="auto"/>
              <w:bidi w:val="0"/>
              <w:spacing w:before="0" w:after="0" w:line="301" w:lineRule="exact"/>
              <w:ind w:left="0" w:right="0" w:firstLine="0"/>
              <w:jc w:val="left"/>
            </w:pPr>
            <w:r>
              <w:rPr>
                <w:color w:val="000000"/>
                <w:spacing w:val="0"/>
                <w:w w:val="100"/>
                <w:position w:val="0"/>
              </w:rPr>
              <w:t>高管报酬确定依据：公司高管的薪酬结构为：基本薪酬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绩效奖金。其中：一、基本薪酬： 按各自职级档位发放；二、绩效奖金：根据于年初制订的高级管理人员年度绩效目标，完 成考核后，按年终个人业绩考核成绩，作为高管绩效奖金的发放依据。三、绩效奖金的发 放需与公司年度业绩挂钩。</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董事、监事和高级管理人员报 酬的实际支付情况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公司按照董事、监事、高级管理人员薪酬的决策程序与确定依据支付薪酬，实际支付情况详 见下表。</w:t>
            </w:r>
          </w:p>
        </w:tc>
      </w:tr>
    </w:tbl>
    <w:p>
      <w:pPr>
        <w:widowControl w:val="0"/>
        <w:spacing w:after="3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赵艳军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朱彦波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汪三贵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党丽珍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董事会秘书、财 务总监、副总经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王甫民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高建勋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邢丽芬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董辰京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邹德育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559.7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六</w:t>
      </w:r>
      <w:bookmarkEnd w:id="311"/>
      <w:r>
        <w:rPr>
          <w:color w:val="000000"/>
          <w:spacing w:val="0"/>
          <w:w w:val="100"/>
          <w:position w:val="0"/>
        </w:rPr>
        <w:t>、报告期内董事履行职责的情况</w:t>
      </w:r>
      <w:bookmarkEnd w:id="309"/>
      <w:bookmarkEnd w:id="310"/>
      <w:bookmarkEnd w:id="312"/>
    </w:p>
    <w:p>
      <w:pPr>
        <w:pStyle w:val="Style31"/>
        <w:keepNext/>
        <w:keepLines/>
        <w:widowControl w:val="0"/>
        <w:shd w:val="clear" w:color="auto" w:fill="auto"/>
        <w:bidi w:val="0"/>
        <w:spacing w:before="0" w:after="32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、本报告期董事会情况</w:t>
      </w:r>
      <w:bookmarkEnd w:id="313"/>
      <w:bookmarkEnd w:id="314"/>
      <w:bookmarkEnd w:id="316"/>
    </w:p>
    <w:tbl>
      <w:tblPr>
        <w:tblOverlap w:val="never"/>
        <w:jc w:val="center"/>
        <w:tblLayout w:type="fixed"/>
      </w:tblPr>
      <w:tblGrid>
        <w:gridCol w:w="2395"/>
        <w:gridCol w:w="2395"/>
        <w:gridCol w:w="2021"/>
        <w:gridCol w:w="2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9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第九届董事会第三十七次会 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《第九届董事会第三十七次会议决 议公告》（公告编号：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）已 在《中国证券报》、《证券时报》及</w:t>
            </w:r>
          </w:p>
        </w:tc>
      </w:tr>
    </w:tbl>
    <w:p>
      <w:pPr>
        <w:spacing w:lineRule="exact" w:line="1"/>
        <w:rPr>
          <w:sz w:val="2"/>
          <w:szCs w:val="2"/>
        </w:rPr>
      </w:pPr>
      <w:r>
        <w:br w:type="page"/>
      </w:r>
    </w:p>
    <w:tbl>
      <w:tblPr>
        <w:tblOverlap w:val="never"/>
        <w:jc w:val="center"/>
        <w:tblLayout w:type="fixed"/>
      </w:tblPr>
      <w:tblGrid>
        <w:gridCol w:w="2395"/>
        <w:gridCol w:w="2395"/>
        <w:gridCol w:w="2021"/>
        <w:gridCol w:w="27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巨潮资讯网披露</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第九届董事会第三十八次会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《第九届董事会第三十八次会议决 议公告》（公告编号：</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r>
              <w:rPr>
                <w:color w:val="000000"/>
                <w:spacing w:val="0"/>
                <w:w w:val="100"/>
                <w:position w:val="0"/>
              </w:rPr>
              <w:t>已 在《中国证券报》、《证券时报》及 巨潮资讯网披露</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第九届董事会第三十九次会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本次会议审议通过了《关于深圳证 监局对东旭蓝天新能源股份有限公 司监管意见函的回复说明》</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第九届董事会第四十次会议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《第九届董事会第四十次会议决议 公告》（公告编号：</w:t>
            </w:r>
            <w:r>
              <w:rPr>
                <w:rFonts w:ascii="Times New Roman" w:eastAsia="Times New Roman" w:hAnsi="Times New Roman" w:cs="Times New Roman"/>
                <w:color w:val="000000"/>
                <w:spacing w:val="0"/>
                <w:w w:val="100"/>
                <w:position w:val="0"/>
                <w:sz w:val="18"/>
                <w:szCs w:val="18"/>
              </w:rPr>
              <w:t>2021-016</w:t>
            </w:r>
            <w:r>
              <w:rPr>
                <w:color w:val="000000"/>
                <w:spacing w:val="0"/>
                <w:w w:val="100"/>
                <w:position w:val="0"/>
              </w:rPr>
              <w:t>）</w:t>
            </w:r>
            <w:r>
              <w:rPr>
                <w:color w:val="000000"/>
                <w:spacing w:val="0"/>
                <w:w w:val="100"/>
                <w:position w:val="0"/>
              </w:rPr>
              <w:t>已在</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《中国证券报》、《证券时报》及巨 潮资讯网披露</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第九届董事会第四十一次会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《第九届董事会第四十一次会议决 议公告》（公告编号：</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r>
              <w:rPr>
                <w:color w:val="000000"/>
                <w:spacing w:val="0"/>
                <w:w w:val="100"/>
                <w:position w:val="0"/>
              </w:rPr>
              <w:t>己 在《中国证券报》、《证券时报》及 巨潮资讯网披露</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第九届董事会第四十二次会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《第九届董事会第四十二次会议决 议公告》（公告编号：</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rPr>
              <w:t>）</w:t>
            </w:r>
            <w:r>
              <w:rPr>
                <w:color w:val="000000"/>
                <w:spacing w:val="0"/>
                <w:w w:val="100"/>
                <w:position w:val="0"/>
              </w:rPr>
              <w:t>己 在《中国证券报》、《证券时报》及 巨潮资讯网披露</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第九届董事会第四十三次会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《第九届董事会第四十三次会议决 议公告》（公告编号：</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w:t>
            </w:r>
            <w:r>
              <w:rPr>
                <w:color w:val="000000"/>
                <w:spacing w:val="0"/>
                <w:w w:val="100"/>
                <w:position w:val="0"/>
              </w:rPr>
              <w:t>己 在《中国证券报》、《证券时报》及 巨潮资讯网披露</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第十届董事会第一次会议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《第十届董事会第一次会议决议公 告》（公告编号：</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rPr>
              <w:t>）</w:t>
            </w:r>
            <w:r>
              <w:rPr>
                <w:color w:val="000000"/>
                <w:spacing w:val="0"/>
                <w:w w:val="100"/>
                <w:position w:val="0"/>
              </w:rPr>
              <w:t>已在《中 国证券报》、《证券时报》及巨潮资 讯网披露</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第十届董事会第二次会议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《第十届董事会第二次会议决议公 告》（公告编号：</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r>
              <w:rPr>
                <w:color w:val="000000"/>
                <w:spacing w:val="0"/>
                <w:w w:val="100"/>
                <w:position w:val="0"/>
              </w:rPr>
              <w:t>已在《中 国证券报》、《证券时报》及巨潮资 讯网披露</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第十届董事会第三次会议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本次会议审议通过了《公司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年第三季度报告》已在《中国证券 报》、《证券时报》及巨潮资讯网披 露</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第十届董事会第四次会议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《第十届董事会第四次会议决议公 告》（公告编号：</w:t>
            </w:r>
            <w:r>
              <w:rPr>
                <w:rFonts w:ascii="Times New Roman" w:eastAsia="Times New Roman" w:hAnsi="Times New Roman" w:cs="Times New Roman"/>
                <w:color w:val="000000"/>
                <w:spacing w:val="0"/>
                <w:w w:val="100"/>
                <w:position w:val="0"/>
                <w:sz w:val="18"/>
                <w:szCs w:val="18"/>
              </w:rPr>
              <w:t>2021-050</w:t>
            </w:r>
            <w:r>
              <w:rPr>
                <w:color w:val="000000"/>
                <w:spacing w:val="0"/>
                <w:w w:val="100"/>
                <w:position w:val="0"/>
              </w:rPr>
              <w:t>）</w:t>
            </w:r>
            <w:r>
              <w:rPr>
                <w:color w:val="000000"/>
                <w:spacing w:val="0"/>
                <w:w w:val="100"/>
                <w:position w:val="0"/>
              </w:rPr>
              <w:t>已在《中 国证券报》、《证券时报》及巨潮资 讯网披露</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、董事出席董事会及股东大会的情况</w:t>
      </w:r>
      <w:bookmarkEnd w:id="317"/>
      <w:bookmarkEnd w:id="318"/>
      <w:bookmarkEnd w:id="320"/>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赵艳军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朱彦波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刘治钦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汪三贵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王甫民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3</w:t>
      </w:r>
      <w:bookmarkEnd w:id="323"/>
      <w:r>
        <w:rPr>
          <w:color w:val="000000"/>
          <w:spacing w:val="0"/>
          <w:w w:val="100"/>
          <w:position w:val="0"/>
        </w:rPr>
        <w:t>、</w:t>
        <w:tab/>
        <w:t>董事对公司有关事项提出异议的情况</w:t>
      </w:r>
      <w:bookmarkEnd w:id="321"/>
      <w:bookmarkEnd w:id="322"/>
      <w:bookmarkEnd w:id="32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报告期内董事对公司有关事项未提出异议。</w:t>
      </w:r>
    </w:p>
    <w:p>
      <w:pPr>
        <w:pStyle w:val="Style31"/>
        <w:keepNext/>
        <w:keepLines/>
        <w:widowControl w:val="0"/>
        <w:shd w:val="clear" w:color="auto" w:fill="auto"/>
        <w:tabs>
          <w:tab w:pos="378" w:val="left"/>
        </w:tabs>
        <w:bidi w:val="0"/>
        <w:spacing w:before="0" w:after="36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4</w:t>
      </w:r>
      <w:bookmarkEnd w:id="327"/>
      <w:r>
        <w:rPr>
          <w:color w:val="000000"/>
          <w:spacing w:val="0"/>
          <w:w w:val="100"/>
          <w:position w:val="0"/>
        </w:rPr>
        <w:t>、</w:t>
        <w:tab/>
        <w:t>董事履行职责的其他说明</w:t>
      </w:r>
      <w:bookmarkEnd w:id="325"/>
      <w:bookmarkEnd w:id="326"/>
      <w:bookmarkEnd w:id="32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报告期内，公司独立董事严格按照《公司章程》、《独立董事工作细则》、《上市公司治理准则》及 《深圳证券交易所上市公司规范运作指引》及相关法律、法规等有关规定和要求，本着对公司及中小股东 负责的态度，独立公正地履行职责，积极出席相关会议，主动了解生产经营状况和内部控制建设及董事会 决议的执行情况，积极与其他董事、监事、管理人员进行沟通交流，就总体发展战略、风险事项化解、</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年度内部控制自我评价、续聘年度财务及内审机构等年报事项进行审核并出具了独立董事意见，有效保证 了公司董事会决策的公正性和客观性，为完善公司监督机制，维护公司和全体股东的合法权益发挥了重要 作用。</w:t>
      </w:r>
    </w:p>
    <w:p>
      <w:pPr>
        <w:pStyle w:val="Style20"/>
        <w:keepNext/>
        <w:keepLines/>
        <w:widowControl w:val="0"/>
        <w:shd w:val="clear" w:color="auto" w:fill="auto"/>
        <w:bidi w:val="0"/>
        <w:spacing w:before="0" w:after="32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七</w:t>
      </w:r>
      <w:bookmarkEnd w:id="331"/>
      <w:r>
        <w:rPr>
          <w:color w:val="000000"/>
          <w:spacing w:val="0"/>
          <w:w w:val="100"/>
          <w:position w:val="0"/>
        </w:rPr>
        <w:t>、董事会下设专门委员会在报告期内的情况</w:t>
      </w:r>
      <w:bookmarkEnd w:id="329"/>
      <w:bookmarkEnd w:id="330"/>
      <w:bookmarkEnd w:id="332"/>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召开会议次数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0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第九届董事会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罗炜（独立董 事）、陈爱珍</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 王立勇（独立 董事）、王甫民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度财务报告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（未经审计）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7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年年度财务报 告（经审计）；</w:t>
            </w:r>
          </w:p>
          <w:p>
            <w:pPr>
              <w:pStyle w:val="Style22"/>
              <w:keepNext w:val="0"/>
              <w:keepLines w:val="0"/>
              <w:widowControl w:val="0"/>
              <w:shd w:val="clear" w:color="auto" w:fill="auto"/>
              <w:tabs>
                <w:tab w:pos="254"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关于续聘公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 计机构的议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 度报告。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年度财务报告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第九届董事会 薪酬与考核委 员会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陈爱珍（独立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董事）、王甫民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关于董事、高</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级管理人员</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年薪酬情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关于修订公司</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独立董事津贴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标准的议案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第十届董事会 审计委员会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刘治钦（独立 董事）、汪三贵 （独立董事）、</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三季度报告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八</w:t>
      </w:r>
      <w:bookmarkEnd w:id="335"/>
      <w:r>
        <w:rPr>
          <w:color w:val="000000"/>
          <w:spacing w:val="0"/>
          <w:w w:val="100"/>
          <w:position w:val="0"/>
        </w:rPr>
        <w:t>、监事会工作情况</w:t>
      </w:r>
      <w:bookmarkEnd w:id="333"/>
      <w:bookmarkEnd w:id="334"/>
      <w:bookmarkEnd w:id="336"/>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九</w:t>
      </w:r>
      <w:bookmarkEnd w:id="339"/>
      <w:r>
        <w:rPr>
          <w:color w:val="000000"/>
          <w:spacing w:val="0"/>
          <w:w w:val="100"/>
          <w:position w:val="0"/>
        </w:rPr>
        <w:t>、公司员工情况</w:t>
      </w:r>
      <w:bookmarkEnd w:id="337"/>
      <w:bookmarkEnd w:id="338"/>
      <w:bookmarkEnd w:id="340"/>
    </w:p>
    <w:p>
      <w:pPr>
        <w:pStyle w:val="Style31"/>
        <w:keepNext/>
        <w:keepLines/>
        <w:widowControl w:val="0"/>
        <w:shd w:val="clear" w:color="auto" w:fill="auto"/>
        <w:bidi w:val="0"/>
        <w:spacing w:before="0" w:after="30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、员工数量、专业构成及教育程度</w:t>
      </w:r>
      <w:bookmarkEnd w:id="341"/>
      <w:bookmarkEnd w:id="342"/>
      <w:bookmarkEnd w:id="34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tc>
      </w:tr>
    </w:tbl>
    <w:p>
      <w:pPr>
        <w:widowControl w:val="0"/>
        <w:spacing w:after="119" w:line="1" w:lineRule="exact"/>
      </w:pPr>
    </w:p>
    <w:p>
      <w:pPr>
        <w:pStyle w:val="Style31"/>
        <w:keepNext/>
        <w:keepLines/>
        <w:widowControl w:val="0"/>
        <w:shd w:val="clear" w:color="auto" w:fill="auto"/>
        <w:bidi w:val="0"/>
        <w:spacing w:before="0" w:after="220" w:line="468" w:lineRule="exact"/>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、薪酬政策</w:t>
      </w:r>
      <w:bookmarkEnd w:id="345"/>
      <w:bookmarkEnd w:id="346"/>
      <w:bookmarkEnd w:id="348"/>
    </w:p>
    <w:p>
      <w:pPr>
        <w:pStyle w:val="Style17"/>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对外有竞争力，对内兼顾效率公平</w:t>
      </w:r>
      <w:r>
        <w:rPr>
          <w:rFonts w:ascii="Times New Roman" w:eastAsia="Times New Roman" w:hAnsi="Times New Roman" w:cs="Times New Roman"/>
          <w:color w:val="000000"/>
          <w:spacing w:val="0"/>
          <w:w w:val="100"/>
          <w:position w:val="0"/>
        </w:rPr>
        <w:t>”</w:t>
      </w:r>
      <w:r>
        <w:rPr>
          <w:color w:val="000000"/>
          <w:spacing w:val="0"/>
          <w:w w:val="100"/>
          <w:position w:val="0"/>
        </w:rPr>
        <w:t>原则，使公司薪酬政策服务于公司发展战略。公司整体 薪酬水平以市场为导向，以公司经营管理情况和财务支付能力为前提，为员工提供了当地具有竞争力的薪 资福利待遇，员工薪酬由固定工资与浮动工资构成，充分调动了员工的积极性和创造性。</w:t>
      </w:r>
    </w:p>
    <w:p>
      <w:pPr>
        <w:pStyle w:val="Style31"/>
        <w:keepNext/>
        <w:keepLines/>
        <w:widowControl w:val="0"/>
        <w:shd w:val="clear" w:color="auto" w:fill="auto"/>
        <w:bidi w:val="0"/>
        <w:spacing w:before="0" w:after="22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、培训计划</w:t>
      </w:r>
      <w:bookmarkEnd w:id="349"/>
      <w:bookmarkEnd w:id="350"/>
      <w:bookmarkEnd w:id="352"/>
    </w:p>
    <w:p>
      <w:pPr>
        <w:pStyle w:val="Style17"/>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员工培训是公司人力资源管理的重点。公司一直十分重视员工的培训与发展工作，公司结合公司现状、 年度计划、岗位性质与职责、以及员工学习需求，制定有效合适的培训计划。包括新员工入职培训、在职 人员业务培训、一线员工的操作技能培训、管理者提升培训、业余学习等，不断提高员工的整体素质，实 现公司与员工的双赢共进。</w:t>
      </w:r>
    </w:p>
    <w:p>
      <w:pPr>
        <w:pStyle w:val="Style31"/>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、劳务外包情况</w:t>
      </w:r>
      <w:bookmarkEnd w:id="353"/>
      <w:bookmarkEnd w:id="354"/>
      <w:bookmarkEnd w:id="356"/>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16,128,968.00</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r>
        <w:rPr>
          <w:color w:val="000000"/>
          <w:spacing w:val="0"/>
          <w:w w:val="100"/>
          <w:position w:val="0"/>
        </w:rPr>
        <w:t>十、公司利润分配及资本公积金转增股本情况</w:t>
      </w:r>
      <w:bookmarkEnd w:id="357"/>
      <w:bookmarkEnd w:id="358"/>
      <w:bookmarkEnd w:id="35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本报告期利润分配及资本公积金转增股本情况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20"/>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r>
        <w:rPr>
          <w:color w:val="000000"/>
          <w:spacing w:val="0"/>
          <w:w w:val="100"/>
          <w:position w:val="0"/>
        </w:rPr>
        <w:t>十一、公司股权激励计划、员工持股计划或其他员工激励措施的实施情况</w:t>
      </w:r>
      <w:bookmarkEnd w:id="360"/>
      <w:bookmarkEnd w:id="361"/>
      <w:bookmarkEnd w:id="36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0"/>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r>
        <w:rPr>
          <w:color w:val="000000"/>
          <w:spacing w:val="0"/>
          <w:w w:val="100"/>
          <w:position w:val="0"/>
        </w:rPr>
        <w:t>十二、报告期内的内部控制制度建设及实施情况</w:t>
      </w:r>
      <w:bookmarkEnd w:id="363"/>
      <w:bookmarkEnd w:id="364"/>
      <w:bookmarkEnd w:id="365"/>
    </w:p>
    <w:p>
      <w:pPr>
        <w:pStyle w:val="Style31"/>
        <w:keepNext/>
        <w:keepLines/>
        <w:widowControl w:val="0"/>
        <w:shd w:val="clear" w:color="auto" w:fill="auto"/>
        <w:bidi w:val="0"/>
        <w:spacing w:before="0" w:after="0" w:line="48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、内部控制建设及实施情况</w:t>
      </w:r>
      <w:bookmarkEnd w:id="366"/>
      <w:bookmarkEnd w:id="367"/>
      <w:bookmarkEnd w:id="369"/>
    </w:p>
    <w:p>
      <w:pPr>
        <w:pStyle w:val="Style17"/>
        <w:keepNext w:val="0"/>
        <w:keepLines w:val="0"/>
        <w:widowControl w:val="0"/>
        <w:shd w:val="clear" w:color="auto" w:fill="auto"/>
        <w:bidi w:val="0"/>
        <w:spacing w:before="0" w:after="1200" w:line="466" w:lineRule="exact"/>
        <w:ind w:left="0" w:right="0" w:firstLine="440"/>
        <w:jc w:val="both"/>
      </w:pPr>
      <w:r>
        <w:rPr>
          <w:color w:val="000000"/>
          <w:spacing w:val="0"/>
          <w:w w:val="100"/>
          <w:position w:val="0"/>
        </w:rPr>
        <w:t>公司逐步建立并健全与公司发展战略相匹配的内部控制管理体系，明确了各个层级的决策、执行、监 督等方面的职责权限，通过不断优化组织架构，完善会计控制系统，深化预算管理，重视信息化建设，加 强内部控制，规范内部管理，夯实内控基础。报告期内</w:t>
      </w:r>
      <w:r>
        <w:rPr>
          <w:color w:val="000000"/>
          <w:spacing w:val="0"/>
          <w:w w:val="100"/>
          <w:position w:val="0"/>
        </w:rPr>
        <w:t>，</w:t>
      </w:r>
      <w:r>
        <w:rPr>
          <w:color w:val="000000"/>
          <w:spacing w:val="0"/>
          <w:w w:val="100"/>
          <w:position w:val="0"/>
        </w:rPr>
        <w:t>公司根据《企业内部控制基本规范》及其配套指引 的规定和其他内部控制监管要求，结合自身内部控制制度和评价办法，对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日（内部控制评价 报告基准日）的内部控制有效性进行了评价。评价过程中，公司收集了内部控制设计和运行是否有效的证 据，填写了评价工作底稿，分析、识别内部控制缺陷，就需要完善的方面和重要业务活动提出了整改建议，</w:t>
        <w:br w:type="page"/>
      </w:r>
      <w:r>
        <w:rPr>
          <w:color w:val="000000"/>
          <w:spacing w:val="0"/>
          <w:w w:val="100"/>
          <w:position w:val="0"/>
        </w:rPr>
        <w:t>汇总评价结果编制了评价报告</w:t>
      </w:r>
      <w:r>
        <w:rPr>
          <w:color w:val="000000"/>
          <w:spacing w:val="0"/>
          <w:w w:val="100"/>
          <w:position w:val="0"/>
        </w:rPr>
        <w:t>，</w:t>
      </w:r>
      <w:r>
        <w:rPr>
          <w:color w:val="000000"/>
          <w:spacing w:val="0"/>
          <w:w w:val="100"/>
          <w:position w:val="0"/>
        </w:rPr>
        <w:t>并积极配合外部审计单位做好</w:t>
      </w:r>
      <w:r>
        <w:rPr>
          <w:rFonts w:ascii="Times New Roman" w:eastAsia="Times New Roman" w:hAnsi="Times New Roman" w:cs="Times New Roman"/>
          <w:color w:val="000000"/>
          <w:spacing w:val="0"/>
          <w:w w:val="100"/>
          <w:position w:val="0"/>
        </w:rPr>
        <w:t>2021</w:t>
      </w:r>
      <w:r>
        <w:rPr>
          <w:color w:val="000000"/>
          <w:spacing w:val="0"/>
          <w:w w:val="100"/>
          <w:position w:val="0"/>
        </w:rPr>
        <w:t>年度内控审计工作。</w:t>
      </w:r>
    </w:p>
    <w:p>
      <w:pPr>
        <w:pStyle w:val="Style31"/>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、报告期内发现的内部控制重大缺陷的具体情况</w:t>
      </w:r>
      <w:bookmarkEnd w:id="370"/>
      <w:bookmarkEnd w:id="371"/>
      <w:bookmarkEnd w:id="373"/>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0"/>
        <w:keepNext/>
        <w:keepLines/>
        <w:widowControl w:val="0"/>
        <w:shd w:val="clear" w:color="auto" w:fill="auto"/>
        <w:bidi w:val="0"/>
        <w:spacing w:before="0" w:after="340" w:line="240" w:lineRule="auto"/>
        <w:ind w:left="0" w:right="0" w:firstLine="0"/>
        <w:jc w:val="left"/>
      </w:pPr>
      <w:bookmarkStart w:id="374" w:name="bookmark374"/>
      <w:bookmarkStart w:id="375" w:name="bookmark375"/>
      <w:bookmarkStart w:id="376" w:name="bookmark376"/>
      <w:r>
        <w:rPr>
          <w:color w:val="000000"/>
          <w:spacing w:val="0"/>
          <w:w w:val="100"/>
          <w:position w:val="0"/>
        </w:rPr>
        <w:t>十三、公司报告期内对子公司的管理控制情况</w:t>
      </w:r>
      <w:bookmarkEnd w:id="374"/>
      <w:bookmarkEnd w:id="375"/>
      <w:bookmarkEnd w:id="376"/>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蒙阴县盛康光伏 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组织机构、管理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制度等整合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未出现重大问题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都昌县皓晖光伏 电站有限公司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组织机构、管理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制度等整合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未出现重大问题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0"/>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r>
        <w:rPr>
          <w:color w:val="000000"/>
          <w:spacing w:val="0"/>
          <w:w w:val="100"/>
          <w:position w:val="0"/>
        </w:rPr>
        <w:t>十四、内部控制自我评价报告或内部控制审计报告</w:t>
      </w:r>
      <w:bookmarkEnd w:id="377"/>
      <w:bookmarkEnd w:id="378"/>
      <w:bookmarkEnd w:id="379"/>
    </w:p>
    <w:p>
      <w:pPr>
        <w:pStyle w:val="Style31"/>
        <w:keepNext/>
        <w:keepLines/>
        <w:widowControl w:val="0"/>
        <w:shd w:val="clear" w:color="auto" w:fill="auto"/>
        <w:bidi w:val="0"/>
        <w:spacing w:before="0" w:after="34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、内控自我评价报告</w:t>
      </w:r>
      <w:bookmarkEnd w:id="380"/>
      <w:bookmarkEnd w:id="381"/>
      <w:bookmarkEnd w:id="383"/>
    </w:p>
    <w:tbl>
      <w:tblPr>
        <w:tblOverlap w:val="never"/>
        <w:jc w:val="center"/>
        <w:tblLayout w:type="fixed"/>
      </w:tblPr>
      <w:tblGrid>
        <w:gridCol w:w="3197"/>
        <w:gridCol w:w="3331"/>
        <w:gridCol w:w="326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巨潮资讯网 </w:t>
            </w: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76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公司确定的财务报告内部控制缺陷评价的 定性标准如下：</w:t>
            </w:r>
          </w:p>
          <w:p>
            <w:pPr>
              <w:pStyle w:val="Style22"/>
              <w:keepNext w:val="0"/>
              <w:keepLines w:val="0"/>
              <w:widowControl w:val="0"/>
              <w:shd w:val="clear" w:color="auto" w:fill="auto"/>
              <w:tabs>
                <w:tab w:pos="355" w:val="left"/>
              </w:tabs>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具有以下特征的缺陷定性为重大缺陷：</w:t>
            </w:r>
          </w:p>
          <w:p>
            <w:pPr>
              <w:pStyle w:val="Style22"/>
              <w:keepNext w:val="0"/>
              <w:keepLines w:val="0"/>
              <w:widowControl w:val="0"/>
              <w:numPr>
                <w:ilvl w:val="0"/>
                <w:numId w:val="5"/>
              </w:numPr>
              <w:shd w:val="clear" w:color="auto" w:fill="auto"/>
              <w:tabs>
                <w:tab w:pos="192" w:val="left"/>
              </w:tabs>
              <w:bidi w:val="0"/>
              <w:spacing w:before="0" w:after="0" w:line="311" w:lineRule="exact"/>
              <w:ind w:left="0" w:right="0" w:firstLine="0"/>
              <w:jc w:val="both"/>
            </w:pPr>
            <w:r>
              <w:rPr>
                <w:color w:val="000000"/>
                <w:spacing w:val="0"/>
                <w:w w:val="100"/>
                <w:position w:val="0"/>
              </w:rPr>
              <w:t>公司董事、监事和高级管理人员舞弊；</w:t>
            </w:r>
          </w:p>
          <w:p>
            <w:pPr>
              <w:pStyle w:val="Style22"/>
              <w:keepNext w:val="0"/>
              <w:keepLines w:val="0"/>
              <w:widowControl w:val="0"/>
              <w:numPr>
                <w:ilvl w:val="0"/>
                <w:numId w:val="5"/>
              </w:numPr>
              <w:shd w:val="clear" w:color="auto" w:fill="auto"/>
              <w:tabs>
                <w:tab w:pos="206" w:val="left"/>
              </w:tabs>
              <w:bidi w:val="0"/>
              <w:spacing w:before="0" w:after="0" w:line="311" w:lineRule="exact"/>
              <w:ind w:left="0" w:right="0" w:firstLine="0"/>
              <w:jc w:val="both"/>
            </w:pPr>
            <w:r>
              <w:rPr>
                <w:color w:val="000000"/>
                <w:spacing w:val="0"/>
                <w:w w:val="100"/>
                <w:position w:val="0"/>
              </w:rPr>
              <w:t>已公布的财务报表出现重大错报而需 进行更正；③注册会计师发现当期财务 报表存在重大错报，而公司内部控制在 运行过程中未能发现该错报；</w:t>
            </w:r>
          </w:p>
          <w:p>
            <w:pPr>
              <w:pStyle w:val="Style22"/>
              <w:keepNext w:val="0"/>
              <w:keepLines w:val="0"/>
              <w:widowControl w:val="0"/>
              <w:shd w:val="clear" w:color="auto" w:fill="auto"/>
              <w:tabs>
                <w:tab w:pos="355" w:val="left"/>
              </w:tabs>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具有以下特征的缺陷定性为重要缺陷：① 未依照《企业会计准则》选择和应用会计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公司确定的非财务报告内部控制缺陷</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评价的定性标准如下：</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公司根据缺陷直接或潜在负面影响的 性质、影响的范围等因素进行判断，具有 以下特征的缺陷定性为重大缺陷：</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①严重违犯国家法律、行政法规和规范性 文件，受到政府部门或监管机构调查、处 罚，造成重大经济损失或企业声誉严重受 损；②因决策程序不科学，导致重大失误 ，造成重大损失；③内部控制评价的结果 特别是重大缺陷未得到整改；</w:t>
            </w:r>
          </w:p>
        </w:tc>
      </w:tr>
    </w:tbl>
    <w:p>
      <w:pPr>
        <w:spacing w:lineRule="exact" w:line="1"/>
        <w:rPr>
          <w:sz w:val="2"/>
          <w:szCs w:val="2"/>
        </w:rPr>
      </w:pPr>
      <w:r>
        <w:br w:type="page"/>
      </w:r>
    </w:p>
    <w:tbl>
      <w:tblPr>
        <w:tblOverlap w:val="never"/>
        <w:jc w:val="center"/>
        <w:tblLayout w:type="fixed"/>
      </w:tblPr>
      <w:tblGrid>
        <w:gridCol w:w="3197"/>
        <w:gridCol w:w="3331"/>
        <w:gridCol w:w="3269"/>
      </w:tblGrid>
      <w:tr>
        <w:trPr>
          <w:trHeight w:val="52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政策；②未建立反舞弊制度和控制措施；</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③对于期末财务报告过程的控制存在一项 或多项缺陷且不能合理保证编制的财务报 表达到真实、完整的目标。</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指未构成重大缺陷、重要缺陷标准的其他 内部控制缺陷。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tabs>
                <w:tab w:pos="355"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公司根据缺陷直接或潜在负面影响的性 质、影响的范围等因素进行判断，具有 以下特征的缺陷定性为重要缺陷：</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①违犯国家法律、行政法规和规范性文 件，受到政府部门或监管机构调查、处罚， 造成较大经济损失或对企业声誉造成较 大损害；②决策程序导致出现重要失误， 造成较大损失；③内部控制评价的结果特 别是重要缺陷未得到整改；④重要业务制 度或流程存在重要缺陷或未有效执行，对 公司造成重要的负面影响。</w:t>
            </w:r>
          </w:p>
          <w:p>
            <w:pPr>
              <w:pStyle w:val="Style22"/>
              <w:keepNext w:val="0"/>
              <w:keepLines w:val="0"/>
              <w:widowControl w:val="0"/>
              <w:shd w:val="clear" w:color="auto" w:fill="auto"/>
              <w:tabs>
                <w:tab w:pos="355"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指未构成重大缺陷、重要缺陷标准的其他 内部控制缺陷。</w:t>
            </w:r>
          </w:p>
        </w:tc>
      </w:tr>
      <w:tr>
        <w:trPr>
          <w:trHeight w:val="25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2" w:lineRule="exact"/>
              <w:ind w:left="0" w:right="0" w:firstLine="0"/>
              <w:jc w:val="both"/>
            </w:pPr>
            <w:r>
              <w:rPr>
                <w:color w:val="000000"/>
                <w:spacing w:val="0"/>
                <w:w w:val="100"/>
                <w:position w:val="0"/>
              </w:rPr>
              <w:t>重大缺陷：潜在错报金额</w:t>
            </w:r>
            <w:r>
              <w:rPr>
                <w:color w:val="000000"/>
                <w:spacing w:val="0"/>
                <w:w w:val="100"/>
                <w:position w:val="0"/>
                <w:sz w:val="18"/>
                <w:szCs w:val="18"/>
              </w:rPr>
              <w:t>〉</w:t>
            </w:r>
            <w:r>
              <w:rPr>
                <w:color w:val="000000"/>
                <w:spacing w:val="0"/>
                <w:w w:val="100"/>
                <w:position w:val="0"/>
              </w:rPr>
              <w:t>合并会计报表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；重要缺陷：合并会计报 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潜在错报金额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合并 会计报表资产总额的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352" w:lineRule="exact"/>
              <w:ind w:left="0" w:right="0" w:firstLine="0"/>
              <w:jc w:val="both"/>
              <w:rPr>
                <w:sz w:val="18"/>
                <w:szCs w:val="18"/>
              </w:rPr>
            </w:pPr>
            <w:r>
              <w:rPr>
                <w:color w:val="000000"/>
                <w:spacing w:val="0"/>
                <w:w w:val="100"/>
                <w:position w:val="0"/>
                <w:sz w:val="16"/>
                <w:szCs w:val="16"/>
              </w:rPr>
              <w:t>一般缺陷：潜在错报金额</w:t>
            </w:r>
            <w:r>
              <w:rPr>
                <w:color w:val="000000"/>
                <w:spacing w:val="0"/>
                <w:w w:val="100"/>
                <w:position w:val="0"/>
                <w:sz w:val="18"/>
                <w:szCs w:val="18"/>
              </w:rPr>
              <w:t>〈</w:t>
            </w:r>
            <w:r>
              <w:rPr>
                <w:color w:val="000000"/>
                <w:spacing w:val="0"/>
                <w:w w:val="100"/>
                <w:position w:val="0"/>
                <w:sz w:val="16"/>
                <w:szCs w:val="16"/>
              </w:rPr>
              <w:t>合并会计报表 资产总额的</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6"/>
                <w:szCs w:val="16"/>
              </w:rPr>
              <w:t>重大缺陷：直接财产损失金额</w:t>
            </w:r>
            <w:r>
              <w:rPr>
                <w:color w:val="000000"/>
                <w:spacing w:val="0"/>
                <w:w w:val="100"/>
                <w:position w:val="0"/>
                <w:sz w:val="18"/>
                <w:szCs w:val="18"/>
              </w:rPr>
              <w:t>〉</w:t>
            </w:r>
            <w:r>
              <w:rPr>
                <w:color w:val="000000"/>
                <w:spacing w:val="0"/>
                <w:w w:val="100"/>
                <w:position w:val="0"/>
                <w:sz w:val="16"/>
                <w:szCs w:val="16"/>
              </w:rPr>
              <w:t>合并会计 报表资产总额的</w:t>
            </w:r>
            <w:r>
              <w:rPr>
                <w:rFonts w:ascii="Times New Roman" w:eastAsia="Times New Roman" w:hAnsi="Times New Roman" w:cs="Times New Roman"/>
                <w:color w:val="000000"/>
                <w:spacing w:val="0"/>
                <w:w w:val="100"/>
                <w:position w:val="0"/>
                <w:sz w:val="18"/>
                <w:szCs w:val="18"/>
              </w:rPr>
              <w:t>1%</w:t>
            </w:r>
          </w:p>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重要缺陷：合并会计报表资产总额的</w:t>
            </w:r>
          </w:p>
          <w:p>
            <w:pPr>
              <w:pStyle w:val="Style22"/>
              <w:keepNext w:val="0"/>
              <w:keepLines w:val="0"/>
              <w:widowControl w:val="0"/>
              <w:shd w:val="clear" w:color="auto" w:fill="auto"/>
              <w:bidi w:val="0"/>
              <w:spacing w:before="0" w:after="0" w:line="35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直接财产损失金额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合并会计报表 资产总额的</w:t>
            </w:r>
            <w:r>
              <w:rPr>
                <w:rFonts w:ascii="Times New Roman" w:eastAsia="Times New Roman" w:hAnsi="Times New Roman" w:cs="Times New Roman"/>
                <w:color w:val="000000"/>
                <w:spacing w:val="0"/>
                <w:w w:val="100"/>
                <w:position w:val="0"/>
                <w:sz w:val="18"/>
                <w:szCs w:val="18"/>
              </w:rPr>
              <w:t>1%</w:t>
            </w:r>
          </w:p>
          <w:p>
            <w:pPr>
              <w:pStyle w:val="Style2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6"/>
                <w:szCs w:val="16"/>
              </w:rPr>
              <w:t>一般缺陷：直接财产损失金额</w:t>
            </w:r>
            <w:r>
              <w:rPr>
                <w:color w:val="000000"/>
                <w:spacing w:val="0"/>
                <w:w w:val="100"/>
                <w:position w:val="0"/>
                <w:sz w:val="18"/>
                <w:szCs w:val="18"/>
              </w:rPr>
              <w:t>〈</w:t>
            </w:r>
            <w:r>
              <w:rPr>
                <w:color w:val="000000"/>
                <w:spacing w:val="0"/>
                <w:w w:val="100"/>
                <w:position w:val="0"/>
                <w:sz w:val="16"/>
                <w:szCs w:val="16"/>
              </w:rPr>
              <w:t>合并会 计报表资产总额的</w:t>
            </w: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、内部控制审计报告</w:t>
      </w:r>
      <w:bookmarkEnd w:id="384"/>
      <w:bookmarkEnd w:id="385"/>
      <w:bookmarkEnd w:id="387"/>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会计师认为，东旭蓝天公司于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 的财务报告内部控制。</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巨潮资讯网 </w:t>
            </w:r>
            <w:r>
              <w:rPr>
                <w:rFonts w:ascii="Times New Roman" w:eastAsia="Times New Roman" w:hAnsi="Times New Roman" w:cs="Times New Roman"/>
                <w:color w:val="000000"/>
                <w:spacing w:val="0"/>
                <w:w w:val="100"/>
                <w:position w:val="0"/>
                <w:sz w:val="18"/>
                <w:szCs w:val="18"/>
              </w:rPr>
              <w:t>www. cninfo. com. cn</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带强调事项段无保留意见</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0"/>
        <w:keepNext/>
        <w:keepLines/>
        <w:widowControl w:val="0"/>
        <w:shd w:val="clear" w:color="auto" w:fill="auto"/>
        <w:bidi w:val="0"/>
        <w:spacing w:before="0" w:after="200" w:line="240" w:lineRule="auto"/>
        <w:ind w:left="0" w:right="0" w:firstLine="0"/>
        <w:jc w:val="left"/>
      </w:pPr>
      <w:bookmarkStart w:id="388" w:name="bookmark388"/>
      <w:bookmarkStart w:id="389" w:name="bookmark389"/>
      <w:bookmarkStart w:id="390" w:name="bookmark390"/>
      <w:r>
        <w:rPr>
          <w:color w:val="000000"/>
          <w:spacing w:val="0"/>
          <w:w w:val="100"/>
          <w:position w:val="0"/>
        </w:rPr>
        <w:t>十五、上市公司治理专项行动自查问题整改情况</w:t>
      </w:r>
      <w:bookmarkEnd w:id="388"/>
      <w:bookmarkEnd w:id="389"/>
      <w:bookmarkEnd w:id="390"/>
    </w:p>
    <w:p>
      <w:pPr>
        <w:pStyle w:val="Style17"/>
        <w:keepNext w:val="0"/>
        <w:keepLines w:val="0"/>
        <w:widowControl w:val="0"/>
        <w:shd w:val="clear" w:color="auto" w:fill="auto"/>
        <w:bidi w:val="0"/>
        <w:spacing w:before="0" w:after="180" w:line="468" w:lineRule="exact"/>
        <w:ind w:left="0" w:right="0" w:firstLine="580"/>
        <w:jc w:val="both"/>
        <w:sectPr>
          <w:footnotePr>
            <w:pos w:val="pageBottom"/>
            <w:numFmt w:val="decimal"/>
            <w:numRestart w:val="continuous"/>
          </w:footnotePr>
          <w:pgSz w:w="11900" w:h="16840"/>
          <w:pgMar w:top="1299" w:right="1039" w:bottom="1549" w:left="1050" w:header="0" w:footer="3" w:gutter="0"/>
          <w:cols w:space="720"/>
          <w:noEndnote/>
          <w:rtlGutter w:val="0"/>
          <w:docGrid w:linePitch="360"/>
        </w:sectPr>
      </w:pPr>
      <w:r>
        <w:rPr>
          <w:color w:val="000000"/>
          <w:spacing w:val="0"/>
          <w:w w:val="100"/>
          <w:position w:val="0"/>
        </w:rPr>
        <w:t>根据中国证监会上市公司治理专项行动的部署，经公司对专项活动的自查事项进行自查，发现公司 关联交易的相应制度、流程、沟通不够完善，公司积极整改，重新修订了《关联交易管理制度》，增加了 原制度中对关联交易事项沟通报告、审批机制等，并提交第十届董事会第五次会议审议通过，未来公司将 严格按照该制度执行。目前公司已经按照相关法律法规建立健全了较为完整、合理的法人治理结构及内部 控制体系，公司将继续加强自身建设，不断提高公司治理和经营管理水平，进一步完善内部控制体系。</w:t>
      </w:r>
    </w:p>
    <w:p>
      <w:pPr>
        <w:pStyle w:val="Style8"/>
        <w:keepNext/>
        <w:keepLines/>
        <w:widowControl w:val="0"/>
        <w:shd w:val="clear" w:color="auto" w:fill="auto"/>
        <w:bidi w:val="0"/>
        <w:spacing w:before="640" w:line="240" w:lineRule="auto"/>
        <w:ind w:left="0" w:right="0" w:firstLine="0"/>
        <w:jc w:val="center"/>
      </w:pPr>
      <w:bookmarkStart w:id="391" w:name="bookmark391"/>
      <w:bookmarkStart w:id="392" w:name="bookmark392"/>
      <w:bookmarkStart w:id="393" w:name="bookmark393"/>
      <w:r>
        <w:rPr>
          <w:color w:val="000000"/>
          <w:spacing w:val="0"/>
          <w:w w:val="100"/>
          <w:position w:val="0"/>
        </w:rPr>
        <w:t>第五节环境和社会责任</w:t>
      </w:r>
      <w:bookmarkEnd w:id="391"/>
      <w:bookmarkEnd w:id="392"/>
      <w:bookmarkEnd w:id="393"/>
    </w:p>
    <w:p>
      <w:pPr>
        <w:pStyle w:val="Style20"/>
        <w:keepNext/>
        <w:keepLines/>
        <w:widowControl w:val="0"/>
        <w:shd w:val="clear" w:color="auto" w:fill="auto"/>
        <w:bidi w:val="0"/>
        <w:spacing w:before="0" w:after="360" w:line="240" w:lineRule="auto"/>
        <w:ind w:left="0" w:right="0" w:firstLine="260"/>
        <w:jc w:val="both"/>
      </w:pPr>
      <w:bookmarkStart w:id="394" w:name="bookmark394"/>
      <w:bookmarkStart w:id="395" w:name="bookmark395"/>
      <w:bookmarkStart w:id="396" w:name="bookmark396"/>
      <w:bookmarkStart w:id="397" w:name="bookmark397"/>
      <w:r>
        <w:rPr>
          <w:color w:val="000000"/>
          <w:spacing w:val="0"/>
          <w:w w:val="100"/>
          <w:position w:val="0"/>
        </w:rPr>
        <w:t>、重大环保问题</w:t>
      </w:r>
      <w:bookmarkEnd w:id="395"/>
      <w:bookmarkEnd w:id="396"/>
      <w:bookmarkEnd w:id="397"/>
      <w:bookmarkEnd w:id="39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466" w:lineRule="exact"/>
        <w:ind w:left="0" w:right="0" w:firstLine="0"/>
        <w:jc w:val="left"/>
      </w:pPr>
      <w:r>
        <w:rPr>
          <w:color w:val="000000"/>
          <w:spacing w:val="0"/>
          <w:w w:val="100"/>
          <w:position w:val="0"/>
        </w:rPr>
        <w:t>未披露其他环境信息的原因</w:t>
      </w:r>
    </w:p>
    <w:p>
      <w:pPr>
        <w:pStyle w:val="Style17"/>
        <w:keepNext w:val="0"/>
        <w:keepLines w:val="0"/>
        <w:widowControl w:val="0"/>
        <w:shd w:val="clear" w:color="auto" w:fill="auto"/>
        <w:bidi w:val="0"/>
        <w:spacing w:before="0" w:after="460" w:line="466" w:lineRule="exact"/>
        <w:ind w:left="0" w:right="0" w:firstLine="420"/>
        <w:jc w:val="both"/>
      </w:pPr>
      <w:r>
        <w:rPr>
          <w:color w:val="000000"/>
          <w:spacing w:val="0"/>
          <w:w w:val="100"/>
          <w:position w:val="0"/>
        </w:rPr>
        <w:t>公司所有光伏电站项目均属清洁能源生产，不存在噪声、电磁、废水、废气及固体废弃物等排放超标 情况。公司依托现有光伏基地，采用</w:t>
      </w:r>
      <w:r>
        <w:rPr>
          <w:rFonts w:ascii="Times New Roman" w:eastAsia="Times New Roman" w:hAnsi="Times New Roman" w:cs="Times New Roman"/>
          <w:color w:val="000000"/>
          <w:spacing w:val="0"/>
          <w:w w:val="100"/>
          <w:position w:val="0"/>
        </w:rPr>
        <w:t>“</w:t>
      </w:r>
      <w:r>
        <w:rPr>
          <w:color w:val="000000"/>
          <w:spacing w:val="0"/>
          <w:w w:val="100"/>
          <w:position w:val="0"/>
        </w:rPr>
        <w:t>农光互补''模式，试点</w:t>
      </w:r>
      <w:r>
        <w:rPr>
          <w:rFonts w:ascii="Times New Roman" w:eastAsia="Times New Roman" w:hAnsi="Times New Roman" w:cs="Times New Roman"/>
          <w:color w:val="000000"/>
          <w:spacing w:val="0"/>
          <w:w w:val="100"/>
          <w:position w:val="0"/>
        </w:rPr>
        <w:t>“</w:t>
      </w:r>
      <w:r>
        <w:rPr>
          <w:color w:val="000000"/>
          <w:spacing w:val="0"/>
          <w:w w:val="100"/>
          <w:position w:val="0"/>
        </w:rPr>
        <w:t>茶园综合体</w:t>
      </w:r>
      <w:r>
        <w:rPr>
          <w:rFonts w:ascii="Times New Roman" w:eastAsia="Times New Roman" w:hAnsi="Times New Roman" w:cs="Times New Roman"/>
          <w:color w:val="000000"/>
          <w:spacing w:val="0"/>
          <w:w w:val="100"/>
          <w:position w:val="0"/>
        </w:rPr>
        <w:t>”</w:t>
      </w:r>
      <w:r>
        <w:rPr>
          <w:color w:val="000000"/>
          <w:spacing w:val="0"/>
          <w:w w:val="100"/>
          <w:position w:val="0"/>
        </w:rPr>
        <w:t>项目，建成以大别山油茶产业化 为基础，从育种、育苗、栽培到油茶压榨全流程农产品产业，精准助力乡村振兴。</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本报告期内，公司及下属公司认真遵守国家环境保护法律法规，未发生重大环境违法行为被处罚的情况。</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号——行业信息披露》中电力相关业的披露要求</w:t>
      </w:r>
    </w:p>
    <w:p>
      <w:pPr>
        <w:pStyle w:val="Style17"/>
        <w:keepNext w:val="0"/>
        <w:keepLines w:val="0"/>
        <w:widowControl w:val="0"/>
        <w:shd w:val="clear" w:color="auto" w:fill="auto"/>
        <w:bidi w:val="0"/>
        <w:spacing w:before="0" w:after="0" w:line="469" w:lineRule="exact"/>
        <w:ind w:left="0" w:right="0"/>
        <w:jc w:val="both"/>
      </w:pPr>
      <w:r>
        <w:rPr>
          <w:rFonts w:ascii="Tahoma" w:eastAsia="Tahoma" w:hAnsi="Tahoma" w:cs="Tahoma"/>
          <w:color w:val="000000"/>
          <w:spacing w:val="0"/>
          <w:w w:val="100"/>
          <w:position w:val="0"/>
          <w:sz w:val="18"/>
          <w:szCs w:val="18"/>
        </w:rPr>
        <w:t>2021</w:t>
      </w:r>
      <w:r>
        <w:rPr>
          <w:color w:val="000000"/>
          <w:spacing w:val="0"/>
          <w:w w:val="100"/>
          <w:position w:val="0"/>
        </w:rPr>
        <w:t>年度，公司光伏电站发电量</w:t>
      </w:r>
      <w:r>
        <w:rPr>
          <w:rFonts w:ascii="Tahoma" w:eastAsia="Tahoma" w:hAnsi="Tahoma" w:cs="Tahoma"/>
          <w:color w:val="000000"/>
          <w:spacing w:val="0"/>
          <w:w w:val="100"/>
          <w:position w:val="0"/>
          <w:sz w:val="18"/>
          <w:szCs w:val="18"/>
        </w:rPr>
        <w:t>11.5</w:t>
      </w:r>
      <w:r>
        <w:rPr>
          <w:rFonts w:ascii="Tahoma" w:eastAsia="Tahoma" w:hAnsi="Tahoma" w:cs="Tahoma"/>
          <w:color w:val="000000"/>
          <w:spacing w:val="0"/>
          <w:w w:val="100"/>
          <w:position w:val="0"/>
          <w:sz w:val="18"/>
          <w:szCs w:val="18"/>
        </w:rPr>
        <w:t>0</w:t>
      </w:r>
      <w:r>
        <w:rPr>
          <w:color w:val="000000"/>
          <w:spacing w:val="0"/>
          <w:w w:val="100"/>
          <w:position w:val="0"/>
        </w:rPr>
        <w:t>亿千瓦时，产出的绿色电力约相当于节约标准煤</w:t>
      </w:r>
      <w:r>
        <w:rPr>
          <w:rFonts w:ascii="Tahoma" w:eastAsia="Tahoma" w:hAnsi="Tahoma" w:cs="Tahoma"/>
          <w:color w:val="000000"/>
          <w:spacing w:val="0"/>
          <w:w w:val="100"/>
          <w:position w:val="0"/>
          <w:sz w:val="18"/>
          <w:szCs w:val="18"/>
        </w:rPr>
        <w:t>38.5</w:t>
      </w:r>
      <w:r>
        <w:rPr>
          <w:color w:val="000000"/>
          <w:spacing w:val="0"/>
          <w:w w:val="100"/>
          <w:position w:val="0"/>
        </w:rPr>
        <w:t>万吨，</w:t>
      </w:r>
    </w:p>
    <w:p>
      <w:pPr>
        <w:pStyle w:val="Style17"/>
        <w:keepNext w:val="0"/>
        <w:keepLines w:val="0"/>
        <w:widowControl w:val="0"/>
        <w:shd w:val="clear" w:color="auto" w:fill="auto"/>
        <w:bidi w:val="0"/>
        <w:spacing w:before="0" w:after="460" w:line="469" w:lineRule="exact"/>
        <w:ind w:left="0" w:right="0" w:firstLine="0"/>
        <w:jc w:val="both"/>
      </w:pPr>
      <w:r>
        <w:rPr>
          <w:color w:val="000000"/>
          <w:spacing w:val="0"/>
          <w:w w:val="100"/>
          <w:position w:val="0"/>
        </w:rPr>
        <w:t>可减排二氧化碳</w:t>
      </w:r>
      <w:r>
        <w:rPr>
          <w:rFonts w:ascii="Tahoma" w:eastAsia="Tahoma" w:hAnsi="Tahoma" w:cs="Tahoma"/>
          <w:color w:val="000000"/>
          <w:spacing w:val="0"/>
          <w:w w:val="100"/>
          <w:position w:val="0"/>
          <w:sz w:val="18"/>
          <w:szCs w:val="18"/>
        </w:rPr>
        <w:t xml:space="preserve">100. </w:t>
      </w:r>
      <w:r>
        <w:rPr>
          <w:rFonts w:ascii="Tahoma" w:eastAsia="Tahoma" w:hAnsi="Tahoma" w:cs="Tahoma"/>
          <w:color w:val="000000"/>
          <w:spacing w:val="0"/>
          <w:w w:val="100"/>
          <w:position w:val="0"/>
          <w:sz w:val="18"/>
          <w:szCs w:val="18"/>
        </w:rPr>
        <w:t>13</w:t>
      </w:r>
      <w:r>
        <w:rPr>
          <w:color w:val="000000"/>
          <w:spacing w:val="0"/>
          <w:w w:val="100"/>
          <w:position w:val="0"/>
        </w:rPr>
        <w:t>万吨、二氧化硫</w:t>
      </w:r>
      <w:r>
        <w:rPr>
          <w:rFonts w:ascii="Tahoma" w:eastAsia="Tahoma" w:hAnsi="Tahoma" w:cs="Tahoma"/>
          <w:color w:val="000000"/>
          <w:spacing w:val="0"/>
          <w:w w:val="100"/>
          <w:position w:val="0"/>
          <w:sz w:val="18"/>
          <w:szCs w:val="18"/>
        </w:rPr>
        <w:t>539.75</w:t>
      </w:r>
      <w:r>
        <w:rPr>
          <w:color w:val="000000"/>
          <w:spacing w:val="0"/>
          <w:w w:val="100"/>
          <w:position w:val="0"/>
        </w:rPr>
        <w:t>吨、氮氧化物</w:t>
      </w:r>
      <w:r>
        <w:rPr>
          <w:rFonts w:ascii="Tahoma" w:eastAsia="Tahoma" w:hAnsi="Tahoma" w:cs="Tahoma"/>
          <w:color w:val="000000"/>
          <w:spacing w:val="0"/>
          <w:w w:val="100"/>
          <w:position w:val="0"/>
          <w:sz w:val="18"/>
          <w:szCs w:val="18"/>
        </w:rPr>
        <w:t>493.85</w:t>
      </w:r>
      <w:r>
        <w:rPr>
          <w:color w:val="000000"/>
          <w:spacing w:val="0"/>
          <w:w w:val="100"/>
          <w:position w:val="0"/>
        </w:rPr>
        <w:t>吨。</w:t>
      </w:r>
    </w:p>
    <w:p>
      <w:pPr>
        <w:pStyle w:val="Style20"/>
        <w:keepNext/>
        <w:keepLines/>
        <w:widowControl w:val="0"/>
        <w:shd w:val="clear" w:color="auto" w:fill="auto"/>
        <w:bidi w:val="0"/>
        <w:spacing w:before="0" w:after="22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二</w:t>
      </w:r>
      <w:bookmarkEnd w:id="400"/>
      <w:r>
        <w:rPr>
          <w:color w:val="000000"/>
          <w:spacing w:val="0"/>
          <w:w w:val="100"/>
          <w:position w:val="0"/>
        </w:rPr>
        <w:t>、社会责任情况</w:t>
      </w:r>
      <w:bookmarkEnd w:id="398"/>
      <w:bookmarkEnd w:id="399"/>
      <w:bookmarkEnd w:id="401"/>
    </w:p>
    <w:p>
      <w:pPr>
        <w:pStyle w:val="Style17"/>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公司一直注重践行社会责任，积极投身于公益事业，让公益正能量成为企业文化，努力回馈社会，并 始终将社会责任牢记于心、固化于制、展现于行。</w:t>
      </w:r>
    </w:p>
    <w:p>
      <w:pPr>
        <w:pStyle w:val="Style17"/>
        <w:keepNext w:val="0"/>
        <w:keepLines w:val="0"/>
        <w:widowControl w:val="0"/>
        <w:shd w:val="clear" w:color="auto" w:fill="auto"/>
        <w:bidi w:val="0"/>
        <w:spacing w:before="0" w:after="0"/>
        <w:ind w:left="0" w:right="0"/>
        <w:jc w:val="both"/>
      </w:pPr>
      <w:bookmarkStart w:id="402" w:name="bookmark402"/>
      <w:r>
        <w:rPr>
          <w:rFonts w:ascii="Times New Roman" w:eastAsia="Times New Roman" w:hAnsi="Times New Roman" w:cs="Times New Roman"/>
          <w:color w:val="000000"/>
          <w:spacing w:val="0"/>
          <w:w w:val="100"/>
          <w:position w:val="0"/>
        </w:rPr>
        <w:t>1</w:t>
      </w:r>
      <w:bookmarkEnd w:id="402"/>
      <w:r>
        <w:rPr>
          <w:color w:val="000000"/>
          <w:spacing w:val="0"/>
          <w:w w:val="100"/>
          <w:position w:val="0"/>
        </w:rPr>
        <w:t>、助力青年发展</w:t>
      </w:r>
    </w:p>
    <w:p>
      <w:pPr>
        <w:pStyle w:val="Style1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扶贫必扶智，教育扶贫作为贫困地区脱贫治本之策，是顺利实现脱贫攻坚的重要保障，是后小康时期 强国战略的重要基础。公司子公司东旭康图公司和东旭大别山公司通过捐资助学、深化校企合作等方式为 安徽金寨地区的教育事业提供支持。从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年起，东旭康图成为皖西学院校企合作基地、高校毕业生就业 见习基地，积极推动产教深度融合发展，得到当地政府高度认可，成为安徽省首批建设培育产教融合型企 </w:t>
      </w:r>
      <w:r>
        <w:rPr>
          <w:color w:val="000000"/>
          <w:spacing w:val="0"/>
          <w:w w:val="100"/>
          <w:position w:val="0"/>
        </w:rPr>
        <w:t>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2021</w:t>
      </w:r>
      <w:r>
        <w:rPr>
          <w:color w:val="000000"/>
          <w:spacing w:val="0"/>
          <w:w w:val="100"/>
          <w:position w:val="0"/>
        </w:rPr>
        <w:t>年，东旭康图、东旭大别山公司连续捐款资助贫困地区学习优异的在校生顺利完成学业。</w:t>
      </w:r>
    </w:p>
    <w:p>
      <w:pPr>
        <w:pStyle w:val="Style17"/>
        <w:keepNext w:val="0"/>
        <w:keepLines w:val="0"/>
        <w:widowControl w:val="0"/>
        <w:shd w:val="clear" w:color="auto" w:fill="auto"/>
        <w:tabs>
          <w:tab w:pos="810" w:val="left"/>
        </w:tabs>
        <w:bidi w:val="0"/>
        <w:spacing w:before="0" w:after="0" w:line="473" w:lineRule="exact"/>
        <w:ind w:left="0" w:right="0" w:firstLine="440"/>
        <w:jc w:val="both"/>
      </w:pPr>
      <w:bookmarkStart w:id="403" w:name="bookmark403"/>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对口帮扶</w:t>
      </w:r>
    </w:p>
    <w:p>
      <w:pPr>
        <w:pStyle w:val="Style1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对于扶贫工作，公司既有高瞻远瞩的格局，也有细致入微的温暖，努力把扶贫落实落细，不漏一户， 不落一人。</w:t>
      </w:r>
      <w:r>
        <w:rPr>
          <w:rFonts w:ascii="Times New Roman" w:eastAsia="Times New Roman" w:hAnsi="Times New Roman" w:cs="Times New Roman"/>
          <w:color w:val="000000"/>
          <w:spacing w:val="0"/>
          <w:w w:val="100"/>
          <w:position w:val="0"/>
        </w:rPr>
        <w:t>2018—2021</w:t>
      </w:r>
      <w:r>
        <w:rPr>
          <w:color w:val="000000"/>
          <w:spacing w:val="0"/>
          <w:w w:val="100"/>
          <w:position w:val="0"/>
        </w:rPr>
        <w:t>年，公司及下属企业共计向安徽金寨地区捐赠扶贫款项约</w:t>
      </w:r>
      <w:r>
        <w:rPr>
          <w:rFonts w:ascii="Times New Roman" w:eastAsia="Times New Roman" w:hAnsi="Times New Roman" w:cs="Times New Roman"/>
          <w:color w:val="000000"/>
          <w:spacing w:val="0"/>
          <w:w w:val="100"/>
          <w:position w:val="0"/>
        </w:rPr>
        <w:t>14</w:t>
      </w:r>
      <w:r>
        <w:rPr>
          <w:color w:val="000000"/>
          <w:spacing w:val="0"/>
          <w:w w:val="100"/>
          <w:position w:val="0"/>
        </w:rPr>
        <w:t>万余元，此外通过开展 社会帮扶捐赠，为贫困地区送去食用油、大米等生活必需品，在脱贫攻坚战的关键时刻，合力攻坚精准帮 扶。</w:t>
      </w:r>
    </w:p>
    <w:p>
      <w:pPr>
        <w:pStyle w:val="Style17"/>
        <w:keepNext w:val="0"/>
        <w:keepLines w:val="0"/>
        <w:widowControl w:val="0"/>
        <w:shd w:val="clear" w:color="auto" w:fill="auto"/>
        <w:tabs>
          <w:tab w:pos="810" w:val="left"/>
        </w:tabs>
        <w:bidi w:val="0"/>
        <w:spacing w:before="0" w:after="0" w:line="473" w:lineRule="exact"/>
        <w:ind w:left="0" w:right="0" w:firstLine="440"/>
        <w:jc w:val="both"/>
      </w:pPr>
      <w:bookmarkStart w:id="404" w:name="bookmark404"/>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防汛及抗疫助力</w:t>
      </w:r>
    </w:p>
    <w:p>
      <w:pPr>
        <w:pStyle w:val="Style17"/>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月，河南新乡遭特大暴雨侵袭导致洪灾泛滥，公司迅速驰援助力抢险抗灾，向河南电池研究 院、新乡牧野区政府捐赠了</w:t>
      </w:r>
      <w:r>
        <w:rPr>
          <w:rFonts w:ascii="Times New Roman" w:eastAsia="Times New Roman" w:hAnsi="Times New Roman" w:cs="Times New Roman"/>
          <w:color w:val="000000"/>
          <w:spacing w:val="0"/>
          <w:w w:val="100"/>
          <w:position w:val="0"/>
        </w:rPr>
        <w:t>2500</w:t>
      </w:r>
      <w:r>
        <w:rPr>
          <w:color w:val="000000"/>
          <w:spacing w:val="0"/>
          <w:w w:val="100"/>
          <w:position w:val="0"/>
        </w:rPr>
        <w:t>余件灾区急需的食品物资，累计价值约</w:t>
      </w:r>
      <w:r>
        <w:rPr>
          <w:rFonts w:ascii="Times New Roman" w:eastAsia="Times New Roman" w:hAnsi="Times New Roman" w:cs="Times New Roman"/>
          <w:color w:val="000000"/>
          <w:spacing w:val="0"/>
          <w:w w:val="100"/>
          <w:position w:val="0"/>
        </w:rPr>
        <w:t>10</w:t>
      </w:r>
      <w:r>
        <w:rPr>
          <w:color w:val="000000"/>
          <w:spacing w:val="0"/>
          <w:w w:val="100"/>
          <w:position w:val="0"/>
        </w:rPr>
        <w:t>万元，为河南省取得防汛抢险全 面胜利贡献出绵薄力量。</w:t>
      </w:r>
    </w:p>
    <w:p>
      <w:pPr>
        <w:pStyle w:val="Style17"/>
        <w:keepNext w:val="0"/>
        <w:keepLines w:val="0"/>
        <w:widowControl w:val="0"/>
        <w:shd w:val="clear" w:color="auto" w:fill="auto"/>
        <w:bidi w:val="0"/>
        <w:spacing w:before="0" w:after="740" w:line="473"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年底国内多地疫情反复，为保证防疫工作有序开展，公司旗下子公司向江西省分宜县政府提供部 分职工宿舍、办公楼、餐厅等场所设施用于疫情防控集中隔离点，积极为当地政府提供抗疫支持。</w:t>
      </w:r>
      <w:r>
        <w:rPr>
          <w:rFonts w:ascii="Times New Roman" w:eastAsia="Times New Roman" w:hAnsi="Times New Roman" w:cs="Times New Roman"/>
          <w:color w:val="000000"/>
          <w:spacing w:val="0"/>
          <w:w w:val="100"/>
          <w:position w:val="0"/>
        </w:rPr>
        <w:t>12</w:t>
      </w:r>
      <w:r>
        <w:rPr>
          <w:color w:val="000000"/>
          <w:spacing w:val="0"/>
          <w:w w:val="100"/>
          <w:position w:val="0"/>
        </w:rPr>
        <w:t>月， 公司将一批东旭大别山食用油捐赠给绍兴市上虞区曹娥街道办事处、上虞区红十字救援队，助力当地抗疫 防疫。</w:t>
      </w:r>
    </w:p>
    <w:p>
      <w:pPr>
        <w:pStyle w:val="Style20"/>
        <w:keepNext/>
        <w:keepLines/>
        <w:widowControl w:val="0"/>
        <w:shd w:val="clear" w:color="auto" w:fill="auto"/>
        <w:bidi w:val="0"/>
        <w:spacing w:before="0" w:after="22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三</w:t>
      </w:r>
      <w:bookmarkEnd w:id="407"/>
      <w:r>
        <w:rPr>
          <w:color w:val="000000"/>
          <w:spacing w:val="0"/>
          <w:w w:val="100"/>
          <w:position w:val="0"/>
        </w:rPr>
        <w:t>、巩固拓展脱贫攻坚成果、乡村振兴的情况</w:t>
      </w:r>
      <w:bookmarkEnd w:id="405"/>
      <w:bookmarkEnd w:id="406"/>
      <w:bookmarkEnd w:id="408"/>
    </w:p>
    <w:p>
      <w:pPr>
        <w:pStyle w:val="Style17"/>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年是巩固拓展脱贫攻坚成果与乡村振兴有效衔接的起步之年。随着乡村振兴建设行动全面启动， 公司结合自身业务大力发展光伏产业扶贫和农业扶贫，用实际行动提高农村电网保障能力，促进农村能源 加快转型发展，通过发展农光互补、渔光互补、牧光互补等多元互补模式，为当地提供清洁能源的同时也 帮助农户减支增收，是</w:t>
      </w:r>
      <w:r>
        <w:rPr>
          <w:rFonts w:ascii="Times New Roman" w:eastAsia="Times New Roman" w:hAnsi="Times New Roman" w:cs="Times New Roman"/>
          <w:color w:val="000000"/>
          <w:spacing w:val="0"/>
          <w:w w:val="100"/>
          <w:position w:val="0"/>
        </w:rPr>
        <w:t>“</w:t>
      </w:r>
      <w:r>
        <w:rPr>
          <w:color w:val="000000"/>
          <w:spacing w:val="0"/>
          <w:w w:val="100"/>
          <w:position w:val="0"/>
        </w:rPr>
        <w:t>造血式扶贫</w:t>
      </w:r>
      <w:r>
        <w:rPr>
          <w:rFonts w:ascii="Times New Roman" w:eastAsia="Times New Roman" w:hAnsi="Times New Roman" w:cs="Times New Roman"/>
          <w:color w:val="000000"/>
          <w:spacing w:val="0"/>
          <w:w w:val="100"/>
          <w:position w:val="0"/>
        </w:rPr>
        <w:t>”</w:t>
      </w:r>
      <w:r>
        <w:rPr>
          <w:color w:val="000000"/>
          <w:spacing w:val="0"/>
          <w:w w:val="100"/>
          <w:position w:val="0"/>
        </w:rPr>
        <w:t>的理想方案，为推进乡村振兴提供了有力支撑。</w:t>
      </w:r>
    </w:p>
    <w:p>
      <w:pPr>
        <w:pStyle w:val="Style17"/>
        <w:keepNext w:val="0"/>
        <w:keepLines w:val="0"/>
        <w:widowControl w:val="0"/>
        <w:shd w:val="clear" w:color="auto" w:fill="auto"/>
        <w:tabs>
          <w:tab w:pos="874" w:val="left"/>
        </w:tabs>
        <w:bidi w:val="0"/>
        <w:spacing w:before="0" w:after="0" w:line="471" w:lineRule="exact"/>
        <w:ind w:left="0" w:right="0" w:firstLine="440"/>
        <w:jc w:val="both"/>
      </w:pPr>
      <w:bookmarkStart w:id="409" w:name="bookmark409"/>
      <w:r>
        <w:rPr>
          <w:color w:val="000000"/>
          <w:spacing w:val="0"/>
          <w:w w:val="100"/>
          <w:position w:val="0"/>
        </w:rPr>
        <w:t>一</w:t>
      </w:r>
      <w:bookmarkEnd w:id="409"/>
      <w:r>
        <w:rPr>
          <w:color w:val="000000"/>
          <w:spacing w:val="0"/>
          <w:w w:val="100"/>
          <w:position w:val="0"/>
        </w:rPr>
        <w:t>、</w:t>
        <w:tab/>
        <w:t>东旭康图光伏组件制造项目</w:t>
      </w:r>
    </w:p>
    <w:p>
      <w:pPr>
        <w:pStyle w:val="Style17"/>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年，安徽省金寨县开始结合地方特色推进全国光伏扶贫试点，探索实施光伏扶贫工程。</w:t>
      </w:r>
      <w:r>
        <w:rPr>
          <w:rFonts w:ascii="Times New Roman" w:eastAsia="Times New Roman" w:hAnsi="Times New Roman" w:cs="Times New Roman"/>
          <w:color w:val="000000"/>
          <w:spacing w:val="0"/>
          <w:w w:val="100"/>
          <w:position w:val="0"/>
        </w:rPr>
        <w:t>2016</w:t>
      </w:r>
      <w:r>
        <w:rPr>
          <w:color w:val="000000"/>
          <w:spacing w:val="0"/>
          <w:w w:val="100"/>
          <w:position w:val="0"/>
        </w:rPr>
        <w:t>年， 公司在金寨创办安徽东旭康图太阳能科技有限公司，截至</w:t>
      </w:r>
      <w:r>
        <w:rPr>
          <w:rFonts w:ascii="Times New Roman" w:eastAsia="Times New Roman" w:hAnsi="Times New Roman" w:cs="Times New Roman"/>
          <w:color w:val="000000"/>
          <w:spacing w:val="0"/>
          <w:w w:val="100"/>
          <w:position w:val="0"/>
        </w:rPr>
        <w:t>2021</w:t>
      </w:r>
      <w:r>
        <w:rPr>
          <w:color w:val="000000"/>
          <w:spacing w:val="0"/>
          <w:w w:val="100"/>
          <w:position w:val="0"/>
        </w:rPr>
        <w:t>年，东旭康图的产品已远销多地，不仅为金 寨提供再就业岗位</w:t>
      </w:r>
      <w:r>
        <w:rPr>
          <w:rFonts w:ascii="Times New Roman" w:eastAsia="Times New Roman" w:hAnsi="Times New Roman" w:cs="Times New Roman"/>
          <w:color w:val="000000"/>
          <w:spacing w:val="0"/>
          <w:w w:val="100"/>
          <w:position w:val="0"/>
        </w:rPr>
        <w:t>100</w:t>
      </w:r>
      <w:r>
        <w:rPr>
          <w:color w:val="000000"/>
          <w:spacing w:val="0"/>
          <w:w w:val="100"/>
          <w:position w:val="0"/>
        </w:rPr>
        <w:t>多个，也带动周边数十家配套企业并肩成长，成为当地光伏产业扶贫工程及乡村振 兴项目典范。</w:t>
      </w:r>
    </w:p>
    <w:p>
      <w:pPr>
        <w:pStyle w:val="Style17"/>
        <w:keepNext w:val="0"/>
        <w:keepLines w:val="0"/>
        <w:widowControl w:val="0"/>
        <w:shd w:val="clear" w:color="auto" w:fill="auto"/>
        <w:tabs>
          <w:tab w:pos="874" w:val="left"/>
        </w:tabs>
        <w:bidi w:val="0"/>
        <w:spacing w:before="0" w:after="0" w:line="471" w:lineRule="exact"/>
        <w:ind w:left="0" w:right="0" w:firstLine="440"/>
        <w:jc w:val="both"/>
      </w:pPr>
      <w:bookmarkStart w:id="410" w:name="bookmark410"/>
      <w:r>
        <w:rPr>
          <w:color w:val="000000"/>
          <w:spacing w:val="0"/>
          <w:w w:val="100"/>
          <w:position w:val="0"/>
        </w:rPr>
        <w:t>二</w:t>
      </w:r>
      <w:bookmarkEnd w:id="410"/>
      <w:r>
        <w:rPr>
          <w:color w:val="000000"/>
          <w:spacing w:val="0"/>
          <w:w w:val="100"/>
          <w:position w:val="0"/>
        </w:rPr>
        <w:t>、</w:t>
        <w:tab/>
        <w:t>农业扶贫</w:t>
      </w:r>
    </w:p>
    <w:p>
      <w:pPr>
        <w:pStyle w:val="Style17"/>
        <w:keepNext w:val="0"/>
        <w:keepLines w:val="0"/>
        <w:widowControl w:val="0"/>
        <w:shd w:val="clear" w:color="auto" w:fill="auto"/>
        <w:bidi w:val="0"/>
        <w:spacing w:before="0" w:after="480" w:line="471" w:lineRule="exact"/>
        <w:ind w:left="0" w:right="0" w:firstLine="440"/>
        <w:jc w:val="both"/>
      </w:pPr>
      <w:r>
        <w:rPr>
          <w:color w:val="000000"/>
          <w:spacing w:val="0"/>
          <w:w w:val="100"/>
          <w:position w:val="0"/>
        </w:rPr>
        <w:t>东旭大别山茶油产业园是东旭蓝天</w:t>
      </w:r>
      <w:r>
        <w:rPr>
          <w:rFonts w:ascii="Times New Roman" w:eastAsia="Times New Roman" w:hAnsi="Times New Roman" w:cs="Times New Roman"/>
          <w:color w:val="000000"/>
          <w:spacing w:val="0"/>
          <w:w w:val="100"/>
          <w:position w:val="0"/>
        </w:rPr>
        <w:t>“</w:t>
      </w:r>
      <w:r>
        <w:rPr>
          <w:color w:val="000000"/>
          <w:spacing w:val="0"/>
          <w:w w:val="100"/>
          <w:position w:val="0"/>
        </w:rPr>
        <w:t>茶园综合体</w:t>
      </w:r>
      <w:r>
        <w:rPr>
          <w:rFonts w:ascii="Times New Roman" w:eastAsia="Times New Roman" w:hAnsi="Times New Roman" w:cs="Times New Roman"/>
          <w:color w:val="000000"/>
          <w:spacing w:val="0"/>
          <w:w w:val="100"/>
          <w:position w:val="0"/>
        </w:rPr>
        <w:t>”</w:t>
      </w:r>
      <w:r>
        <w:rPr>
          <w:color w:val="000000"/>
          <w:spacing w:val="0"/>
          <w:w w:val="100"/>
          <w:position w:val="0"/>
        </w:rPr>
        <w:t>创新模式试点项目之一，是</w:t>
      </w:r>
      <w:r>
        <w:rPr>
          <w:rFonts w:ascii="Times New Roman" w:eastAsia="Times New Roman" w:hAnsi="Times New Roman" w:cs="Times New Roman"/>
          <w:color w:val="000000"/>
          <w:spacing w:val="0"/>
          <w:w w:val="100"/>
          <w:position w:val="0"/>
        </w:rPr>
        <w:t>“</w:t>
      </w:r>
      <w:r>
        <w:rPr>
          <w:color w:val="000000"/>
          <w:spacing w:val="0"/>
          <w:w w:val="100"/>
          <w:position w:val="0"/>
        </w:rPr>
        <w:t>农光互补''模式典范，也 是金寨县政府和金寨现代产业园区重点支持的项目，开创了</w:t>
      </w:r>
      <w:r>
        <w:rPr>
          <w:rFonts w:ascii="Times New Roman" w:eastAsia="Times New Roman" w:hAnsi="Times New Roman" w:cs="Times New Roman"/>
          <w:color w:val="000000"/>
          <w:spacing w:val="0"/>
          <w:w w:val="100"/>
          <w:position w:val="0"/>
        </w:rPr>
        <w:t>“</w:t>
      </w:r>
      <w:r>
        <w:rPr>
          <w:color w:val="000000"/>
          <w:spacing w:val="0"/>
          <w:w w:val="100"/>
          <w:position w:val="0"/>
        </w:rPr>
        <w:t>油茶扶贫</w:t>
      </w:r>
      <w:r>
        <w:rPr>
          <w:rFonts w:ascii="Times New Roman" w:eastAsia="Times New Roman" w:hAnsi="Times New Roman" w:cs="Times New Roman"/>
          <w:color w:val="000000"/>
          <w:spacing w:val="0"/>
          <w:w w:val="100"/>
          <w:position w:val="0"/>
        </w:rPr>
        <w:t>”</w:t>
      </w:r>
      <w:r>
        <w:rPr>
          <w:color w:val="000000"/>
          <w:spacing w:val="0"/>
          <w:w w:val="100"/>
          <w:position w:val="0"/>
        </w:rPr>
        <w:t>新模式推动金寨县脱贫攻坚、完善 了油茶产业循环经济链，更实现了资源利用的最大化，对金寨生态环境保护具有十分重要的意义。</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该产业园项目每年可带动周边数百名农民务工就业，另外，基地还通过土地流转、给予部分帮扶对象 资金帮扶等措施助力周边农户增收。大别山油茶产业园的建设，是东旭蓝天响应国家扶贫政策和安徽省油 茶产业扶贫方案。按照</w:t>
      </w:r>
      <w:r>
        <w:rPr>
          <w:rFonts w:ascii="Times New Roman" w:eastAsia="Times New Roman" w:hAnsi="Times New Roman" w:cs="Times New Roman"/>
          <w:color w:val="000000"/>
          <w:spacing w:val="0"/>
          <w:w w:val="100"/>
          <w:position w:val="0"/>
        </w:rPr>
        <w:t>“</w:t>
      </w:r>
      <w:r>
        <w:rPr>
          <w:color w:val="000000"/>
          <w:spacing w:val="0"/>
          <w:w w:val="100"/>
          <w:position w:val="0"/>
        </w:rPr>
        <w:t>龙头企业</w:t>
      </w:r>
      <w:r>
        <w:rPr>
          <w:rFonts w:ascii="Times New Roman" w:eastAsia="Times New Roman" w:hAnsi="Times New Roman" w:cs="Times New Roman"/>
          <w:color w:val="000000"/>
          <w:spacing w:val="0"/>
          <w:w w:val="100"/>
          <w:position w:val="0"/>
        </w:rPr>
        <w:t>+</w:t>
      </w:r>
      <w:r>
        <w:rPr>
          <w:color w:val="000000"/>
          <w:spacing w:val="0"/>
          <w:w w:val="100"/>
          <w:position w:val="0"/>
        </w:rPr>
        <w:t>基地</w:t>
      </w:r>
      <w:r>
        <w:rPr>
          <w:rFonts w:ascii="Times New Roman" w:eastAsia="Times New Roman" w:hAnsi="Times New Roman" w:cs="Times New Roman"/>
          <w:color w:val="000000"/>
          <w:spacing w:val="0"/>
          <w:w w:val="100"/>
          <w:position w:val="0"/>
        </w:rPr>
        <w:t>+</w:t>
      </w:r>
      <w:r>
        <w:rPr>
          <w:color w:val="000000"/>
          <w:spacing w:val="0"/>
          <w:w w:val="100"/>
          <w:position w:val="0"/>
        </w:rPr>
        <w:t>合作社</w:t>
      </w:r>
      <w:r>
        <w:rPr>
          <w:rFonts w:ascii="Times New Roman" w:eastAsia="Times New Roman" w:hAnsi="Times New Roman" w:cs="Times New Roman"/>
          <w:color w:val="000000"/>
          <w:spacing w:val="0"/>
          <w:w w:val="100"/>
          <w:position w:val="0"/>
        </w:rPr>
        <w:t>+</w:t>
      </w:r>
      <w:r>
        <w:rPr>
          <w:color w:val="000000"/>
          <w:spacing w:val="0"/>
          <w:w w:val="100"/>
          <w:position w:val="0"/>
        </w:rPr>
        <w:t>农户</w:t>
      </w:r>
      <w:r>
        <w:rPr>
          <w:rFonts w:ascii="Times New Roman" w:eastAsia="Times New Roman" w:hAnsi="Times New Roman" w:cs="Times New Roman"/>
          <w:color w:val="000000"/>
          <w:spacing w:val="0"/>
          <w:w w:val="100"/>
          <w:position w:val="0"/>
        </w:rPr>
        <w:t>”</w:t>
      </w:r>
      <w:r>
        <w:rPr>
          <w:color w:val="000000"/>
          <w:spacing w:val="0"/>
          <w:w w:val="100"/>
          <w:position w:val="0"/>
        </w:rPr>
        <w:t>的互联互动发展模式，构建利益共享机制，助力当 地政府把</w:t>
      </w:r>
      <w:r>
        <w:rPr>
          <w:rFonts w:ascii="Times New Roman" w:eastAsia="Times New Roman" w:hAnsi="Times New Roman" w:cs="Times New Roman"/>
          <w:color w:val="000000"/>
          <w:spacing w:val="0"/>
          <w:w w:val="100"/>
          <w:position w:val="0"/>
        </w:rPr>
        <w:t>“</w:t>
      </w:r>
      <w:r>
        <w:rPr>
          <w:color w:val="000000"/>
          <w:spacing w:val="0"/>
          <w:w w:val="100"/>
          <w:position w:val="0"/>
        </w:rPr>
        <w:t>油茶扶贫</w:t>
      </w:r>
      <w:r>
        <w:rPr>
          <w:rFonts w:ascii="Times New Roman" w:eastAsia="Times New Roman" w:hAnsi="Times New Roman" w:cs="Times New Roman"/>
          <w:color w:val="000000"/>
          <w:spacing w:val="0"/>
          <w:w w:val="100"/>
          <w:position w:val="0"/>
        </w:rPr>
        <w:t>''</w:t>
      </w:r>
      <w:r>
        <w:rPr>
          <w:color w:val="000000"/>
          <w:spacing w:val="0"/>
          <w:w w:val="100"/>
          <w:position w:val="0"/>
        </w:rPr>
        <w:t>新模式打造成为金寨县扶贫的重要力量，促进金寨县贫困人口稳定脱贫、持续增收。</w:t>
      </w:r>
      <w:r>
        <w:br w:type="page"/>
      </w:r>
    </w:p>
    <w:p>
      <w:pPr>
        <w:pStyle w:val="Style8"/>
        <w:keepNext/>
        <w:keepLines/>
        <w:widowControl w:val="0"/>
        <w:shd w:val="clear" w:color="auto" w:fill="auto"/>
        <w:bidi w:val="0"/>
        <w:spacing w:before="0" w:after="520" w:line="240" w:lineRule="auto"/>
        <w:ind w:left="0" w:right="0" w:firstLine="0"/>
        <w:jc w:val="center"/>
      </w:pPr>
      <w:bookmarkStart w:id="411" w:name="bookmark411"/>
      <w:bookmarkStart w:id="412" w:name="bookmark412"/>
      <w:bookmarkStart w:id="413" w:name="bookmark413"/>
      <w:r>
        <w:rPr>
          <w:color w:val="000000"/>
          <w:spacing w:val="0"/>
          <w:w w:val="100"/>
          <w:position w:val="0"/>
        </w:rPr>
        <w:t>第六节重要事项</w:t>
      </w:r>
      <w:bookmarkEnd w:id="411"/>
      <w:bookmarkEnd w:id="412"/>
      <w:bookmarkEnd w:id="413"/>
    </w:p>
    <w:p>
      <w:pPr>
        <w:pStyle w:val="Style20"/>
        <w:keepNext/>
        <w:keepLines/>
        <w:widowControl w:val="0"/>
        <w:shd w:val="clear" w:color="auto" w:fill="auto"/>
        <w:bidi w:val="0"/>
        <w:spacing w:before="0" w:after="340" w:line="240" w:lineRule="auto"/>
        <w:ind w:left="0" w:right="0" w:firstLine="0"/>
        <w:jc w:val="left"/>
      </w:pPr>
      <w:bookmarkStart w:id="414" w:name="bookmark414"/>
      <w:bookmarkStart w:id="415" w:name="bookmark415"/>
      <w:bookmarkStart w:id="416" w:name="bookmark416"/>
      <w:bookmarkStart w:id="417" w:name="bookmark417"/>
      <w:bookmarkStart w:id="418" w:name="bookmark418"/>
      <w:r>
        <w:rPr>
          <w:color w:val="000000"/>
          <w:spacing w:val="0"/>
          <w:w w:val="100"/>
          <w:position w:val="0"/>
        </w:rPr>
        <w:t>一</w:t>
      </w:r>
      <w:bookmarkEnd w:id="417"/>
      <w:r>
        <w:rPr>
          <w:color w:val="000000"/>
          <w:spacing w:val="0"/>
          <w:w w:val="100"/>
          <w:position w:val="0"/>
        </w:rPr>
        <w:t>、承诺事项履行情况</w:t>
      </w:r>
      <w:bookmarkEnd w:id="415"/>
      <w:bookmarkEnd w:id="416"/>
      <w:bookmarkEnd w:id="418"/>
      <w:bookmarkEnd w:id="414"/>
    </w:p>
    <w:p>
      <w:pPr>
        <w:pStyle w:val="Style31"/>
        <w:keepNext/>
        <w:keepLines/>
        <w:widowControl w:val="0"/>
        <w:shd w:val="clear" w:color="auto" w:fill="auto"/>
        <w:bidi w:val="0"/>
        <w:spacing w:before="0" w:after="340" w:line="307" w:lineRule="exact"/>
        <w:ind w:left="0" w:right="0" w:firstLine="0"/>
        <w:jc w:val="left"/>
      </w:pPr>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r>
        <w:rPr>
          <w:color w:val="000000"/>
          <w:spacing w:val="0"/>
          <w:w w:val="100"/>
          <w:position w:val="0"/>
        </w:rPr>
        <w:t>、公司实际控制人、股东、关联方、收购人以及公司等承诺相关方在报告期内履行完毕及截至报告期末 尚未履行完毕的承诺事项</w:t>
      </w:r>
      <w:bookmarkEnd w:id="419"/>
      <w:bookmarkEnd w:id="420"/>
      <w:bookmarkEnd w:id="42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1133"/>
        <w:gridCol w:w="1133"/>
        <w:gridCol w:w="3120"/>
        <w:gridCol w:w="994"/>
        <w:gridCol w:w="989"/>
        <w:gridCol w:w="93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权益变动报告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东旭集团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规范和减少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）本集团将继续严格按照《公司法》 等法律法规以及宝安地产《公司章程》 的有关规定行使股东权利或者董事权 利，在宝安地产股东大会以及董事会对 有关涉及本集团事项的关联交易进行表 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）为了 减少和规范本次发行完成后的关联交 易，维护上市公司及中小股东的合法权 益，将尽量减少与宝安地产之间的关联 交易。在进行确有必要且无法规避的关 联交易时，保证按市场化原则和公允价 格进行公平操作，并按宝安地产《公司 章程》、宝安地产有关关联交易的决策制 度、相关法律法规以及规范性文件的规 定履行交易程序及信息披露义务；保证 不通过关联交易损害宝安地产及其他股 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）本集团在本承诺函 中作出的各项声明与承诺，同样适用于 本集团及本集团实际控制人及其一致行 动人下属除上市公司及其下属企业以外 的其他直接或间接控制的企业，本集团 将在合法权限范围内促成该等企业履行 规范与上市公司之间已经存在或可能发 生的关联交易的义务。（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）本集团承诺， 若违反本承诺函而导致上市公司产生任 何成本、承担任何责任或者遭受任何损 失，本集团同意就上市公司发生的任何 成本、责任或者损失进行赔偿。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东旭集团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保持上市公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司独立性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、保证宝安地产资产独立完整。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证宝安地产人员独立。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、保证宝安地产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2"/>
        <w:gridCol w:w="1133"/>
        <w:gridCol w:w="1133"/>
        <w:gridCol w:w="3120"/>
        <w:gridCol w:w="994"/>
        <w:gridCol w:w="989"/>
        <w:gridCol w:w="93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的财务独立。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、保证宝安地产业务独立。</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、保证宝安地产机构独立。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3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东旭蓝天全</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体董事、高级 管理人员、东 旭集团、实际 控制人李兆 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根据《国务院关于进一步促进资本市场 健康发展的若干意见》（国发</w:t>
            </w:r>
            <w:r>
              <w:rPr>
                <w:rFonts w:ascii="Times New Roman" w:eastAsia="Times New Roman" w:hAnsi="Times New Roman" w:cs="Times New Roman"/>
                <w:color w:val="000000"/>
                <w:spacing w:val="0"/>
                <w:w w:val="100"/>
                <w:position w:val="0"/>
                <w:sz w:val="18"/>
                <w:szCs w:val="18"/>
              </w:rPr>
              <w:t xml:space="preserve">[2014]17 </w:t>
            </w:r>
            <w:r>
              <w:rPr>
                <w:color w:val="000000"/>
                <w:spacing w:val="0"/>
                <w:w w:val="100"/>
                <w:position w:val="0"/>
              </w:rPr>
              <w:t>号）、《国务院办公厅关于进一步加强资 本市场中小投资者合法权益保护工作的 意见》（国办发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rPr>
              <w:t>号）和《关于 首发及再融资、重大资产重组摊薄即期 回报有关事项的指导意见》（中国证券监 督管理委员会公告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rPr>
              <w:t>号）的相关 规定，东旭蓝天新能源股份有限公司（以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）的董事、高级管理人员 作出以下承诺：（一）承诺不无偿或以不 公平条件向其他单位或者个人输送利 益，也不采用其他方式损害公司利益。</w:t>
            </w:r>
          </w:p>
          <w:p>
            <w:pPr>
              <w:pStyle w:val="Style22"/>
              <w:keepNext w:val="0"/>
              <w:keepLines w:val="0"/>
              <w:widowControl w:val="0"/>
              <w:shd w:val="clear" w:color="auto" w:fill="auto"/>
              <w:tabs>
                <w:tab w:pos="446" w:val="left"/>
              </w:tabs>
              <w:bidi w:val="0"/>
              <w:spacing w:before="0" w:after="0" w:line="312" w:lineRule="exact"/>
              <w:ind w:left="0" w:right="0" w:firstLine="0"/>
              <w:jc w:val="both"/>
            </w:pPr>
            <w:r>
              <w:rPr>
                <w:color w:val="000000"/>
                <w:spacing w:val="0"/>
                <w:w w:val="100"/>
                <w:position w:val="0"/>
              </w:rPr>
              <w:t>（二）</w:t>
              <w:tab/>
              <w:t>承诺对职务消费行为进行约束。</w:t>
            </w:r>
          </w:p>
          <w:p>
            <w:pPr>
              <w:pStyle w:val="Style22"/>
              <w:keepNext w:val="0"/>
              <w:keepLines w:val="0"/>
              <w:widowControl w:val="0"/>
              <w:shd w:val="clear" w:color="auto" w:fill="auto"/>
              <w:tabs>
                <w:tab w:pos="547" w:val="left"/>
              </w:tabs>
              <w:bidi w:val="0"/>
              <w:spacing w:before="0" w:after="0" w:line="312" w:lineRule="exact"/>
              <w:ind w:left="0" w:right="0" w:firstLine="0"/>
              <w:jc w:val="both"/>
            </w:pPr>
            <w:r>
              <w:rPr>
                <w:color w:val="000000"/>
                <w:spacing w:val="0"/>
                <w:w w:val="100"/>
                <w:position w:val="0"/>
              </w:rPr>
              <w:t>（三）</w:t>
              <w:tab/>
              <w:t>承诺不动用公司资产从事与履行 职责无关的投资、消费活动。（四）承诺 由董事会或薪酬与考核委员会制定的薪 酬制度与公司填补回报措施的执行情况 相挂钩。（五）承诺拟公布的公司股权激 励的行权条件与公司填补回报措施的执 行情况相挂钩。（六）承诺切实履行公司 制定的有关填补回报措施以及对此作出 的任何有关填补回报措施的承诺，若违 反该等承诺并给公司或者投资者造成损 失的，愿意依法承担对公司或者投资者 的补偿责任。公司全体董事、高级管理 人员同时承诺：作为填补回报措施相关 责任主体之一，若违反上述承诺或拒不 履行上述承诺，本人同意按照中国证监 会和深圳证券交易所等证券监管机构 制定或发布的有关规定、规则，对本人 作出处罚或采取相关管理措施。</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公司控股股东东旭集团有限公司、实际 控制人李兆廷先生根据中国证监会相关 规定，分别对公司填补回报措施能够得 到切实履行作出如下承诺：不越权干预 公司经营管理活动，不侵占公司利益。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东旭蓝天新</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能源股份有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东旭蓝天董事会将严格遵守《公司法》、</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《证券法》、《上市公司证券发行管理办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2"/>
        <w:gridCol w:w="1133"/>
        <w:gridCol w:w="1133"/>
        <w:gridCol w:w="3120"/>
        <w:gridCol w:w="994"/>
        <w:gridCol w:w="989"/>
        <w:gridCol w:w="931"/>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限公司、东旭 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法》等法律、法规和中国证监会的有关 规定，承诺自本公司非公开发行股票新 增股份上市之日起：（一）承诺真实、准 确、完整、公平和及时地公布定期报告、 披露所有对投资者有重大影响的信息， 并接受中国证监会和深圳证券交易所的 监督管理；（二）承诺本公司在知悉可能 对股票价格产生误导性影响的任何公共 传播媒体出现的消息后，将及时予以公 开澄清；（三）本公司董事、监事、高级 管理人员将认真听取社会公众的意见和 批评，不利用已获得的内幕消息和其他 不正当手段直接或间接从事本公司股票 的买卖活动。</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东旭集团本次非公开股份上市首日起三 十六个月内不进行转让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东旭蓝天新</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能源股份有</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限公司、东旭</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东旭蓝天董事会将严格遵守《公司法》、 《证券法》、《上市公司证券发行管理办 法》等法律、法规和中国证监会的有关 规定，承诺自本公司非公开发行股票新 增股份上市之日起：（一）承诺真实、准 确、完整、公平和及时地公布定期报告、 披露所有对投资者有重大影响的信息， 并接受中国证监会和深圳证券交易所的 监督管理；（二）承诺本公司在知悉可能 对股票价格产生误导性影响的任何公共 传播媒体出现的消息后，将及时予以公 开澄清；（三）本公司董事、监事、高级 管理人员将认真听取社会公众的意见和 批评，不利用已获得的内幕消息和其他 不正当手段直接或间接从事本公司股票 的买卖活动。</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本次非公开发行对象东旭集团有限公司 承诺认购的本次非公开发行的股票自发 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东旭蓝天全</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体董事、高级 管理人员、东 旭集团、实际 控制人李兆 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根据《国务院关于进一步促进资本市场 健康发展的若干意见》（国发</w:t>
            </w:r>
            <w:r>
              <w:rPr>
                <w:rFonts w:ascii="Times New Roman" w:eastAsia="Times New Roman" w:hAnsi="Times New Roman" w:cs="Times New Roman"/>
                <w:color w:val="000000"/>
                <w:spacing w:val="0"/>
                <w:w w:val="100"/>
                <w:position w:val="0"/>
                <w:sz w:val="18"/>
                <w:szCs w:val="18"/>
              </w:rPr>
              <w:t xml:space="preserve">[2014]17 </w:t>
            </w:r>
            <w:r>
              <w:rPr>
                <w:color w:val="000000"/>
                <w:spacing w:val="0"/>
                <w:w w:val="100"/>
                <w:position w:val="0"/>
              </w:rPr>
              <w:t>号）、《国务院办公厅关于进一步加强资 本市场中小投资者合法权益保护工作的 意见》（国办发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rPr>
              <w:t>号）和《关于 首发及再融资、重大资产重组摊薄即期 回报有关事项的指导意见》（中国证券监 督管理委员会公告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rPr>
              <w:t>号）的相关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2"/>
        <w:gridCol w:w="1133"/>
        <w:gridCol w:w="1133"/>
        <w:gridCol w:w="3120"/>
        <w:gridCol w:w="994"/>
        <w:gridCol w:w="989"/>
        <w:gridCol w:w="931"/>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规定，宝安鸿基地产集团股份有限公司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）的董事、高级管理 人员将忠实、勤勉地履行职责，维护公 司和全体股东的合法权益。为贯彻执行 上述规定和文件精神，公司全体董事、 高级管理人员作出以下承诺：（一）承诺 不无偿或以不公平条件向其他单位或者 个人输送利益，也不采用其他方式损害 公司利益。（二）承诺对职务消费行为进 行约束。（三）承诺不动用公司资产从事 与履行职责无关的投资、消费活动。（四） 承诺由董事会或薪酬与考核委员会制定 的薪酬制度与公司填补回报措施的执行 情况相挂钩。（五）若公司后续推出股权 激励计划，承诺公司股权激励的行权条 件与公司填补回报措施的执行情况相挂 钩。</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公司控股股东东旭集团有限公司、实际 控制人李兆廷承诺：不越权干预公司经 营管理活动，不侵占公司利益。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东旭集团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规范和减少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）本集团将继续严格按照《公司法》 等法律法规以及宝安地产《公司章程》 的有关规定行使股东权利或者董事权 利，在宝安地产股东大会以及董事会对 有关涉及本集团事项的关联交易进行表 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）为了 减少和规范本次发行完成后的关联交 易，维护上市公司及中小股东的合法权 益，将尽量减少与宝安地产之间的关联 交易。在进行确有必要且无法规避的关 联交易时，保证按市场化原则和公允价 格进行公平操作，并按宝安地产《公司 章程》、宝安地产有关关联交易的决策制 度、相关法律法规以及规范性文件的规 定履行交易程序及信息披露义务；保证 不通过关联交易损害宝安地产及其他股 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）本集团在本承诺函 中作出的各项声明与承诺，同样适用于 本集团及本集团实际控制人及其一致行 动人下属除上市公司及其下属企业以外 的其他直接或间接控制的企业，本集团 将在合法权限范围内促成该等企业履行 规范与上市公司之间已经存在或可能发 生的关联交易的义务。（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）本集团承诺，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2"/>
        <w:gridCol w:w="1133"/>
        <w:gridCol w:w="1133"/>
        <w:gridCol w:w="3120"/>
        <w:gridCol w:w="994"/>
        <w:gridCol w:w="989"/>
        <w:gridCol w:w="931"/>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若违反本承诺函而导致上市公司产生任 何成本、承担任何责任或者遭受任何损 失，本集团同意就上市公司发生的任何 成本、责任或者损失进行赔偿。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东旭集团及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）东旭集团将与成都旭双太阳能科技 有限公司、通辽旭通太阳能科技有限公 司的其他投资方共同协商调整两家公司 的主营业务发展方向，未来不再从事与 光伏发电相同或类似的业务。东旭集团 将督促其他下属企业未来将不从事与光 伏发电相同或相似的业务，不进行任何 可能与上市公司从事该业务构成直接或 间接竞争的行为；（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）东旭集团或下属 其他企业获得与上市公司从事光伏发电 业务相同或类似的收购、开发和投资等 机会，东旭集团将立即通知上市公司或 督促相应下属企业立即书面通知上市公 司，通知中列明上市公司合理所需的资 料，以供上市公司考虑该等机会是否与 上市公司从事的业务构成同业竞争以及 该等机会是否符合上市公司及股东的整 体利益，并尽最大努力促使该等机会具 备转移给上市公司的条件；（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）东旭集 团作出的上述声明与承诺，同样适用于 东旭集团及东旭集团实际控制人及其一 致行动人下属除上市公司及其下属企业 以外的其他直接或间接控制的企业，东 旭集团有义务督导并确保东旭集团及其 他下属企业执行上述各事项安排并严格 遵守全部承诺；（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）东旭集团承诺，若 违反上述承诺而导致宝安地产产生任何 成本、承担任何责任或者遭受任何损失， 东旭集团同意就宝安地产发生的任何成 本、责任或者损失进行赔偿。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正常履行 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东旭集团及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东旭集团及实际控制人李兆廷先生承诺 保证通辽旭通未来不会建设与光伏相关 的产品生产线，不会从事与光伏发电相 同或类似的业务，不会与东旭蓝天构成 同业竞争。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东旭蓝天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鉴于公司已将原有房地产开发业务转让 给西藏旭日资本管理有限公司，公司未 来将不再从事房地产开发业务，不再新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bl>
    <w:tbl>
      <w:tblPr>
        <w:tblOverlap w:val="never"/>
        <w:jc w:val="center"/>
        <w:tblLayout w:type="fixed"/>
      </w:tblPr>
      <w:tblGrid>
        <w:gridCol w:w="1282"/>
        <w:gridCol w:w="1133"/>
        <w:gridCol w:w="1133"/>
        <w:gridCol w:w="3120"/>
        <w:gridCol w:w="994"/>
        <w:gridCol w:w="989"/>
        <w:gridCol w:w="93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增房地产业务投入。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1"/>
        <w:keepNext/>
        <w:keepLines/>
        <w:widowControl w:val="0"/>
        <w:shd w:val="clear" w:color="auto" w:fill="auto"/>
        <w:bidi w:val="0"/>
        <w:spacing w:before="0" w:line="326" w:lineRule="exact"/>
        <w:ind w:left="0" w:right="0" w:firstLine="0"/>
        <w:jc w:val="left"/>
      </w:pPr>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r>
        <w:rPr>
          <w:color w:val="000000"/>
          <w:spacing w:val="0"/>
          <w:w w:val="100"/>
          <w:position w:val="0"/>
        </w:rPr>
        <w:t>、公司资产或项目存在盈利预测，且报告期仍处在盈利预测期间，公司就资产或项目达到原盈利预测及 其原因做出说明</w:t>
      </w:r>
      <w:bookmarkEnd w:id="422"/>
      <w:bookmarkEnd w:id="423"/>
      <w:bookmarkEnd w:id="42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二</w:t>
      </w:r>
      <w:bookmarkEnd w:id="427"/>
      <w:r>
        <w:rPr>
          <w:color w:val="000000"/>
          <w:spacing w:val="0"/>
          <w:w w:val="100"/>
          <w:position w:val="0"/>
        </w:rPr>
        <w:t>、</w:t>
        <w:tab/>
        <w:t>控股股东及其他关联方对上市公司的非经营性占用资金情况</w:t>
      </w:r>
      <w:bookmarkEnd w:id="425"/>
      <w:bookmarkEnd w:id="426"/>
      <w:bookmarkEnd w:id="42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tabs>
          <w:tab w:pos="517" w:val="left"/>
        </w:tabs>
        <w:bidi w:val="0"/>
        <w:spacing w:before="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三</w:t>
      </w:r>
      <w:bookmarkEnd w:id="431"/>
      <w:r>
        <w:rPr>
          <w:color w:val="000000"/>
          <w:spacing w:val="0"/>
          <w:w w:val="100"/>
          <w:position w:val="0"/>
        </w:rPr>
        <w:t>、</w:t>
        <w:tab/>
        <w:t>违规对外担保情况</w:t>
      </w:r>
      <w:bookmarkEnd w:id="429"/>
      <w:bookmarkEnd w:id="430"/>
      <w:bookmarkEnd w:id="43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0"/>
        <w:keepNext/>
        <w:keepLines/>
        <w:widowControl w:val="0"/>
        <w:shd w:val="clear" w:color="auto" w:fill="auto"/>
        <w:tabs>
          <w:tab w:pos="517" w:val="left"/>
        </w:tabs>
        <w:bidi w:val="0"/>
        <w:spacing w:before="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四</w:t>
      </w:r>
      <w:bookmarkEnd w:id="435"/>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33"/>
      <w:bookmarkEnd w:id="434"/>
      <w:bookmarkEnd w:id="436"/>
    </w:p>
    <w:p>
      <w:pPr>
        <w:pStyle w:val="Style27"/>
        <w:keepNext w:val="0"/>
        <w:keepLines w:val="0"/>
        <w:widowControl w:val="0"/>
        <w:numPr>
          <w:ilvl w:val="0"/>
          <w:numId w:val="7"/>
        </w:numPr>
        <w:shd w:val="clear" w:color="auto" w:fill="auto"/>
        <w:tabs>
          <w:tab w:pos="286" w:val="left"/>
        </w:tabs>
        <w:bidi w:val="0"/>
        <w:spacing w:before="0" w:line="240" w:lineRule="auto"/>
        <w:ind w:left="0" w:right="0" w:firstLine="0"/>
        <w:jc w:val="left"/>
      </w:pPr>
      <w:bookmarkStart w:id="437" w:name="bookmark437"/>
      <w:bookmarkEnd w:id="43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详见公司同日披露的董事会关于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的有关说明，及监事会、独立董事的相关意见。</w:t>
      </w:r>
    </w:p>
    <w:p>
      <w:pPr>
        <w:pStyle w:val="Style20"/>
        <w:keepNext/>
        <w:keepLines/>
        <w:widowControl w:val="0"/>
        <w:shd w:val="clear" w:color="auto" w:fill="auto"/>
        <w:tabs>
          <w:tab w:pos="517" w:val="left"/>
        </w:tabs>
        <w:bidi w:val="0"/>
        <w:spacing w:before="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五</w:t>
      </w:r>
      <w:bookmarkEnd w:id="44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38"/>
      <w:bookmarkEnd w:id="439"/>
      <w:bookmarkEnd w:id="441"/>
    </w:p>
    <w:p>
      <w:pPr>
        <w:pStyle w:val="Style27"/>
        <w:keepNext w:val="0"/>
        <w:keepLines w:val="0"/>
        <w:widowControl w:val="0"/>
        <w:numPr>
          <w:ilvl w:val="0"/>
          <w:numId w:val="7"/>
        </w:numPr>
        <w:shd w:val="clear" w:color="auto" w:fill="auto"/>
        <w:tabs>
          <w:tab w:pos="286" w:val="left"/>
        </w:tabs>
        <w:bidi w:val="0"/>
        <w:spacing w:before="0" w:line="240" w:lineRule="auto"/>
        <w:ind w:left="0" w:right="0" w:firstLine="0"/>
        <w:jc w:val="left"/>
      </w:pPr>
      <w:bookmarkStart w:id="442" w:name="bookmark442"/>
      <w:bookmarkEnd w:id="44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详见公司同日披露的董事会、监事会关于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的有关说明，及独立董事的相关意见。</w:t>
      </w:r>
    </w:p>
    <w:p>
      <w:pPr>
        <w:pStyle w:val="Style20"/>
        <w:keepNext/>
        <w:keepLines/>
        <w:widowControl w:val="0"/>
        <w:shd w:val="clear" w:color="auto" w:fill="auto"/>
        <w:tabs>
          <w:tab w:pos="517" w:val="left"/>
        </w:tabs>
        <w:bidi w:val="0"/>
        <w:spacing w:before="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六</w:t>
      </w:r>
      <w:bookmarkEnd w:id="445"/>
      <w:r>
        <w:rPr>
          <w:color w:val="000000"/>
          <w:spacing w:val="0"/>
          <w:w w:val="100"/>
          <w:position w:val="0"/>
        </w:rPr>
        <w:t>、</w:t>
        <w:tab/>
        <w:t>与上年度财务报告相比，会计政策、会计估计变更或重大会计差错更正的情况说明</w:t>
      </w:r>
      <w:bookmarkEnd w:id="443"/>
      <w:bookmarkEnd w:id="444"/>
      <w:bookmarkEnd w:id="446"/>
    </w:p>
    <w:p>
      <w:pPr>
        <w:pStyle w:val="Style27"/>
        <w:keepNext w:val="0"/>
        <w:keepLines w:val="0"/>
        <w:widowControl w:val="0"/>
        <w:numPr>
          <w:ilvl w:val="0"/>
          <w:numId w:val="7"/>
        </w:numPr>
        <w:shd w:val="clear" w:color="auto" w:fill="auto"/>
        <w:tabs>
          <w:tab w:pos="286" w:val="left"/>
        </w:tabs>
        <w:bidi w:val="0"/>
        <w:spacing w:before="0" w:line="240" w:lineRule="auto"/>
        <w:ind w:left="0" w:right="0" w:firstLine="0"/>
        <w:jc w:val="left"/>
      </w:pPr>
      <w:bookmarkStart w:id="447" w:name="bookmark447"/>
      <w:bookmarkEnd w:id="44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新租赁准则</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租赁》（财会</w:t>
      </w:r>
      <w:r>
        <w:rPr>
          <w:rFonts w:ascii="Times New Roman" w:eastAsia="Times New Roman" w:hAnsi="Times New Roman" w:cs="Times New Roman"/>
          <w:color w:val="000000"/>
          <w:spacing w:val="0"/>
          <w:w w:val="100"/>
          <w:position w:val="0"/>
        </w:rPr>
        <w:t>[2018]35</w:t>
      </w:r>
      <w:r>
        <w:rPr>
          <w:color w:val="000000"/>
          <w:spacing w:val="0"/>
          <w:w w:val="100"/>
          <w:position w:val="0"/>
        </w:rPr>
        <w:t>号）（以下简称</w:t>
      </w:r>
    </w:p>
    <w:p>
      <w:pPr>
        <w:pStyle w:val="Style17"/>
        <w:keepNext w:val="0"/>
        <w:keepLines w:val="0"/>
        <w:widowControl w:val="0"/>
        <w:shd w:val="clear" w:color="auto" w:fill="auto"/>
        <w:bidi w:val="0"/>
        <w:spacing w:before="0" w:after="200" w:line="32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日起执行新租赁准则。根据新租赁准则的相关规定，本公司对于首次</w:t>
        <w:br w:type="page"/>
      </w:r>
      <w:r>
        <w:rPr>
          <w:color w:val="000000"/>
          <w:spacing w:val="0"/>
          <w:w w:val="100"/>
          <w:position w:val="0"/>
        </w:rPr>
        <w:t>执行本准则的累积影响数，调整首次执行本准则当年年初留存收益及财务报表其他相关项目金额，不调整</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可比期间信息。执行新租赁准则对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年期初报表项目影响如下:</w:t>
      </w:r>
    </w:p>
    <w:tbl>
      <w:tblPr>
        <w:tblOverlap w:val="never"/>
        <w:jc w:val="center"/>
        <w:tblLayout w:type="fixed"/>
      </w:tblPr>
      <w:tblGrid>
        <w:gridCol w:w="3470"/>
        <w:gridCol w:w="3106"/>
        <w:gridCol w:w="272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365,324,708.57</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368,565,269.48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264,342,256.11</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3,822,173,629.38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3,778,881,253.48</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3,455,378,111.14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3,477,475,566.78</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222,754,514.80</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3,125,872,550.73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3,098,829,899.59</w:t>
            </w:r>
          </w:p>
        </w:tc>
      </w:tr>
    </w:tbl>
    <w:p>
      <w:pPr>
        <w:widowControl w:val="0"/>
        <w:spacing w:after="619" w:line="1" w:lineRule="exact"/>
      </w:pPr>
    </w:p>
    <w:p>
      <w:pPr>
        <w:pStyle w:val="Style20"/>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七</w:t>
      </w:r>
      <w:bookmarkEnd w:id="450"/>
      <w:r>
        <w:rPr>
          <w:color w:val="000000"/>
          <w:spacing w:val="0"/>
          <w:w w:val="100"/>
          <w:position w:val="0"/>
        </w:rPr>
        <w:t>、与上年度财务报告相比，合并报表范围发生变化的情况说明</w:t>
      </w:r>
      <w:bookmarkEnd w:id="448"/>
      <w:bookmarkEnd w:id="449"/>
      <w:bookmarkEnd w:id="451"/>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60" w:line="240" w:lineRule="auto"/>
        <w:ind w:left="0" w:right="0" w:firstLine="4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、非同一控制下企业合并</w:t>
      </w:r>
    </w:p>
    <w:p>
      <w:pPr>
        <w:pStyle w:val="Style17"/>
        <w:keepNext w:val="0"/>
        <w:keepLines w:val="0"/>
        <w:widowControl w:val="0"/>
        <w:shd w:val="clear" w:color="auto" w:fill="auto"/>
        <w:bidi w:val="0"/>
        <w:spacing w:before="0" w:after="120" w:line="240" w:lineRule="auto"/>
        <w:ind w:left="0" w:right="0" w:firstLine="440"/>
        <w:jc w:val="left"/>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单位：人民币元</w:t>
      </w:r>
    </w:p>
    <w:tbl>
      <w:tblPr>
        <w:tblOverlap w:val="never"/>
        <w:jc w:val="center"/>
        <w:tblLayout w:type="fixed"/>
      </w:tblPr>
      <w:tblGrid>
        <w:gridCol w:w="1694"/>
        <w:gridCol w:w="926"/>
        <w:gridCol w:w="1142"/>
        <w:gridCol w:w="706"/>
        <w:gridCol w:w="706"/>
        <w:gridCol w:w="840"/>
        <w:gridCol w:w="1109"/>
        <w:gridCol w:w="970"/>
        <w:gridCol w:w="984"/>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被购买方名称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股权取得时 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股权取得成本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股权取 得比例 （</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股权取 得方式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购买日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购买日的确定 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购买日至期 末被购买方 的收入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购买日至期 末被购买方 的净利润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都昌县皓晖光伏 电站有限公司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100" w:line="240" w:lineRule="auto"/>
              <w:ind w:left="0" w:right="0" w:firstLine="0"/>
              <w:jc w:val="center"/>
            </w:pPr>
            <w:r>
              <w:rPr>
                <w:color w:val="000000"/>
                <w:spacing w:val="0"/>
                <w:w w:val="100"/>
                <w:position w:val="0"/>
              </w:rPr>
              <w:t>非同一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控制企</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支付股权对 价；实际控制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9,564,440.64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3,753,205.47</w:t>
            </w:r>
          </w:p>
        </w:tc>
      </w:tr>
      <w:tr>
        <w:trPr>
          <w:trHeight w:val="7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蒙阴县盛康光伏 发电有限公司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支付股权对 价；实际控制</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6,003,294.64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-2,107,411.4</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144"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）合并成本及商誉</w:t>
      </w:r>
    </w:p>
    <w:tbl>
      <w:tblPr>
        <w:tblOverlap w:val="never"/>
        <w:jc w:val="center"/>
        <w:tblLayout w:type="fixed"/>
      </w:tblPr>
      <w:tblGrid>
        <w:gridCol w:w="3259"/>
        <w:gridCol w:w="1843"/>
        <w:gridCol w:w="2026"/>
        <w:gridCol w:w="2016"/>
      </w:tblGrid>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都昌县皓晖光伏电 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蒙阴县盛康光伏发电 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72,000,000.00</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72,000,000.00</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72,000,000.00</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减：取得的可辨认净资产公允价值 份额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20,422,291.86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699,548.50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21,121,840.36</w:t>
            </w:r>
          </w:p>
        </w:tc>
      </w:tr>
      <w:tr>
        <w:trPr>
          <w:trHeight w:val="69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合并成本大于取得的可辨认净资产 公允价值份额的金额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17,577,708.14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33,300,451.50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50,878,159.64</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）被购买方于购买日可辨认资产、负债</w:t>
      </w:r>
    </w:p>
    <w:tbl>
      <w:tblPr>
        <w:tblOverlap w:val="never"/>
        <w:jc w:val="center"/>
        <w:tblLayout w:type="fixed"/>
      </w:tblPr>
      <w:tblGrid>
        <w:gridCol w:w="2232"/>
        <w:gridCol w:w="3466"/>
        <w:gridCol w:w="3605"/>
      </w:tblGrid>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都昌县皓晖光伏电站有限公司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蒙阴县盛康光伏发电有限公司</w:t>
            </w:r>
          </w:p>
        </w:tc>
      </w:tr>
    </w:tbl>
    <w:p>
      <w:pPr>
        <w:spacing w:lineRule="exact" w:line="1"/>
        <w:rPr>
          <w:sz w:val="2"/>
          <w:szCs w:val="2"/>
        </w:rPr>
      </w:pPr>
      <w:r>
        <w:br w:type="page"/>
      </w:r>
    </w:p>
    <w:tbl>
      <w:tblPr>
        <w:tblOverlap w:val="never"/>
        <w:jc w:val="center"/>
        <w:tblLayout w:type="fixed"/>
      </w:tblPr>
      <w:tblGrid>
        <w:gridCol w:w="2232"/>
        <w:gridCol w:w="1709"/>
        <w:gridCol w:w="1757"/>
        <w:gridCol w:w="1752"/>
        <w:gridCol w:w="1853"/>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购买日公允价值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购买日账面价值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购买日公允价值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购买日账面价值</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1,715,715.40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1,715,715.40</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25,957,753.53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25,957,753.53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24,998,270.73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24,998,270.73</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300,000.00</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8,333,047.03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8,333,047.03</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13,182,655.67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13,182,655.67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12,200,695.77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12,200,695.77</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81,008,236.01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94,847,555.10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81,155,755.00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116,179,702.07</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223,894.16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223,894.16</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3,459,829.77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8,755,986.77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43,096,828.77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43,096,828.77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36,290,951.32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36,290,951.32</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156,630.97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156,630.97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338,144.95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338,144.95</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59,932,852.96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59,932,852.96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100,354,720.09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100,354,720.09</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20,422,291.86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30,801,781.18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699,548.50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26,967,508.80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20,422,291.86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30,801,781.18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699,548.50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26,967,508.80</w:t>
            </w:r>
          </w:p>
        </w:tc>
      </w:tr>
    </w:tbl>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、本期新设增加的子公司</w:t>
      </w:r>
    </w:p>
    <w:p>
      <w:pPr>
        <w:widowControl w:val="0"/>
        <w:spacing w:after="179" w:line="1" w:lineRule="exact"/>
      </w:pPr>
    </w:p>
    <w:p>
      <w:pPr>
        <w:pStyle w:val="Style25"/>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无</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本期减少合并范围</w:t>
      </w:r>
    </w:p>
    <w:tbl>
      <w:tblPr>
        <w:tblOverlap w:val="never"/>
        <w:jc w:val="center"/>
        <w:tblLayout w:type="fixed"/>
      </w:tblPr>
      <w:tblGrid>
        <w:gridCol w:w="2136"/>
        <w:gridCol w:w="1066"/>
        <w:gridCol w:w="614"/>
        <w:gridCol w:w="749"/>
        <w:gridCol w:w="1171"/>
        <w:gridCol w:w="1858"/>
        <w:gridCol w:w="1622"/>
      </w:tblGrid>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股权处置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股权处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丧失控制权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丧失控制权时点的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处置价款与处置</w:t>
            </w:r>
          </w:p>
        </w:tc>
      </w:tr>
    </w:tbl>
    <w:p>
      <w:pPr>
        <w:spacing w:lineRule="exact" w:line="1"/>
        <w:rPr>
          <w:sz w:val="2"/>
          <w:szCs w:val="2"/>
        </w:rPr>
      </w:pPr>
      <w:r>
        <w:br w:type="page"/>
      </w:r>
    </w:p>
    <w:tbl>
      <w:tblPr>
        <w:tblOverlap w:val="never"/>
        <w:jc w:val="center"/>
        <w:tblLayout w:type="fixed"/>
      </w:tblPr>
      <w:tblGrid>
        <w:gridCol w:w="2136"/>
        <w:gridCol w:w="1066"/>
        <w:gridCol w:w="614"/>
        <w:gridCol w:w="749"/>
        <w:gridCol w:w="1171"/>
        <w:gridCol w:w="1858"/>
        <w:gridCol w:w="1622"/>
      </w:tblGrid>
      <w:tr>
        <w:trPr>
          <w:trHeight w:val="12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价款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处置 比例 （</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置方式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的时点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center"/>
              <w:rPr>
                <w:sz w:val="20"/>
                <w:szCs w:val="20"/>
              </w:rPr>
            </w:pPr>
            <w:r>
              <w:rPr>
                <w:b/>
                <w:bCs/>
                <w:color w:val="000000"/>
                <w:spacing w:val="0"/>
                <w:w w:val="100"/>
                <w:position w:val="0"/>
                <w:sz w:val="20"/>
                <w:szCs w:val="20"/>
              </w:rPr>
              <w:t>投资对应的合并 报表层面享有该 子公司净资产份 额的差额</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华融金属表面处理（安 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权力机构批准，完成财 产交接，控制权转移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-142,551.34</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安达市旭蓝新能源有限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权力机构批准，完成财 产交接，控制权转移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964,391.27</w:t>
            </w:r>
          </w:p>
        </w:tc>
      </w:tr>
      <w:tr>
        <w:trPr>
          <w:trHeight w:val="7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邢台天宏祥燃气有限公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权力机构批准，完成财 产交接，控制权转移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-1,985,782.20</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张北旭源新能源科技有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权力机构批准，完成财 产交接，控制权转移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2,246.64</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宁夏旭蓝新能源科技有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权力机构批准，完成财 产交接，控制权转移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136,934.57</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鄂托克前旗晟日新能源</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371,500.00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权力机构批准，完成财 产交接，控制权转移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-3,945,563.80</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湖南旭腾医疗管理有限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权力机构批准，完成财 产交接，控制权转移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84,222.54</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乌兰察布旭晨新能源科</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权力机构批准，完成财 产交接，控制权转移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宁夏旭盛新能源科技有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权力机构批准，完成财 产交接，控制权转移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1,099.58</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南阳永召新能源有限公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权力机构批准，完成财 产交接，控制权转移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-900.76</w:t>
            </w:r>
          </w:p>
        </w:tc>
      </w:tr>
      <w:tr>
        <w:trPr>
          <w:trHeight w:val="69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106,471,501.0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-4,585,903.50</w:t>
            </w:r>
          </w:p>
        </w:tc>
      </w:tr>
    </w:tbl>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续前表:</w:t>
      </w:r>
    </w:p>
    <w:tbl>
      <w:tblPr>
        <w:tblOverlap w:val="never"/>
        <w:jc w:val="center"/>
        <w:tblLayout w:type="fixed"/>
      </w:tblPr>
      <w:tblGrid>
        <w:gridCol w:w="2179"/>
        <w:gridCol w:w="1214"/>
        <w:gridCol w:w="1037"/>
        <w:gridCol w:w="931"/>
        <w:gridCol w:w="1243"/>
        <w:gridCol w:w="1109"/>
        <w:gridCol w:w="1502"/>
      </w:tblGrid>
      <w:tr>
        <w:trPr>
          <w:trHeight w:val="16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丧失控制权 之日剩余股 权的比例 （</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rPr>
                <w:sz w:val="20"/>
                <w:szCs w:val="20"/>
              </w:rPr>
            </w:pPr>
            <w:r>
              <w:rPr>
                <w:b/>
                <w:bCs/>
                <w:color w:val="000000"/>
                <w:spacing w:val="0"/>
                <w:w w:val="100"/>
                <w:position w:val="0"/>
                <w:sz w:val="20"/>
                <w:szCs w:val="20"/>
              </w:rPr>
              <w:t>丧失控制 权之日剩 余股权的 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丧失控制 权之日剩 余股权的 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按照公允价 值重新计量 剩余股权产 生的利得或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20"/>
                <w:szCs w:val="20"/>
              </w:rPr>
            </w:pPr>
            <w:r>
              <w:rPr>
                <w:b/>
                <w:bCs/>
                <w:color w:val="000000"/>
                <w:spacing w:val="0"/>
                <w:w w:val="100"/>
                <w:position w:val="0"/>
                <w:sz w:val="20"/>
                <w:szCs w:val="20"/>
              </w:rPr>
              <w:t>丧失控制权 之日剩余股 权公允价值 的确定方法 及主要假设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rPr>
                <w:sz w:val="20"/>
                <w:szCs w:val="20"/>
              </w:rPr>
            </w:pPr>
            <w:r>
              <w:rPr>
                <w:b/>
                <w:bCs/>
                <w:color w:val="000000"/>
                <w:spacing w:val="0"/>
                <w:w w:val="100"/>
                <w:position w:val="0"/>
                <w:sz w:val="20"/>
                <w:szCs w:val="20"/>
              </w:rPr>
              <w:t>与原子公司股 权投资相关的 其他综合收益 转入投资损益 的金额</w:t>
            </w: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华融金属表面处理（安 平）科技有限公司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安达市旭蓝新能源有限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邢台天宏祥燃气有限公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79"/>
        <w:gridCol w:w="1214"/>
        <w:gridCol w:w="1037"/>
        <w:gridCol w:w="931"/>
        <w:gridCol w:w="1243"/>
        <w:gridCol w:w="1109"/>
        <w:gridCol w:w="1502"/>
      </w:tblGrid>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张北旭源新能源科技有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宁夏旭蓝新能源科技有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鄂托克前旗晟日新能源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湖南旭腾医疗管理有限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乌兰察布旭晨新能源科</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宁夏旭盛新能源科技有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南阳永召新能源有限公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、安达市旭蓝新能源有限公司的子公司安达市旭达新能源有限公司随母公司处置而减少；</w:t>
      </w:r>
    </w:p>
    <w:p>
      <w:pPr>
        <w:pStyle w:val="Style1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、乌兰察布旭晨新能源科技有限公司的子公司化德旭通新能源科技有限公司随母公司处置而减少； 注</w:t>
      </w:r>
      <w:r>
        <w:rPr>
          <w:rFonts w:ascii="Times New Roman" w:eastAsia="Times New Roman" w:hAnsi="Times New Roman" w:cs="Times New Roman"/>
          <w:color w:val="000000"/>
          <w:spacing w:val="0"/>
          <w:w w:val="100"/>
          <w:position w:val="0"/>
        </w:rPr>
        <w:t>3</w:t>
      </w:r>
      <w:r>
        <w:rPr>
          <w:color w:val="000000"/>
          <w:spacing w:val="0"/>
          <w:w w:val="100"/>
          <w:position w:val="0"/>
        </w:rPr>
        <w:t>、鄂托克前旗晟日新能源科技有限公司的子公司尚义县旭蓝新能源科技有限公司随母公司的处置 而减少；</w:t>
      </w:r>
    </w:p>
    <w:p>
      <w:pPr>
        <w:pStyle w:val="Style1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、南阳永召新能源有限公司的子公司南召育开新能源有限公司随母公司的处置而减少。</w:t>
      </w:r>
    </w:p>
    <w:p>
      <w:pPr>
        <w:pStyle w:val="Style17"/>
        <w:keepNext w:val="0"/>
        <w:keepLines w:val="0"/>
        <w:widowControl w:val="0"/>
        <w:shd w:val="clear" w:color="auto" w:fill="auto"/>
        <w:bidi w:val="0"/>
        <w:spacing w:before="0" w:after="0" w:line="466" w:lineRule="exact"/>
        <w:ind w:left="0" w:right="0" w:firstLine="440"/>
        <w:jc w:val="both"/>
      </w:pPr>
      <w:bookmarkStart w:id="453" w:name="bookmark453"/>
      <w:r>
        <w:rPr>
          <w:rFonts w:ascii="Times New Roman" w:eastAsia="Times New Roman" w:hAnsi="Times New Roman" w:cs="Times New Roman"/>
          <w:b/>
          <w:bCs/>
          <w:color w:val="000000"/>
          <w:spacing w:val="0"/>
          <w:w w:val="100"/>
          <w:position w:val="0"/>
        </w:rPr>
        <w:t>4</w:t>
      </w:r>
      <w:bookmarkEnd w:id="453"/>
      <w:r>
        <w:rPr>
          <w:b/>
          <w:bCs/>
          <w:color w:val="000000"/>
          <w:spacing w:val="0"/>
          <w:w w:val="100"/>
          <w:position w:val="0"/>
        </w:rPr>
        <w:t>、其他原因的合并范围变动</w:t>
      </w:r>
    </w:p>
    <w:p>
      <w:pPr>
        <w:pStyle w:val="Style17"/>
        <w:keepNext w:val="0"/>
        <w:keepLines w:val="0"/>
        <w:widowControl w:val="0"/>
        <w:shd w:val="clear" w:color="auto" w:fill="auto"/>
        <w:bidi w:val="0"/>
        <w:spacing w:before="0" w:after="420" w:line="468" w:lineRule="exact"/>
        <w:ind w:left="0" w:right="0" w:firstLine="0"/>
        <w:jc w:val="both"/>
      </w:pPr>
      <w:r>
        <w:rPr>
          <w:color w:val="000000"/>
          <w:spacing w:val="0"/>
          <w:w w:val="100"/>
          <w:position w:val="0"/>
        </w:rPr>
        <w:t>本公司子公司北京绿产国际科技发展有限公司、河北天环建筑工程有限公司、义县弘吉太阳能发电有限公 司、义县旭阳太阳能发电有限公司、河北旭昂供应链管理有限公司、青岛旭阳新能源有限公司、内蒙古旭 日昇新能源科技有限公司、滨州市旭农农业科技有限公司、内蒙古旭凯新能源科技有限公司、佳木斯市旭 宏新能源有限公司、东营旭蓝光伏发电有限公司、中方县旭弘电力有限公司、朔州旭蓝新能源科技有限公 司、霍尔果斯东旭新能源科技有限公司、新泰旭农农业科技有限公司、广西南宁粒子新能源投资有限公司、 金寨旭辉新能源投资有限公司、安徽康图智能科技有限公司、安平县旭洲商贸有限公司、滦平县旭欣新能 源科技有限公司、平度市旭弘新能源有限公司、绍兴旭蓝新能源有限公司、太原旭木贸易有限公司、甘肃 旭粟农业发展有限公司已于本报告期注销。</w:t>
      </w:r>
    </w:p>
    <w:p>
      <w:pPr>
        <w:pStyle w:val="Style20"/>
        <w:keepNext/>
        <w:keepLines/>
        <w:widowControl w:val="0"/>
        <w:shd w:val="clear" w:color="auto" w:fill="auto"/>
        <w:bidi w:val="0"/>
        <w:spacing w:before="0" w:after="420" w:line="240" w:lineRule="auto"/>
        <w:ind w:left="0" w:right="0" w:firstLine="0"/>
        <w:jc w:val="both"/>
      </w:pPr>
      <w:bookmarkStart w:id="454" w:name="bookmark454"/>
      <w:bookmarkStart w:id="455" w:name="bookmark455"/>
      <w:bookmarkStart w:id="456" w:name="bookmark456"/>
      <w:bookmarkStart w:id="457" w:name="bookmark457"/>
      <w:r>
        <w:rPr>
          <w:color w:val="000000"/>
          <w:spacing w:val="0"/>
          <w:w w:val="100"/>
          <w:position w:val="0"/>
        </w:rPr>
        <w:t>八</w:t>
      </w:r>
      <w:bookmarkEnd w:id="456"/>
      <w:r>
        <w:rPr>
          <w:color w:val="000000"/>
          <w:spacing w:val="0"/>
          <w:w w:val="100"/>
          <w:position w:val="0"/>
        </w:rPr>
        <w:t>、聘任、解聘会计师事务所情况</w:t>
      </w:r>
      <w:bookmarkEnd w:id="454"/>
      <w:bookmarkEnd w:id="455"/>
      <w:bookmarkEnd w:id="457"/>
    </w:p>
    <w:p>
      <w:pPr>
        <w:pStyle w:val="Style27"/>
        <w:keepNext w:val="0"/>
        <w:keepLines w:val="0"/>
        <w:widowControl w:val="0"/>
        <w:shd w:val="clear" w:color="auto" w:fill="auto"/>
        <w:bidi w:val="0"/>
        <w:spacing w:before="0" w:after="220" w:line="240" w:lineRule="auto"/>
        <w:ind w:left="0" w:right="0" w:firstLine="0"/>
        <w:jc w:val="both"/>
      </w:pPr>
      <w:r>
        <w:rPr>
          <w:color w:val="000000"/>
          <w:spacing w:val="0"/>
          <w:w w:val="100"/>
          <w:position w:val="0"/>
        </w:rPr>
        <w:t>现聘任的会计师事务所</w:t>
      </w:r>
      <w:r>
        <w:br w:type="page"/>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康利岩、王雅栋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line="307" w:lineRule="exact"/>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307" w:lineRule="exact"/>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700" w:line="307"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年年度股东大会审议通过，公司聘任中兴财光华会计师事务所（特殊普通合伙）为公司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年度内部控制审计单 位，内控审计费用人民币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万元整。</w:t>
      </w:r>
    </w:p>
    <w:p>
      <w:pPr>
        <w:pStyle w:val="Style20"/>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九</w:t>
      </w:r>
      <w:bookmarkEnd w:id="460"/>
      <w:r>
        <w:rPr>
          <w:color w:val="000000"/>
          <w:spacing w:val="0"/>
          <w:w w:val="100"/>
          <w:position w:val="0"/>
        </w:rPr>
        <w:t>、年度报告披露后面临退市情况</w:t>
      </w:r>
      <w:bookmarkEnd w:id="458"/>
      <w:bookmarkEnd w:id="459"/>
      <w:bookmarkEnd w:id="461"/>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462" w:name="bookmark462"/>
      <w:bookmarkStart w:id="463" w:name="bookmark463"/>
      <w:bookmarkStart w:id="464" w:name="bookmark464"/>
      <w:r>
        <w:rPr>
          <w:color w:val="000000"/>
          <w:spacing w:val="0"/>
          <w:w w:val="100"/>
          <w:position w:val="0"/>
        </w:rPr>
        <w:t>十、破产重整相关事项</w:t>
      </w:r>
      <w:bookmarkEnd w:id="462"/>
      <w:bookmarkEnd w:id="463"/>
      <w:bookmarkEnd w:id="464"/>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公司报告期未发生破产重整相关事项。</w:t>
      </w:r>
    </w:p>
    <w:p>
      <w:pPr>
        <w:pStyle w:val="Style20"/>
        <w:keepNext/>
        <w:keepLines/>
        <w:widowControl w:val="0"/>
        <w:shd w:val="clear" w:color="auto" w:fill="auto"/>
        <w:bidi w:val="0"/>
        <w:spacing w:before="0" w:line="240" w:lineRule="auto"/>
        <w:ind w:left="0" w:right="0" w:firstLine="0"/>
        <w:jc w:val="both"/>
      </w:pPr>
      <w:bookmarkStart w:id="465" w:name="bookmark465"/>
      <w:bookmarkStart w:id="466" w:name="bookmark466"/>
      <w:bookmarkStart w:id="467" w:name="bookmark467"/>
      <w:r>
        <w:rPr>
          <w:color w:val="000000"/>
          <w:spacing w:val="0"/>
          <w:w w:val="100"/>
          <w:position w:val="0"/>
        </w:rPr>
        <w:t>十一、重大诉讼、仲裁事项</w:t>
      </w:r>
      <w:bookmarkEnd w:id="465"/>
      <w:bookmarkEnd w:id="466"/>
      <w:bookmarkEnd w:id="467"/>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421"/>
        <w:gridCol w:w="854"/>
        <w:gridCol w:w="1560"/>
        <w:gridCol w:w="850"/>
        <w:gridCol w:w="1843"/>
        <w:gridCol w:w="1133"/>
        <w:gridCol w:w="850"/>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是否形成预计负债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 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中信金融租赁有 限公司与公司及 张北熠彩电站融 资租赁合同纠纷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16,987.78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我公司已按融资租 赁合同约定计提租 金违约金，无需计 提预计负债。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一审完结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一审判决张北熠彩支 付中信金租租金</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258,181,829.44 </w:t>
            </w:r>
            <w:r>
              <w:rPr>
                <w:color w:val="000000"/>
                <w:spacing w:val="0"/>
                <w:w w:val="100"/>
                <w:position w:val="0"/>
              </w:rPr>
              <w:t>元，手 续费</w:t>
            </w:r>
            <w:r>
              <w:rPr>
                <w:rFonts w:ascii="Times New Roman" w:eastAsia="Times New Roman" w:hAnsi="Times New Roman" w:cs="Times New Roman"/>
                <w:color w:val="000000"/>
                <w:spacing w:val="0"/>
                <w:w w:val="100"/>
                <w:position w:val="0"/>
                <w:sz w:val="18"/>
                <w:szCs w:val="18"/>
              </w:rPr>
              <w:t>275</w:t>
            </w:r>
            <w:r>
              <w:rPr>
                <w:color w:val="000000"/>
                <w:spacing w:val="0"/>
                <w:w w:val="100"/>
                <w:position w:val="0"/>
              </w:rPr>
              <w:t>万元，留购价 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元及违约金（自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 至实际支付之日止的 违约金，以</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258,181,829.44 </w:t>
            </w:r>
            <w:r>
              <w:rPr>
                <w:color w:val="000000"/>
                <w:spacing w:val="0"/>
                <w:w w:val="100"/>
                <w:position w:val="0"/>
              </w:rPr>
              <w:t>元为基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一审完结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关于对深交 所公司部年 报问询函</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的公告、公司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bl>
    <w:p>
      <w:pPr>
        <w:spacing w:lineRule="exact" w:line="1"/>
        <w:rPr>
          <w:sz w:val="2"/>
          <w:szCs w:val="2"/>
        </w:rPr>
      </w:pPr>
      <w:r>
        <w:br w:type="page"/>
      </w:r>
    </w:p>
    <w:tbl>
      <w:tblPr>
        <w:tblOverlap w:val="never"/>
        <w:jc w:val="center"/>
        <w:tblLayout w:type="fixed"/>
      </w:tblPr>
      <w:tblGrid>
        <w:gridCol w:w="1421"/>
        <w:gridCol w:w="854"/>
        <w:gridCol w:w="1560"/>
        <w:gridCol w:w="850"/>
        <w:gridCol w:w="1843"/>
        <w:gridCol w:w="1133"/>
        <w:gridCol w:w="850"/>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数，按日万分之二的标</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准计算）；我方上诉二</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月已撤</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中信金融租赁有 限公司与我公司 及会理弘吉电站 融资租赁合同纠 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2,903.79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我公司与中信金租 正在进行债务和解 并逐步还款，我公 司预计无需支付违 约金，故未计提预 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关于对深交 所公司部年 报问询函</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的公告、公司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中信金融租赁有 限公司与我公司 及承德晟烨电站 融资租赁合同纠 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6,598.77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我公司与中信金租 正在进行债务和解 并逐步还款，我公 司预计无需支付违 约金，故未计提预 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关于对深交 所公司部年 报问询函</w:t>
            </w:r>
          </w:p>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的公告、公司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民生金融租赁股 份有限公司与我 公司及日照东旭 国山电站融资租 赁合同纠纷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我公司已按融资租 赁合同约定计提罚 息违约金，无需计 提预计负债。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关于对深交 所公司部年 报问询函</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的公告、公司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r>
        <w:trPr>
          <w:trHeight w:val="25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民生金融租赁股 份有限公司与我 公司及张北弘吉 电站融资租赁合 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8,800.26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我公司已按融资租 赁合同约定计提罚 息违约金，无需计 提预计负债。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关于对深交 所公司部年 报问询函</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的公告、公司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民生金融租赁股 份有限公司与我 公司及山东东旭 国山泰泉电站融 资租赁合同纠纷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5,636.57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我公司已按融资租 赁合同约定计提罚 息违约金，无需计 提预计负债。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年报问 询函回复公 告、公司</w:t>
            </w:r>
          </w:p>
          <w:p>
            <w:pPr>
              <w:pStyle w:val="Style2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bl>
    <w:p>
      <w:pPr>
        <w:spacing w:lineRule="exact" w:line="1"/>
        <w:rPr>
          <w:sz w:val="2"/>
          <w:szCs w:val="2"/>
        </w:rPr>
      </w:pPr>
      <w:r>
        <w:br w:type="page"/>
      </w:r>
    </w:p>
    <w:tbl>
      <w:tblPr>
        <w:tblOverlap w:val="never"/>
        <w:jc w:val="center"/>
        <w:tblLayout w:type="fixed"/>
      </w:tblPr>
      <w:tblGrid>
        <w:gridCol w:w="1421"/>
        <w:gridCol w:w="854"/>
        <w:gridCol w:w="1560"/>
        <w:gridCol w:w="850"/>
        <w:gridCol w:w="1843"/>
        <w:gridCol w:w="1133"/>
        <w:gridCol w:w="850"/>
        <w:gridCol w:w="1070"/>
      </w:tblGrid>
      <w:tr>
        <w:trPr>
          <w:trHeight w:val="196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民生金融租赁股 份有限公司与我 公司及菏泽融邦 电站融资租赁合 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4,761.93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我公司已按融资租 赁合同约定计提罚 息违约金，无需计 提预计负债。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已在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年报问 询函回复公 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r>
        <w:trPr>
          <w:trHeight w:val="25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民生金融租赁股 份有限公司与我 公司吉林华众昊 晟电站融资租赁 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3,875.37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我公司已按融资租 赁合同约定计提罚 息违约金，无需计 提预计负债。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关于对深交 所公司部年 报问询函</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的公告、公司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中国信达资产管 理股份有限公司 深圳市分公司与 我公司金融借款 合同纠纷，信达请 求我公司偿还全 部重组债务</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亿 元及按欠款总数 日万分之五计违 约金;并对原抵押 土地及房产等享 有优先受偿权。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我公司已与中国信 达等相关方达成债 权债务重组方案及 和解，中国信达拟 撤诉。无需计提预 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相关各方 已达成和 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相关各方已达成和解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相关各方已 达成和解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年报财 务附注、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年报问 询函回复、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半年 报问询函回 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报问询函回</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复公告、公司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r>
        <w:trPr>
          <w:trHeight w:val="477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中建材浚鑫科技 有限公司与我公 司四川东旭电力 及西藏东旭电力 买卖合同纠纷:双 方签订组件采购 合同，收到全部货 物合计</w:t>
            </w:r>
            <w:r>
              <w:rPr>
                <w:rFonts w:ascii="Times New Roman" w:eastAsia="Times New Roman" w:hAnsi="Times New Roman" w:cs="Times New Roman"/>
                <w:color w:val="000000"/>
                <w:spacing w:val="0"/>
                <w:w w:val="100"/>
                <w:position w:val="0"/>
                <w:sz w:val="18"/>
                <w:szCs w:val="18"/>
              </w:rPr>
              <w:t xml:space="preserve">22,690.57 </w:t>
            </w:r>
            <w:r>
              <w:rPr>
                <w:color w:val="000000"/>
                <w:spacing w:val="0"/>
                <w:w w:val="100"/>
                <w:position w:val="0"/>
              </w:rPr>
              <w:t xml:space="preserve">万元，未支付货款 及质保款共 </w:t>
            </w:r>
            <w:r>
              <w:rPr>
                <w:rFonts w:ascii="Times New Roman" w:eastAsia="Times New Roman" w:hAnsi="Times New Roman" w:cs="Times New Roman"/>
                <w:color w:val="000000"/>
                <w:spacing w:val="0"/>
                <w:w w:val="100"/>
                <w:position w:val="0"/>
                <w:sz w:val="18"/>
                <w:szCs w:val="18"/>
              </w:rPr>
              <w:t xml:space="preserve">11,345.28 </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已根据一审判决计 入营业外支出、其 他应付款</w:t>
            </w:r>
            <w:r>
              <w:rPr>
                <w:rFonts w:ascii="Times New Roman" w:eastAsia="Times New Roman" w:hAnsi="Times New Roman" w:cs="Times New Roman"/>
                <w:color w:val="000000"/>
                <w:spacing w:val="0"/>
                <w:w w:val="100"/>
                <w:position w:val="0"/>
                <w:sz w:val="18"/>
                <w:szCs w:val="18"/>
              </w:rPr>
              <w:t>2290</w:t>
            </w:r>
            <w:r>
              <w:rPr>
                <w:color w:val="000000"/>
                <w:spacing w:val="0"/>
                <w:w w:val="100"/>
                <w:position w:val="0"/>
              </w:rPr>
              <w:t>万 元，故无需确认预 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案件已审 结，正在 洽谈执行 和解。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收到一审判决，被告西 藏东旭电力向中建材 浚鑫科技有限公司支 付到货款</w:t>
            </w:r>
            <w:r>
              <w:rPr>
                <w:rFonts w:ascii="Times New Roman" w:eastAsia="Times New Roman" w:hAnsi="Times New Roman" w:cs="Times New Roman"/>
                <w:color w:val="000000"/>
                <w:spacing w:val="0"/>
                <w:w w:val="100"/>
                <w:position w:val="0"/>
                <w:sz w:val="18"/>
                <w:szCs w:val="18"/>
              </w:rPr>
              <w:t xml:space="preserve">90,762,268.5 </w:t>
            </w:r>
            <w:r>
              <w:rPr>
                <w:color w:val="000000"/>
                <w:spacing w:val="0"/>
                <w:w w:val="100"/>
                <w:position w:val="0"/>
              </w:rPr>
              <w:t xml:space="preserve">元，质保款 </w:t>
            </w:r>
            <w:r>
              <w:rPr>
                <w:rFonts w:ascii="Times New Roman" w:eastAsia="Times New Roman" w:hAnsi="Times New Roman" w:cs="Times New Roman"/>
                <w:color w:val="000000"/>
                <w:spacing w:val="0"/>
                <w:w w:val="100"/>
                <w:position w:val="0"/>
                <w:sz w:val="18"/>
                <w:szCs w:val="18"/>
              </w:rPr>
              <w:t xml:space="preserve">22,690,567.1 </w:t>
            </w:r>
            <w:r>
              <w:rPr>
                <w:color w:val="000000"/>
                <w:spacing w:val="0"/>
                <w:w w:val="100"/>
                <w:position w:val="0"/>
              </w:rPr>
              <w:t xml:space="preserve">元，发货款违约金 </w:t>
            </w:r>
            <w:r>
              <w:rPr>
                <w:rFonts w:ascii="Times New Roman" w:eastAsia="Times New Roman" w:hAnsi="Times New Roman" w:cs="Times New Roman"/>
                <w:color w:val="000000"/>
                <w:spacing w:val="0"/>
                <w:w w:val="100"/>
                <w:position w:val="0"/>
                <w:sz w:val="18"/>
                <w:szCs w:val="18"/>
              </w:rPr>
              <w:t>11,152</w:t>
            </w:r>
            <w:r>
              <w:rPr>
                <w:color w:val="000000"/>
                <w:spacing w:val="0"/>
                <w:w w:val="100"/>
                <w:position w:val="0"/>
              </w:rPr>
              <w:t xml:space="preserve">元，到货款违约 金 </w:t>
            </w:r>
            <w:r>
              <w:rPr>
                <w:rFonts w:ascii="Times New Roman" w:eastAsia="Times New Roman" w:hAnsi="Times New Roman" w:cs="Times New Roman"/>
                <w:color w:val="000000"/>
                <w:spacing w:val="0"/>
                <w:w w:val="100"/>
                <w:position w:val="0"/>
                <w:sz w:val="18"/>
                <w:szCs w:val="18"/>
              </w:rPr>
              <w:t xml:space="preserve">18,152,453.7 </w:t>
            </w:r>
            <w:r>
              <w:rPr>
                <w:color w:val="000000"/>
                <w:spacing w:val="0"/>
                <w:w w:val="100"/>
                <w:position w:val="0"/>
              </w:rPr>
              <w:t>元，质 保金违约金</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4,538,113.38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日收到二审判 决，驳回上诉，维持原 判。</w:t>
            </w:r>
            <w:r>
              <w:rPr>
                <w:rFonts w:ascii="Times New Roman" w:eastAsia="Times New Roman" w:hAnsi="Times New Roman" w:cs="Times New Roman"/>
                <w:color w:val="000000"/>
                <w:spacing w:val="0"/>
                <w:w w:val="100"/>
                <w:position w:val="0"/>
                <w:sz w:val="18"/>
                <w:szCs w:val="18"/>
              </w:rPr>
              <w:t>2021.11.17</w:t>
            </w:r>
            <w:r>
              <w:rPr>
                <w:color w:val="000000"/>
                <w:spacing w:val="0"/>
                <w:w w:val="100"/>
                <w:position w:val="0"/>
              </w:rPr>
              <w:t>法院作 出执行通知书，终结本 次执行。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日收到二审 判决，驳回上 诉，维持原 判。</w:t>
            </w:r>
            <w:r>
              <w:rPr>
                <w:rFonts w:ascii="Times New Roman" w:eastAsia="Times New Roman" w:hAnsi="Times New Roman" w:cs="Times New Roman"/>
                <w:color w:val="000000"/>
                <w:spacing w:val="0"/>
                <w:w w:val="100"/>
                <w:position w:val="0"/>
                <w:sz w:val="18"/>
                <w:szCs w:val="18"/>
              </w:rPr>
              <w:t xml:space="preserve">2021.11.17 </w:t>
            </w:r>
            <w:r>
              <w:rPr>
                <w:color w:val="000000"/>
                <w:spacing w:val="0"/>
                <w:w w:val="100"/>
                <w:position w:val="0"/>
              </w:rPr>
              <w:t>法院作出执 行通知书，终 结本次执行。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已在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年报财 务附注、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年报问 询函回复公 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中节能科技有限 公司与我公司四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3,208.38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已根据二审判决计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案件已审 结，正在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收到二审判决，被告西 藏东旭电力支付中节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被告西藏东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旭电力需支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关于对深交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所公司部年</w:t>
            </w:r>
          </w:p>
        </w:tc>
      </w:tr>
    </w:tbl>
    <w:p>
      <w:pPr>
        <w:spacing w:lineRule="exact" w:line="1"/>
        <w:rPr>
          <w:sz w:val="2"/>
          <w:szCs w:val="2"/>
        </w:rPr>
      </w:pPr>
      <w:r>
        <w:br w:type="page"/>
      </w:r>
    </w:p>
    <w:tbl>
      <w:tblPr>
        <w:tblOverlap w:val="never"/>
        <w:jc w:val="center"/>
        <w:tblLayout w:type="fixed"/>
      </w:tblPr>
      <w:tblGrid>
        <w:gridCol w:w="1421"/>
        <w:gridCol w:w="854"/>
        <w:gridCol w:w="1560"/>
        <w:gridCol w:w="850"/>
        <w:gridCol w:w="1843"/>
        <w:gridCol w:w="1133"/>
        <w:gridCol w:w="850"/>
        <w:gridCol w:w="1070"/>
      </w:tblGrid>
      <w:tr>
        <w:trPr>
          <w:trHeight w:val="3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川东旭电力及西 藏东旭电力买卖 合同纠纷:双方签 订组件采购合同， 西藏东旭应支付 款项共计</w:t>
            </w:r>
          </w:p>
          <w:p>
            <w:pPr>
              <w:pStyle w:val="Style22"/>
              <w:keepNext w:val="0"/>
              <w:keepLines w:val="0"/>
              <w:widowControl w:val="0"/>
              <w:shd w:val="clear" w:color="auto" w:fill="auto"/>
              <w:bidi w:val="0"/>
              <w:spacing w:before="0" w:after="100" w:line="315" w:lineRule="exact"/>
              <w:ind w:left="0" w:right="0" w:firstLine="0"/>
              <w:jc w:val="both"/>
            </w:pPr>
            <w:r>
              <w:rPr>
                <w:rFonts w:ascii="Times New Roman" w:eastAsia="Times New Roman" w:hAnsi="Times New Roman" w:cs="Times New Roman"/>
                <w:color w:val="000000"/>
                <w:spacing w:val="0"/>
                <w:w w:val="100"/>
                <w:position w:val="0"/>
                <w:sz w:val="18"/>
                <w:szCs w:val="18"/>
              </w:rPr>
              <w:t>5,900.07</w:t>
            </w:r>
            <w:r>
              <w:rPr>
                <w:color w:val="000000"/>
                <w:spacing w:val="0"/>
                <w:w w:val="100"/>
                <w:position w:val="0"/>
              </w:rPr>
              <w:t>万元，未 支付货款</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2,654.99 </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提负债及违约金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洽谈有关</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执行和解</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能太阳能科技（镇江） 有限公司货款</w:t>
            </w:r>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26,549,870.2 </w:t>
            </w:r>
            <w:r>
              <w:rPr>
                <w:color w:val="000000"/>
                <w:spacing w:val="0"/>
                <w:w w:val="100"/>
                <w:position w:val="0"/>
              </w:rPr>
              <w:t xml:space="preserve">元，违约 金 </w:t>
            </w:r>
            <w:r>
              <w:rPr>
                <w:rFonts w:ascii="Times New Roman" w:eastAsia="Times New Roman" w:hAnsi="Times New Roman" w:cs="Times New Roman"/>
                <w:color w:val="000000"/>
                <w:spacing w:val="0"/>
                <w:w w:val="100"/>
                <w:position w:val="0"/>
                <w:sz w:val="18"/>
                <w:szCs w:val="18"/>
              </w:rPr>
              <w:t xml:space="preserve">5,309,974.04 </w:t>
            </w:r>
            <w:r>
              <w:rPr>
                <w:color w:val="000000"/>
                <w:spacing w:val="0"/>
                <w:w w:val="100"/>
                <w:position w:val="0"/>
              </w:rPr>
              <w:t>元，保 险费</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元，；律师 费</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元；四川东 旭不承担责任。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付中节能太</w:t>
            </w:r>
          </w:p>
          <w:p>
            <w:pPr>
              <w:pStyle w:val="Style22"/>
              <w:keepNext w:val="0"/>
              <w:keepLines w:val="0"/>
              <w:widowControl w:val="0"/>
              <w:shd w:val="clear" w:color="auto" w:fill="auto"/>
              <w:bidi w:val="0"/>
              <w:spacing w:before="0" w:after="100" w:line="316" w:lineRule="exact"/>
              <w:ind w:left="0" w:right="0" w:firstLine="0"/>
              <w:jc w:val="left"/>
            </w:pPr>
            <w:r>
              <w:rPr>
                <w:color w:val="000000"/>
                <w:spacing w:val="0"/>
                <w:w w:val="100"/>
                <w:position w:val="0"/>
              </w:rPr>
              <w:t>阳能科技（镇 江）有限公司 货款</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26,549,870.2</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元，违约金</w:t>
            </w:r>
          </w:p>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5,309,974.04 </w:t>
            </w:r>
            <w:r>
              <w:rPr>
                <w:color w:val="000000"/>
                <w:spacing w:val="0"/>
                <w:w w:val="100"/>
                <w:position w:val="0"/>
              </w:rPr>
              <w:t>元，保险费</w:t>
            </w:r>
          </w:p>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24,000 </w:t>
            </w:r>
            <w:r>
              <w:rPr>
                <w:color w:val="000000"/>
                <w:spacing w:val="0"/>
                <w:w w:val="100"/>
                <w:position w:val="0"/>
              </w:rPr>
              <w:t xml:space="preserve">元，； 律师费 </w:t>
            </w: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rPr>
              <w:t>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报问询函</w:t>
            </w:r>
          </w:p>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上海赫太实业有 限公司与我公司 四川东旭电力及 西藏东旭电力买 卖合同纠纷:原告 上海赫太诉西藏 东旭电力、四川东 旭电力，要求支付 组件款</w:t>
            </w:r>
            <w:r>
              <w:rPr>
                <w:rFonts w:ascii="Times New Roman" w:eastAsia="Times New Roman" w:hAnsi="Times New Roman" w:cs="Times New Roman"/>
                <w:color w:val="000000"/>
                <w:spacing w:val="0"/>
                <w:w w:val="100"/>
                <w:position w:val="0"/>
                <w:sz w:val="18"/>
                <w:szCs w:val="18"/>
              </w:rPr>
              <w:t>1,616.4</w:t>
            </w:r>
            <w:r>
              <w:rPr>
                <w:color w:val="000000"/>
                <w:spacing w:val="0"/>
                <w:w w:val="100"/>
                <w:position w:val="0"/>
              </w:rPr>
              <w:t>万 元及相应违约金， 合计约</w:t>
            </w:r>
            <w:r>
              <w:rPr>
                <w:rFonts w:ascii="Times New Roman" w:eastAsia="Times New Roman" w:hAnsi="Times New Roman" w:cs="Times New Roman"/>
                <w:color w:val="000000"/>
                <w:spacing w:val="0"/>
                <w:w w:val="100"/>
                <w:position w:val="0"/>
                <w:sz w:val="18"/>
                <w:szCs w:val="18"/>
              </w:rPr>
              <w:t xml:space="preserve">2,168.57 </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已根据二审判决计 提负债及违约金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二审判决 已收到， 尚未结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一审判决被告西藏东 旭电力支付原告多晶 硅组件款</w:t>
            </w:r>
            <w:r>
              <w:rPr>
                <w:rFonts w:ascii="Times New Roman" w:eastAsia="Times New Roman" w:hAnsi="Times New Roman" w:cs="Times New Roman"/>
                <w:color w:val="000000"/>
                <w:spacing w:val="0"/>
                <w:w w:val="100"/>
                <w:position w:val="0"/>
                <w:sz w:val="18"/>
                <w:szCs w:val="18"/>
              </w:rPr>
              <w:t xml:space="preserve">16,164,064 </w:t>
            </w:r>
            <w:r>
              <w:rPr>
                <w:color w:val="000000"/>
                <w:spacing w:val="0"/>
                <w:w w:val="100"/>
                <w:position w:val="0"/>
              </w:rPr>
              <w:t>元，并按日万分之五标 准支付违约金；四川东 旭不承担责任。收到二 审判决，驳回上诉，维 持原判。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二审判决已 收到，执行 中，尚未结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关于对深交 所公司部年 报问询函</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r>
        <w:trPr>
          <w:trHeight w:val="63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中国核工业二三 建设有限公司（申 请人）与仙桃东旭 新能源科技有限 公司（被申请人） 建设工程合同纠 纷：中核二三作为 仙桃项目总包方， 合同总价款约</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亿，仙桃公司欠付 未付工程款及质 保金合计约</w:t>
            </w:r>
            <w:r>
              <w:rPr>
                <w:rFonts w:ascii="Times New Roman" w:eastAsia="Times New Roman" w:hAnsi="Times New Roman" w:cs="Times New Roman"/>
                <w:color w:val="000000"/>
                <w:spacing w:val="0"/>
                <w:w w:val="100"/>
                <w:position w:val="0"/>
                <w:sz w:val="18"/>
                <w:szCs w:val="18"/>
              </w:rPr>
              <w:t xml:space="preserve">4,296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我公司与对方公司 正在和解中，预计 不会产生违约金， 故未计提预计负 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已收到裁 决书，已 提起申请 撤销仲裁 裁决。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被申请人向申请人支 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、工程折价款人 民币</w:t>
            </w:r>
            <w:r>
              <w:rPr>
                <w:rFonts w:ascii="Times New Roman" w:eastAsia="Times New Roman" w:hAnsi="Times New Roman" w:cs="Times New Roman"/>
                <w:color w:val="000000"/>
                <w:spacing w:val="0"/>
                <w:w w:val="100"/>
                <w:position w:val="0"/>
                <w:sz w:val="18"/>
                <w:szCs w:val="18"/>
              </w:rPr>
              <w:t>3346.2638</w:t>
            </w:r>
            <w:r>
              <w:rPr>
                <w:color w:val="000000"/>
                <w:spacing w:val="0"/>
                <w:w w:val="100"/>
                <w:position w:val="0"/>
              </w:rPr>
              <w:t>万元及 利息；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、返还质保金 人民币</w:t>
            </w:r>
            <w:r>
              <w:rPr>
                <w:rFonts w:ascii="Times New Roman" w:eastAsia="Times New Roman" w:hAnsi="Times New Roman" w:cs="Times New Roman"/>
                <w:color w:val="000000"/>
                <w:spacing w:val="0"/>
                <w:w w:val="100"/>
                <w:position w:val="0"/>
                <w:sz w:val="18"/>
                <w:szCs w:val="18"/>
              </w:rPr>
              <w:t>845.55045</w:t>
            </w:r>
            <w:r>
              <w:rPr>
                <w:color w:val="000000"/>
                <w:spacing w:val="0"/>
                <w:w w:val="100"/>
                <w:position w:val="0"/>
              </w:rPr>
              <w:t>万元 及利息；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、律师费人 民币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、保全 费人民币</w:t>
            </w:r>
            <w:r>
              <w:rPr>
                <w:rFonts w:ascii="Times New Roman" w:eastAsia="Times New Roman" w:hAnsi="Times New Roman" w:cs="Times New Roman"/>
                <w:color w:val="000000"/>
                <w:spacing w:val="0"/>
                <w:w w:val="100"/>
                <w:position w:val="0"/>
                <w:sz w:val="18"/>
                <w:szCs w:val="18"/>
              </w:rPr>
              <w:t>8.184319</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、申请人在人民 币</w:t>
            </w:r>
            <w:r>
              <w:rPr>
                <w:rFonts w:ascii="Times New Roman" w:eastAsia="Times New Roman" w:hAnsi="Times New Roman" w:cs="Times New Roman"/>
                <w:color w:val="000000"/>
                <w:spacing w:val="0"/>
                <w:w w:val="100"/>
                <w:position w:val="0"/>
                <w:sz w:val="18"/>
                <w:szCs w:val="18"/>
              </w:rPr>
              <w:t>4191.8142</w:t>
            </w:r>
            <w:r>
              <w:rPr>
                <w:color w:val="000000"/>
                <w:spacing w:val="0"/>
                <w:w w:val="100"/>
                <w:position w:val="0"/>
              </w:rPr>
              <w:t>万元的范 围内对本案工程享有 优先受偿权；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、驳回 申请人的其他仲裁请 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、本案仲裁费为 人民币</w:t>
            </w:r>
            <w:r>
              <w:rPr>
                <w:rFonts w:ascii="Times New Roman" w:eastAsia="Times New Roman" w:hAnsi="Times New Roman" w:cs="Times New Roman"/>
                <w:color w:val="000000"/>
                <w:spacing w:val="0"/>
                <w:w w:val="100"/>
                <w:position w:val="0"/>
                <w:sz w:val="18"/>
                <w:szCs w:val="18"/>
              </w:rPr>
              <w:t>62.1031</w:t>
            </w:r>
            <w:r>
              <w:rPr>
                <w:color w:val="000000"/>
                <w:spacing w:val="0"/>
                <w:w w:val="100"/>
                <w:position w:val="0"/>
              </w:rPr>
              <w:t>万元， 由申请人承担</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为 人民币</w:t>
            </w:r>
            <w:r>
              <w:rPr>
                <w:rFonts w:ascii="Times New Roman" w:eastAsia="Times New Roman" w:hAnsi="Times New Roman" w:cs="Times New Roman"/>
                <w:color w:val="000000"/>
                <w:spacing w:val="0"/>
                <w:w w:val="100"/>
                <w:position w:val="0"/>
                <w:sz w:val="18"/>
                <w:szCs w:val="18"/>
              </w:rPr>
              <w:t>6.21031</w:t>
            </w:r>
            <w:r>
              <w:rPr>
                <w:color w:val="000000"/>
                <w:spacing w:val="0"/>
                <w:w w:val="100"/>
                <w:position w:val="0"/>
              </w:rPr>
              <w:t>万元， 由被申请人承担</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为人民币</w:t>
            </w:r>
            <w:r>
              <w:rPr>
                <w:rFonts w:ascii="Times New Roman" w:eastAsia="Times New Roman" w:hAnsi="Times New Roman" w:cs="Times New Roman"/>
                <w:color w:val="000000"/>
                <w:spacing w:val="0"/>
                <w:w w:val="100"/>
                <w:position w:val="0"/>
                <w:sz w:val="18"/>
                <w:szCs w:val="18"/>
              </w:rPr>
              <w:t>55.89279</w:t>
            </w:r>
            <w:r>
              <w:rPr>
                <w:color w:val="000000"/>
                <w:spacing w:val="0"/>
                <w:w w:val="100"/>
                <w:position w:val="0"/>
              </w:rPr>
              <w:t>万 元。鉴于该笔费用已由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已收到裁决 书，已提起申 请撤销仲裁 裁决。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关于对深交 所公司部年 报问询函</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bl>
    <w:p>
      <w:pPr>
        <w:spacing w:lineRule="exact" w:line="1"/>
        <w:rPr>
          <w:sz w:val="2"/>
          <w:szCs w:val="2"/>
        </w:rPr>
      </w:pPr>
      <w:r>
        <w:br w:type="page"/>
      </w:r>
    </w:p>
    <w:tbl>
      <w:tblPr>
        <w:tblOverlap w:val="never"/>
        <w:jc w:val="center"/>
        <w:tblLayout w:type="fixed"/>
      </w:tblPr>
      <w:tblGrid>
        <w:gridCol w:w="1421"/>
        <w:gridCol w:w="854"/>
        <w:gridCol w:w="1560"/>
        <w:gridCol w:w="850"/>
        <w:gridCol w:w="1843"/>
        <w:gridCol w:w="1133"/>
        <w:gridCol w:w="850"/>
        <w:gridCol w:w="107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申请人全额预缴并与 本请求仲裁费相抵，被 申请人应向申请人支 付人民币</w:t>
            </w:r>
            <w:r>
              <w:rPr>
                <w:rFonts w:ascii="Times New Roman" w:eastAsia="Times New Roman" w:hAnsi="Times New Roman" w:cs="Times New Roman"/>
                <w:color w:val="000000"/>
                <w:spacing w:val="0"/>
                <w:w w:val="100"/>
                <w:position w:val="0"/>
                <w:sz w:val="18"/>
                <w:szCs w:val="18"/>
              </w:rPr>
              <w:t>55.89279</w:t>
            </w:r>
            <w:r>
              <w:rPr>
                <w:color w:val="000000"/>
                <w:spacing w:val="0"/>
                <w:w w:val="100"/>
                <w:position w:val="0"/>
              </w:rPr>
              <w:t>万 元，以补偿申请人为其 垫付的仲裁费。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我公司浙江两洋 能源有限公司与 江苏海德石化集 团有限公司、上海 丰阅石油化工有 限公司、扬州恒基 达鑫国际化工仓 储有限公司买卖 合同纠纷：浙江两 洋、江苏海德、上 海丰阅三方签订</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《三方协议》，约 定浙江两洋在收 到江苏海德支付 的</w:t>
            </w:r>
            <w:r>
              <w:rPr>
                <w:rFonts w:ascii="Times New Roman" w:eastAsia="Times New Roman" w:hAnsi="Times New Roman" w:cs="Times New Roman"/>
                <w:color w:val="000000"/>
                <w:spacing w:val="0"/>
                <w:w w:val="100"/>
                <w:position w:val="0"/>
                <w:sz w:val="18"/>
                <w:szCs w:val="18"/>
              </w:rPr>
              <w:t>5,140.24</w:t>
            </w:r>
            <w:r>
              <w:rPr>
                <w:color w:val="000000"/>
                <w:spacing w:val="0"/>
                <w:w w:val="100"/>
                <w:position w:val="0"/>
              </w:rPr>
              <w:t xml:space="preserve">万元 货款后向其转让 </w:t>
            </w:r>
            <w:r>
              <w:rPr>
                <w:rFonts w:ascii="Times New Roman" w:eastAsia="Times New Roman" w:hAnsi="Times New Roman" w:cs="Times New Roman"/>
                <w:color w:val="000000"/>
                <w:spacing w:val="0"/>
                <w:w w:val="100"/>
                <w:position w:val="0"/>
                <w:sz w:val="18"/>
                <w:szCs w:val="18"/>
              </w:rPr>
              <w:t>8,567.07</w:t>
            </w:r>
            <w:r>
              <w:rPr>
                <w:color w:val="000000"/>
                <w:spacing w:val="0"/>
                <w:w w:val="100"/>
                <w:position w:val="0"/>
              </w:rPr>
              <w:t>吨油品 货权;江苏海德承 诺在协议签订之 日起六个月内向 江苏海德结清剩 余货款</w:t>
            </w:r>
            <w:r>
              <w:rPr>
                <w:rFonts w:ascii="Times New Roman" w:eastAsia="Times New Roman" w:hAnsi="Times New Roman" w:cs="Times New Roman"/>
                <w:color w:val="000000"/>
                <w:spacing w:val="0"/>
                <w:w w:val="100"/>
                <w:position w:val="0"/>
                <w:sz w:val="18"/>
                <w:szCs w:val="18"/>
              </w:rPr>
              <w:t>749.48</w:t>
            </w:r>
            <w:r>
              <w:rPr>
                <w:color w:val="000000"/>
                <w:spacing w:val="0"/>
                <w:w w:val="100"/>
                <w:position w:val="0"/>
              </w:rPr>
              <w:t>万 元。江苏海德实际 提货</w:t>
            </w:r>
            <w:r>
              <w:rPr>
                <w:rFonts w:ascii="Times New Roman" w:eastAsia="Times New Roman" w:hAnsi="Times New Roman" w:cs="Times New Roman"/>
                <w:color w:val="000000"/>
                <w:spacing w:val="0"/>
                <w:w w:val="100"/>
                <w:position w:val="0"/>
                <w:sz w:val="18"/>
                <w:szCs w:val="18"/>
              </w:rPr>
              <w:t>9,910.2</w:t>
            </w:r>
            <w:r>
              <w:rPr>
                <w:color w:val="000000"/>
                <w:spacing w:val="0"/>
                <w:w w:val="100"/>
                <w:position w:val="0"/>
              </w:rPr>
              <w:t>吨后 仅向浙江两洋支 付</w:t>
            </w:r>
            <w:r>
              <w:rPr>
                <w:rFonts w:ascii="Times New Roman" w:eastAsia="Times New Roman" w:hAnsi="Times New Roman" w:cs="Times New Roman"/>
                <w:color w:val="000000"/>
                <w:spacing w:val="0"/>
                <w:w w:val="100"/>
                <w:position w:val="0"/>
                <w:sz w:val="18"/>
                <w:szCs w:val="18"/>
              </w:rPr>
              <w:t>3,780</w:t>
            </w:r>
            <w:r>
              <w:rPr>
                <w:color w:val="000000"/>
                <w:spacing w:val="0"/>
                <w:w w:val="100"/>
                <w:position w:val="0"/>
              </w:rPr>
              <w:t>万元货 款，尚有</w:t>
            </w:r>
            <w:r>
              <w:rPr>
                <w:rFonts w:ascii="Times New Roman" w:eastAsia="Times New Roman" w:hAnsi="Times New Roman" w:cs="Times New Roman"/>
                <w:color w:val="000000"/>
                <w:spacing w:val="0"/>
                <w:w w:val="100"/>
                <w:position w:val="0"/>
                <w:sz w:val="18"/>
                <w:szCs w:val="18"/>
              </w:rPr>
              <w:t xml:space="preserve">2,109.72 </w:t>
            </w:r>
            <w:r>
              <w:rPr>
                <w:color w:val="000000"/>
                <w:spacing w:val="0"/>
                <w:w w:val="100"/>
                <w:position w:val="0"/>
              </w:rPr>
              <w:t>万元货款未支付、 其中</w:t>
            </w:r>
            <w:r>
              <w:rPr>
                <w:rFonts w:ascii="Times New Roman" w:eastAsia="Times New Roman" w:hAnsi="Times New Roman" w:cs="Times New Roman"/>
                <w:color w:val="000000"/>
                <w:spacing w:val="0"/>
                <w:w w:val="100"/>
                <w:position w:val="0"/>
                <w:sz w:val="18"/>
                <w:szCs w:val="18"/>
              </w:rPr>
              <w:t>366.12</w:t>
            </w:r>
            <w:r>
              <w:rPr>
                <w:color w:val="000000"/>
                <w:spacing w:val="0"/>
                <w:w w:val="100"/>
                <w:position w:val="0"/>
              </w:rPr>
              <w:t>万元 货款已欠付逾期。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我公司作为原告， 无须计提预计负 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案件已完 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日收到 一审判决书（已生效）： 被告江苏海德支付原 告浙江两洋货款 </w:t>
            </w:r>
            <w:r>
              <w:rPr>
                <w:rFonts w:ascii="Times New Roman" w:eastAsia="Times New Roman" w:hAnsi="Times New Roman" w:cs="Times New Roman"/>
                <w:color w:val="000000"/>
                <w:spacing w:val="0"/>
                <w:w w:val="100"/>
                <w:position w:val="0"/>
                <w:sz w:val="18"/>
                <w:szCs w:val="18"/>
              </w:rPr>
              <w:t>777.24991</w:t>
            </w:r>
            <w:r>
              <w:rPr>
                <w:color w:val="000000"/>
                <w:spacing w:val="0"/>
                <w:w w:val="100"/>
                <w:position w:val="0"/>
              </w:rPr>
              <w:t>万元及违约 金</w:t>
            </w:r>
            <w:r>
              <w:rPr>
                <w:rFonts w:ascii="Times New Roman" w:eastAsia="Times New Roman" w:hAnsi="Times New Roman" w:cs="Times New Roman"/>
                <w:color w:val="000000"/>
                <w:spacing w:val="0"/>
                <w:w w:val="100"/>
                <w:position w:val="0"/>
                <w:sz w:val="18"/>
                <w:szCs w:val="18"/>
              </w:rPr>
              <w:t>56.21</w:t>
            </w:r>
            <w:r>
              <w:rPr>
                <w:color w:val="000000"/>
                <w:spacing w:val="0"/>
                <w:w w:val="100"/>
                <w:position w:val="0"/>
              </w:rPr>
              <w:t xml:space="preserve">万元，并以 </w:t>
            </w:r>
            <w:r>
              <w:rPr>
                <w:rFonts w:ascii="Times New Roman" w:eastAsia="Times New Roman" w:hAnsi="Times New Roman" w:cs="Times New Roman"/>
                <w:color w:val="000000"/>
                <w:spacing w:val="0"/>
                <w:w w:val="100"/>
                <w:position w:val="0"/>
                <w:sz w:val="18"/>
                <w:szCs w:val="18"/>
              </w:rPr>
              <w:t>777.24991</w:t>
            </w:r>
            <w:r>
              <w:rPr>
                <w:color w:val="000000"/>
                <w:spacing w:val="0"/>
                <w:w w:val="100"/>
                <w:position w:val="0"/>
              </w:rPr>
              <w:t>万元为基数 支付自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日起至清偿日止按日 万分之五计算的违约 金；驳回原告其他诉讼 请求。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21.10.21 </w:t>
            </w:r>
            <w:r>
              <w:rPr>
                <w:color w:val="000000"/>
                <w:spacing w:val="0"/>
                <w:w w:val="100"/>
                <w:position w:val="0"/>
              </w:rPr>
              <w:t>收到</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受理对江苏 海德的破产 清算裁定，及 指定破产管 理人。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关于对深交 所公司部年 报问询函</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 报告</w:t>
            </w:r>
          </w:p>
        </w:tc>
      </w:tr>
      <w:tr>
        <w:trPr>
          <w:trHeight w:val="22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罗正权与我公司 星景生态环保科 技（苏州）有限公 司、瓮安东华星景 生态发展有限责 任公司建设工程 合同纠纷案:我公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根据我公司判断预 计不会产生违约 金，故未计提预计 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2021.12.3</w:t>
            </w:r>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收到二 审裁定， 发回重 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2021.12.31</w:t>
            </w:r>
            <w:r>
              <w:rPr>
                <w:color w:val="000000"/>
                <w:spacing w:val="0"/>
                <w:w w:val="100"/>
                <w:position w:val="0"/>
              </w:rPr>
              <w:t>收到二审裁 定：撤销瓮安县人民法 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）黔</w:t>
            </w:r>
            <w:r>
              <w:rPr>
                <w:rFonts w:ascii="Times New Roman" w:eastAsia="Times New Roman" w:hAnsi="Times New Roman" w:cs="Times New Roman"/>
                <w:color w:val="000000"/>
                <w:spacing w:val="0"/>
                <w:w w:val="100"/>
                <w:position w:val="0"/>
                <w:sz w:val="18"/>
                <w:szCs w:val="18"/>
              </w:rPr>
              <w:t xml:space="preserve">2725 </w:t>
            </w:r>
            <w:r>
              <w:rPr>
                <w:color w:val="000000"/>
                <w:spacing w:val="0"/>
                <w:w w:val="100"/>
                <w:position w:val="0"/>
              </w:rPr>
              <w:t>民 初</w:t>
            </w:r>
            <w:r>
              <w:rPr>
                <w:rFonts w:ascii="Times New Roman" w:eastAsia="Times New Roman" w:hAnsi="Times New Roman" w:cs="Times New Roman"/>
                <w:color w:val="000000"/>
                <w:spacing w:val="0"/>
                <w:w w:val="100"/>
                <w:position w:val="0"/>
                <w:sz w:val="18"/>
                <w:szCs w:val="18"/>
              </w:rPr>
              <w:t>2919</w:t>
            </w:r>
            <w:r>
              <w:rPr>
                <w:color w:val="000000"/>
                <w:spacing w:val="0"/>
                <w:w w:val="100"/>
                <w:position w:val="0"/>
              </w:rPr>
              <w:t>号民事判决； 本案发回瓮安县人民 法院重审。上诉人星景 生态环保科技（苏州）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2021.12.31 </w:t>
            </w:r>
            <w:r>
              <w:rPr>
                <w:color w:val="000000"/>
                <w:spacing w:val="0"/>
                <w:w w:val="100"/>
                <w:position w:val="0"/>
              </w:rPr>
              <w:t>收</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到二审裁定， 发回重审。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关于对深交 所公司部年 报问询函</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xml:space="preserve">号回复 公告、公司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w:t>
            </w:r>
          </w:p>
        </w:tc>
      </w:tr>
    </w:tbl>
    <w:p>
      <w:pPr>
        <w:spacing w:lineRule="exact" w:line="1"/>
        <w:rPr>
          <w:sz w:val="2"/>
          <w:szCs w:val="2"/>
        </w:rPr>
      </w:pPr>
      <w:r>
        <w:br w:type="page"/>
      </w:r>
    </w:p>
    <w:tbl>
      <w:tblPr>
        <w:tblOverlap w:val="never"/>
        <w:jc w:val="center"/>
        <w:tblLayout w:type="fixed"/>
      </w:tblPr>
      <w:tblGrid>
        <w:gridCol w:w="1421"/>
        <w:gridCol w:w="854"/>
        <w:gridCol w:w="1560"/>
        <w:gridCol w:w="850"/>
        <w:gridCol w:w="1843"/>
        <w:gridCol w:w="1133"/>
        <w:gridCol w:w="850"/>
        <w:gridCol w:w="1070"/>
      </w:tblGrid>
      <w:tr>
        <w:trPr>
          <w:trHeight w:val="254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司作为发包方，罗 正权作为实际施 工方，未向原告支 付工程款 </w:t>
            </w:r>
            <w:r>
              <w:rPr>
                <w:rFonts w:ascii="Times New Roman" w:eastAsia="Times New Roman" w:hAnsi="Times New Roman" w:cs="Times New Roman"/>
                <w:color w:val="000000"/>
                <w:spacing w:val="0"/>
                <w:w w:val="100"/>
                <w:position w:val="0"/>
                <w:sz w:val="18"/>
                <w:szCs w:val="18"/>
              </w:rPr>
              <w:t xml:space="preserve">1,088.18 </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有限公司交纳的二审 案件受理费</w:t>
            </w:r>
            <w:r>
              <w:rPr>
                <w:rFonts w:ascii="Times New Roman" w:eastAsia="Times New Roman" w:hAnsi="Times New Roman" w:cs="Times New Roman"/>
                <w:color w:val="000000"/>
                <w:spacing w:val="0"/>
                <w:w w:val="100"/>
                <w:position w:val="0"/>
                <w:sz w:val="18"/>
                <w:szCs w:val="18"/>
              </w:rPr>
              <w:t>85287</w:t>
            </w:r>
            <w:r>
              <w:rPr>
                <w:color w:val="000000"/>
                <w:spacing w:val="0"/>
                <w:w w:val="100"/>
                <w:position w:val="0"/>
              </w:rPr>
              <w:t>元及 上诉人瓮安东华星景 生态有限责任公司、东 华工程科技股份有限 公司交纳的二审案件 受理费</w:t>
            </w:r>
            <w:r>
              <w:rPr>
                <w:rFonts w:ascii="Times New Roman" w:eastAsia="Times New Roman" w:hAnsi="Times New Roman" w:cs="Times New Roman"/>
                <w:color w:val="000000"/>
                <w:spacing w:val="0"/>
                <w:w w:val="100"/>
                <w:position w:val="0"/>
                <w:sz w:val="18"/>
                <w:szCs w:val="18"/>
              </w:rPr>
              <w:t>85287</w:t>
            </w:r>
            <w:r>
              <w:rPr>
                <w:color w:val="000000"/>
                <w:spacing w:val="0"/>
                <w:w w:val="100"/>
                <w:position w:val="0"/>
              </w:rPr>
              <w:t>元，予以 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中国核工业二三 建设有限公司与 我公司武安市普 泰新能源科技有 限公司经营债务 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8,527.32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我公司与对方正协 商和解方案，预计 不会产生违约金， 故未计提预计负 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合肥聚能新能源 科技有限公司与 我公司西藏东旭 电力工程有限公 司买卖合同纠纷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我公司与对方正协 商和解方案，预计 不会产生违约金， 故未计提预计负 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安徽英发睿能科 技股份有限公司 与安徽东旭康图 太阳能科技有限 公司经营债务纠 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我公司与对方正协 商和解方案，预计 不会产生违约金， 故未计提预计负 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468" w:name="bookmark468"/>
      <w:bookmarkStart w:id="469" w:name="bookmark469"/>
      <w:bookmarkStart w:id="470" w:name="bookmark470"/>
      <w:r>
        <w:rPr>
          <w:color w:val="000000"/>
          <w:spacing w:val="0"/>
          <w:w w:val="100"/>
          <w:position w:val="0"/>
        </w:rPr>
        <w:t>十二、处罚及整改情况</w:t>
      </w:r>
      <w:bookmarkEnd w:id="468"/>
      <w:bookmarkEnd w:id="469"/>
      <w:bookmarkEnd w:id="470"/>
    </w:p>
    <w:p>
      <w:pPr>
        <w:pStyle w:val="Style2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after="300" w:line="240" w:lineRule="auto"/>
        <w:ind w:left="0" w:right="0" w:firstLine="0"/>
        <w:jc w:val="left"/>
      </w:pPr>
      <w:bookmarkStart w:id="471" w:name="bookmark471"/>
      <w:bookmarkStart w:id="472" w:name="bookmark472"/>
      <w:bookmarkStart w:id="473" w:name="bookmark473"/>
      <w:r>
        <w:rPr>
          <w:color w:val="000000"/>
          <w:spacing w:val="0"/>
          <w:w w:val="100"/>
          <w:position w:val="0"/>
        </w:rPr>
        <w:t>十三、公司及其控股股东、实际控制人的诚信状况</w:t>
      </w:r>
      <w:bookmarkEnd w:id="471"/>
      <w:bookmarkEnd w:id="472"/>
      <w:bookmarkEnd w:id="473"/>
    </w:p>
    <w:p>
      <w:pPr>
        <w:pStyle w:val="Style2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 w:line="307" w:lineRule="exact"/>
        <w:ind w:left="0" w:right="0" w:firstLine="0"/>
        <w:jc w:val="left"/>
      </w:pPr>
      <w:bookmarkStart w:id="474" w:name="bookmark474"/>
      <w:r>
        <w:rPr>
          <w:rFonts w:ascii="Times New Roman" w:eastAsia="Times New Roman" w:hAnsi="Times New Roman" w:cs="Times New Roman"/>
          <w:color w:val="000000"/>
          <w:spacing w:val="0"/>
          <w:w w:val="100"/>
          <w:position w:val="0"/>
          <w:sz w:val="18"/>
          <w:szCs w:val="18"/>
        </w:rPr>
        <w:t>1</w:t>
      </w:r>
      <w:bookmarkEnd w:id="474"/>
      <w:r>
        <w:rPr>
          <w:color w:val="000000"/>
          <w:spacing w:val="0"/>
          <w:w w:val="100"/>
          <w:position w:val="0"/>
        </w:rPr>
        <w:t>、 通过万德数据查询，获知控股股东东旭集团截至目前已经违约的企业债券包括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东集</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东旭集</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东旭集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东旭</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东旭</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东旭</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东集</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东旭</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“H6</w:t>
      </w:r>
      <w:r>
        <w:rPr>
          <w:color w:val="000000"/>
          <w:spacing w:val="0"/>
          <w:w w:val="100"/>
          <w:position w:val="0"/>
        </w:rPr>
        <w:t>东集</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等，合计违约本金</w:t>
      </w:r>
      <w:r>
        <w:rPr>
          <w:rFonts w:ascii="Times New Roman" w:eastAsia="Times New Roman" w:hAnsi="Times New Roman" w:cs="Times New Roman"/>
          <w:color w:val="000000"/>
          <w:spacing w:val="0"/>
          <w:w w:val="100"/>
          <w:position w:val="0"/>
          <w:sz w:val="18"/>
          <w:szCs w:val="18"/>
        </w:rPr>
        <w:t>161.4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w:t>
      </w:r>
    </w:p>
    <w:p>
      <w:pPr>
        <w:pStyle w:val="Style27"/>
        <w:keepNext w:val="0"/>
        <w:keepLines w:val="0"/>
        <w:widowControl w:val="0"/>
        <w:shd w:val="clear" w:color="auto" w:fill="auto"/>
        <w:tabs>
          <w:tab w:pos="354" w:val="left"/>
        </w:tabs>
        <w:bidi w:val="0"/>
        <w:spacing w:before="0" w:after="300" w:line="307" w:lineRule="exact"/>
        <w:ind w:left="0" w:right="0" w:firstLine="0"/>
        <w:jc w:val="left"/>
      </w:pPr>
      <w:bookmarkStart w:id="475" w:name="bookmark475"/>
      <w:r>
        <w:rPr>
          <w:rFonts w:ascii="Times New Roman" w:eastAsia="Times New Roman" w:hAnsi="Times New Roman" w:cs="Times New Roman"/>
          <w:color w:val="000000"/>
          <w:spacing w:val="0"/>
          <w:w w:val="100"/>
          <w:position w:val="0"/>
          <w:sz w:val="18"/>
          <w:szCs w:val="18"/>
        </w:rPr>
        <w:t>2</w:t>
      </w:r>
      <w:bookmarkEnd w:id="475"/>
      <w:r>
        <w:rPr>
          <w:color w:val="000000"/>
          <w:spacing w:val="0"/>
          <w:w w:val="100"/>
          <w:position w:val="0"/>
        </w:rPr>
        <w:t>、</w:t>
        <w:tab/>
        <w:t>经中国执行信息公开网查询，报告期内，公司实际控制人李兆廷存在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项被执行案件。</w:t>
      </w:r>
    </w:p>
    <w:p>
      <w:pPr>
        <w:pStyle w:val="Style20"/>
        <w:keepNext/>
        <w:keepLines/>
        <w:widowControl w:val="0"/>
        <w:shd w:val="clear" w:color="auto" w:fill="auto"/>
        <w:bidi w:val="0"/>
        <w:spacing w:before="0" w:line="240" w:lineRule="auto"/>
        <w:ind w:left="0" w:right="0" w:firstLine="0"/>
        <w:jc w:val="left"/>
      </w:pPr>
      <w:bookmarkStart w:id="476" w:name="bookmark476"/>
      <w:bookmarkStart w:id="477" w:name="bookmark477"/>
      <w:bookmarkStart w:id="478" w:name="bookmark478"/>
      <w:r>
        <w:rPr>
          <w:color w:val="000000"/>
          <w:spacing w:val="0"/>
          <w:w w:val="100"/>
          <w:position w:val="0"/>
        </w:rPr>
        <w:t>十四、重大关联交易</w:t>
      </w:r>
      <w:bookmarkEnd w:id="476"/>
      <w:bookmarkEnd w:id="477"/>
      <w:bookmarkEnd w:id="478"/>
    </w:p>
    <w:p>
      <w:pPr>
        <w:pStyle w:val="Style31"/>
        <w:keepNext/>
        <w:keepLines/>
        <w:widowControl w:val="0"/>
        <w:shd w:val="clear" w:color="auto" w:fill="auto"/>
        <w:tabs>
          <w:tab w:pos="368" w:val="left"/>
        </w:tabs>
        <w:bidi w:val="0"/>
        <w:spacing w:before="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w:t>
        <w:tab/>
        <w:t>与日常经营相关的关联交易</w:t>
      </w:r>
      <w:bookmarkEnd w:id="479"/>
      <w:bookmarkEnd w:id="480"/>
      <w:bookmarkEnd w:id="48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w:t>
        <w:tab/>
        <w:t>资产或股权收购、出售发生的关联交易</w:t>
      </w:r>
      <w:bookmarkEnd w:id="483"/>
      <w:bookmarkEnd w:id="484"/>
      <w:bookmarkEnd w:id="48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w:t>
        <w:tab/>
        <w:t>共同对外投资的关联交易</w:t>
      </w:r>
      <w:bookmarkEnd w:id="487"/>
      <w:bookmarkEnd w:id="488"/>
      <w:bookmarkEnd w:id="49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4</w:t>
      </w:r>
      <w:bookmarkEnd w:id="493"/>
      <w:r>
        <w:rPr>
          <w:color w:val="000000"/>
          <w:spacing w:val="0"/>
          <w:w w:val="100"/>
          <w:position w:val="0"/>
        </w:rPr>
        <w:t>、</w:t>
        <w:tab/>
        <w:t>关联债权债务往来</w:t>
      </w:r>
      <w:bookmarkEnd w:id="491"/>
      <w:bookmarkEnd w:id="492"/>
      <w:bookmarkEnd w:id="494"/>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5</w:t>
      </w:r>
      <w:bookmarkEnd w:id="497"/>
      <w:r>
        <w:rPr>
          <w:color w:val="000000"/>
          <w:spacing w:val="0"/>
          <w:w w:val="100"/>
          <w:position w:val="0"/>
        </w:rPr>
        <w:t>、</w:t>
        <w:tab/>
        <w:t>与存在关联关系的财务公司的往来情况</w:t>
      </w:r>
      <w:bookmarkEnd w:id="495"/>
      <w:bookmarkEnd w:id="496"/>
      <w:bookmarkEnd w:id="49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存款业务</w:t>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right"/>
            </w:pPr>
            <w:r>
              <w:rPr>
                <w:color w:val="000000"/>
                <w:spacing w:val="0"/>
                <w:w w:val="100"/>
                <w:position w:val="0"/>
              </w:rPr>
              <w:t>每日最高存款 限额（万元）</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存款利率范围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期初余额（万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本期合计存入 金额（万元）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本期合计取出 金额（万元）</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东旭集团财务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受同一实际控 制人控制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134,801.75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0.35%-3.045%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286,491.19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289,199.00</w:t>
            </w:r>
          </w:p>
        </w:tc>
      </w:tr>
    </w:tbl>
    <w:p>
      <w:pPr>
        <w:widowControl w:val="0"/>
        <w:spacing w:after="37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6</w:t>
      </w:r>
      <w:bookmarkEnd w:id="501"/>
      <w:r>
        <w:rPr>
          <w:color w:val="000000"/>
          <w:spacing w:val="0"/>
          <w:w w:val="100"/>
          <w:position w:val="0"/>
        </w:rPr>
        <w:t>、</w:t>
        <w:tab/>
        <w:t>公司控股的财务公司与关联方的往来情况</w:t>
      </w:r>
      <w:bookmarkEnd w:id="499"/>
      <w:bookmarkEnd w:id="500"/>
      <w:bookmarkEnd w:id="502"/>
    </w:p>
    <w:p>
      <w:pPr>
        <w:pStyle w:val="Style27"/>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503" w:name="bookmark503"/>
      <w:bookmarkEnd w:id="5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tabs>
          <w:tab w:pos="373"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7</w:t>
      </w:r>
      <w:bookmarkEnd w:id="506"/>
      <w:r>
        <w:rPr>
          <w:color w:val="000000"/>
          <w:spacing w:val="0"/>
          <w:w w:val="100"/>
          <w:position w:val="0"/>
        </w:rPr>
        <w:t>、</w:t>
        <w:tab/>
        <w:t>其他重大关联交易</w:t>
      </w:r>
      <w:bookmarkEnd w:id="504"/>
      <w:bookmarkEnd w:id="505"/>
      <w:bookmarkEnd w:id="507"/>
    </w:p>
    <w:p>
      <w:pPr>
        <w:pStyle w:val="Style27"/>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508" w:name="bookmark508"/>
      <w:bookmarkEnd w:id="5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r>
        <w:rPr>
          <w:color w:val="000000"/>
          <w:spacing w:val="0"/>
          <w:w w:val="100"/>
          <w:position w:val="0"/>
        </w:rPr>
        <w:t>十五、重大合同及其履行情况</w:t>
      </w:r>
      <w:bookmarkEnd w:id="509"/>
      <w:bookmarkEnd w:id="510"/>
      <w:bookmarkEnd w:id="511"/>
    </w:p>
    <w:p>
      <w:pPr>
        <w:pStyle w:val="Style31"/>
        <w:keepNext/>
        <w:keepLines/>
        <w:widowControl w:val="0"/>
        <w:shd w:val="clear" w:color="auto" w:fill="auto"/>
        <w:tabs>
          <w:tab w:pos="373" w:val="left"/>
        </w:tabs>
        <w:bidi w:val="0"/>
        <w:spacing w:before="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1</w:t>
      </w:r>
      <w:bookmarkEnd w:id="514"/>
      <w:r>
        <w:rPr>
          <w:color w:val="000000"/>
          <w:spacing w:val="0"/>
          <w:w w:val="100"/>
          <w:position w:val="0"/>
        </w:rPr>
        <w:t>、</w:t>
        <w:tab/>
        <w:t>托管、承包、租赁事项情况</w:t>
      </w:r>
      <w:bookmarkEnd w:id="512"/>
      <w:bookmarkEnd w:id="513"/>
      <w:bookmarkEnd w:id="515"/>
    </w:p>
    <w:p>
      <w:pPr>
        <w:pStyle w:val="Style41"/>
        <w:keepNext/>
        <w:keepLines/>
        <w:widowControl w:val="0"/>
        <w:shd w:val="clear" w:color="auto" w:fill="auto"/>
        <w:tabs>
          <w:tab w:pos="493" w:val="left"/>
        </w:tabs>
        <w:bidi w:val="0"/>
        <w:spacing w:before="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6"/>
      <w:bookmarkEnd w:id="517"/>
      <w:bookmarkEnd w:id="519"/>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0"/>
      <w:bookmarkEnd w:id="521"/>
      <w:bookmarkEnd w:id="523"/>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4"/>
      <w:bookmarkEnd w:id="525"/>
      <w:bookmarkEnd w:id="527"/>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租赁情况说明</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我司全资子公司北京中环鑫融科技有限公司与国家税务总局签订《房屋租赁合同》</w:t>
      </w:r>
      <w:r>
        <w:rPr>
          <w:color w:val="000000"/>
          <w:spacing w:val="0"/>
          <w:w w:val="100"/>
          <w:position w:val="0"/>
          <w:sz w:val="18"/>
          <w:szCs w:val="18"/>
        </w:rPr>
        <w:t>，</w:t>
      </w:r>
      <w:r>
        <w:rPr>
          <w:color w:val="000000"/>
          <w:spacing w:val="0"/>
          <w:w w:val="100"/>
          <w:position w:val="0"/>
        </w:rPr>
        <w:t>北京中环鑫融科技有限公司向国家税务 总局出租中环大厦部分楼层，租赁标的物为北京市西城区菜园街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号，总面积为</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平方米，停车位</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个。租赁期自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日止，合同金额总金额为</w:t>
      </w:r>
      <w:r>
        <w:rPr>
          <w:rFonts w:ascii="Times New Roman" w:eastAsia="Times New Roman" w:hAnsi="Times New Roman" w:cs="Times New Roman"/>
          <w:color w:val="000000"/>
          <w:spacing w:val="0"/>
          <w:w w:val="100"/>
          <w:position w:val="0"/>
          <w:sz w:val="18"/>
          <w:szCs w:val="18"/>
        </w:rPr>
        <w:t>7,294.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万元，年租金为</w:t>
      </w:r>
      <w:r>
        <w:rPr>
          <w:rFonts w:ascii="Times New Roman" w:eastAsia="Times New Roman" w:hAnsi="Times New Roman" w:cs="Times New Roman"/>
          <w:color w:val="000000"/>
          <w:spacing w:val="0"/>
          <w:w w:val="100"/>
          <w:position w:val="0"/>
          <w:sz w:val="18"/>
          <w:szCs w:val="18"/>
        </w:rPr>
        <w:t>3,647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27"/>
        <w:keepNext w:val="0"/>
        <w:keepLines w:val="0"/>
        <w:widowControl w:val="0"/>
        <w:shd w:val="clear" w:color="auto" w:fill="auto"/>
        <w:bidi w:val="0"/>
        <w:spacing w:before="0" w:line="307"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tabs>
          <w:tab w:pos="378" w:val="left"/>
        </w:tabs>
        <w:bidi w:val="0"/>
        <w:spacing w:before="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w:t>
        <w:tab/>
        <w:t>重大担保</w:t>
      </w:r>
      <w:bookmarkEnd w:id="528"/>
      <w:bookmarkEnd w:id="529"/>
      <w:bookmarkEnd w:id="531"/>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东旭新能</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源投资有</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3-2021.3.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藏东旭电</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力工程有</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内蒙古昊 庆新能源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2017.6.30</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-2025.6.3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广水市孚 阳电力有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2017.9.7</w:t>
              <w:softHyphen/>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新泰旭蓝</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新能源科</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-2026.1.1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东旭新能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源投资有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2018.9.30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东旭新能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源投资有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2018.9.30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-2022.7.2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长沙旭欣</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新能源科</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2019.4.3</w:t>
              <w:softHyphen/>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2025.12.2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宁夏菲斯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克旭元新</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能源科技</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2019.6.27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-2027.6.2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沧州渤海</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新区旭启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新能源有</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6-2032.10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安徽东旭 康图太阳 能科技有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2020.6.11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星景生态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环保科技</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（苏州）有</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4-2021.10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安徽东旭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2021.2.8</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571"/>
        <w:gridCol w:w="360"/>
        <w:gridCol w:w="926"/>
        <w:gridCol w:w="931"/>
        <w:gridCol w:w="931"/>
        <w:gridCol w:w="931"/>
        <w:gridCol w:w="662"/>
        <w:gridCol w:w="802"/>
        <w:gridCol w:w="797"/>
        <w:gridCol w:w="802"/>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康图太阳 能科技有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东旭新能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源投资有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限公司、西</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藏东旭电</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力工程有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2021.3.6</w:t>
              <w:softHyphen/>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金寨新皇 明能源科 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星景生态</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环保科技</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4-2022.10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东旭新能</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源投资有</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0-2022.2.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145,553</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145,533</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350,703</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223,568</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145,553</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145,533</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350,703</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223,568</w:t>
            </w:r>
          </w:p>
        </w:tc>
      </w:tr>
      <w:tr>
        <w:trPr>
          <w:trHeight w:val="710" w:hRule="exact"/>
        </w:trPr>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25" w:hRule="exact"/>
        </w:trPr>
        <w:tc>
          <w:tcPr>
            <w:gridSpan w:val="5"/>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为股东、实际控制人及其关联方提供担保的余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730"/>
        <w:gridCol w:w="585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320" w:right="0" w:firstLine="0"/>
              <w:jc w:val="left"/>
              <w:rPr>
                <w:sz w:val="18"/>
                <w:szCs w:val="18"/>
              </w:rPr>
            </w:pPr>
            <w:r>
              <w:rPr>
                <w:rFonts w:ascii="Times New Roman" w:eastAsia="Times New Roman" w:hAnsi="Times New Roman" w:cs="Times New Roman"/>
                <w:color w:val="000000"/>
                <w:spacing w:val="0"/>
                <w:w w:val="100"/>
                <w:position w:val="0"/>
                <w:sz w:val="18"/>
                <w:szCs w:val="18"/>
              </w:rPr>
              <w:t>47,125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320" w:right="0" w:firstLine="0"/>
              <w:jc w:val="left"/>
              <w:rPr>
                <w:sz w:val="18"/>
                <w:szCs w:val="18"/>
              </w:rPr>
            </w:pPr>
            <w:r>
              <w:rPr>
                <w:rFonts w:ascii="Times New Roman" w:eastAsia="Times New Roman" w:hAnsi="Times New Roman" w:cs="Times New Roman"/>
                <w:color w:val="000000"/>
                <w:spacing w:val="0"/>
                <w:w w:val="100"/>
                <w:position w:val="0"/>
                <w:sz w:val="18"/>
                <w:szCs w:val="18"/>
              </w:rPr>
              <w:t>47,125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采用复合方式担保的具体情况说明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公司对部分全资子公司的担保方式，除提供连带责任保证外，还以部分项目收益权提供抵押。</w:t>
      </w:r>
    </w:p>
    <w:p>
      <w:pPr>
        <w:pStyle w:val="Style31"/>
        <w:keepNext/>
        <w:keepLines/>
        <w:widowControl w:val="0"/>
        <w:shd w:val="clear" w:color="auto" w:fill="auto"/>
        <w:tabs>
          <w:tab w:pos="378" w:val="left"/>
        </w:tabs>
        <w:bidi w:val="0"/>
        <w:spacing w:before="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委托他人进行现金资产管理情况</w:t>
      </w:r>
      <w:bookmarkEnd w:id="532"/>
      <w:bookmarkEnd w:id="533"/>
      <w:bookmarkEnd w:id="535"/>
    </w:p>
    <w:p>
      <w:pPr>
        <w:pStyle w:val="Style41"/>
        <w:keepNext/>
        <w:keepLines/>
        <w:widowControl w:val="0"/>
        <w:shd w:val="clear" w:color="auto" w:fill="auto"/>
        <w:tabs>
          <w:tab w:pos="493" w:val="left"/>
        </w:tabs>
        <w:bidi w:val="0"/>
        <w:spacing w:before="0" w:after="280" w:line="240" w:lineRule="auto"/>
        <w:ind w:left="0" w:right="0" w:firstLine="0"/>
        <w:jc w:val="both"/>
      </w:pPr>
      <w:bookmarkStart w:id="536" w:name="bookmark536"/>
      <w:bookmarkStart w:id="537" w:name="bookmark537"/>
      <w:bookmarkStart w:id="538" w:name="bookmark538"/>
      <w:bookmarkStart w:id="539" w:name="bookmark539"/>
      <w:r>
        <w:rPr>
          <w:color w:val="000000"/>
          <w:spacing w:val="0"/>
          <w:w w:val="100"/>
          <w:position w:val="0"/>
        </w:rPr>
        <w:t>（</w:t>
      </w:r>
      <w:bookmarkEnd w:id="53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36"/>
      <w:bookmarkEnd w:id="537"/>
      <w:bookmarkEnd w:id="539"/>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公司报告期不存在委托理财。</w:t>
      </w:r>
    </w:p>
    <w:p>
      <w:pPr>
        <w:pStyle w:val="Style41"/>
        <w:keepNext/>
        <w:keepLines/>
        <w:widowControl w:val="0"/>
        <w:shd w:val="clear" w:color="auto" w:fill="auto"/>
        <w:tabs>
          <w:tab w:pos="493" w:val="left"/>
        </w:tabs>
        <w:bidi w:val="0"/>
        <w:spacing w:before="0" w:after="280" w:line="240" w:lineRule="auto"/>
        <w:ind w:left="0" w:right="0" w:firstLine="0"/>
        <w:jc w:val="both"/>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40"/>
      <w:bookmarkEnd w:id="541"/>
      <w:bookmarkEnd w:id="543"/>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280" w:line="240" w:lineRule="auto"/>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4</w:t>
      </w:r>
      <w:bookmarkEnd w:id="546"/>
      <w:r>
        <w:rPr>
          <w:color w:val="000000"/>
          <w:spacing w:val="0"/>
          <w:w w:val="100"/>
          <w:position w:val="0"/>
        </w:rPr>
        <w:t>、</w:t>
        <w:tab/>
        <w:t>其他重大合同</w:t>
      </w:r>
      <w:bookmarkEnd w:id="544"/>
      <w:bookmarkEnd w:id="545"/>
      <w:bookmarkEnd w:id="547"/>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公司报告期不存在其他重大合同。</w:t>
      </w:r>
    </w:p>
    <w:p>
      <w:pPr>
        <w:pStyle w:val="Style20"/>
        <w:keepNext/>
        <w:keepLines/>
        <w:widowControl w:val="0"/>
        <w:shd w:val="clear" w:color="auto" w:fill="auto"/>
        <w:bidi w:val="0"/>
        <w:spacing w:before="0" w:after="280" w:line="240" w:lineRule="auto"/>
        <w:ind w:left="0" w:right="0" w:firstLine="0"/>
        <w:jc w:val="both"/>
      </w:pPr>
      <w:bookmarkStart w:id="548" w:name="bookmark548"/>
      <w:bookmarkStart w:id="549" w:name="bookmark549"/>
      <w:bookmarkStart w:id="550" w:name="bookmark550"/>
      <w:r>
        <w:rPr>
          <w:color w:val="000000"/>
          <w:spacing w:val="0"/>
          <w:w w:val="100"/>
          <w:position w:val="0"/>
        </w:rPr>
        <w:t>十六、其他重大事项的说明</w:t>
      </w:r>
      <w:bookmarkEnd w:id="548"/>
      <w:bookmarkEnd w:id="549"/>
      <w:bookmarkEnd w:id="550"/>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公司报告期不存在需要说明的其他重大事项。</w:t>
      </w:r>
    </w:p>
    <w:p>
      <w:pPr>
        <w:pStyle w:val="Style20"/>
        <w:keepNext/>
        <w:keepLines/>
        <w:widowControl w:val="0"/>
        <w:shd w:val="clear" w:color="auto" w:fill="auto"/>
        <w:bidi w:val="0"/>
        <w:spacing w:before="0" w:line="240" w:lineRule="auto"/>
        <w:ind w:left="0" w:right="0" w:firstLine="0"/>
        <w:jc w:val="both"/>
      </w:pPr>
      <w:bookmarkStart w:id="551" w:name="bookmark551"/>
      <w:bookmarkStart w:id="552" w:name="bookmark552"/>
      <w:bookmarkStart w:id="553" w:name="bookmark553"/>
      <w:r>
        <w:rPr>
          <w:color w:val="000000"/>
          <w:spacing w:val="0"/>
          <w:w w:val="100"/>
          <w:position w:val="0"/>
        </w:rPr>
        <w:t>十七、公司子公司重大事项</w:t>
      </w:r>
      <w:bookmarkEnd w:id="551"/>
      <w:bookmarkEnd w:id="552"/>
      <w:bookmarkEnd w:id="553"/>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600"/>
        <w:jc w:val="both"/>
      </w:pPr>
      <w:r>
        <w:rPr>
          <w:color w:val="000000"/>
          <w:spacing w:val="0"/>
          <w:w w:val="100"/>
          <w:position w:val="0"/>
        </w:rPr>
        <w:t>华融金属转让事项</w:t>
      </w:r>
    </w:p>
    <w:p>
      <w:pPr>
        <w:pStyle w:val="Style27"/>
        <w:keepNext w:val="0"/>
        <w:keepLines w:val="0"/>
        <w:widowControl w:val="0"/>
        <w:shd w:val="clear" w:color="auto" w:fill="auto"/>
        <w:bidi w:val="0"/>
        <w:spacing w:before="0" w:after="0" w:line="314" w:lineRule="exact"/>
        <w:ind w:left="0" w:right="0" w:firstLine="6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月，我公司与安平县罗森金属丝网制品有限公司（以下简称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安平罗森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）签署《股权转让协议》，我公司 将持有的华融金属表面处理（安平）科技有限公司（以下简称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华融金属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股权转让给安平罗森，转让价格为</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万 元。本次交易的对手方安平罗森（自然人刘</w:t>
      </w:r>
      <w:r>
        <w:rPr>
          <w:rFonts w:ascii="Times New Roman" w:eastAsia="Times New Roman" w:hAnsi="Times New Roman" w:cs="Times New Roman"/>
          <w:color w:val="000000"/>
          <w:spacing w:val="0"/>
          <w:w w:val="100"/>
          <w:position w:val="0"/>
          <w:sz w:val="18"/>
          <w:szCs w:val="18"/>
        </w:rPr>
        <w:t>XX</w:t>
      </w: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）不属于我公司关联方，不涉及关联交易。转让后，公司不再持 有华融金属股权，不再纳入合并范围。</w:t>
      </w:r>
    </w:p>
    <w:p>
      <w:pPr>
        <w:pStyle w:val="Style27"/>
        <w:keepNext w:val="0"/>
        <w:keepLines w:val="0"/>
        <w:widowControl w:val="0"/>
        <w:shd w:val="clear" w:color="auto" w:fill="auto"/>
        <w:bidi w:val="0"/>
        <w:spacing w:before="0" w:after="280" w:line="314" w:lineRule="exact"/>
        <w:ind w:left="0" w:right="0" w:firstLine="520"/>
        <w:jc w:val="left"/>
      </w:pPr>
      <w:r>
        <w:rPr>
          <w:color w:val="000000"/>
          <w:spacing w:val="0"/>
          <w:w w:val="100"/>
          <w:position w:val="0"/>
        </w:rPr>
        <w:t>（本事项已于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日《关于对深交所公司部半年报问询函回复的公告》中披露）</w:t>
      </w:r>
      <w:r>
        <w:br w:type="page"/>
      </w:r>
    </w:p>
    <w:p>
      <w:pPr>
        <w:pStyle w:val="Style8"/>
        <w:keepNext/>
        <w:keepLines/>
        <w:widowControl w:val="0"/>
        <w:shd w:val="clear" w:color="auto" w:fill="auto"/>
        <w:bidi w:val="0"/>
        <w:spacing w:before="0" w:line="240" w:lineRule="auto"/>
        <w:ind w:left="0" w:right="0" w:firstLine="0"/>
        <w:jc w:val="center"/>
      </w:pPr>
      <w:bookmarkStart w:id="554" w:name="bookmark554"/>
      <w:bookmarkStart w:id="555" w:name="bookmark555"/>
      <w:bookmarkStart w:id="556" w:name="bookmark556"/>
      <w:r>
        <w:rPr>
          <w:color w:val="000000"/>
          <w:spacing w:val="0"/>
          <w:w w:val="100"/>
          <w:position w:val="0"/>
        </w:rPr>
        <w:t>第七节股份变动及股东情况</w:t>
      </w:r>
      <w:bookmarkEnd w:id="554"/>
      <w:bookmarkEnd w:id="555"/>
      <w:bookmarkEnd w:id="556"/>
    </w:p>
    <w:p>
      <w:pPr>
        <w:pStyle w:val="Style20"/>
        <w:keepNext/>
        <w:keepLines/>
        <w:widowControl w:val="0"/>
        <w:shd w:val="clear" w:color="auto" w:fill="auto"/>
        <w:bidi w:val="0"/>
        <w:spacing w:before="0" w:line="240" w:lineRule="auto"/>
        <w:ind w:left="0" w:right="0" w:firstLine="0"/>
        <w:jc w:val="left"/>
      </w:pPr>
      <w:bookmarkStart w:id="557" w:name="bookmark557"/>
      <w:bookmarkStart w:id="558" w:name="bookmark558"/>
      <w:bookmarkStart w:id="559" w:name="bookmark559"/>
      <w:bookmarkStart w:id="560" w:name="bookmark560"/>
      <w:bookmarkStart w:id="561" w:name="bookmark561"/>
      <w:r>
        <w:rPr>
          <w:color w:val="000000"/>
          <w:spacing w:val="0"/>
          <w:w w:val="100"/>
          <w:position w:val="0"/>
        </w:rPr>
        <w:t>一</w:t>
      </w:r>
      <w:bookmarkEnd w:id="560"/>
      <w:r>
        <w:rPr>
          <w:color w:val="000000"/>
          <w:spacing w:val="0"/>
          <w:w w:val="100"/>
          <w:position w:val="0"/>
        </w:rPr>
        <w:t>、股份变动情况</w:t>
      </w:r>
      <w:bookmarkEnd w:id="558"/>
      <w:bookmarkEnd w:id="559"/>
      <w:bookmarkEnd w:id="561"/>
      <w:bookmarkEnd w:id="557"/>
    </w:p>
    <w:p>
      <w:pPr>
        <w:pStyle w:val="Style31"/>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562"/>
      <w:bookmarkEnd w:id="563"/>
      <w:bookmarkEnd w:id="56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426,533,2</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426,533,2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743,545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425,789,6</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425,789,6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424,929,6</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424,929,6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1,060,340, 670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1,060,340, 670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1,486,873,</w:t>
            </w:r>
          </w:p>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1,486,873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r>
        <w:rPr>
          <w:color w:val="000000"/>
          <w:spacing w:val="0"/>
          <w:w w:val="100"/>
          <w:position w:val="0"/>
        </w:rPr>
        <w:t>、限售股份变动情况</w:t>
      </w:r>
      <w:bookmarkEnd w:id="565"/>
      <w:bookmarkEnd w:id="566"/>
      <w:bookmarkEnd w:id="56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二</w:t>
      </w:r>
      <w:bookmarkEnd w:id="570"/>
      <w:r>
        <w:rPr>
          <w:color w:val="000000"/>
          <w:spacing w:val="0"/>
          <w:w w:val="100"/>
          <w:position w:val="0"/>
        </w:rPr>
        <w:t>、</w:t>
        <w:tab/>
        <w:t>证券发行与上市情况</w:t>
      </w:r>
      <w:bookmarkEnd w:id="568"/>
      <w:bookmarkEnd w:id="569"/>
      <w:bookmarkEnd w:id="571"/>
    </w:p>
    <w:p>
      <w:pPr>
        <w:pStyle w:val="Style31"/>
        <w:keepNext/>
        <w:keepLines/>
        <w:widowControl w:val="0"/>
        <w:shd w:val="clear" w:color="auto" w:fill="auto"/>
        <w:tabs>
          <w:tab w:pos="368" w:val="left"/>
        </w:tabs>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w:t>
        <w:tab/>
        <w:t>报告期内证券发行（不含优先股）情况</w:t>
      </w:r>
      <w:bookmarkEnd w:id="572"/>
      <w:bookmarkEnd w:id="573"/>
      <w:bookmarkEnd w:id="575"/>
    </w:p>
    <w:p>
      <w:pPr>
        <w:pStyle w:val="Style27"/>
        <w:keepNext w:val="0"/>
        <w:keepLines w:val="0"/>
        <w:widowControl w:val="0"/>
        <w:numPr>
          <w:ilvl w:val="0"/>
          <w:numId w:val="9"/>
        </w:numPr>
        <w:shd w:val="clear" w:color="auto" w:fill="auto"/>
        <w:tabs>
          <w:tab w:pos="282" w:val="left"/>
        </w:tabs>
        <w:bidi w:val="0"/>
        <w:spacing w:before="0" w:after="380" w:line="240" w:lineRule="auto"/>
        <w:ind w:left="0" w:right="0" w:firstLine="0"/>
        <w:jc w:val="left"/>
      </w:pPr>
      <w:bookmarkStart w:id="576" w:name="bookmark576"/>
      <w:bookmarkEnd w:id="57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w:t>
        <w:tab/>
        <w:t>公司股份总数及股东结构的变动、公司资产和负债结构的变动情况说明</w:t>
      </w:r>
      <w:bookmarkEnd w:id="577"/>
      <w:bookmarkEnd w:id="578"/>
      <w:bookmarkEnd w:id="580"/>
    </w:p>
    <w:p>
      <w:pPr>
        <w:pStyle w:val="Style27"/>
        <w:keepNext w:val="0"/>
        <w:keepLines w:val="0"/>
        <w:widowControl w:val="0"/>
        <w:numPr>
          <w:ilvl w:val="0"/>
          <w:numId w:val="9"/>
        </w:numPr>
        <w:shd w:val="clear" w:color="auto" w:fill="auto"/>
        <w:tabs>
          <w:tab w:pos="282" w:val="left"/>
        </w:tabs>
        <w:bidi w:val="0"/>
        <w:spacing w:before="0" w:after="380" w:line="240" w:lineRule="auto"/>
        <w:ind w:left="0" w:right="0" w:firstLine="0"/>
        <w:jc w:val="left"/>
      </w:pPr>
      <w:bookmarkStart w:id="581" w:name="bookmark581"/>
      <w:bookmarkEnd w:id="58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t>现存的内部职工股情况</w:t>
      </w:r>
      <w:bookmarkEnd w:id="582"/>
      <w:bookmarkEnd w:id="583"/>
      <w:bookmarkEnd w:id="585"/>
    </w:p>
    <w:p>
      <w:pPr>
        <w:pStyle w:val="Style27"/>
        <w:keepNext w:val="0"/>
        <w:keepLines w:val="0"/>
        <w:widowControl w:val="0"/>
        <w:numPr>
          <w:ilvl w:val="0"/>
          <w:numId w:val="9"/>
        </w:numPr>
        <w:shd w:val="clear" w:color="auto" w:fill="auto"/>
        <w:tabs>
          <w:tab w:pos="282" w:val="left"/>
        </w:tabs>
        <w:bidi w:val="0"/>
        <w:spacing w:before="0" w:after="380" w:line="240" w:lineRule="auto"/>
        <w:ind w:left="0" w:right="0" w:firstLine="0"/>
        <w:jc w:val="left"/>
      </w:pPr>
      <w:bookmarkStart w:id="586" w:name="bookmark586"/>
      <w:bookmarkEnd w:id="58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三</w:t>
      </w:r>
      <w:bookmarkEnd w:id="589"/>
      <w:r>
        <w:rPr>
          <w:color w:val="000000"/>
          <w:spacing w:val="0"/>
          <w:w w:val="100"/>
          <w:position w:val="0"/>
        </w:rPr>
        <w:t>、</w:t>
        <w:tab/>
        <w:t>股东和实际控制人情况</w:t>
      </w:r>
      <w:bookmarkEnd w:id="587"/>
      <w:bookmarkEnd w:id="588"/>
      <w:bookmarkEnd w:id="590"/>
    </w:p>
    <w:p>
      <w:pPr>
        <w:pStyle w:val="Style31"/>
        <w:keepNext/>
        <w:keepLines/>
        <w:widowControl w:val="0"/>
        <w:shd w:val="clear" w:color="auto" w:fill="auto"/>
        <w:bidi w:val="0"/>
        <w:spacing w:before="0" w:line="240" w:lineRule="auto"/>
        <w:ind w:left="0" w:right="0" w:firstLine="0"/>
        <w:jc w:val="left"/>
      </w:pPr>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591"/>
      <w:bookmarkEnd w:id="592"/>
      <w:bookmarkEnd w:id="59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11"/>
        <w:gridCol w:w="763"/>
        <w:gridCol w:w="336"/>
        <w:gridCol w:w="456"/>
        <w:gridCol w:w="782"/>
        <w:gridCol w:w="221"/>
        <w:gridCol w:w="619"/>
        <w:gridCol w:w="446"/>
        <w:gridCol w:w="902"/>
        <w:gridCol w:w="422"/>
        <w:gridCol w:w="936"/>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77,568</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恢复的优先股股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东总数（如有）（参</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东旭集团有限公 司</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39.04%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580,419,9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423,673,2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576,673,200</w:t>
            </w:r>
          </w:p>
        </w:tc>
      </w:tr>
      <w:tr>
        <w:trPr>
          <w:trHeight w:val="398"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580,419,914</w:t>
            </w:r>
          </w:p>
        </w:tc>
      </w:tr>
      <w:tr>
        <w:trPr>
          <w:trHeight w:val="72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前海开源基金一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浦发银行一国民</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基金、理财产品等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42,971,60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42,971,60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92"/>
        <w:gridCol w:w="782"/>
        <w:gridCol w:w="840"/>
        <w:gridCol w:w="1349"/>
        <w:gridCol w:w="1358"/>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信托一国民信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号单一</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徐开东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12,210,40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JPMORGAN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CHASE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BANK,NATIONA</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 ASSOCIATION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黄文明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北京天地之合拆 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邹建丽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华泰证券股份有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2,671,064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许尔平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前海开源基金一浦发银行一国民信托一国民信托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号单一资金信托因参与公司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亿元非公开发行认购，成为公司前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名股东，所认购的股份自上市之日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日上市流通。</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截止报告期末，尚未获悉上述股东之间是否存在关联关系，亦尚未获悉是否属于《上 市收购管理办法》规定的一致行动人。</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东旭集团有限公司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156,746,714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156,746,714</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前海开源基金一浦发银行一国民信 托一国民信托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号单一资金信 托</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42,971,601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42,971,601</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徐开东</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12,210,400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JPMORGAN CHASE</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BANK,NATIONAL ASSOCIATION</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5,359,255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5,359,255</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黄文明</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3,683,900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3,683,900</w:t>
            </w:r>
          </w:p>
        </w:tc>
      </w:tr>
      <w:tr>
        <w:trPr>
          <w:trHeight w:val="41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北京天地之合拆迁有限公司</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3,571,700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3,571,700</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邹建丽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2,725,700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2,671,064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许尔平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截止报告期末，尚未获悉前十名无限售条件流通股股东之间，以及前十名无限售条件 流通股股东和前十名股东之间是否存在关联关系，亦尚未获悉是否属于《上市公司收 购管理办法》规定的一致行动人。</w:t>
            </w:r>
          </w:p>
        </w:tc>
      </w:tr>
      <w:tr>
        <w:trPr>
          <w:trHeight w:val="389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53" w:lineRule="exact"/>
              <w:ind w:left="0" w:right="0" w:firstLine="0"/>
              <w:jc w:val="both"/>
            </w:pPr>
            <w:r>
              <w:rPr>
                <w:color w:val="000000"/>
                <w:spacing w:val="0"/>
                <w:w w:val="100"/>
                <w:position w:val="0"/>
              </w:rPr>
              <w:t>上述股东中参与融资融券业务情况如下：</w:t>
            </w:r>
          </w:p>
          <w:p>
            <w:pPr>
              <w:pStyle w:val="Style22"/>
              <w:keepNext w:val="0"/>
              <w:keepLines w:val="0"/>
              <w:widowControl w:val="0"/>
              <w:shd w:val="clear" w:color="auto" w:fill="auto"/>
              <w:tabs>
                <w:tab w:pos="264" w:val="left"/>
              </w:tabs>
              <w:bidi w:val="0"/>
              <w:spacing w:before="0" w:after="0" w:line="35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徐开东通过国金证券股份有限公司客户信用交易担保证券账户持有公司股票</w:t>
            </w:r>
          </w:p>
          <w:p>
            <w:pPr>
              <w:pStyle w:val="Style22"/>
              <w:keepNext w:val="0"/>
              <w:keepLines w:val="0"/>
              <w:widowControl w:val="0"/>
              <w:shd w:val="clear" w:color="auto" w:fill="auto"/>
              <w:bidi w:val="0"/>
              <w:spacing w:before="0" w:after="0" w:line="353" w:lineRule="exact"/>
              <w:ind w:left="0" w:right="0" w:firstLine="0"/>
              <w:jc w:val="both"/>
            </w:pPr>
            <w:r>
              <w:rPr>
                <w:rFonts w:ascii="Times New Roman" w:eastAsia="Times New Roman" w:hAnsi="Times New Roman" w:cs="Times New Roman"/>
                <w:color w:val="000000"/>
                <w:spacing w:val="0"/>
                <w:w w:val="100"/>
                <w:position w:val="0"/>
                <w:sz w:val="18"/>
                <w:szCs w:val="18"/>
              </w:rPr>
              <w:t>3,567,200</w:t>
            </w:r>
            <w:r>
              <w:rPr>
                <w:color w:val="000000"/>
                <w:spacing w:val="0"/>
                <w:w w:val="100"/>
                <w:position w:val="0"/>
              </w:rPr>
              <w:t>股，通过普通证券账户持有公司股票</w:t>
            </w:r>
            <w:r>
              <w:rPr>
                <w:rFonts w:ascii="Times New Roman" w:eastAsia="Times New Roman" w:hAnsi="Times New Roman" w:cs="Times New Roman"/>
                <w:color w:val="000000"/>
                <w:spacing w:val="0"/>
                <w:w w:val="100"/>
                <w:position w:val="0"/>
                <w:sz w:val="18"/>
                <w:szCs w:val="18"/>
              </w:rPr>
              <w:t>8,643,200</w:t>
            </w:r>
            <w:r>
              <w:rPr>
                <w:color w:val="000000"/>
                <w:spacing w:val="0"/>
                <w:w w:val="100"/>
                <w:position w:val="0"/>
              </w:rPr>
              <w:t xml:space="preserve">股，合计持有公司股票 </w:t>
            </w:r>
            <w:r>
              <w:rPr>
                <w:rFonts w:ascii="Times New Roman" w:eastAsia="Times New Roman" w:hAnsi="Times New Roman" w:cs="Times New Roman"/>
                <w:color w:val="000000"/>
                <w:spacing w:val="0"/>
                <w:w w:val="100"/>
                <w:position w:val="0"/>
                <w:sz w:val="18"/>
                <w:szCs w:val="18"/>
              </w:rPr>
              <w:t xml:space="preserve">12,210,400 </w:t>
            </w:r>
            <w:r>
              <w:rPr>
                <w:color w:val="000000"/>
                <w:spacing w:val="0"/>
                <w:w w:val="100"/>
                <w:position w:val="0"/>
              </w:rPr>
              <w:t>股；</w:t>
            </w:r>
          </w:p>
          <w:p>
            <w:pPr>
              <w:pStyle w:val="Style22"/>
              <w:keepNext w:val="0"/>
              <w:keepLines w:val="0"/>
              <w:widowControl w:val="0"/>
              <w:shd w:val="clear" w:color="auto" w:fill="auto"/>
              <w:tabs>
                <w:tab w:pos="278" w:val="left"/>
              </w:tabs>
              <w:bidi w:val="0"/>
              <w:spacing w:before="0" w:after="140" w:line="35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黄文明通过英大证券有限责任公司客户信用交易担保证券账户持有公司股票</w:t>
            </w:r>
          </w:p>
          <w:p>
            <w:pPr>
              <w:pStyle w:val="Style22"/>
              <w:keepNext w:val="0"/>
              <w:keepLines w:val="0"/>
              <w:widowControl w:val="0"/>
              <w:shd w:val="clear" w:color="auto" w:fill="auto"/>
              <w:bidi w:val="0"/>
              <w:spacing w:before="0" w:after="0" w:line="410" w:lineRule="auto"/>
              <w:ind w:left="0" w:right="0" w:firstLine="0"/>
              <w:jc w:val="both"/>
            </w:pPr>
            <w:r>
              <w:rPr>
                <w:rFonts w:ascii="Times New Roman" w:eastAsia="Times New Roman" w:hAnsi="Times New Roman" w:cs="Times New Roman"/>
                <w:color w:val="000000"/>
                <w:spacing w:val="0"/>
                <w:w w:val="100"/>
                <w:position w:val="0"/>
                <w:sz w:val="18"/>
                <w:szCs w:val="18"/>
              </w:rPr>
              <w:t xml:space="preserve">3,683,900 </w:t>
            </w:r>
            <w:r>
              <w:rPr>
                <w:color w:val="000000"/>
                <w:spacing w:val="0"/>
                <w:w w:val="100"/>
                <w:position w:val="0"/>
              </w:rPr>
              <w:t>股；</w:t>
            </w:r>
          </w:p>
          <w:p>
            <w:pPr>
              <w:pStyle w:val="Style22"/>
              <w:keepNext w:val="0"/>
              <w:keepLines w:val="0"/>
              <w:widowControl w:val="0"/>
              <w:shd w:val="clear" w:color="auto" w:fill="auto"/>
              <w:tabs>
                <w:tab w:pos="274" w:val="left"/>
              </w:tabs>
              <w:bidi w:val="0"/>
              <w:spacing w:before="0" w:after="0" w:line="35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邹建丽通过浙商证券股份有限公司客户信用交易担保证券账户持有公司股票</w:t>
            </w:r>
          </w:p>
          <w:p>
            <w:pPr>
              <w:pStyle w:val="Style22"/>
              <w:keepNext w:val="0"/>
              <w:keepLines w:val="0"/>
              <w:widowControl w:val="0"/>
              <w:shd w:val="clear" w:color="auto" w:fill="auto"/>
              <w:bidi w:val="0"/>
              <w:spacing w:before="0" w:after="0" w:line="353" w:lineRule="exact"/>
              <w:ind w:left="0" w:right="0" w:firstLine="0"/>
              <w:jc w:val="both"/>
            </w:pPr>
            <w:r>
              <w:rPr>
                <w:rFonts w:ascii="Times New Roman" w:eastAsia="Times New Roman" w:hAnsi="Times New Roman" w:cs="Times New Roman"/>
                <w:color w:val="000000"/>
                <w:spacing w:val="0"/>
                <w:w w:val="100"/>
                <w:position w:val="0"/>
                <w:sz w:val="18"/>
                <w:szCs w:val="18"/>
              </w:rPr>
              <w:t>2,466,600</w:t>
            </w:r>
            <w:r>
              <w:rPr>
                <w:color w:val="000000"/>
                <w:spacing w:val="0"/>
                <w:w w:val="100"/>
                <w:position w:val="0"/>
              </w:rPr>
              <w:t>股，通过普通证券账户持有公司股票</w:t>
            </w:r>
            <w:r>
              <w:rPr>
                <w:rFonts w:ascii="Times New Roman" w:eastAsia="Times New Roman" w:hAnsi="Times New Roman" w:cs="Times New Roman"/>
                <w:color w:val="000000"/>
                <w:spacing w:val="0"/>
                <w:w w:val="100"/>
                <w:position w:val="0"/>
                <w:sz w:val="18"/>
                <w:szCs w:val="18"/>
              </w:rPr>
              <w:t>259,100</w:t>
            </w:r>
            <w:r>
              <w:rPr>
                <w:color w:val="000000"/>
                <w:spacing w:val="0"/>
                <w:w w:val="100"/>
                <w:position w:val="0"/>
              </w:rPr>
              <w:t xml:space="preserve">股，合计持有公司股票 </w:t>
            </w:r>
            <w:r>
              <w:rPr>
                <w:rFonts w:ascii="Times New Roman" w:eastAsia="Times New Roman" w:hAnsi="Times New Roman" w:cs="Times New Roman"/>
                <w:color w:val="000000"/>
                <w:spacing w:val="0"/>
                <w:w w:val="100"/>
                <w:position w:val="0"/>
                <w:sz w:val="18"/>
                <w:szCs w:val="18"/>
              </w:rPr>
              <w:t xml:space="preserve">2,725,700 </w:t>
            </w:r>
            <w:r>
              <w:rPr>
                <w:color w:val="000000"/>
                <w:spacing w:val="0"/>
                <w:w w:val="100"/>
                <w:position w:val="0"/>
              </w:rPr>
              <w:t>股。</w:t>
            </w:r>
          </w:p>
          <w:p>
            <w:pPr>
              <w:pStyle w:val="Style22"/>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王逑通过申万宏源西部证券有限公司客户信用交易担保证券账户持有公司股票 </w:t>
            </w:r>
            <w:r>
              <w:rPr>
                <w:rFonts w:ascii="Times New Roman" w:eastAsia="Times New Roman" w:hAnsi="Times New Roman" w:cs="Times New Roman"/>
                <w:color w:val="000000"/>
                <w:spacing w:val="0"/>
                <w:w w:val="100"/>
                <w:position w:val="0"/>
                <w:sz w:val="18"/>
                <w:szCs w:val="18"/>
              </w:rPr>
              <w:t xml:space="preserve">2,710,000 </w:t>
            </w:r>
            <w:r>
              <w:rPr>
                <w:color w:val="000000"/>
                <w:spacing w:val="0"/>
                <w:w w:val="100"/>
                <w:position w:val="0"/>
              </w:rPr>
              <w:t>股。</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400" w:line="240" w:lineRule="auto"/>
        <w:ind w:left="0" w:right="0" w:firstLine="0"/>
        <w:jc w:val="left"/>
      </w:pPr>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594"/>
      <w:bookmarkEnd w:id="595"/>
      <w:bookmarkEnd w:id="59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3"/>
        <w:gridCol w:w="1723"/>
        <w:gridCol w:w="1344"/>
        <w:gridCol w:w="263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4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李兆廷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76813036-3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以自有资金对项目投资；机械设 备及电子产品的研发；各类非标 设备及零部件产品的生产及工艺 制定；研磨材料机电产品（不含 公共安全设备及器材）零部件加 工销售；自营和代理各类商品及 技术的进出口业务；计算机系统 集成，软件开发，技术咨询；机 电设备（以上不含需前置许可项 目）的安装，工程咨询；有色金 属（稀贵金属除外）、电子产品、</w:t>
            </w:r>
          </w:p>
        </w:tc>
      </w:tr>
    </w:tbl>
    <w:p>
      <w:pPr>
        <w:spacing w:lineRule="exact" w:line="1"/>
        <w:rPr>
          <w:sz w:val="2"/>
          <w:szCs w:val="2"/>
        </w:rPr>
      </w:pPr>
      <w:r>
        <w:br w:type="page"/>
      </w:r>
    </w:p>
    <w:tbl>
      <w:tblPr>
        <w:tblOverlap w:val="never"/>
        <w:jc w:val="center"/>
        <w:tblLayout w:type="fixed"/>
      </w:tblPr>
      <w:tblGrid>
        <w:gridCol w:w="2270"/>
        <w:gridCol w:w="1613"/>
        <w:gridCol w:w="1723"/>
        <w:gridCol w:w="1344"/>
        <w:gridCol w:w="263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通讯设备、计算机硬件的销售。</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（依法须经批准的项目，经相关 部门批准后方可开展经营活动）</w:t>
            </w:r>
          </w:p>
        </w:tc>
      </w:tr>
      <w:tr>
        <w:trPr>
          <w:trHeight w:val="295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7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日，东旭集团直接持有东旭光电科技股份有限公司（股票简称：东 旭光电，股票代码：</w:t>
            </w:r>
            <w:r>
              <w:rPr>
                <w:rFonts w:ascii="Times New Roman" w:eastAsia="Times New Roman" w:hAnsi="Times New Roman" w:cs="Times New Roman"/>
                <w:color w:val="000000"/>
                <w:spacing w:val="0"/>
                <w:w w:val="100"/>
                <w:position w:val="0"/>
                <w:sz w:val="18"/>
                <w:szCs w:val="18"/>
              </w:rPr>
              <w:t>000413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915,064,091</w:t>
            </w:r>
            <w:r>
              <w:rPr>
                <w:color w:val="000000"/>
                <w:spacing w:val="0"/>
                <w:w w:val="100"/>
                <w:position w:val="0"/>
              </w:rPr>
              <w:t>股，占该公司总股本的</w:t>
            </w:r>
            <w:r>
              <w:rPr>
                <w:rFonts w:ascii="Times New Roman" w:eastAsia="Times New Roman" w:hAnsi="Times New Roman" w:cs="Times New Roman"/>
                <w:color w:val="000000"/>
                <w:spacing w:val="0"/>
                <w:w w:val="100"/>
                <w:position w:val="0"/>
                <w:sz w:val="18"/>
                <w:szCs w:val="18"/>
              </w:rPr>
              <w:t>15.97%</w:t>
            </w:r>
            <w:r>
              <w:rPr>
                <w:color w:val="000000"/>
                <w:spacing w:val="0"/>
                <w:w w:val="100"/>
                <w:position w:val="0"/>
              </w:rPr>
              <w:t>；东旭集团通过其控 制的石家庄宝石电子集团有限责任公司间接控制东旭光电</w:t>
            </w:r>
            <w:r>
              <w:rPr>
                <w:rFonts w:ascii="Times New Roman" w:eastAsia="Times New Roman" w:hAnsi="Times New Roman" w:cs="Times New Roman"/>
                <w:color w:val="000000"/>
                <w:spacing w:val="0"/>
                <w:w w:val="100"/>
                <w:position w:val="0"/>
                <w:sz w:val="18"/>
                <w:szCs w:val="18"/>
              </w:rPr>
              <w:t>251,665,271</w:t>
            </w:r>
            <w:r>
              <w:rPr>
                <w:color w:val="000000"/>
                <w:spacing w:val="0"/>
                <w:w w:val="100"/>
                <w:position w:val="0"/>
              </w:rPr>
              <w:t xml:space="preserve">股，占该公司总股本的 </w:t>
            </w:r>
            <w:r>
              <w:rPr>
                <w:rFonts w:ascii="Times New Roman" w:eastAsia="Times New Roman" w:hAnsi="Times New Roman" w:cs="Times New Roman"/>
                <w:color w:val="000000"/>
                <w:spacing w:val="0"/>
                <w:w w:val="100"/>
                <w:position w:val="0"/>
                <w:sz w:val="18"/>
                <w:szCs w:val="18"/>
              </w:rPr>
              <w:t>4.39%</w:t>
            </w:r>
            <w:r>
              <w:rPr>
                <w:color w:val="000000"/>
                <w:spacing w:val="0"/>
                <w:w w:val="100"/>
                <w:position w:val="0"/>
              </w:rPr>
              <w:t>；东旭集团直接和间接持有东旭光电的股份总数为</w:t>
            </w:r>
            <w:r>
              <w:rPr>
                <w:rFonts w:ascii="Times New Roman" w:eastAsia="Times New Roman" w:hAnsi="Times New Roman" w:cs="Times New Roman"/>
                <w:color w:val="000000"/>
                <w:spacing w:val="0"/>
                <w:w w:val="100"/>
                <w:position w:val="0"/>
                <w:sz w:val="18"/>
                <w:szCs w:val="18"/>
              </w:rPr>
              <w:t>1,166,729,562</w:t>
            </w:r>
            <w:r>
              <w:rPr>
                <w:color w:val="000000"/>
                <w:spacing w:val="0"/>
                <w:w w:val="100"/>
                <w:position w:val="0"/>
              </w:rPr>
              <w:t>股，占该公司总股本 比例为</w:t>
            </w:r>
            <w:r>
              <w:rPr>
                <w:rFonts w:ascii="Times New Roman" w:eastAsia="Times New Roman" w:hAnsi="Times New Roman" w:cs="Times New Roman"/>
                <w:color w:val="000000"/>
                <w:spacing w:val="0"/>
                <w:w w:val="100"/>
                <w:position w:val="0"/>
                <w:sz w:val="18"/>
                <w:szCs w:val="18"/>
              </w:rPr>
              <w:t>20.36%</w:t>
            </w:r>
            <w:r>
              <w:rPr>
                <w:color w:val="000000"/>
                <w:spacing w:val="0"/>
                <w:w w:val="100"/>
                <w:position w:val="0"/>
              </w:rPr>
              <w:t>。</w:t>
            </w:r>
          </w:p>
          <w:p>
            <w:pPr>
              <w:pStyle w:val="Style22"/>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日，东旭集团直接持有上海嘉麟杰纺织品股份有限公司（股票简称： 嘉麟杰，股票代码：</w:t>
            </w:r>
            <w:r>
              <w:rPr>
                <w:rFonts w:ascii="Times New Roman" w:eastAsia="Times New Roman" w:hAnsi="Times New Roman" w:cs="Times New Roman"/>
                <w:color w:val="000000"/>
                <w:spacing w:val="0"/>
                <w:w w:val="100"/>
                <w:position w:val="0"/>
                <w:sz w:val="18"/>
                <w:szCs w:val="18"/>
              </w:rPr>
              <w:t>002468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29,583,181</w:t>
            </w:r>
            <w:r>
              <w:rPr>
                <w:color w:val="000000"/>
                <w:spacing w:val="0"/>
                <w:w w:val="100"/>
                <w:position w:val="0"/>
              </w:rPr>
              <w:t>股，占该公司总股本的</w:t>
            </w:r>
            <w:r>
              <w:rPr>
                <w:rFonts w:ascii="Times New Roman" w:eastAsia="Times New Roman" w:hAnsi="Times New Roman" w:cs="Times New Roman"/>
                <w:color w:val="000000"/>
                <w:spacing w:val="0"/>
                <w:w w:val="100"/>
                <w:position w:val="0"/>
                <w:sz w:val="18"/>
                <w:szCs w:val="18"/>
              </w:rPr>
              <w:t>3.56%</w:t>
            </w:r>
            <w:r>
              <w:rPr>
                <w:color w:val="000000"/>
                <w:spacing w:val="0"/>
                <w:w w:val="100"/>
                <w:position w:val="0"/>
              </w:rPr>
              <w:t>；通过上海国骏投资有 限公司间接持有嘉麟杰股份</w:t>
            </w:r>
            <w:r>
              <w:rPr>
                <w:rFonts w:ascii="Times New Roman" w:eastAsia="Times New Roman" w:hAnsi="Times New Roman" w:cs="Times New Roman"/>
                <w:color w:val="000000"/>
                <w:spacing w:val="0"/>
                <w:w w:val="100"/>
                <w:position w:val="0"/>
                <w:sz w:val="18"/>
                <w:szCs w:val="18"/>
              </w:rPr>
              <w:t>146,030,800</w:t>
            </w:r>
            <w:r>
              <w:rPr>
                <w:color w:val="000000"/>
                <w:spacing w:val="0"/>
                <w:w w:val="100"/>
                <w:position w:val="0"/>
              </w:rPr>
              <w:t>股，占比</w:t>
            </w:r>
            <w:r>
              <w:rPr>
                <w:rFonts w:ascii="Times New Roman" w:eastAsia="Times New Roman" w:hAnsi="Times New Roman" w:cs="Times New Roman"/>
                <w:color w:val="000000"/>
                <w:spacing w:val="0"/>
                <w:w w:val="100"/>
                <w:position w:val="0"/>
                <w:sz w:val="18"/>
                <w:szCs w:val="18"/>
              </w:rPr>
              <w:t>17.55%</w:t>
            </w:r>
            <w:r>
              <w:rPr>
                <w:color w:val="000000"/>
                <w:spacing w:val="0"/>
                <w:w w:val="100"/>
                <w:position w:val="0"/>
              </w:rPr>
              <w:t>。合计拥有嘉麟杰股份</w:t>
            </w:r>
            <w:r>
              <w:rPr>
                <w:rFonts w:ascii="Times New Roman" w:eastAsia="Times New Roman" w:hAnsi="Times New Roman" w:cs="Times New Roman"/>
                <w:color w:val="000000"/>
                <w:spacing w:val="0"/>
                <w:w w:val="100"/>
                <w:position w:val="0"/>
                <w:sz w:val="18"/>
                <w:szCs w:val="18"/>
              </w:rPr>
              <w:t>175,613,981</w:t>
            </w:r>
            <w:r>
              <w:rPr>
                <w:color w:val="000000"/>
                <w:spacing w:val="0"/>
                <w:w w:val="100"/>
                <w:position w:val="0"/>
              </w:rPr>
              <w:t>股 对应的投票表决权，占该公司总股本的</w:t>
            </w:r>
            <w:r>
              <w:rPr>
                <w:rFonts w:ascii="Times New Roman" w:eastAsia="Times New Roman" w:hAnsi="Times New Roman" w:cs="Times New Roman"/>
                <w:color w:val="000000"/>
                <w:spacing w:val="0"/>
                <w:w w:val="100"/>
                <w:position w:val="0"/>
                <w:sz w:val="18"/>
                <w:szCs w:val="18"/>
              </w:rPr>
              <w:t>21.11%</w:t>
            </w: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、公司实际控制人及其一致行动人</w:t>
      </w:r>
      <w:bookmarkEnd w:id="597"/>
      <w:bookmarkEnd w:id="598"/>
      <w:bookmarkEnd w:id="60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46"/>
        <w:gridCol w:w="352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李兆廷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东旭集团有限公司董事长</w:t>
            </w:r>
          </w:p>
        </w:tc>
      </w:tr>
      <w:tr>
        <w:trPr>
          <w:trHeight w:val="294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11"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日，东旭集团直接持有东旭光电科技股份有限公司（股票简称： 东旭光电，股票代码：</w:t>
            </w:r>
            <w:r>
              <w:rPr>
                <w:rFonts w:ascii="Times New Roman" w:eastAsia="Times New Roman" w:hAnsi="Times New Roman" w:cs="Times New Roman"/>
                <w:color w:val="000000"/>
                <w:spacing w:val="0"/>
                <w:w w:val="100"/>
                <w:position w:val="0"/>
                <w:sz w:val="18"/>
                <w:szCs w:val="18"/>
              </w:rPr>
              <w:t>000413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915,064,091</w:t>
            </w:r>
            <w:r>
              <w:rPr>
                <w:color w:val="000000"/>
                <w:spacing w:val="0"/>
                <w:w w:val="100"/>
                <w:position w:val="0"/>
              </w:rPr>
              <w:t>股，占该公司总股本的</w:t>
            </w:r>
            <w:r>
              <w:rPr>
                <w:rFonts w:ascii="Times New Roman" w:eastAsia="Times New Roman" w:hAnsi="Times New Roman" w:cs="Times New Roman"/>
                <w:color w:val="000000"/>
                <w:spacing w:val="0"/>
                <w:w w:val="100"/>
                <w:position w:val="0"/>
                <w:sz w:val="18"/>
                <w:szCs w:val="18"/>
              </w:rPr>
              <w:t>15.97%</w:t>
            </w:r>
            <w:r>
              <w:rPr>
                <w:color w:val="000000"/>
                <w:spacing w:val="0"/>
                <w:w w:val="100"/>
                <w:position w:val="0"/>
              </w:rPr>
              <w:t>；东旭集团 通过其控制的石家庄宝石电子集团有限责任公司间接控制东旭光电</w:t>
            </w:r>
            <w:r>
              <w:rPr>
                <w:rFonts w:ascii="Times New Roman" w:eastAsia="Times New Roman" w:hAnsi="Times New Roman" w:cs="Times New Roman"/>
                <w:color w:val="000000"/>
                <w:spacing w:val="0"/>
                <w:w w:val="100"/>
                <w:position w:val="0"/>
                <w:sz w:val="18"/>
                <w:szCs w:val="18"/>
              </w:rPr>
              <w:t>251,665,271</w:t>
            </w:r>
            <w:r>
              <w:rPr>
                <w:color w:val="000000"/>
                <w:spacing w:val="0"/>
                <w:w w:val="100"/>
                <w:position w:val="0"/>
              </w:rPr>
              <w:t>股，占 该公司总股本的</w:t>
            </w:r>
            <w:r>
              <w:rPr>
                <w:rFonts w:ascii="Times New Roman" w:eastAsia="Times New Roman" w:hAnsi="Times New Roman" w:cs="Times New Roman"/>
                <w:color w:val="000000"/>
                <w:spacing w:val="0"/>
                <w:w w:val="100"/>
                <w:position w:val="0"/>
                <w:sz w:val="18"/>
                <w:szCs w:val="18"/>
              </w:rPr>
              <w:t>4.39%</w:t>
            </w:r>
            <w:r>
              <w:rPr>
                <w:color w:val="000000"/>
                <w:spacing w:val="0"/>
                <w:w w:val="100"/>
                <w:position w:val="0"/>
              </w:rPr>
              <w:t>；东旭集团直接和间接持有东旭光电的股份总数为</w:t>
            </w:r>
            <w:r>
              <w:rPr>
                <w:rFonts w:ascii="Times New Roman" w:eastAsia="Times New Roman" w:hAnsi="Times New Roman" w:cs="Times New Roman"/>
                <w:color w:val="000000"/>
                <w:spacing w:val="0"/>
                <w:w w:val="100"/>
                <w:position w:val="0"/>
                <w:sz w:val="18"/>
                <w:szCs w:val="18"/>
              </w:rPr>
              <w:t xml:space="preserve">1,166,729,562 </w:t>
            </w:r>
            <w:r>
              <w:rPr>
                <w:color w:val="000000"/>
                <w:spacing w:val="0"/>
                <w:w w:val="100"/>
                <w:position w:val="0"/>
              </w:rPr>
              <w:t>股，占该公司总股本比例为</w:t>
            </w:r>
            <w:r>
              <w:rPr>
                <w:rFonts w:ascii="Times New Roman" w:eastAsia="Times New Roman" w:hAnsi="Times New Roman" w:cs="Times New Roman"/>
                <w:color w:val="000000"/>
                <w:spacing w:val="0"/>
                <w:w w:val="100"/>
                <w:position w:val="0"/>
                <w:sz w:val="18"/>
                <w:szCs w:val="18"/>
              </w:rPr>
              <w:t>20.36%</w:t>
            </w:r>
            <w:r>
              <w:rPr>
                <w:color w:val="000000"/>
                <w:spacing w:val="0"/>
                <w:w w:val="100"/>
                <w:position w:val="0"/>
              </w:rPr>
              <w:t>。</w:t>
            </w:r>
          </w:p>
          <w:p>
            <w:pPr>
              <w:pStyle w:val="Style22"/>
              <w:keepNext w:val="0"/>
              <w:keepLines w:val="0"/>
              <w:widowControl w:val="0"/>
              <w:shd w:val="clear" w:color="auto" w:fill="auto"/>
              <w:tabs>
                <w:tab w:pos="25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日，东旭集团直接持有上海嘉麟杰纺织品股份有限公司（股票 简称：嘉麟杰，股票代码：</w:t>
            </w:r>
            <w:r>
              <w:rPr>
                <w:rFonts w:ascii="Times New Roman" w:eastAsia="Times New Roman" w:hAnsi="Times New Roman" w:cs="Times New Roman"/>
                <w:color w:val="000000"/>
                <w:spacing w:val="0"/>
                <w:w w:val="100"/>
                <w:position w:val="0"/>
                <w:sz w:val="18"/>
                <w:szCs w:val="18"/>
              </w:rPr>
              <w:t>002468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29,583,181</w:t>
            </w:r>
            <w:r>
              <w:rPr>
                <w:color w:val="000000"/>
                <w:spacing w:val="0"/>
                <w:w w:val="100"/>
                <w:position w:val="0"/>
              </w:rPr>
              <w:t>股，占该公司总股本的</w:t>
            </w:r>
            <w:r>
              <w:rPr>
                <w:rFonts w:ascii="Times New Roman" w:eastAsia="Times New Roman" w:hAnsi="Times New Roman" w:cs="Times New Roman"/>
                <w:color w:val="000000"/>
                <w:spacing w:val="0"/>
                <w:w w:val="100"/>
                <w:position w:val="0"/>
                <w:sz w:val="18"/>
                <w:szCs w:val="18"/>
              </w:rPr>
              <w:t>3.56%</w:t>
            </w:r>
            <w:r>
              <w:rPr>
                <w:color w:val="000000"/>
                <w:spacing w:val="0"/>
                <w:w w:val="100"/>
                <w:position w:val="0"/>
              </w:rPr>
              <w:t>；通过上 海国骏投资有限公司间接持有嘉麟杰股份</w:t>
            </w:r>
            <w:r>
              <w:rPr>
                <w:rFonts w:ascii="Times New Roman" w:eastAsia="Times New Roman" w:hAnsi="Times New Roman" w:cs="Times New Roman"/>
                <w:color w:val="000000"/>
                <w:spacing w:val="0"/>
                <w:w w:val="100"/>
                <w:position w:val="0"/>
                <w:sz w:val="18"/>
                <w:szCs w:val="18"/>
              </w:rPr>
              <w:t>146,030,800</w:t>
            </w:r>
            <w:r>
              <w:rPr>
                <w:color w:val="000000"/>
                <w:spacing w:val="0"/>
                <w:w w:val="100"/>
                <w:position w:val="0"/>
              </w:rPr>
              <w:t>股，占比</w:t>
            </w:r>
            <w:r>
              <w:rPr>
                <w:rFonts w:ascii="Times New Roman" w:eastAsia="Times New Roman" w:hAnsi="Times New Roman" w:cs="Times New Roman"/>
                <w:color w:val="000000"/>
                <w:spacing w:val="0"/>
                <w:w w:val="100"/>
                <w:position w:val="0"/>
                <w:sz w:val="18"/>
                <w:szCs w:val="18"/>
              </w:rPr>
              <w:t>17.55%</w:t>
            </w:r>
            <w:r>
              <w:rPr>
                <w:color w:val="000000"/>
                <w:spacing w:val="0"/>
                <w:w w:val="100"/>
                <w:position w:val="0"/>
              </w:rPr>
              <w:t>。合计拥有嘉麟 杰股份</w:t>
            </w:r>
            <w:r>
              <w:rPr>
                <w:rFonts w:ascii="Times New Roman" w:eastAsia="Times New Roman" w:hAnsi="Times New Roman" w:cs="Times New Roman"/>
                <w:color w:val="000000"/>
                <w:spacing w:val="0"/>
                <w:w w:val="100"/>
                <w:position w:val="0"/>
                <w:sz w:val="18"/>
                <w:szCs w:val="18"/>
              </w:rPr>
              <w:t>175,613,981</w:t>
            </w:r>
            <w:r>
              <w:rPr>
                <w:color w:val="000000"/>
                <w:spacing w:val="0"/>
                <w:w w:val="100"/>
                <w:position w:val="0"/>
              </w:rPr>
              <w:t>股对应的投票表决权，占该公司总股本的</w:t>
            </w:r>
            <w:r>
              <w:rPr>
                <w:rFonts w:ascii="Times New Roman" w:eastAsia="Times New Roman" w:hAnsi="Times New Roman" w:cs="Times New Roman"/>
                <w:color w:val="000000"/>
                <w:spacing w:val="0"/>
                <w:w w:val="100"/>
                <w:position w:val="0"/>
                <w:sz w:val="18"/>
                <w:szCs w:val="18"/>
              </w:rPr>
              <w:t>21.11%</w:t>
            </w: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8105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4596130" cy="2810510"/>
                    </a:xfrm>
                    <a:prstGeom prst="rect"/>
                  </pic:spPr>
                </pic:pic>
              </a:graphicData>
            </a:graphic>
          </wp:inline>
        </w:drawing>
      </w:r>
    </w:p>
    <w:p>
      <w:pPr>
        <w:widowControl w:val="0"/>
        <w:spacing w:after="3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4</w:t>
      </w:r>
      <w:bookmarkEnd w:id="603"/>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1"/>
      <w:bookmarkEnd w:id="602"/>
      <w:bookmarkEnd w:id="604"/>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200"/>
        <w:gridCol w:w="1195"/>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股票质押融资 总额（万元）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是否存在偿债 或平仓风险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是否影响公司 控制权稳定</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东旭集团有限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315,243.33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补充流动资金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经营所得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7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5</w:t>
      </w:r>
      <w:bookmarkEnd w:id="60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5"/>
      <w:bookmarkEnd w:id="606"/>
      <w:bookmarkEnd w:id="60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6</w:t>
      </w:r>
      <w:bookmarkEnd w:id="611"/>
      <w:r>
        <w:rPr>
          <w:color w:val="000000"/>
          <w:spacing w:val="0"/>
          <w:w w:val="100"/>
          <w:position w:val="0"/>
        </w:rPr>
        <w:t>、</w:t>
        <w:tab/>
        <w:t>控股股东、实际控制人、重组方及其他承诺主体股份限制减持情况</w:t>
      </w:r>
      <w:bookmarkEnd w:id="609"/>
      <w:bookmarkEnd w:id="610"/>
      <w:bookmarkEnd w:id="61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四</w:t>
      </w:r>
      <w:bookmarkEnd w:id="615"/>
      <w:r>
        <w:rPr>
          <w:color w:val="000000"/>
          <w:spacing w:val="0"/>
          <w:w w:val="100"/>
          <w:position w:val="0"/>
        </w:rPr>
        <w:t>、股份回购在报告期的具体实施情况</w:t>
      </w:r>
      <w:bookmarkEnd w:id="613"/>
      <w:bookmarkEnd w:id="614"/>
      <w:bookmarkEnd w:id="61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7"/>
        <w:keepNext w:val="0"/>
        <w:keepLines w:val="0"/>
        <w:widowControl w:val="0"/>
        <w:numPr>
          <w:ilvl w:val="0"/>
          <w:numId w:val="9"/>
        </w:numPr>
        <w:shd w:val="clear" w:color="auto" w:fill="auto"/>
        <w:tabs>
          <w:tab w:pos="282" w:val="left"/>
        </w:tabs>
        <w:bidi w:val="0"/>
        <w:spacing w:before="0" w:line="240" w:lineRule="auto"/>
        <w:ind w:left="0" w:right="0" w:firstLine="0"/>
        <w:jc w:val="left"/>
      </w:pPr>
      <w:bookmarkStart w:id="617" w:name="bookmark617"/>
      <w:bookmarkEnd w:id="6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numPr>
          <w:ilvl w:val="0"/>
          <w:numId w:val="9"/>
        </w:numPr>
        <w:shd w:val="clear" w:color="auto" w:fill="auto"/>
        <w:tabs>
          <w:tab w:pos="282" w:val="left"/>
        </w:tabs>
        <w:bidi w:val="0"/>
        <w:spacing w:before="0" w:after="380" w:line="240" w:lineRule="auto"/>
        <w:ind w:left="0" w:right="0" w:firstLine="0"/>
        <w:jc w:val="left"/>
      </w:pPr>
      <w:bookmarkStart w:id="618" w:name="bookmark618"/>
      <w:bookmarkEnd w:id="61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keepLines/>
        <w:widowControl w:val="0"/>
        <w:shd w:val="clear" w:color="auto" w:fill="auto"/>
        <w:bidi w:val="0"/>
        <w:spacing w:before="0" w:after="560" w:line="240" w:lineRule="auto"/>
        <w:ind w:left="0" w:right="0" w:firstLine="0"/>
        <w:jc w:val="center"/>
      </w:pPr>
      <w:bookmarkStart w:id="619" w:name="bookmark619"/>
      <w:bookmarkStart w:id="620" w:name="bookmark620"/>
      <w:bookmarkStart w:id="621" w:name="bookmark621"/>
      <w:r>
        <w:rPr>
          <w:color w:val="000000"/>
          <w:spacing w:val="0"/>
          <w:w w:val="100"/>
          <w:position w:val="0"/>
        </w:rPr>
        <w:t>第八节优先股相关情况</w:t>
      </w:r>
      <w:bookmarkEnd w:id="619"/>
      <w:bookmarkEnd w:id="620"/>
      <w:bookmarkEnd w:id="621"/>
    </w:p>
    <w:p>
      <w:pPr>
        <w:pStyle w:val="Style27"/>
        <w:keepNext w:val="0"/>
        <w:keepLines w:val="0"/>
        <w:widowControl w:val="0"/>
        <w:shd w:val="clear" w:color="auto" w:fill="auto"/>
        <w:bidi w:val="0"/>
        <w:spacing w:before="0" w:line="240" w:lineRule="auto"/>
        <w:ind w:left="0" w:right="0" w:firstLine="0"/>
        <w:jc w:val="left"/>
      </w:pPr>
      <w:bookmarkStart w:id="622" w:name="bookmark62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2"/>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21" w:right="1068" w:bottom="1551" w:left="1046"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after="560" w:line="240" w:lineRule="auto"/>
        <w:ind w:left="0" w:right="0" w:firstLine="0"/>
        <w:jc w:val="center"/>
      </w:pPr>
      <w:bookmarkStart w:id="623" w:name="bookmark623"/>
      <w:bookmarkStart w:id="624" w:name="bookmark624"/>
      <w:bookmarkStart w:id="625" w:name="bookmark625"/>
      <w:r>
        <w:rPr>
          <w:color w:val="000000"/>
          <w:spacing w:val="0"/>
          <w:w w:val="100"/>
          <w:position w:val="0"/>
        </w:rPr>
        <w:t>第九节债券相关情况</w:t>
      </w:r>
      <w:bookmarkEnd w:id="623"/>
      <w:bookmarkEnd w:id="624"/>
      <w:bookmarkEnd w:id="625"/>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bookmarkStart w:id="626" w:name="bookmark62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26"/>
    </w:p>
    <w:p>
      <w:pPr>
        <w:pStyle w:val="Style8"/>
        <w:keepNext/>
        <w:keepLines/>
        <w:widowControl w:val="0"/>
        <w:shd w:val="clear" w:color="auto" w:fill="auto"/>
        <w:bidi w:val="0"/>
        <w:spacing w:before="600" w:after="520" w:line="240" w:lineRule="auto"/>
        <w:ind w:left="0" w:right="0" w:firstLine="0"/>
        <w:jc w:val="center"/>
      </w:pPr>
      <w:bookmarkStart w:id="627" w:name="bookmark627"/>
      <w:bookmarkStart w:id="628" w:name="bookmark628"/>
      <w:bookmarkStart w:id="629" w:name="bookmark629"/>
      <w:r>
        <w:rPr>
          <w:color w:val="000000"/>
          <w:spacing w:val="0"/>
          <w:w w:val="100"/>
          <w:position w:val="0"/>
        </w:rPr>
        <w:t>第十节财务报告</w:t>
      </w:r>
      <w:bookmarkEnd w:id="627"/>
      <w:bookmarkEnd w:id="628"/>
      <w:bookmarkEnd w:id="629"/>
    </w:p>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630" w:name="bookmark630"/>
      <w:bookmarkStart w:id="631" w:name="bookmark631"/>
      <w:r>
        <w:rPr>
          <w:b/>
          <w:bCs/>
          <w:color w:val="000000"/>
          <w:spacing w:val="0"/>
          <w:w w:val="100"/>
          <w:position w:val="0"/>
          <w:sz w:val="22"/>
          <w:szCs w:val="22"/>
        </w:rPr>
        <w:t>一、审计报告</w:t>
      </w:r>
      <w:bookmarkEnd w:id="631"/>
      <w:bookmarkEnd w:id="63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105012</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康利岩、王雅栋</w:t>
            </w:r>
          </w:p>
        </w:tc>
      </w:tr>
    </w:tbl>
    <w:p>
      <w:pPr>
        <w:pStyle w:val="Style25"/>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899" w:line="1" w:lineRule="exact"/>
      </w:pPr>
    </w:p>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审计报告</w:t>
      </w:r>
    </w:p>
    <w:p>
      <w:pPr>
        <w:pStyle w:val="Style22"/>
        <w:keepNext w:val="0"/>
        <w:keepLines w:val="0"/>
        <w:widowControl w:val="0"/>
        <w:shd w:val="clear" w:color="auto" w:fill="auto"/>
        <w:bidi w:val="0"/>
        <w:spacing w:before="0" w:after="520" w:line="472" w:lineRule="exact"/>
        <w:ind w:left="0" w:right="0" w:firstLine="0"/>
        <w:jc w:val="right"/>
        <w:rPr>
          <w:sz w:val="22"/>
          <w:szCs w:val="22"/>
        </w:rPr>
      </w:pPr>
      <w:r>
        <w:rPr>
          <w:color w:val="000000"/>
          <w:spacing w:val="0"/>
          <w:w w:val="100"/>
          <w:position w:val="0"/>
          <w:sz w:val="22"/>
          <w:szCs w:val="22"/>
        </w:rPr>
        <w:t>中兴财光华审会字</w:t>
      </w:r>
      <w:r>
        <w:rPr>
          <w:rFonts w:ascii="Arial Narrow" w:eastAsia="Arial Narrow" w:hAnsi="Arial Narrow" w:cs="Arial Narrow"/>
          <w:color w:val="000000"/>
          <w:spacing w:val="0"/>
          <w:w w:val="100"/>
          <w:position w:val="0"/>
          <w:sz w:val="24"/>
          <w:szCs w:val="24"/>
        </w:rPr>
        <w:t>（2022）</w:t>
      </w:r>
      <w:r>
        <w:rPr>
          <w:color w:val="000000"/>
          <w:spacing w:val="0"/>
          <w:w w:val="100"/>
          <w:position w:val="0"/>
          <w:sz w:val="22"/>
          <w:szCs w:val="22"/>
        </w:rPr>
        <w:t>第</w:t>
      </w:r>
      <w:r>
        <w:rPr>
          <w:rFonts w:ascii="Arial Narrow" w:eastAsia="Arial Narrow" w:hAnsi="Arial Narrow" w:cs="Arial Narrow"/>
          <w:color w:val="000000"/>
          <w:spacing w:val="0"/>
          <w:w w:val="100"/>
          <w:position w:val="0"/>
          <w:sz w:val="24"/>
          <w:szCs w:val="24"/>
        </w:rPr>
        <w:t>105012</w:t>
      </w:r>
      <w:r>
        <w:rPr>
          <w:color w:val="000000"/>
          <w:spacing w:val="0"/>
          <w:w w:val="100"/>
          <w:position w:val="0"/>
          <w:sz w:val="22"/>
          <w:szCs w:val="22"/>
        </w:rPr>
        <w:t>号</w:t>
      </w:r>
    </w:p>
    <w:p>
      <w:pPr>
        <w:pStyle w:val="Style17"/>
        <w:keepNext w:val="0"/>
        <w:keepLines w:val="0"/>
        <w:widowControl w:val="0"/>
        <w:shd w:val="clear" w:color="auto" w:fill="auto"/>
        <w:bidi w:val="0"/>
        <w:spacing w:before="0" w:after="0" w:line="472" w:lineRule="exact"/>
        <w:ind w:left="0" w:right="0" w:firstLine="0"/>
        <w:jc w:val="both"/>
        <w:rPr>
          <w:sz w:val="22"/>
          <w:szCs w:val="22"/>
        </w:rPr>
      </w:pPr>
      <w:r>
        <w:rPr>
          <w:color w:val="000000"/>
          <w:spacing w:val="0"/>
          <w:w w:val="100"/>
          <w:position w:val="0"/>
          <w:sz w:val="22"/>
          <w:szCs w:val="22"/>
        </w:rPr>
        <w:t>东旭蓝天新能源股份有限公司全体股东：</w:t>
      </w:r>
    </w:p>
    <w:p>
      <w:pPr>
        <w:pStyle w:val="Style17"/>
        <w:keepNext w:val="0"/>
        <w:keepLines w:val="0"/>
        <w:widowControl w:val="0"/>
        <w:shd w:val="clear" w:color="auto" w:fill="auto"/>
        <w:bidi w:val="0"/>
        <w:spacing w:before="0" w:after="0" w:line="472" w:lineRule="exact"/>
        <w:ind w:left="0" w:right="0" w:firstLine="440"/>
        <w:jc w:val="both"/>
        <w:rPr>
          <w:sz w:val="22"/>
          <w:szCs w:val="22"/>
        </w:rPr>
      </w:pPr>
      <w:bookmarkStart w:id="632" w:name="bookmark632"/>
      <w:r>
        <w:rPr>
          <w:b/>
          <w:bCs/>
          <w:color w:val="000000"/>
          <w:spacing w:val="0"/>
          <w:w w:val="100"/>
          <w:position w:val="0"/>
          <w:sz w:val="22"/>
          <w:szCs w:val="22"/>
        </w:rPr>
        <w:t>一</w:t>
      </w:r>
      <w:bookmarkEnd w:id="632"/>
      <w:r>
        <w:rPr>
          <w:b/>
          <w:bCs/>
          <w:color w:val="000000"/>
          <w:spacing w:val="0"/>
          <w:w w:val="100"/>
          <w:position w:val="0"/>
          <w:sz w:val="22"/>
          <w:szCs w:val="22"/>
        </w:rPr>
        <w:t>、保留意见</w:t>
      </w:r>
    </w:p>
    <w:p>
      <w:pPr>
        <w:pStyle w:val="Style17"/>
        <w:keepNext w:val="0"/>
        <w:keepLines w:val="0"/>
        <w:widowControl w:val="0"/>
        <w:shd w:val="clear" w:color="auto" w:fill="auto"/>
        <w:bidi w:val="0"/>
        <w:spacing w:before="0" w:after="0" w:line="470" w:lineRule="exact"/>
        <w:ind w:left="0" w:right="0" w:firstLine="460"/>
        <w:jc w:val="both"/>
        <w:rPr>
          <w:sz w:val="22"/>
          <w:szCs w:val="22"/>
        </w:rPr>
      </w:pPr>
      <w:r>
        <w:rPr>
          <w:color w:val="000000"/>
          <w:spacing w:val="0"/>
          <w:w w:val="100"/>
          <w:position w:val="0"/>
          <w:sz w:val="22"/>
          <w:szCs w:val="22"/>
        </w:rPr>
        <w:t>我们审计了东旭蓝天新能源股份有限公司（以下简称：东旭蓝天）财务报表，包括</w:t>
      </w:r>
      <w:r>
        <w:rPr>
          <w:rFonts w:ascii="Arial Narrow" w:eastAsia="Arial Narrow" w:hAnsi="Arial Narrow" w:cs="Arial Narrow"/>
          <w:color w:val="000000"/>
          <w:spacing w:val="0"/>
          <w:w w:val="100"/>
          <w:position w:val="0"/>
          <w:sz w:val="24"/>
          <w:szCs w:val="24"/>
        </w:rPr>
        <w:t xml:space="preserve">2021 </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日的合并及公司资产负债表，</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年度的合并及公司利润表、合并及公司现金 流量表、合并及公司股东权益变动表以及财务报表附注。</w:t>
      </w:r>
    </w:p>
    <w:p>
      <w:pPr>
        <w:pStyle w:val="Style17"/>
        <w:keepNext w:val="0"/>
        <w:keepLines w:val="0"/>
        <w:widowControl w:val="0"/>
        <w:shd w:val="clear" w:color="auto" w:fill="auto"/>
        <w:bidi w:val="0"/>
        <w:spacing w:before="0" w:after="0" w:line="466" w:lineRule="exact"/>
        <w:ind w:left="0" w:right="0" w:firstLine="460"/>
        <w:jc w:val="both"/>
        <w:rPr>
          <w:sz w:val="22"/>
          <w:szCs w:val="22"/>
        </w:rPr>
      </w:pPr>
      <w:r>
        <w:rPr>
          <w:color w:val="000000"/>
          <w:spacing w:val="0"/>
          <w:w w:val="100"/>
          <w:position w:val="0"/>
          <w:sz w:val="22"/>
          <w:szCs w:val="22"/>
        </w:rPr>
        <w:t>我们认为，除</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形成保留意见的基础</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部分所述事项产生的影响外，后附的财务报表在所有 重大方面按照企业会计准则的规定编制，公允反映了东旭蓝天</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日的合并及 公司财务状况以及</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年度的合并及公司经营成果和现金流量。</w:t>
      </w:r>
    </w:p>
    <w:p>
      <w:pPr>
        <w:pStyle w:val="Style17"/>
        <w:keepNext w:val="0"/>
        <w:keepLines w:val="0"/>
        <w:widowControl w:val="0"/>
        <w:shd w:val="clear" w:color="auto" w:fill="auto"/>
        <w:bidi w:val="0"/>
        <w:spacing w:before="0" w:after="0" w:line="472" w:lineRule="exact"/>
        <w:ind w:left="0" w:right="0" w:firstLine="460"/>
        <w:jc w:val="both"/>
        <w:rPr>
          <w:sz w:val="22"/>
          <w:szCs w:val="22"/>
        </w:rPr>
      </w:pPr>
      <w:bookmarkStart w:id="633" w:name="bookmark633"/>
      <w:r>
        <w:rPr>
          <w:b/>
          <w:bCs/>
          <w:color w:val="000000"/>
          <w:spacing w:val="0"/>
          <w:w w:val="100"/>
          <w:position w:val="0"/>
          <w:sz w:val="22"/>
          <w:szCs w:val="22"/>
        </w:rPr>
        <w:t>二</w:t>
      </w:r>
      <w:bookmarkEnd w:id="633"/>
      <w:r>
        <w:rPr>
          <w:b/>
          <w:bCs/>
          <w:color w:val="000000"/>
          <w:spacing w:val="0"/>
          <w:w w:val="100"/>
          <w:position w:val="0"/>
          <w:sz w:val="22"/>
          <w:szCs w:val="22"/>
        </w:rPr>
        <w:t>、形成保留意见的基础</w:t>
      </w:r>
    </w:p>
    <w:p>
      <w:pPr>
        <w:pStyle w:val="Style17"/>
        <w:keepNext w:val="0"/>
        <w:keepLines w:val="0"/>
        <w:widowControl w:val="0"/>
        <w:shd w:val="clear" w:color="auto" w:fill="auto"/>
        <w:tabs>
          <w:tab w:pos="1136" w:val="left"/>
        </w:tabs>
        <w:bidi w:val="0"/>
        <w:spacing w:before="0" w:after="0" w:line="474" w:lineRule="exact"/>
        <w:ind w:left="0" w:right="0" w:firstLine="460"/>
        <w:jc w:val="both"/>
        <w:rPr>
          <w:sz w:val="22"/>
          <w:szCs w:val="22"/>
        </w:rPr>
      </w:pPr>
      <w:bookmarkStart w:id="634" w:name="bookmark634"/>
      <w:r>
        <w:rPr>
          <w:color w:val="000000"/>
          <w:spacing w:val="0"/>
          <w:w w:val="100"/>
          <w:position w:val="0"/>
          <w:sz w:val="22"/>
          <w:szCs w:val="22"/>
        </w:rPr>
        <w:t>（</w:t>
      </w:r>
      <w:bookmarkEnd w:id="634"/>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w:t>
        <w:tab/>
        <w:t>如附注十一、</w:t>
      </w:r>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）所述，截至</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日，东旭蓝天存在借款违约、建设工 程等合同纠纷，相关诉讼金额达</w:t>
      </w:r>
      <w:r>
        <w:rPr>
          <w:rFonts w:ascii="Arial Narrow" w:eastAsia="Arial Narrow" w:hAnsi="Arial Narrow" w:cs="Arial Narrow"/>
          <w:color w:val="000000"/>
          <w:spacing w:val="0"/>
          <w:w w:val="100"/>
          <w:position w:val="0"/>
          <w:sz w:val="24"/>
          <w:szCs w:val="24"/>
        </w:rPr>
        <w:t>6</w:t>
      </w:r>
      <w:r>
        <w:rPr>
          <w:color w:val="000000"/>
          <w:spacing w:val="0"/>
          <w:w w:val="100"/>
          <w:position w:val="0"/>
          <w:sz w:val="22"/>
          <w:szCs w:val="22"/>
        </w:rPr>
        <w:t>亿元以上，上述诉讼尚处于等待开庭阶段或审理阶段。截至 审计报告签发日，我们未能获取充分、适当的审计证据以判断上述事项对财务报表产生的影 响。</w:t>
      </w:r>
    </w:p>
    <w:p>
      <w:pPr>
        <w:pStyle w:val="Style17"/>
        <w:keepNext w:val="0"/>
        <w:keepLines w:val="0"/>
        <w:widowControl w:val="0"/>
        <w:shd w:val="clear" w:color="auto" w:fill="auto"/>
        <w:bidi w:val="0"/>
        <w:spacing w:before="0" w:after="540" w:line="474" w:lineRule="exact"/>
        <w:ind w:left="0" w:right="0" w:firstLine="440"/>
        <w:jc w:val="both"/>
        <w:rPr>
          <w:sz w:val="22"/>
          <w:szCs w:val="22"/>
        </w:rPr>
      </w:pPr>
      <w:bookmarkStart w:id="635" w:name="bookmark635"/>
      <w:r>
        <w:rPr>
          <w:color w:val="000000"/>
          <w:spacing w:val="0"/>
          <w:w w:val="100"/>
          <w:position w:val="0"/>
          <w:sz w:val="22"/>
          <w:szCs w:val="22"/>
        </w:rPr>
        <w:t>（</w:t>
      </w:r>
      <w:bookmarkEnd w:id="635"/>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 如附注五、</w:t>
      </w:r>
      <w:r>
        <w:rPr>
          <w:rFonts w:ascii="Arial Narrow" w:eastAsia="Arial Narrow" w:hAnsi="Arial Narrow" w:cs="Arial Narrow"/>
          <w:color w:val="000000"/>
          <w:spacing w:val="0"/>
          <w:w w:val="100"/>
          <w:position w:val="0"/>
          <w:sz w:val="24"/>
          <w:szCs w:val="24"/>
        </w:rPr>
        <w:t>5</w:t>
      </w:r>
      <w:r>
        <w:rPr>
          <w:color w:val="000000"/>
          <w:spacing w:val="0"/>
          <w:w w:val="100"/>
          <w:position w:val="0"/>
          <w:sz w:val="22"/>
          <w:szCs w:val="22"/>
        </w:rPr>
        <w:t>和附注五、</w:t>
      </w:r>
      <w:r>
        <w:rPr>
          <w:rFonts w:ascii="Arial Narrow" w:eastAsia="Arial Narrow" w:hAnsi="Arial Narrow" w:cs="Arial Narrow"/>
          <w:color w:val="000000"/>
          <w:spacing w:val="0"/>
          <w:w w:val="100"/>
          <w:position w:val="0"/>
          <w:sz w:val="24"/>
          <w:szCs w:val="24"/>
        </w:rPr>
        <w:t>24</w:t>
      </w:r>
      <w:r>
        <w:rPr>
          <w:color w:val="000000"/>
          <w:spacing w:val="0"/>
          <w:w w:val="100"/>
          <w:position w:val="0"/>
          <w:sz w:val="22"/>
          <w:szCs w:val="22"/>
        </w:rPr>
        <w:t>所述，截至</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 xml:space="preserve">日，东旭蓝天预付款项和其他非 </w:t>
      </w:r>
      <w:r>
        <w:rPr>
          <w:color w:val="000000"/>
          <w:spacing w:val="0"/>
          <w:w w:val="100"/>
          <w:position w:val="0"/>
          <w:sz w:val="22"/>
          <w:szCs w:val="22"/>
        </w:rPr>
        <w:t>流动资产共计</w:t>
      </w:r>
      <w:r>
        <w:rPr>
          <w:rFonts w:ascii="Arial Narrow" w:eastAsia="Arial Narrow" w:hAnsi="Arial Narrow" w:cs="Arial Narrow"/>
          <w:color w:val="000000"/>
          <w:spacing w:val="0"/>
          <w:w w:val="100"/>
          <w:position w:val="0"/>
          <w:sz w:val="24"/>
          <w:szCs w:val="24"/>
        </w:rPr>
        <w:t>72.68</w:t>
      </w:r>
      <w:r>
        <w:rPr>
          <w:color w:val="000000"/>
          <w:spacing w:val="0"/>
          <w:w w:val="100"/>
          <w:position w:val="0"/>
          <w:sz w:val="22"/>
          <w:szCs w:val="22"/>
        </w:rPr>
        <w:t>亿元，我们检查了相关合同，执行了函证、走访等相关审计程序，截至审 计报告签发日，我们未能获取充分、适当的审计证据以判断预付类款项相关合同能否按约定 履约，相关合同标的或款项能否安全收回存在不确定性。</w:t>
      </w:r>
    </w:p>
    <w:p>
      <w:pPr>
        <w:pStyle w:val="Style17"/>
        <w:keepNext w:val="0"/>
        <w:keepLines w:val="0"/>
        <w:widowControl w:val="0"/>
        <w:shd w:val="clear" w:color="auto" w:fill="auto"/>
        <w:tabs>
          <w:tab w:pos="998" w:val="left"/>
        </w:tabs>
        <w:bidi w:val="0"/>
        <w:spacing w:before="0" w:after="0" w:line="474" w:lineRule="exact"/>
        <w:ind w:left="0" w:right="0" w:firstLine="460"/>
        <w:jc w:val="both"/>
        <w:rPr>
          <w:sz w:val="22"/>
          <w:szCs w:val="22"/>
        </w:rPr>
      </w:pPr>
      <w:bookmarkStart w:id="636" w:name="bookmark636"/>
      <w:r>
        <w:rPr>
          <w:b/>
          <w:bCs/>
          <w:color w:val="000000"/>
          <w:spacing w:val="0"/>
          <w:w w:val="100"/>
          <w:position w:val="0"/>
          <w:sz w:val="22"/>
          <w:szCs w:val="22"/>
        </w:rPr>
        <w:t>三</w:t>
      </w:r>
      <w:bookmarkEnd w:id="636"/>
      <w:r>
        <w:rPr>
          <w:b/>
          <w:bCs/>
          <w:color w:val="000000"/>
          <w:spacing w:val="0"/>
          <w:w w:val="100"/>
          <w:position w:val="0"/>
          <w:sz w:val="22"/>
          <w:szCs w:val="22"/>
        </w:rPr>
        <w:t>、</w:t>
        <w:tab/>
        <w:t>强调事项</w:t>
      </w:r>
    </w:p>
    <w:p>
      <w:pPr>
        <w:pStyle w:val="Style17"/>
        <w:keepNext w:val="0"/>
        <w:keepLines w:val="0"/>
        <w:widowControl w:val="0"/>
        <w:shd w:val="clear" w:color="auto" w:fill="auto"/>
        <w:tabs>
          <w:tab w:pos="1121" w:val="left"/>
        </w:tabs>
        <w:bidi w:val="0"/>
        <w:spacing w:before="0" w:after="0" w:line="474" w:lineRule="exact"/>
        <w:ind w:left="0" w:right="0" w:firstLine="480"/>
        <w:jc w:val="both"/>
        <w:rPr>
          <w:sz w:val="22"/>
          <w:szCs w:val="22"/>
        </w:rPr>
      </w:pPr>
      <w:bookmarkStart w:id="637" w:name="bookmark637"/>
      <w:r>
        <w:rPr>
          <w:color w:val="000000"/>
          <w:spacing w:val="0"/>
          <w:w w:val="100"/>
          <w:position w:val="0"/>
          <w:sz w:val="22"/>
          <w:szCs w:val="22"/>
        </w:rPr>
        <w:t>（</w:t>
      </w:r>
      <w:bookmarkEnd w:id="637"/>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w:t>
        <w:tab/>
        <w:t>如附注十三、</w:t>
      </w:r>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）所述，截至</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日，东旭蓝天在东旭集团财务有限公 司存款余额为</w:t>
      </w:r>
      <w:r>
        <w:rPr>
          <w:rFonts w:ascii="Arial Narrow" w:eastAsia="Arial Narrow" w:hAnsi="Arial Narrow" w:cs="Arial Narrow"/>
          <w:color w:val="000000"/>
          <w:spacing w:val="0"/>
          <w:w w:val="100"/>
          <w:position w:val="0"/>
          <w:sz w:val="24"/>
          <w:szCs w:val="24"/>
        </w:rPr>
        <w:t>28.9</w:t>
      </w:r>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亿元。由于东旭集团财务有限公司资金流动性问题，导致东旭蓝天在东旭 集团财务有限公司存款支取受限。东旭蓝天在东旭集团财务有限公司存款的可回收性存在不 确定性。</w:t>
      </w:r>
    </w:p>
    <w:p>
      <w:pPr>
        <w:pStyle w:val="Style17"/>
        <w:keepNext w:val="0"/>
        <w:keepLines w:val="0"/>
        <w:widowControl w:val="0"/>
        <w:shd w:val="clear" w:color="auto" w:fill="auto"/>
        <w:tabs>
          <w:tab w:pos="1010" w:val="left"/>
        </w:tabs>
        <w:bidi w:val="0"/>
        <w:spacing w:before="0" w:after="0" w:line="473" w:lineRule="exact"/>
        <w:ind w:left="0" w:right="0" w:firstLine="480"/>
        <w:jc w:val="both"/>
        <w:rPr>
          <w:sz w:val="22"/>
          <w:szCs w:val="22"/>
        </w:rPr>
      </w:pPr>
      <w:bookmarkStart w:id="638" w:name="bookmark638"/>
      <w:r>
        <w:rPr>
          <w:color w:val="000000"/>
          <w:spacing w:val="0"/>
          <w:w w:val="100"/>
          <w:position w:val="0"/>
          <w:sz w:val="22"/>
          <w:szCs w:val="22"/>
        </w:rPr>
        <w:t>（</w:t>
      </w:r>
      <w:bookmarkEnd w:id="638"/>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w:t>
        <w:tab/>
        <w:t>如附注十一、</w:t>
      </w:r>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）所述，</w:t>
      </w:r>
      <w:r>
        <w:rPr>
          <w:rFonts w:ascii="Arial Narrow" w:eastAsia="Arial Narrow" w:hAnsi="Arial Narrow" w:cs="Arial Narrow"/>
          <w:color w:val="000000"/>
          <w:spacing w:val="0"/>
          <w:w w:val="100"/>
          <w:position w:val="0"/>
          <w:sz w:val="24"/>
          <w:szCs w:val="24"/>
        </w:rPr>
        <w:t>2019</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10</w:t>
      </w:r>
      <w:r>
        <w:rPr>
          <w:color w:val="000000"/>
          <w:spacing w:val="0"/>
          <w:w w:val="100"/>
          <w:position w:val="0"/>
          <w:sz w:val="22"/>
          <w:szCs w:val="22"/>
        </w:rPr>
        <w:t>月，东旭蓝天子公司东旭新能源投资有限公司 （以下简称：新能源投资）与兴业银行股份有限公司北京海淀支行（以下简称：兴业银行）</w:t>
      </w:r>
    </w:p>
    <w:p>
      <w:pPr>
        <w:pStyle w:val="Style17"/>
        <w:keepNext w:val="0"/>
        <w:keepLines w:val="0"/>
        <w:widowControl w:val="0"/>
        <w:shd w:val="clear" w:color="auto" w:fill="auto"/>
        <w:bidi w:val="0"/>
        <w:spacing w:before="0" w:after="0" w:line="473" w:lineRule="exact"/>
        <w:ind w:left="0" w:right="0" w:firstLine="0"/>
        <w:jc w:val="both"/>
        <w:rPr>
          <w:sz w:val="22"/>
          <w:szCs w:val="22"/>
        </w:rPr>
      </w:pPr>
      <w:r>
        <w:rPr>
          <w:color w:val="000000"/>
          <w:spacing w:val="0"/>
          <w:w w:val="100"/>
          <w:position w:val="0"/>
          <w:sz w:val="22"/>
          <w:szCs w:val="22"/>
        </w:rPr>
        <w:t>签订《流动资金借款合同》，兴业银行向新能源投资发放了贷款人民币</w:t>
      </w:r>
      <w:r>
        <w:rPr>
          <w:rFonts w:ascii="Arial Narrow" w:eastAsia="Arial Narrow" w:hAnsi="Arial Narrow" w:cs="Arial Narrow"/>
          <w:color w:val="000000"/>
          <w:spacing w:val="0"/>
          <w:w w:val="100"/>
          <w:position w:val="0"/>
          <w:sz w:val="24"/>
          <w:szCs w:val="24"/>
        </w:rPr>
        <w:t>8</w:t>
      </w:r>
      <w:r>
        <w:rPr>
          <w:color w:val="000000"/>
          <w:spacing w:val="0"/>
          <w:w w:val="100"/>
          <w:position w:val="0"/>
          <w:sz w:val="22"/>
          <w:szCs w:val="22"/>
        </w:rPr>
        <w:t>亿元整，期限自</w:t>
      </w:r>
      <w:r>
        <w:rPr>
          <w:rFonts w:ascii="Arial Narrow" w:eastAsia="Arial Narrow" w:hAnsi="Arial Narrow" w:cs="Arial Narrow"/>
          <w:color w:val="000000"/>
          <w:spacing w:val="0"/>
          <w:w w:val="100"/>
          <w:position w:val="0"/>
          <w:sz w:val="24"/>
          <w:szCs w:val="24"/>
        </w:rPr>
        <w:t xml:space="preserve">2019 </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10</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14</w:t>
      </w:r>
      <w:r>
        <w:rPr>
          <w:color w:val="000000"/>
          <w:spacing w:val="0"/>
          <w:w w:val="100"/>
          <w:position w:val="0"/>
          <w:sz w:val="22"/>
          <w:szCs w:val="22"/>
        </w:rPr>
        <w:t>日至</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10</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13</w:t>
      </w:r>
      <w:r>
        <w:rPr>
          <w:color w:val="000000"/>
          <w:spacing w:val="0"/>
          <w:w w:val="100"/>
          <w:position w:val="0"/>
          <w:sz w:val="22"/>
          <w:szCs w:val="22"/>
        </w:rPr>
        <w:t>日止（现已展期至</w:t>
      </w:r>
      <w:r>
        <w:rPr>
          <w:rFonts w:ascii="Arial Narrow" w:eastAsia="Arial Narrow" w:hAnsi="Arial Narrow" w:cs="Arial Narrow"/>
          <w:color w:val="000000"/>
          <w:spacing w:val="0"/>
          <w:w w:val="100"/>
          <w:position w:val="0"/>
          <w:sz w:val="24"/>
          <w:szCs w:val="24"/>
        </w:rPr>
        <w:t>2022</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10</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9</w:t>
      </w:r>
      <w:r>
        <w:rPr>
          <w:color w:val="000000"/>
          <w:spacing w:val="0"/>
          <w:w w:val="100"/>
          <w:position w:val="0"/>
          <w:sz w:val="22"/>
          <w:szCs w:val="22"/>
        </w:rPr>
        <w:t>日，新能源投资与兴 业银行、昆明东旭启明投资开发有限公司（以下简称：昆明启明）签订《贷款债务承担协议》， 追加昆明启明为上述贷款的债务承担人承担债务。虽然新能源投资向昆明启明转移了对兴业 银行的</w:t>
      </w:r>
      <w:r>
        <w:rPr>
          <w:rFonts w:ascii="Arial Narrow" w:eastAsia="Arial Narrow" w:hAnsi="Arial Narrow" w:cs="Arial Narrow"/>
          <w:color w:val="000000"/>
          <w:spacing w:val="0"/>
          <w:w w:val="100"/>
          <w:position w:val="0"/>
          <w:sz w:val="24"/>
          <w:szCs w:val="24"/>
        </w:rPr>
        <w:t>8</w:t>
      </w:r>
      <w:r>
        <w:rPr>
          <w:color w:val="000000"/>
          <w:spacing w:val="0"/>
          <w:w w:val="100"/>
          <w:position w:val="0"/>
          <w:sz w:val="22"/>
          <w:szCs w:val="22"/>
        </w:rPr>
        <w:t>亿元债务，但相关协议并不能免除新能源投资对该笔借款的责任，新能源投资仍对上 述贷款负连带清偿责任。</w:t>
      </w:r>
    </w:p>
    <w:p>
      <w:pPr>
        <w:pStyle w:val="Style17"/>
        <w:keepNext w:val="0"/>
        <w:keepLines w:val="0"/>
        <w:widowControl w:val="0"/>
        <w:shd w:val="clear" w:color="auto" w:fill="auto"/>
        <w:tabs>
          <w:tab w:pos="1116" w:val="left"/>
        </w:tabs>
        <w:bidi w:val="0"/>
        <w:spacing w:before="0" w:after="0" w:line="473" w:lineRule="exact"/>
        <w:ind w:left="0" w:right="0" w:firstLine="480"/>
        <w:jc w:val="both"/>
        <w:rPr>
          <w:sz w:val="22"/>
          <w:szCs w:val="22"/>
        </w:rPr>
      </w:pPr>
      <w:bookmarkStart w:id="639" w:name="bookmark639"/>
      <w:r>
        <w:rPr>
          <w:color w:val="000000"/>
          <w:spacing w:val="0"/>
          <w:w w:val="100"/>
          <w:position w:val="0"/>
          <w:sz w:val="22"/>
          <w:szCs w:val="22"/>
        </w:rPr>
        <w:t>（</w:t>
      </w:r>
      <w:bookmarkEnd w:id="639"/>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w:t>
        <w:tab/>
        <w:t>如附注十三、</w:t>
      </w:r>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）所述，截至</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日，东旭蓝天货币资金账面余额</w:t>
      </w:r>
      <w:r>
        <w:rPr>
          <w:rFonts w:ascii="Arial Narrow" w:eastAsia="Arial Narrow" w:hAnsi="Arial Narrow" w:cs="Arial Narrow"/>
          <w:color w:val="000000"/>
          <w:spacing w:val="0"/>
          <w:w w:val="100"/>
          <w:position w:val="0"/>
          <w:sz w:val="24"/>
          <w:szCs w:val="24"/>
        </w:rPr>
        <w:t xml:space="preserve">33.86 </w:t>
      </w:r>
      <w:r>
        <w:rPr>
          <w:color w:val="000000"/>
          <w:spacing w:val="0"/>
          <w:w w:val="100"/>
          <w:position w:val="0"/>
          <w:sz w:val="22"/>
          <w:szCs w:val="22"/>
        </w:rPr>
        <w:t>亿元，其中受限资金</w:t>
      </w:r>
      <w:r>
        <w:rPr>
          <w:rFonts w:ascii="Arial Narrow" w:eastAsia="Arial Narrow" w:hAnsi="Arial Narrow" w:cs="Arial Narrow"/>
          <w:color w:val="000000"/>
          <w:spacing w:val="0"/>
          <w:w w:val="100"/>
          <w:position w:val="0"/>
          <w:sz w:val="24"/>
          <w:szCs w:val="24"/>
        </w:rPr>
        <w:t>29.87</w:t>
      </w:r>
      <w:r>
        <w:rPr>
          <w:color w:val="000000"/>
          <w:spacing w:val="0"/>
          <w:w w:val="100"/>
          <w:position w:val="0"/>
          <w:sz w:val="22"/>
          <w:szCs w:val="22"/>
        </w:rPr>
        <w:t>亿元；负债中列示的金融有息负债账面余额</w:t>
      </w:r>
      <w:r>
        <w:rPr>
          <w:rFonts w:ascii="Arial Narrow" w:eastAsia="Arial Narrow" w:hAnsi="Arial Narrow" w:cs="Arial Narrow"/>
          <w:color w:val="000000"/>
          <w:spacing w:val="0"/>
          <w:w w:val="100"/>
          <w:position w:val="0"/>
          <w:sz w:val="24"/>
          <w:szCs w:val="24"/>
        </w:rPr>
        <w:t>91.38</w:t>
      </w:r>
      <w:r>
        <w:rPr>
          <w:color w:val="000000"/>
          <w:spacing w:val="0"/>
          <w:w w:val="100"/>
          <w:position w:val="0"/>
          <w:sz w:val="22"/>
          <w:szCs w:val="22"/>
        </w:rPr>
        <w:t>亿元，其中未能如 期偿还债务本息合计</w:t>
      </w:r>
      <w:r>
        <w:rPr>
          <w:rFonts w:ascii="Arial Narrow" w:eastAsia="Arial Narrow" w:hAnsi="Arial Narrow" w:cs="Arial Narrow"/>
          <w:color w:val="000000"/>
          <w:spacing w:val="0"/>
          <w:w w:val="100"/>
          <w:position w:val="0"/>
          <w:sz w:val="24"/>
          <w:szCs w:val="24"/>
        </w:rPr>
        <w:t>10.43</w:t>
      </w:r>
      <w:r>
        <w:rPr>
          <w:color w:val="000000"/>
          <w:spacing w:val="0"/>
          <w:w w:val="100"/>
          <w:position w:val="0"/>
          <w:sz w:val="22"/>
          <w:szCs w:val="22"/>
        </w:rPr>
        <w:t>亿元。截至财务报告批准报出日，新增未能如期偿还债务</w:t>
      </w:r>
      <w:r>
        <w:rPr>
          <w:rFonts w:ascii="Arial Narrow" w:eastAsia="Arial Narrow" w:hAnsi="Arial Narrow" w:cs="Arial Narrow"/>
          <w:color w:val="000000"/>
          <w:spacing w:val="0"/>
          <w:w w:val="100"/>
          <w:position w:val="0"/>
          <w:sz w:val="24"/>
          <w:szCs w:val="24"/>
        </w:rPr>
        <w:t>8</w:t>
      </w:r>
      <w:r>
        <w:rPr>
          <w:color w:val="000000"/>
          <w:spacing w:val="0"/>
          <w:w w:val="100"/>
          <w:position w:val="0"/>
          <w:sz w:val="22"/>
          <w:szCs w:val="22"/>
        </w:rPr>
        <w:t>亿元，目 前东旭蓝天正在与金融机构沟通签订展期协议。以上情况表明东旭蓝天偿还到期债务的能力 具有不确定性。</w:t>
      </w:r>
    </w:p>
    <w:p>
      <w:pPr>
        <w:pStyle w:val="Style17"/>
        <w:keepNext w:val="0"/>
        <w:keepLines w:val="0"/>
        <w:widowControl w:val="0"/>
        <w:shd w:val="clear" w:color="auto" w:fill="auto"/>
        <w:bidi w:val="0"/>
        <w:spacing w:before="0" w:after="0" w:line="473" w:lineRule="exact"/>
        <w:ind w:left="0" w:right="0" w:firstLine="480"/>
        <w:jc w:val="both"/>
        <w:rPr>
          <w:sz w:val="22"/>
          <w:szCs w:val="22"/>
        </w:rPr>
      </w:pPr>
      <w:r>
        <w:rPr>
          <w:color w:val="000000"/>
          <w:spacing w:val="0"/>
          <w:w w:val="100"/>
          <w:position w:val="0"/>
          <w:sz w:val="22"/>
          <w:szCs w:val="22"/>
        </w:rPr>
        <w:t>以上内容不影响已发表的审计意见。</w:t>
      </w:r>
    </w:p>
    <w:p>
      <w:pPr>
        <w:pStyle w:val="Style17"/>
        <w:keepNext w:val="0"/>
        <w:keepLines w:val="0"/>
        <w:widowControl w:val="0"/>
        <w:shd w:val="clear" w:color="auto" w:fill="auto"/>
        <w:tabs>
          <w:tab w:pos="998" w:val="left"/>
        </w:tabs>
        <w:bidi w:val="0"/>
        <w:spacing w:before="0" w:after="0" w:line="473" w:lineRule="exact"/>
        <w:ind w:left="0" w:right="0" w:firstLine="460"/>
        <w:jc w:val="both"/>
        <w:rPr>
          <w:sz w:val="22"/>
          <w:szCs w:val="22"/>
        </w:rPr>
      </w:pPr>
      <w:bookmarkStart w:id="640" w:name="bookmark640"/>
      <w:r>
        <w:rPr>
          <w:b/>
          <w:bCs/>
          <w:color w:val="000000"/>
          <w:spacing w:val="0"/>
          <w:w w:val="100"/>
          <w:position w:val="0"/>
          <w:sz w:val="22"/>
          <w:szCs w:val="22"/>
        </w:rPr>
        <w:t>四</w:t>
      </w:r>
      <w:bookmarkEnd w:id="640"/>
      <w:r>
        <w:rPr>
          <w:b/>
          <w:bCs/>
          <w:color w:val="000000"/>
          <w:spacing w:val="0"/>
          <w:w w:val="100"/>
          <w:position w:val="0"/>
          <w:sz w:val="22"/>
          <w:szCs w:val="22"/>
        </w:rPr>
        <w:t>、</w:t>
        <w:tab/>
        <w:t>其他信息</w:t>
      </w:r>
    </w:p>
    <w:p>
      <w:pPr>
        <w:pStyle w:val="Style17"/>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东旭蓝天管理层</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以下简称：管理层</w:t>
      </w:r>
      <w:r>
        <w:rPr>
          <w:rFonts w:ascii="Arial Narrow" w:eastAsia="Arial Narrow" w:hAnsi="Arial Narrow" w:cs="Arial Narrow"/>
          <w:color w:val="000000"/>
          <w:spacing w:val="0"/>
          <w:w w:val="100"/>
          <w:position w:val="0"/>
          <w:sz w:val="24"/>
          <w:szCs w:val="24"/>
        </w:rPr>
        <w:t>）</w:t>
      </w:r>
      <w:r>
        <w:rPr>
          <w:color w:val="000000"/>
          <w:spacing w:val="0"/>
          <w:w w:val="100"/>
          <w:position w:val="0"/>
          <w:sz w:val="22"/>
          <w:szCs w:val="22"/>
        </w:rPr>
        <w:t>对其他信息负责。其他信息包括东旭蓝天</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年年 度报告中涵盖的信息，但不包括财务报表和我们的审计报告。</w:t>
      </w:r>
    </w:p>
    <w:p>
      <w:pPr>
        <w:pStyle w:val="Style17"/>
        <w:keepNext w:val="0"/>
        <w:keepLines w:val="0"/>
        <w:widowControl w:val="0"/>
        <w:shd w:val="clear" w:color="auto" w:fill="auto"/>
        <w:bidi w:val="0"/>
        <w:spacing w:before="0" w:after="0" w:line="473" w:lineRule="exact"/>
        <w:ind w:left="0" w:right="0" w:firstLine="480"/>
        <w:jc w:val="both"/>
        <w:rPr>
          <w:sz w:val="22"/>
          <w:szCs w:val="22"/>
        </w:rPr>
      </w:pPr>
      <w:r>
        <w:rPr>
          <w:color w:val="000000"/>
          <w:spacing w:val="0"/>
          <w:w w:val="100"/>
          <w:position w:val="0"/>
          <w:sz w:val="22"/>
          <w:szCs w:val="22"/>
        </w:rPr>
        <w:t xml:space="preserve">我们对财务报表发表的审计意见不涵盖其他信息，我们也不对其他信息发表任何形式的 </w:t>
      </w:r>
      <w:r>
        <w:rPr>
          <w:color w:val="000000"/>
          <w:spacing w:val="0"/>
          <w:w w:val="100"/>
          <w:position w:val="0"/>
          <w:sz w:val="22"/>
          <w:szCs w:val="22"/>
        </w:rPr>
        <w:t>鉴证结论。</w:t>
      </w:r>
    </w:p>
    <w:p>
      <w:pPr>
        <w:pStyle w:val="Style17"/>
        <w:keepNext w:val="0"/>
        <w:keepLines w:val="0"/>
        <w:widowControl w:val="0"/>
        <w:shd w:val="clear" w:color="auto" w:fill="auto"/>
        <w:bidi w:val="0"/>
        <w:spacing w:before="0" w:after="40" w:line="470" w:lineRule="exact"/>
        <w:ind w:left="0" w:right="0" w:firstLine="460"/>
        <w:jc w:val="both"/>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17"/>
        <w:keepNext w:val="0"/>
        <w:keepLines w:val="0"/>
        <w:widowControl w:val="0"/>
        <w:shd w:val="clear" w:color="auto" w:fill="auto"/>
        <w:bidi w:val="0"/>
        <w:spacing w:before="0" w:after="40" w:line="463" w:lineRule="exact"/>
        <w:ind w:left="0" w:right="0" w:firstLine="460"/>
        <w:jc w:val="both"/>
        <w:rPr>
          <w:sz w:val="22"/>
          <w:szCs w:val="22"/>
        </w:rPr>
      </w:pPr>
      <w:r>
        <w:rPr>
          <w:color w:val="000000"/>
          <w:spacing w:val="0"/>
          <w:w w:val="100"/>
          <w:position w:val="0"/>
          <w:sz w:val="22"/>
          <w:szCs w:val="22"/>
        </w:rPr>
        <w:t>基于我们已执行的工作，如果我们确定其他信息存在重大错报，我们应当报告该事实。 如上述“形成保留意见的基础”部分所述，我们无法就上述保留事项获取充分适当的审计证 据，因此我们无法确定与这些事项相关的其他信息是否存在重大错报。</w:t>
      </w:r>
    </w:p>
    <w:p>
      <w:pPr>
        <w:pStyle w:val="Style17"/>
        <w:keepNext w:val="0"/>
        <w:keepLines w:val="0"/>
        <w:widowControl w:val="0"/>
        <w:shd w:val="clear" w:color="auto" w:fill="auto"/>
        <w:bidi w:val="0"/>
        <w:spacing w:before="0" w:after="40" w:line="469" w:lineRule="exact"/>
        <w:ind w:left="0" w:right="0" w:firstLine="420"/>
        <w:jc w:val="both"/>
        <w:rPr>
          <w:sz w:val="22"/>
          <w:szCs w:val="22"/>
        </w:rPr>
      </w:pPr>
      <w:bookmarkStart w:id="641" w:name="bookmark641"/>
      <w:r>
        <w:rPr>
          <w:b/>
          <w:bCs/>
          <w:color w:val="000000"/>
          <w:spacing w:val="0"/>
          <w:w w:val="100"/>
          <w:position w:val="0"/>
          <w:sz w:val="22"/>
          <w:szCs w:val="22"/>
        </w:rPr>
        <w:t>五</w:t>
      </w:r>
      <w:bookmarkEnd w:id="641"/>
      <w:r>
        <w:rPr>
          <w:b/>
          <w:bCs/>
          <w:color w:val="000000"/>
          <w:spacing w:val="0"/>
          <w:w w:val="100"/>
          <w:position w:val="0"/>
          <w:sz w:val="22"/>
          <w:szCs w:val="22"/>
        </w:rPr>
        <w:t>、关键审计事项</w:t>
      </w:r>
    </w:p>
    <w:p>
      <w:pPr>
        <w:pStyle w:val="Style17"/>
        <w:keepNext w:val="0"/>
        <w:keepLines w:val="0"/>
        <w:widowControl w:val="0"/>
        <w:shd w:val="clear" w:color="auto" w:fill="auto"/>
        <w:bidi w:val="0"/>
        <w:spacing w:before="0" w:after="40" w:line="467" w:lineRule="exact"/>
        <w:ind w:left="0" w:right="0" w:firstLine="46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见。除“形成保留意见的基础”部分所述事项外，我们确定下列事项是需要在审计报告中沟 通的关键审计事项。</w:t>
      </w:r>
    </w:p>
    <w:p>
      <w:pPr>
        <w:pStyle w:val="Style17"/>
        <w:keepNext w:val="0"/>
        <w:keepLines w:val="0"/>
        <w:widowControl w:val="0"/>
        <w:shd w:val="clear" w:color="auto" w:fill="auto"/>
        <w:bidi w:val="0"/>
        <w:spacing w:before="0" w:after="240" w:line="469" w:lineRule="exact"/>
        <w:ind w:left="0" w:right="0" w:firstLine="420"/>
        <w:jc w:val="both"/>
        <w:rPr>
          <w:sz w:val="22"/>
          <w:szCs w:val="22"/>
        </w:rPr>
      </w:pPr>
      <w:r>
        <w:rPr>
          <w:b/>
          <w:bCs/>
          <w:color w:val="000000"/>
          <w:spacing w:val="0"/>
          <w:w w:val="100"/>
          <w:position w:val="0"/>
          <w:sz w:val="22"/>
          <w:szCs w:val="22"/>
        </w:rPr>
        <w:t>（一）收入确认</w:t>
      </w:r>
    </w:p>
    <w:p>
      <w:pPr>
        <w:pStyle w:val="Style17"/>
        <w:keepNext w:val="0"/>
        <w:keepLines w:val="0"/>
        <w:widowControl w:val="0"/>
        <w:shd w:val="clear" w:color="auto" w:fill="auto"/>
        <w:bidi w:val="0"/>
        <w:spacing w:before="0" w:after="0" w:line="408" w:lineRule="auto"/>
        <w:ind w:left="0" w:right="0" w:firstLine="420"/>
        <w:jc w:val="both"/>
        <w:rPr>
          <w:sz w:val="22"/>
          <w:szCs w:val="22"/>
        </w:rPr>
      </w:pPr>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事项描述</w:t>
      </w:r>
    </w:p>
    <w:p>
      <w:pPr>
        <w:pStyle w:val="Style17"/>
        <w:keepNext w:val="0"/>
        <w:keepLines w:val="0"/>
        <w:widowControl w:val="0"/>
        <w:shd w:val="clear" w:color="auto" w:fill="auto"/>
        <w:bidi w:val="0"/>
        <w:spacing w:before="0" w:after="40" w:line="469" w:lineRule="exact"/>
        <w:ind w:left="0" w:right="0" w:firstLine="420"/>
        <w:jc w:val="both"/>
        <w:rPr>
          <w:sz w:val="22"/>
          <w:szCs w:val="22"/>
        </w:rPr>
      </w:pPr>
      <w:r>
        <w:rPr>
          <w:color w:val="000000"/>
          <w:spacing w:val="0"/>
          <w:w w:val="100"/>
          <w:position w:val="0"/>
          <w:sz w:val="22"/>
          <w:szCs w:val="22"/>
        </w:rPr>
        <w:t>相关信息披露详见财务报表附注三、</w:t>
      </w:r>
      <w:r>
        <w:rPr>
          <w:rFonts w:ascii="Arial Narrow" w:eastAsia="Arial Narrow" w:hAnsi="Arial Narrow" w:cs="Arial Narrow"/>
          <w:color w:val="000000"/>
          <w:spacing w:val="0"/>
          <w:w w:val="100"/>
          <w:position w:val="0"/>
          <w:sz w:val="24"/>
          <w:szCs w:val="24"/>
        </w:rPr>
        <w:t>28</w:t>
      </w:r>
      <w:r>
        <w:rPr>
          <w:color w:val="000000"/>
          <w:spacing w:val="0"/>
          <w:w w:val="100"/>
          <w:position w:val="0"/>
          <w:sz w:val="22"/>
          <w:szCs w:val="22"/>
        </w:rPr>
        <w:t>及附注五、</w:t>
      </w:r>
      <w:r>
        <w:rPr>
          <w:rFonts w:ascii="Arial Narrow" w:eastAsia="Arial Narrow" w:hAnsi="Arial Narrow" w:cs="Arial Narrow"/>
          <w:color w:val="000000"/>
          <w:spacing w:val="0"/>
          <w:w w:val="100"/>
          <w:position w:val="0"/>
          <w:sz w:val="24"/>
          <w:szCs w:val="24"/>
        </w:rPr>
        <w:t>43</w:t>
      </w:r>
      <w:r>
        <w:rPr>
          <w:color w:val="000000"/>
          <w:spacing w:val="0"/>
          <w:w w:val="100"/>
          <w:position w:val="0"/>
          <w:sz w:val="22"/>
          <w:szCs w:val="22"/>
        </w:rPr>
        <w:t>。</w:t>
      </w:r>
    </w:p>
    <w:p>
      <w:pPr>
        <w:pStyle w:val="Style17"/>
        <w:keepNext w:val="0"/>
        <w:keepLines w:val="0"/>
        <w:widowControl w:val="0"/>
        <w:shd w:val="clear" w:color="auto" w:fill="auto"/>
        <w:bidi w:val="0"/>
        <w:spacing w:before="0" w:after="40" w:line="469" w:lineRule="exact"/>
        <w:ind w:left="0" w:right="0" w:firstLine="460"/>
        <w:jc w:val="both"/>
        <w:rPr>
          <w:sz w:val="22"/>
          <w:szCs w:val="22"/>
        </w:rPr>
      </w:pPr>
      <w:r>
        <w:rPr>
          <w:color w:val="000000"/>
          <w:spacing w:val="0"/>
          <w:w w:val="100"/>
          <w:position w:val="0"/>
          <w:sz w:val="22"/>
          <w:szCs w:val="22"/>
        </w:rPr>
        <w:t>东旭蓝天</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年度确认的主营业务收入</w:t>
      </w:r>
      <w:r>
        <w:rPr>
          <w:rFonts w:ascii="Arial Narrow" w:eastAsia="Arial Narrow" w:hAnsi="Arial Narrow" w:cs="Arial Narrow"/>
          <w:color w:val="000000"/>
          <w:spacing w:val="0"/>
          <w:w w:val="100"/>
          <w:position w:val="0"/>
          <w:sz w:val="24"/>
          <w:szCs w:val="24"/>
        </w:rPr>
        <w:t>38.76</w:t>
      </w:r>
      <w:r>
        <w:rPr>
          <w:color w:val="000000"/>
          <w:spacing w:val="0"/>
          <w:w w:val="100"/>
          <w:position w:val="0"/>
          <w:sz w:val="22"/>
          <w:szCs w:val="22"/>
        </w:rPr>
        <w:t>亿元，其中：新能源确认的主营业务收入 为人民币</w:t>
      </w:r>
      <w:r>
        <w:rPr>
          <w:rFonts w:ascii="Arial Narrow" w:eastAsia="Arial Narrow" w:hAnsi="Arial Narrow" w:cs="Arial Narrow"/>
          <w:color w:val="000000"/>
          <w:spacing w:val="0"/>
          <w:w w:val="100"/>
          <w:position w:val="0"/>
          <w:sz w:val="24"/>
          <w:szCs w:val="24"/>
        </w:rPr>
        <w:t>22.74</w:t>
      </w:r>
      <w:r>
        <w:rPr>
          <w:color w:val="000000"/>
          <w:spacing w:val="0"/>
          <w:w w:val="100"/>
          <w:position w:val="0"/>
          <w:sz w:val="22"/>
          <w:szCs w:val="22"/>
        </w:rPr>
        <w:t>亿元，较</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年度增加</w:t>
      </w:r>
      <w:r>
        <w:rPr>
          <w:rFonts w:ascii="Arial Narrow" w:eastAsia="Arial Narrow" w:hAnsi="Arial Narrow" w:cs="Arial Narrow"/>
          <w:color w:val="000000"/>
          <w:spacing w:val="0"/>
          <w:w w:val="100"/>
          <w:position w:val="0"/>
          <w:sz w:val="24"/>
          <w:szCs w:val="24"/>
        </w:rPr>
        <w:t>68.75%</w:t>
      </w:r>
      <w:r>
        <w:rPr>
          <w:color w:val="000000"/>
          <w:spacing w:val="0"/>
          <w:w w:val="100"/>
          <w:position w:val="0"/>
          <w:sz w:val="22"/>
          <w:szCs w:val="22"/>
        </w:rPr>
        <w:t>；生态环保确认的主营业务收入为人民币</w:t>
      </w:r>
      <w:r>
        <w:rPr>
          <w:rFonts w:ascii="Arial Narrow" w:eastAsia="Arial Narrow" w:hAnsi="Arial Narrow" w:cs="Arial Narrow"/>
          <w:color w:val="000000"/>
          <w:spacing w:val="0"/>
          <w:w w:val="100"/>
          <w:position w:val="0"/>
          <w:sz w:val="24"/>
          <w:szCs w:val="24"/>
        </w:rPr>
        <w:t xml:space="preserve">1.84 </w:t>
      </w:r>
      <w:r>
        <w:rPr>
          <w:color w:val="000000"/>
          <w:spacing w:val="0"/>
          <w:w w:val="100"/>
          <w:position w:val="0"/>
          <w:sz w:val="22"/>
          <w:szCs w:val="22"/>
        </w:rPr>
        <w:t>亿元，较</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年度减少</w:t>
      </w:r>
      <w:r>
        <w:rPr>
          <w:rFonts w:ascii="Arial Narrow" w:eastAsia="Arial Narrow" w:hAnsi="Arial Narrow" w:cs="Arial Narrow"/>
          <w:color w:val="000000"/>
          <w:spacing w:val="0"/>
          <w:w w:val="100"/>
          <w:position w:val="0"/>
          <w:sz w:val="24"/>
          <w:szCs w:val="24"/>
        </w:rPr>
        <w:t>62.57%</w:t>
      </w:r>
      <w:r>
        <w:rPr>
          <w:color w:val="000000"/>
          <w:spacing w:val="0"/>
          <w:w w:val="100"/>
          <w:position w:val="0"/>
          <w:sz w:val="22"/>
          <w:szCs w:val="22"/>
        </w:rPr>
        <w:t>；供应链业务确认的主营业务收入为人民币</w:t>
      </w:r>
      <w:r>
        <w:rPr>
          <w:rFonts w:ascii="Arial Narrow" w:eastAsia="Arial Narrow" w:hAnsi="Arial Narrow" w:cs="Arial Narrow"/>
          <w:color w:val="000000"/>
          <w:spacing w:val="0"/>
          <w:w w:val="100"/>
          <w:position w:val="0"/>
          <w:sz w:val="24"/>
          <w:szCs w:val="24"/>
        </w:rPr>
        <w:t>12.75</w:t>
      </w:r>
      <w:r>
        <w:rPr>
          <w:color w:val="000000"/>
          <w:spacing w:val="0"/>
          <w:w w:val="100"/>
          <w:position w:val="0"/>
          <w:sz w:val="22"/>
          <w:szCs w:val="22"/>
        </w:rPr>
        <w:t>亿元，较</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sz w:val="22"/>
          <w:szCs w:val="22"/>
        </w:rPr>
        <w:t>年度减少</w:t>
      </w:r>
      <w:r>
        <w:rPr>
          <w:rFonts w:ascii="Arial Narrow" w:eastAsia="Arial Narrow" w:hAnsi="Arial Narrow" w:cs="Arial Narrow"/>
          <w:color w:val="000000"/>
          <w:spacing w:val="0"/>
          <w:w w:val="100"/>
          <w:position w:val="0"/>
          <w:sz w:val="24"/>
          <w:szCs w:val="24"/>
        </w:rPr>
        <w:t>17.35%</w:t>
      </w:r>
      <w:r>
        <w:rPr>
          <w:color w:val="000000"/>
          <w:spacing w:val="0"/>
          <w:w w:val="100"/>
          <w:position w:val="0"/>
          <w:sz w:val="22"/>
          <w:szCs w:val="22"/>
        </w:rPr>
        <w:t>；上述三项收入占</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年度主营业务收入总额的</w:t>
      </w:r>
      <w:r>
        <w:rPr>
          <w:rFonts w:ascii="Arial Narrow" w:eastAsia="Arial Narrow" w:hAnsi="Arial Narrow" w:cs="Arial Narrow"/>
          <w:color w:val="000000"/>
          <w:spacing w:val="0"/>
          <w:w w:val="100"/>
          <w:position w:val="0"/>
          <w:sz w:val="24"/>
          <w:szCs w:val="24"/>
        </w:rPr>
        <w:t>96.31%</w:t>
      </w:r>
      <w:r>
        <w:rPr>
          <w:color w:val="000000"/>
          <w:spacing w:val="0"/>
          <w:w w:val="100"/>
          <w:position w:val="0"/>
          <w:sz w:val="22"/>
          <w:szCs w:val="22"/>
        </w:rPr>
        <w:t>。东旭蓝天新能源电 站电费收入属于在某一时点履行的履约义务，新能源电站并网发电后，根据与供电公司签订 的售电合同进行电量上网结算时确认收入；新能源电站及生态环保工程建设属于在某一时段 内履行的履约义务，东旭蓝天在整个工程期间按照履约进度确认收入；履约进度不能合理确 定时，已经发生的成本预计能够得到补偿的，按照已经发生的成本金额确认收入，直到履约 进度能够合理确定为止；供应链收入属于在某一时点履行的履约义务，东旭蓝天在客户取得 相关商品的控制权时确认收入。</w:t>
      </w:r>
    </w:p>
    <w:p>
      <w:pPr>
        <w:pStyle w:val="Style17"/>
        <w:keepNext w:val="0"/>
        <w:keepLines w:val="0"/>
        <w:widowControl w:val="0"/>
        <w:shd w:val="clear" w:color="auto" w:fill="auto"/>
        <w:bidi w:val="0"/>
        <w:spacing w:before="0" w:after="240" w:line="468" w:lineRule="exact"/>
        <w:ind w:left="0" w:right="0" w:firstLine="460"/>
        <w:jc w:val="both"/>
        <w:rPr>
          <w:sz w:val="22"/>
          <w:szCs w:val="22"/>
        </w:rPr>
      </w:pPr>
      <w:r>
        <w:rPr>
          <w:color w:val="000000"/>
          <w:spacing w:val="0"/>
          <w:w w:val="100"/>
          <w:position w:val="0"/>
          <w:sz w:val="22"/>
          <w:szCs w:val="22"/>
        </w:rPr>
        <w:t>新收入准则的执行并且营业收入是关键业绩指标之一，可能存在东旭蓝天管理层（以下 简称：管理层）通过不恰当的收入确认以达到特定目标或预期的固有风险。因此，我们将收 入确认确定为关键审计事项。</w:t>
      </w:r>
    </w:p>
    <w:p>
      <w:pPr>
        <w:pStyle w:val="Style17"/>
        <w:keepNext w:val="0"/>
        <w:keepLines w:val="0"/>
        <w:widowControl w:val="0"/>
        <w:shd w:val="clear" w:color="auto" w:fill="auto"/>
        <w:bidi w:val="0"/>
        <w:spacing w:before="0" w:after="240" w:line="240" w:lineRule="auto"/>
        <w:ind w:left="0" w:right="0" w:firstLine="420"/>
        <w:jc w:val="both"/>
        <w:rPr>
          <w:sz w:val="22"/>
          <w:szCs w:val="22"/>
        </w:rPr>
      </w:pPr>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审计应对</w:t>
      </w:r>
    </w:p>
    <w:p>
      <w:pPr>
        <w:pStyle w:val="Style17"/>
        <w:keepNext w:val="0"/>
        <w:keepLines w:val="0"/>
        <w:widowControl w:val="0"/>
        <w:shd w:val="clear" w:color="auto" w:fill="auto"/>
        <w:bidi w:val="0"/>
        <w:spacing w:before="0" w:after="40" w:line="240" w:lineRule="auto"/>
        <w:ind w:left="0" w:right="0" w:firstLine="420"/>
        <w:jc w:val="both"/>
        <w:rPr>
          <w:sz w:val="22"/>
          <w:szCs w:val="22"/>
        </w:rPr>
      </w:pPr>
      <w:r>
        <w:rPr>
          <w:color w:val="000000"/>
          <w:spacing w:val="0"/>
          <w:w w:val="100"/>
          <w:position w:val="0"/>
          <w:sz w:val="22"/>
          <w:szCs w:val="22"/>
        </w:rPr>
        <w:t>针对上述关键审计事项，我们执行的主要审计程序如下:</w:t>
      </w:r>
    </w:p>
    <w:p>
      <w:pPr>
        <w:pStyle w:val="Style17"/>
        <w:keepNext w:val="0"/>
        <w:keepLines w:val="0"/>
        <w:widowControl w:val="0"/>
        <w:shd w:val="clear" w:color="auto" w:fill="auto"/>
        <w:tabs>
          <w:tab w:pos="1117" w:val="left"/>
        </w:tabs>
        <w:bidi w:val="0"/>
        <w:spacing w:before="0" w:after="40" w:line="474" w:lineRule="exact"/>
        <w:ind w:left="0" w:right="0" w:firstLine="480"/>
        <w:jc w:val="both"/>
        <w:rPr>
          <w:sz w:val="22"/>
          <w:szCs w:val="22"/>
        </w:rPr>
      </w:pPr>
      <w:bookmarkStart w:id="642" w:name="bookmark642"/>
      <w:r>
        <w:rPr>
          <w:color w:val="000000"/>
          <w:spacing w:val="0"/>
          <w:w w:val="100"/>
          <w:position w:val="0"/>
          <w:sz w:val="22"/>
          <w:szCs w:val="22"/>
        </w:rPr>
        <w:t>（</w:t>
      </w:r>
      <w:bookmarkEnd w:id="642"/>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w:t>
        <w:tab/>
        <w:t>了解与收入确认相关的关键内部控制，评价这些控制的设计，确定其是否得到执行， 并测试相关内部控制的运行有效性；</w:t>
      </w:r>
    </w:p>
    <w:p>
      <w:pPr>
        <w:pStyle w:val="Style17"/>
        <w:keepNext w:val="0"/>
        <w:keepLines w:val="0"/>
        <w:widowControl w:val="0"/>
        <w:shd w:val="clear" w:color="auto" w:fill="auto"/>
        <w:bidi w:val="0"/>
        <w:spacing w:before="0" w:after="40" w:line="474" w:lineRule="exact"/>
        <w:ind w:left="0" w:right="0" w:firstLine="480"/>
        <w:jc w:val="both"/>
        <w:rPr>
          <w:sz w:val="22"/>
          <w:szCs w:val="22"/>
        </w:rPr>
      </w:pPr>
      <w:bookmarkStart w:id="643" w:name="bookmark643"/>
      <w:r>
        <w:rPr>
          <w:color w:val="000000"/>
          <w:spacing w:val="0"/>
          <w:w w:val="100"/>
          <w:position w:val="0"/>
          <w:sz w:val="22"/>
          <w:szCs w:val="22"/>
        </w:rPr>
        <w:t>（</w:t>
      </w:r>
      <w:bookmarkEnd w:id="643"/>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 选取样本检查销售合同，评价收入的会计政策是否符合《企业会计准则》的规定， 对收入确认有关的控制权转移时点进行分析评估，评价收入确认的方法是否符合收入准则的 要求；</w:t>
      </w:r>
    </w:p>
    <w:p>
      <w:pPr>
        <w:pStyle w:val="Style17"/>
        <w:keepNext w:val="0"/>
        <w:keepLines w:val="0"/>
        <w:widowControl w:val="0"/>
        <w:shd w:val="clear" w:color="auto" w:fill="auto"/>
        <w:bidi w:val="0"/>
        <w:spacing w:before="0" w:after="40" w:line="474" w:lineRule="exact"/>
        <w:ind w:left="0" w:right="0" w:firstLine="480"/>
        <w:jc w:val="both"/>
        <w:rPr>
          <w:sz w:val="22"/>
          <w:szCs w:val="22"/>
        </w:rPr>
      </w:pPr>
      <w:bookmarkStart w:id="644" w:name="bookmark644"/>
      <w:r>
        <w:rPr>
          <w:color w:val="000000"/>
          <w:spacing w:val="0"/>
          <w:w w:val="100"/>
          <w:position w:val="0"/>
          <w:sz w:val="22"/>
          <w:szCs w:val="22"/>
        </w:rPr>
        <w:t>（</w:t>
      </w:r>
      <w:bookmarkEnd w:id="644"/>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 根据东旭蓝天与电网公司签订的售电合同，抽取电量结算单进行核对，依据电价批 复文件，重新测算电费收入；</w:t>
      </w:r>
    </w:p>
    <w:p>
      <w:pPr>
        <w:pStyle w:val="Style17"/>
        <w:keepNext w:val="0"/>
        <w:keepLines w:val="0"/>
        <w:widowControl w:val="0"/>
        <w:shd w:val="clear" w:color="auto" w:fill="auto"/>
        <w:tabs>
          <w:tab w:pos="1121" w:val="left"/>
        </w:tabs>
        <w:bidi w:val="0"/>
        <w:spacing w:before="0" w:after="40" w:line="474" w:lineRule="exact"/>
        <w:ind w:left="0" w:right="0" w:firstLine="480"/>
        <w:jc w:val="both"/>
        <w:rPr>
          <w:sz w:val="22"/>
          <w:szCs w:val="22"/>
        </w:rPr>
      </w:pPr>
      <w:bookmarkStart w:id="645" w:name="bookmark645"/>
      <w:r>
        <w:rPr>
          <w:color w:val="000000"/>
          <w:spacing w:val="0"/>
          <w:w w:val="100"/>
          <w:position w:val="0"/>
          <w:sz w:val="22"/>
          <w:szCs w:val="22"/>
        </w:rPr>
        <w:t>（</w:t>
      </w:r>
      <w:bookmarkEnd w:id="645"/>
      <w:r>
        <w:rPr>
          <w:rFonts w:ascii="Arial Narrow" w:eastAsia="Arial Narrow" w:hAnsi="Arial Narrow" w:cs="Arial Narrow"/>
          <w:color w:val="000000"/>
          <w:spacing w:val="0"/>
          <w:w w:val="100"/>
          <w:position w:val="0"/>
          <w:sz w:val="24"/>
          <w:szCs w:val="24"/>
        </w:rPr>
        <w:t>4</w:t>
      </w:r>
      <w:r>
        <w:rPr>
          <w:color w:val="000000"/>
          <w:spacing w:val="0"/>
          <w:w w:val="100"/>
          <w:position w:val="0"/>
          <w:sz w:val="22"/>
          <w:szCs w:val="22"/>
        </w:rPr>
        <w:t>）</w:t>
        <w:tab/>
        <w:t>我们采用抽样方式对工程项目实际履约成本进行了测试，包括：检查合同（总包合 同及其分包合同、设备采购合同）、发票、付款单据、材料入库单、进度确认单等支持性资料; 测试管理层对履约进度和按照履约进度确认收入的计算是否准确，分析是否存在异常的差异， 同时对未完工项目的预计总成本与同类已完工项目的历史实际成本也进行对比分析，评估管 理层做出此项会计估计的经验和能力；在抽样的基础上，对工程项目进行现场查看，询问现 场专业技术人员，确认账面确认的工程履约进度是否与实际情况相符；</w:t>
      </w:r>
    </w:p>
    <w:p>
      <w:pPr>
        <w:pStyle w:val="Style17"/>
        <w:keepNext w:val="0"/>
        <w:keepLines w:val="0"/>
        <w:widowControl w:val="0"/>
        <w:shd w:val="clear" w:color="auto" w:fill="auto"/>
        <w:tabs>
          <w:tab w:pos="1112" w:val="left"/>
        </w:tabs>
        <w:bidi w:val="0"/>
        <w:spacing w:before="0" w:after="40" w:line="485" w:lineRule="exact"/>
        <w:ind w:left="0" w:right="0" w:firstLine="480"/>
        <w:jc w:val="both"/>
        <w:rPr>
          <w:sz w:val="22"/>
          <w:szCs w:val="22"/>
        </w:rPr>
      </w:pPr>
      <w:bookmarkStart w:id="646" w:name="bookmark646"/>
      <w:r>
        <w:rPr>
          <w:color w:val="000000"/>
          <w:spacing w:val="0"/>
          <w:w w:val="100"/>
          <w:position w:val="0"/>
          <w:sz w:val="22"/>
          <w:szCs w:val="22"/>
        </w:rPr>
        <w:t>（</w:t>
      </w:r>
      <w:bookmarkEnd w:id="646"/>
      <w:r>
        <w:rPr>
          <w:rFonts w:ascii="Arial Narrow" w:eastAsia="Arial Narrow" w:hAnsi="Arial Narrow" w:cs="Arial Narrow"/>
          <w:color w:val="000000"/>
          <w:spacing w:val="0"/>
          <w:w w:val="100"/>
          <w:position w:val="0"/>
          <w:sz w:val="24"/>
          <w:szCs w:val="24"/>
        </w:rPr>
        <w:t>5</w:t>
      </w:r>
      <w:r>
        <w:rPr>
          <w:color w:val="000000"/>
          <w:spacing w:val="0"/>
          <w:w w:val="100"/>
          <w:position w:val="0"/>
          <w:sz w:val="22"/>
          <w:szCs w:val="22"/>
        </w:rPr>
        <w:t>）</w:t>
        <w:tab/>
        <w:t>针对商品销售，检查其交易合同、出入库单、结算单、发票、银行回单等资料，向 重要客户执行函证及走访程序，确认收入的真实性、完整性；</w:t>
      </w:r>
    </w:p>
    <w:p>
      <w:pPr>
        <w:pStyle w:val="Style17"/>
        <w:keepNext w:val="0"/>
        <w:keepLines w:val="0"/>
        <w:widowControl w:val="0"/>
        <w:shd w:val="clear" w:color="auto" w:fill="auto"/>
        <w:tabs>
          <w:tab w:pos="1126" w:val="left"/>
        </w:tabs>
        <w:bidi w:val="0"/>
        <w:spacing w:before="0" w:after="0" w:line="485" w:lineRule="exact"/>
        <w:ind w:left="0" w:right="0" w:firstLine="480"/>
        <w:jc w:val="both"/>
        <w:rPr>
          <w:sz w:val="22"/>
          <w:szCs w:val="22"/>
        </w:rPr>
      </w:pPr>
      <w:bookmarkStart w:id="647" w:name="bookmark647"/>
      <w:r>
        <w:rPr>
          <w:color w:val="000000"/>
          <w:spacing w:val="0"/>
          <w:w w:val="100"/>
          <w:position w:val="0"/>
          <w:sz w:val="22"/>
          <w:szCs w:val="22"/>
        </w:rPr>
        <w:t>（</w:t>
      </w:r>
      <w:bookmarkEnd w:id="647"/>
      <w:r>
        <w:rPr>
          <w:rFonts w:ascii="Arial Narrow" w:eastAsia="Arial Narrow" w:hAnsi="Arial Narrow" w:cs="Arial Narrow"/>
          <w:color w:val="000000"/>
          <w:spacing w:val="0"/>
          <w:w w:val="100"/>
          <w:position w:val="0"/>
          <w:sz w:val="24"/>
          <w:szCs w:val="24"/>
        </w:rPr>
        <w:t>6</w:t>
      </w:r>
      <w:r>
        <w:rPr>
          <w:color w:val="000000"/>
          <w:spacing w:val="0"/>
          <w:w w:val="100"/>
          <w:position w:val="0"/>
          <w:sz w:val="22"/>
          <w:szCs w:val="22"/>
        </w:rPr>
        <w:t>）</w:t>
        <w:tab/>
        <w:t>就资产负债表日前后记录的收入交易，选取样本，核对相关支持性文件，以评价收 入是否被记录于恰当的会计期间。</w:t>
      </w:r>
    </w:p>
    <w:p>
      <w:pPr>
        <w:pStyle w:val="Style17"/>
        <w:keepNext w:val="0"/>
        <w:keepLines w:val="0"/>
        <w:widowControl w:val="0"/>
        <w:shd w:val="clear" w:color="auto" w:fill="auto"/>
        <w:bidi w:val="0"/>
        <w:spacing w:before="0" w:after="40" w:line="485" w:lineRule="exact"/>
        <w:ind w:left="0" w:right="0" w:firstLine="480"/>
        <w:jc w:val="both"/>
        <w:rPr>
          <w:sz w:val="22"/>
          <w:szCs w:val="22"/>
        </w:rPr>
      </w:pPr>
      <w:r>
        <w:rPr>
          <w:color w:val="000000"/>
          <w:spacing w:val="0"/>
          <w:w w:val="100"/>
          <w:position w:val="0"/>
          <w:sz w:val="22"/>
          <w:szCs w:val="22"/>
        </w:rPr>
        <w:t>（二）商誉减值</w:t>
      </w:r>
    </w:p>
    <w:p>
      <w:pPr>
        <w:pStyle w:val="Style17"/>
        <w:keepNext w:val="0"/>
        <w:keepLines w:val="0"/>
        <w:widowControl w:val="0"/>
        <w:shd w:val="clear" w:color="auto" w:fill="auto"/>
        <w:bidi w:val="0"/>
        <w:spacing w:before="0" w:after="40" w:line="474" w:lineRule="exact"/>
        <w:ind w:left="0" w:right="0" w:firstLine="440"/>
        <w:jc w:val="both"/>
        <w:rPr>
          <w:sz w:val="22"/>
          <w:szCs w:val="22"/>
        </w:rPr>
      </w:pPr>
      <w:r>
        <w:rPr>
          <w:color w:val="000000"/>
          <w:spacing w:val="0"/>
          <w:w w:val="100"/>
          <w:position w:val="0"/>
          <w:sz w:val="22"/>
          <w:szCs w:val="22"/>
        </w:rPr>
        <w:t>事项描述</w:t>
      </w:r>
    </w:p>
    <w:p>
      <w:pPr>
        <w:pStyle w:val="Style17"/>
        <w:keepNext w:val="0"/>
        <w:keepLines w:val="0"/>
        <w:widowControl w:val="0"/>
        <w:shd w:val="clear" w:color="auto" w:fill="auto"/>
        <w:bidi w:val="0"/>
        <w:spacing w:before="0" w:after="40" w:line="474" w:lineRule="exact"/>
        <w:ind w:left="0" w:right="0" w:firstLine="440"/>
        <w:jc w:val="both"/>
        <w:rPr>
          <w:sz w:val="22"/>
          <w:szCs w:val="22"/>
        </w:rPr>
      </w:pPr>
      <w:r>
        <w:rPr>
          <w:color w:val="000000"/>
          <w:spacing w:val="0"/>
          <w:w w:val="100"/>
          <w:position w:val="0"/>
          <w:sz w:val="22"/>
          <w:szCs w:val="22"/>
        </w:rPr>
        <w:t>相关信息披露详见财务报表附注三、</w:t>
      </w:r>
      <w:r>
        <w:rPr>
          <w:rFonts w:ascii="Arial Narrow" w:eastAsia="Arial Narrow" w:hAnsi="Arial Narrow" w:cs="Arial Narrow"/>
          <w:color w:val="000000"/>
          <w:spacing w:val="0"/>
          <w:w w:val="100"/>
          <w:position w:val="0"/>
          <w:sz w:val="24"/>
          <w:szCs w:val="24"/>
        </w:rPr>
        <w:t>24</w:t>
      </w:r>
      <w:r>
        <w:rPr>
          <w:color w:val="000000"/>
          <w:spacing w:val="0"/>
          <w:w w:val="100"/>
          <w:position w:val="0"/>
          <w:sz w:val="22"/>
          <w:szCs w:val="22"/>
        </w:rPr>
        <w:t>及附注五、</w:t>
      </w:r>
      <w:r>
        <w:rPr>
          <w:rFonts w:ascii="Arial Narrow" w:eastAsia="Arial Narrow" w:hAnsi="Arial Narrow" w:cs="Arial Narrow"/>
          <w:color w:val="000000"/>
          <w:spacing w:val="0"/>
          <w:w w:val="100"/>
          <w:position w:val="0"/>
          <w:sz w:val="24"/>
          <w:szCs w:val="24"/>
        </w:rPr>
        <w:t>21</w:t>
      </w:r>
      <w:r>
        <w:rPr>
          <w:color w:val="000000"/>
          <w:spacing w:val="0"/>
          <w:w w:val="100"/>
          <w:position w:val="0"/>
          <w:sz w:val="22"/>
          <w:szCs w:val="22"/>
        </w:rPr>
        <w:t>。</w:t>
      </w:r>
    </w:p>
    <w:p>
      <w:pPr>
        <w:pStyle w:val="Style17"/>
        <w:keepNext w:val="0"/>
        <w:keepLines w:val="0"/>
        <w:widowControl w:val="0"/>
        <w:shd w:val="clear" w:color="auto" w:fill="auto"/>
        <w:bidi w:val="0"/>
        <w:spacing w:before="0" w:after="240" w:line="470" w:lineRule="exact"/>
        <w:ind w:left="0" w:right="0" w:firstLine="480"/>
        <w:jc w:val="both"/>
        <w:rPr>
          <w:sz w:val="22"/>
          <w:szCs w:val="22"/>
        </w:rPr>
      </w:pPr>
      <w:r>
        <w:rPr>
          <w:color w:val="000000"/>
          <w:spacing w:val="0"/>
          <w:w w:val="100"/>
          <w:position w:val="0"/>
          <w:sz w:val="22"/>
          <w:szCs w:val="22"/>
        </w:rPr>
        <w:t>截至</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日，东旭蓝天合并报表中商誉账面价值</w:t>
      </w:r>
      <w:r>
        <w:rPr>
          <w:rFonts w:ascii="Arial Narrow" w:eastAsia="Arial Narrow" w:hAnsi="Arial Narrow" w:cs="Arial Narrow"/>
          <w:color w:val="000000"/>
          <w:spacing w:val="0"/>
          <w:w w:val="100"/>
          <w:position w:val="0"/>
          <w:sz w:val="24"/>
          <w:szCs w:val="24"/>
        </w:rPr>
        <w:t>6.19</w:t>
      </w:r>
      <w:r>
        <w:rPr>
          <w:color w:val="000000"/>
          <w:spacing w:val="0"/>
          <w:w w:val="100"/>
          <w:position w:val="0"/>
          <w:sz w:val="22"/>
          <w:szCs w:val="22"/>
        </w:rPr>
        <w:t>亿元。根据企业会 计准则，东旭蓝天管理层在</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年年度终了对商誉进行减值测试，因商誉减值测试的评估需 依赖管理层的判断，减值评估涉及确定折现率、未来期间销售增长率、毛利率等评估参数， 商誉减值测试的评估过程复杂，其所基于的假设，受到预期未来市场和经济环境的影响而有 可能改变，由于商誉减值的确认对本期财务报告影响重大，因此我们将商誉减值识别为关键 审计事项。</w:t>
      </w:r>
    </w:p>
    <w:p>
      <w:pPr>
        <w:pStyle w:val="Style17"/>
        <w:keepNext w:val="0"/>
        <w:keepLines w:val="0"/>
        <w:widowControl w:val="0"/>
        <w:shd w:val="clear" w:color="auto" w:fill="auto"/>
        <w:bidi w:val="0"/>
        <w:spacing w:before="0" w:after="240" w:line="240" w:lineRule="auto"/>
        <w:ind w:left="0" w:right="0" w:firstLine="440"/>
        <w:jc w:val="both"/>
        <w:rPr>
          <w:sz w:val="22"/>
          <w:szCs w:val="22"/>
        </w:rPr>
      </w:pPr>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审计应对</w:t>
      </w:r>
    </w:p>
    <w:p>
      <w:pPr>
        <w:pStyle w:val="Style17"/>
        <w:keepNext w:val="0"/>
        <w:keepLines w:val="0"/>
        <w:widowControl w:val="0"/>
        <w:shd w:val="clear" w:color="auto" w:fill="auto"/>
        <w:bidi w:val="0"/>
        <w:spacing w:before="0" w:after="40" w:line="240" w:lineRule="auto"/>
        <w:ind w:left="0" w:right="0" w:firstLine="440"/>
        <w:jc w:val="both"/>
        <w:rPr>
          <w:sz w:val="22"/>
          <w:szCs w:val="22"/>
        </w:rPr>
        <w:sectPr>
          <w:footnotePr>
            <w:pos w:val="pageBottom"/>
            <w:numFmt w:val="decimal"/>
            <w:numRestart w:val="continuous"/>
          </w:footnotePr>
          <w:pgSz w:w="11900" w:h="16840"/>
          <w:pgMar w:top="1340" w:right="1021" w:bottom="1618" w:left="1082" w:header="0" w:footer="3" w:gutter="0"/>
          <w:cols w:space="720"/>
          <w:noEndnote/>
          <w:rtlGutter w:val="0"/>
          <w:docGrid w:linePitch="360"/>
        </w:sectPr>
      </w:pPr>
      <w:r>
        <w:rPr>
          <w:color w:val="000000"/>
          <w:spacing w:val="0"/>
          <w:w w:val="100"/>
          <w:position w:val="0"/>
          <w:sz w:val="22"/>
          <w:szCs w:val="22"/>
        </w:rPr>
        <w:t>针对上述关键审计事项，我们执行的主要审计程序如下:</w:t>
      </w:r>
    </w:p>
    <w:p>
      <w:pPr>
        <w:pStyle w:val="Style17"/>
        <w:keepNext w:val="0"/>
        <w:keepLines w:val="0"/>
        <w:widowControl w:val="0"/>
        <w:shd w:val="clear" w:color="auto" w:fill="auto"/>
        <w:tabs>
          <w:tab w:pos="1132" w:val="left"/>
        </w:tabs>
        <w:bidi w:val="0"/>
        <w:spacing w:before="0" w:after="40" w:line="461" w:lineRule="exact"/>
        <w:ind w:left="0" w:right="0" w:firstLine="460"/>
        <w:jc w:val="both"/>
        <w:rPr>
          <w:sz w:val="22"/>
          <w:szCs w:val="22"/>
        </w:rPr>
      </w:pPr>
      <w:bookmarkStart w:id="648" w:name="bookmark648"/>
      <w:r>
        <w:rPr>
          <w:color w:val="000000"/>
          <w:spacing w:val="0"/>
          <w:w w:val="100"/>
          <w:position w:val="0"/>
          <w:sz w:val="22"/>
          <w:szCs w:val="22"/>
          <w:shd w:val="clear" w:color="auto" w:fill="FFFFFF"/>
        </w:rPr>
        <w:t>（</w:t>
      </w:r>
      <w:bookmarkEnd w:id="648"/>
      <w:r>
        <w:rPr>
          <w:rFonts w:ascii="Arial Narrow" w:eastAsia="Arial Narrow" w:hAnsi="Arial Narrow" w:cs="Arial Narrow"/>
          <w:color w:val="000000"/>
          <w:spacing w:val="0"/>
          <w:w w:val="100"/>
          <w:position w:val="0"/>
          <w:sz w:val="24"/>
          <w:szCs w:val="24"/>
          <w:shd w:val="clear" w:color="auto" w:fill="FFFFFF"/>
        </w:rPr>
        <w:t>1</w:t>
      </w:r>
      <w:r>
        <w:rPr>
          <w:color w:val="000000"/>
          <w:spacing w:val="0"/>
          <w:w w:val="100"/>
          <w:position w:val="0"/>
          <w:sz w:val="22"/>
          <w:szCs w:val="22"/>
          <w:shd w:val="clear" w:color="auto" w:fill="FFFFFF"/>
        </w:rPr>
        <w:t>）</w:t>
      </w:r>
      <w:r>
        <w:rPr>
          <w:color w:val="000000"/>
          <w:spacing w:val="0"/>
          <w:w w:val="100"/>
          <w:position w:val="0"/>
          <w:sz w:val="22"/>
          <w:szCs w:val="22"/>
        </w:rPr>
        <w:tab/>
        <w:t>了解和评价管理层与商誉减值相关的关键内部控制的设计和运行；识别和评估商誉 减值方面的重大错报风险；</w:t>
      </w:r>
    </w:p>
    <w:p>
      <w:pPr>
        <w:pStyle w:val="Style17"/>
        <w:keepNext w:val="0"/>
        <w:keepLines w:val="0"/>
        <w:widowControl w:val="0"/>
        <w:shd w:val="clear" w:color="auto" w:fill="auto"/>
        <w:bidi w:val="0"/>
        <w:spacing w:before="0" w:after="40" w:line="473" w:lineRule="exact"/>
        <w:ind w:left="0" w:right="0" w:firstLine="460"/>
        <w:jc w:val="both"/>
        <w:rPr>
          <w:sz w:val="22"/>
          <w:szCs w:val="22"/>
        </w:rPr>
      </w:pPr>
      <w:bookmarkStart w:id="649" w:name="bookmark649"/>
      <w:r>
        <w:rPr>
          <w:color w:val="000000"/>
          <w:spacing w:val="0"/>
          <w:w w:val="100"/>
          <w:position w:val="0"/>
          <w:sz w:val="22"/>
          <w:szCs w:val="22"/>
        </w:rPr>
        <w:t>（</w:t>
      </w:r>
      <w:bookmarkEnd w:id="649"/>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）复核管理层对资产组的认定和商誉的分摊方法；测试管理层减值测试所依据的基础 数据，利用资产评估师评估管理层减值测试中所采用关键假设及判断的合理性，以及了解和 评价管理层利用资产评估师的工作；</w:t>
      </w:r>
    </w:p>
    <w:p>
      <w:pPr>
        <w:pStyle w:val="Style17"/>
        <w:keepNext w:val="0"/>
        <w:keepLines w:val="0"/>
        <w:widowControl w:val="0"/>
        <w:shd w:val="clear" w:color="auto" w:fill="auto"/>
        <w:tabs>
          <w:tab w:pos="1123" w:val="left"/>
        </w:tabs>
        <w:bidi w:val="0"/>
        <w:spacing w:before="0" w:after="40" w:line="474" w:lineRule="exact"/>
        <w:ind w:left="0" w:right="0" w:firstLine="460"/>
        <w:jc w:val="both"/>
        <w:rPr>
          <w:sz w:val="22"/>
          <w:szCs w:val="22"/>
        </w:rPr>
      </w:pPr>
      <w:bookmarkStart w:id="650" w:name="bookmark650"/>
      <w:r>
        <w:rPr>
          <w:color w:val="000000"/>
          <w:spacing w:val="0"/>
          <w:w w:val="100"/>
          <w:position w:val="0"/>
          <w:sz w:val="22"/>
          <w:szCs w:val="22"/>
        </w:rPr>
        <w:t>（</w:t>
      </w:r>
      <w:bookmarkEnd w:id="650"/>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w:t>
        <w:tab/>
        <w:t>评价资产评估师的专业胜任能力、客观性及独立性；查阅评估报告的评估技术说 明、分析评估取值和计算公式是否合理、复核计算评估数据。同时对评估师进行访谈，访谈 内容包括出具的评估报告的目的和范围、其独立性、评估方法选用、评估过程、其主要参数 的选取及评估结果的合理性；</w:t>
      </w:r>
    </w:p>
    <w:p>
      <w:pPr>
        <w:pStyle w:val="Style17"/>
        <w:keepNext w:val="0"/>
        <w:keepLines w:val="0"/>
        <w:widowControl w:val="0"/>
        <w:shd w:val="clear" w:color="auto" w:fill="auto"/>
        <w:tabs>
          <w:tab w:pos="959" w:val="left"/>
        </w:tabs>
        <w:bidi w:val="0"/>
        <w:spacing w:before="0" w:after="40" w:line="474" w:lineRule="exact"/>
        <w:ind w:left="0" w:right="0" w:firstLine="400"/>
        <w:jc w:val="both"/>
        <w:rPr>
          <w:sz w:val="22"/>
          <w:szCs w:val="22"/>
        </w:rPr>
      </w:pPr>
      <w:bookmarkStart w:id="651" w:name="bookmark651"/>
      <w:r>
        <w:rPr>
          <w:color w:val="000000"/>
          <w:spacing w:val="0"/>
          <w:w w:val="100"/>
          <w:position w:val="0"/>
          <w:sz w:val="22"/>
          <w:szCs w:val="22"/>
        </w:rPr>
        <w:t>（</w:t>
      </w:r>
      <w:bookmarkEnd w:id="651"/>
      <w:r>
        <w:rPr>
          <w:rFonts w:ascii="Arial Narrow" w:eastAsia="Arial Narrow" w:hAnsi="Arial Narrow" w:cs="Arial Narrow"/>
          <w:color w:val="000000"/>
          <w:spacing w:val="0"/>
          <w:w w:val="100"/>
          <w:position w:val="0"/>
          <w:sz w:val="24"/>
          <w:szCs w:val="24"/>
        </w:rPr>
        <w:t>4</w:t>
      </w:r>
      <w:r>
        <w:rPr>
          <w:color w:val="000000"/>
          <w:spacing w:val="0"/>
          <w:w w:val="100"/>
          <w:position w:val="0"/>
          <w:sz w:val="22"/>
          <w:szCs w:val="22"/>
        </w:rPr>
        <w:t>）</w:t>
        <w:tab/>
        <w:t>复核东旭蓝天商誉列报是否恰当。</w:t>
      </w:r>
    </w:p>
    <w:p>
      <w:pPr>
        <w:pStyle w:val="Style17"/>
        <w:keepNext w:val="0"/>
        <w:keepLines w:val="0"/>
        <w:widowControl w:val="0"/>
        <w:shd w:val="clear" w:color="auto" w:fill="auto"/>
        <w:tabs>
          <w:tab w:pos="959" w:val="left"/>
        </w:tabs>
        <w:bidi w:val="0"/>
        <w:spacing w:before="0" w:after="40" w:line="468" w:lineRule="exact"/>
        <w:ind w:left="0" w:right="0" w:firstLine="400"/>
        <w:jc w:val="both"/>
        <w:rPr>
          <w:sz w:val="22"/>
          <w:szCs w:val="22"/>
        </w:rPr>
      </w:pPr>
      <w:bookmarkStart w:id="652" w:name="bookmark652"/>
      <w:r>
        <w:rPr>
          <w:b/>
          <w:bCs/>
          <w:color w:val="000000"/>
          <w:spacing w:val="0"/>
          <w:w w:val="100"/>
          <w:position w:val="0"/>
          <w:sz w:val="22"/>
          <w:szCs w:val="22"/>
        </w:rPr>
        <w:t>六</w:t>
      </w:r>
      <w:bookmarkEnd w:id="652"/>
      <w:r>
        <w:rPr>
          <w:b/>
          <w:bCs/>
          <w:color w:val="000000"/>
          <w:spacing w:val="0"/>
          <w:w w:val="100"/>
          <w:position w:val="0"/>
          <w:sz w:val="22"/>
          <w:szCs w:val="22"/>
        </w:rPr>
        <w:t>、</w:t>
        <w:tab/>
        <w:t>管理层和治理层对财务报表的责任</w:t>
      </w:r>
    </w:p>
    <w:p>
      <w:pPr>
        <w:pStyle w:val="Style17"/>
        <w:keepNext w:val="0"/>
        <w:keepLines w:val="0"/>
        <w:widowControl w:val="0"/>
        <w:shd w:val="clear" w:color="auto" w:fill="auto"/>
        <w:bidi w:val="0"/>
        <w:spacing w:before="0" w:after="40" w:line="466" w:lineRule="exact"/>
        <w:ind w:left="0" w:right="0" w:firstLine="460"/>
        <w:jc w:val="both"/>
        <w:rPr>
          <w:sz w:val="22"/>
          <w:szCs w:val="22"/>
        </w:rPr>
      </w:pPr>
      <w:r>
        <w:rPr>
          <w:color w:val="000000"/>
          <w:spacing w:val="0"/>
          <w:w w:val="100"/>
          <w:position w:val="0"/>
          <w:sz w:val="22"/>
          <w:szCs w:val="22"/>
        </w:rPr>
        <w:t>管理层负责按照企业会计准则的规定编制财务报表，使其实现公允反映，并设计、执行 和维护必要的内部控制，以使财务报表不存在由于舞弊或错误导致的重大错报。</w:t>
      </w:r>
    </w:p>
    <w:p>
      <w:pPr>
        <w:pStyle w:val="Style17"/>
        <w:keepNext w:val="0"/>
        <w:keepLines w:val="0"/>
        <w:widowControl w:val="0"/>
        <w:shd w:val="clear" w:color="auto" w:fill="auto"/>
        <w:bidi w:val="0"/>
        <w:spacing w:before="0" w:after="40" w:line="470" w:lineRule="exact"/>
        <w:ind w:left="0" w:right="0" w:firstLine="460"/>
        <w:jc w:val="both"/>
        <w:rPr>
          <w:sz w:val="22"/>
          <w:szCs w:val="22"/>
        </w:rPr>
      </w:pPr>
      <w:r>
        <w:rPr>
          <w:color w:val="000000"/>
          <w:spacing w:val="0"/>
          <w:w w:val="100"/>
          <w:position w:val="0"/>
          <w:sz w:val="22"/>
          <w:szCs w:val="22"/>
        </w:rPr>
        <w:t>在编制财务报表时，管理层负责评估东旭蓝天的持续经营能力，披露与持续经营相关的 事项（如适用），并运用持续经营假设，除非管理层计划清算东旭蓝天、终止运营或别无其他 现实的选择。</w:t>
      </w:r>
    </w:p>
    <w:p>
      <w:pPr>
        <w:pStyle w:val="Style17"/>
        <w:keepNext w:val="0"/>
        <w:keepLines w:val="0"/>
        <w:widowControl w:val="0"/>
        <w:shd w:val="clear" w:color="auto" w:fill="auto"/>
        <w:bidi w:val="0"/>
        <w:spacing w:before="0" w:after="380" w:line="468" w:lineRule="exact"/>
        <w:ind w:left="0" w:right="0" w:firstLine="400"/>
        <w:jc w:val="both"/>
        <w:rPr>
          <w:sz w:val="22"/>
          <w:szCs w:val="22"/>
        </w:rPr>
      </w:pPr>
      <w:r>
        <w:rPr>
          <w:color w:val="000000"/>
          <w:spacing w:val="0"/>
          <w:w w:val="100"/>
          <w:position w:val="0"/>
          <w:sz w:val="22"/>
          <w:szCs w:val="22"/>
        </w:rPr>
        <w:t>治理层负责监督东旭蓝天的财务报告过程。</w:t>
      </w:r>
    </w:p>
    <w:p>
      <w:pPr>
        <w:pStyle w:val="Style17"/>
        <w:keepNext w:val="0"/>
        <w:keepLines w:val="0"/>
        <w:widowControl w:val="0"/>
        <w:shd w:val="clear" w:color="auto" w:fill="auto"/>
        <w:tabs>
          <w:tab w:pos="959" w:val="left"/>
        </w:tabs>
        <w:bidi w:val="0"/>
        <w:spacing w:before="0" w:after="40" w:line="468" w:lineRule="exact"/>
        <w:ind w:left="0" w:right="0" w:firstLine="400"/>
        <w:jc w:val="both"/>
        <w:rPr>
          <w:sz w:val="22"/>
          <w:szCs w:val="22"/>
        </w:rPr>
      </w:pPr>
      <w:bookmarkStart w:id="653" w:name="bookmark653"/>
      <w:r>
        <w:rPr>
          <w:b/>
          <w:bCs/>
          <w:color w:val="000000"/>
          <w:spacing w:val="0"/>
          <w:w w:val="100"/>
          <w:position w:val="0"/>
          <w:sz w:val="22"/>
          <w:szCs w:val="22"/>
        </w:rPr>
        <w:t>七</w:t>
      </w:r>
      <w:bookmarkEnd w:id="653"/>
      <w:r>
        <w:rPr>
          <w:b/>
          <w:bCs/>
          <w:color w:val="000000"/>
          <w:spacing w:val="0"/>
          <w:w w:val="100"/>
          <w:position w:val="0"/>
          <w:sz w:val="22"/>
          <w:szCs w:val="22"/>
        </w:rPr>
        <w:t>、</w:t>
        <w:tab/>
        <w:t>注册会计师对财务报表审计的责任</w:t>
      </w:r>
    </w:p>
    <w:p>
      <w:pPr>
        <w:pStyle w:val="Style17"/>
        <w:keepNext w:val="0"/>
        <w:keepLines w:val="0"/>
        <w:widowControl w:val="0"/>
        <w:shd w:val="clear" w:color="auto" w:fill="auto"/>
        <w:bidi w:val="0"/>
        <w:spacing w:before="0" w:after="40" w:line="468" w:lineRule="exact"/>
        <w:ind w:left="0" w:right="0" w:firstLine="460"/>
        <w:jc w:val="both"/>
        <w:rPr>
          <w:sz w:val="22"/>
          <w:szCs w:val="22"/>
        </w:rPr>
      </w:pPr>
      <w:r>
        <w:rPr>
          <w:color w:val="000000"/>
          <w:spacing w:val="0"/>
          <w:w w:val="100"/>
          <w:position w:val="0"/>
          <w:sz w:val="22"/>
          <w:szCs w:val="22"/>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17"/>
        <w:keepNext w:val="0"/>
        <w:keepLines w:val="0"/>
        <w:widowControl w:val="0"/>
        <w:shd w:val="clear" w:color="auto" w:fill="auto"/>
        <w:bidi w:val="0"/>
        <w:spacing w:before="0" w:after="40" w:line="466" w:lineRule="exact"/>
        <w:ind w:left="0" w:right="0" w:firstLine="460"/>
        <w:jc w:val="both"/>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17"/>
        <w:keepNext w:val="0"/>
        <w:keepLines w:val="0"/>
        <w:widowControl w:val="0"/>
        <w:shd w:val="clear" w:color="auto" w:fill="auto"/>
        <w:bidi w:val="0"/>
        <w:spacing w:before="0" w:after="120" w:line="463" w:lineRule="exact"/>
        <w:ind w:left="0" w:right="0" w:firstLine="460"/>
        <w:jc w:val="both"/>
        <w:rPr>
          <w:sz w:val="22"/>
          <w:szCs w:val="22"/>
        </w:rPr>
      </w:pPr>
      <w:r>
        <w:rPr>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w:t>
      </w:r>
    </w:p>
    <w:p>
      <w:pPr>
        <w:pStyle w:val="Style22"/>
        <w:keepNext w:val="0"/>
        <w:keepLines w:val="0"/>
        <w:widowControl w:val="0"/>
        <w:shd w:val="clear" w:color="auto" w:fill="auto"/>
        <w:bidi w:val="0"/>
        <w:spacing w:before="0" w:after="40" w:line="240" w:lineRule="auto"/>
        <w:ind w:left="0" w:right="0" w:firstLine="0"/>
        <w:jc w:val="right"/>
        <w:rPr>
          <w:sz w:val="18"/>
          <w:szCs w:val="18"/>
        </w:rPr>
        <w:sectPr>
          <w:footnotePr>
            <w:pos w:val="pageBottom"/>
            <w:numFmt w:val="decimal"/>
            <w:numRestart w:val="continuous"/>
          </w:footnotePr>
          <w:pgSz w:w="11900" w:h="16840"/>
          <w:pgMar w:top="1374" w:right="1102" w:bottom="1264" w:left="1112"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8"/>
          <w:szCs w:val="18"/>
        </w:rPr>
        <w:t xml:space="preserve">89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224</w:t>
      </w:r>
    </w:p>
    <w:p>
      <w:pPr>
        <w:pStyle w:val="Style17"/>
        <w:keepNext w:val="0"/>
        <w:keepLines w:val="0"/>
        <w:widowControl w:val="0"/>
        <w:shd w:val="clear" w:color="auto" w:fill="auto"/>
        <w:bidi w:val="0"/>
        <w:spacing w:before="0" w:after="0" w:line="472" w:lineRule="exact"/>
        <w:ind w:left="0" w:right="0" w:firstLine="0"/>
        <w:jc w:val="both"/>
        <w:rPr>
          <w:sz w:val="22"/>
          <w:szCs w:val="22"/>
        </w:rPr>
      </w:pPr>
      <w:r>
        <w:rPr>
          <w:color w:val="000000"/>
          <w:spacing w:val="0"/>
          <w:w w:val="100"/>
          <w:position w:val="0"/>
          <w:sz w:val="22"/>
          <w:szCs w:val="22"/>
        </w:rPr>
        <w:t>错报的风险高于未能发现由于错误导致的重大错报的风险。</w:t>
      </w:r>
    </w:p>
    <w:p>
      <w:pPr>
        <w:pStyle w:val="Style17"/>
        <w:keepNext w:val="0"/>
        <w:keepLines w:val="0"/>
        <w:widowControl w:val="0"/>
        <w:shd w:val="clear" w:color="auto" w:fill="auto"/>
        <w:tabs>
          <w:tab w:pos="987" w:val="left"/>
        </w:tabs>
        <w:bidi w:val="0"/>
        <w:spacing w:before="0" w:after="0" w:line="472" w:lineRule="exact"/>
        <w:ind w:left="0" w:right="0" w:firstLine="440"/>
        <w:jc w:val="both"/>
        <w:rPr>
          <w:sz w:val="22"/>
          <w:szCs w:val="22"/>
        </w:rPr>
      </w:pPr>
      <w:bookmarkStart w:id="654" w:name="bookmark654"/>
      <w:r>
        <w:rPr>
          <w:color w:val="000000"/>
          <w:spacing w:val="0"/>
          <w:w w:val="100"/>
          <w:position w:val="0"/>
          <w:sz w:val="22"/>
          <w:szCs w:val="22"/>
        </w:rPr>
        <w:t>（</w:t>
      </w:r>
      <w:bookmarkEnd w:id="654"/>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w:t>
        <w:tab/>
        <w:t>了解与审计相关的内部控制，以设计恰当的审计程序。</w:t>
      </w:r>
    </w:p>
    <w:p>
      <w:pPr>
        <w:pStyle w:val="Style17"/>
        <w:keepNext w:val="0"/>
        <w:keepLines w:val="0"/>
        <w:widowControl w:val="0"/>
        <w:shd w:val="clear" w:color="auto" w:fill="auto"/>
        <w:tabs>
          <w:tab w:pos="987" w:val="left"/>
        </w:tabs>
        <w:bidi w:val="0"/>
        <w:spacing w:before="0" w:after="0" w:line="472" w:lineRule="exact"/>
        <w:ind w:left="0" w:right="0" w:firstLine="440"/>
        <w:jc w:val="both"/>
        <w:rPr>
          <w:sz w:val="22"/>
          <w:szCs w:val="22"/>
        </w:rPr>
      </w:pPr>
      <w:bookmarkStart w:id="655" w:name="bookmark655"/>
      <w:r>
        <w:rPr>
          <w:color w:val="000000"/>
          <w:spacing w:val="0"/>
          <w:w w:val="100"/>
          <w:position w:val="0"/>
          <w:sz w:val="22"/>
          <w:szCs w:val="22"/>
        </w:rPr>
        <w:t>（</w:t>
      </w:r>
      <w:bookmarkEnd w:id="655"/>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w:t>
        <w:tab/>
        <w:t>评价管理层选用会计政策的恰当性和作出会计估计及相关披露的合理性。</w:t>
      </w:r>
    </w:p>
    <w:p>
      <w:pPr>
        <w:pStyle w:val="Style17"/>
        <w:keepNext w:val="0"/>
        <w:keepLines w:val="0"/>
        <w:widowControl w:val="0"/>
        <w:shd w:val="clear" w:color="auto" w:fill="auto"/>
        <w:tabs>
          <w:tab w:pos="1085" w:val="left"/>
        </w:tabs>
        <w:bidi w:val="0"/>
        <w:spacing w:before="0" w:after="0" w:line="472" w:lineRule="exact"/>
        <w:ind w:left="0" w:right="0" w:firstLine="440"/>
        <w:jc w:val="both"/>
        <w:rPr>
          <w:sz w:val="22"/>
          <w:szCs w:val="22"/>
        </w:rPr>
      </w:pPr>
      <w:bookmarkStart w:id="656" w:name="bookmark656"/>
      <w:r>
        <w:rPr>
          <w:color w:val="000000"/>
          <w:spacing w:val="0"/>
          <w:w w:val="100"/>
          <w:position w:val="0"/>
          <w:sz w:val="22"/>
          <w:szCs w:val="22"/>
        </w:rPr>
        <w:t>（</w:t>
      </w:r>
      <w:bookmarkEnd w:id="656"/>
      <w:r>
        <w:rPr>
          <w:rFonts w:ascii="Arial Narrow" w:eastAsia="Arial Narrow" w:hAnsi="Arial Narrow" w:cs="Arial Narrow"/>
          <w:color w:val="000000"/>
          <w:spacing w:val="0"/>
          <w:w w:val="100"/>
          <w:position w:val="0"/>
          <w:sz w:val="24"/>
          <w:szCs w:val="24"/>
        </w:rPr>
        <w:t>4</w:t>
      </w:r>
      <w:r>
        <w:rPr>
          <w:color w:val="000000"/>
          <w:spacing w:val="0"/>
          <w:w w:val="100"/>
          <w:position w:val="0"/>
          <w:sz w:val="22"/>
          <w:szCs w:val="22"/>
        </w:rPr>
        <w:t>）</w:t>
        <w:tab/>
        <w:t>对管理层使用持续经营假设的恰当性得出结论。同时，根据获取的审计证据，就可 能导致对东旭蓝天持续经营能力产生重大疑虑的事项或情况是否存在重大不确定性得出结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论基于截至审计报告日可获得的信息。然而，未来的事项或情况可能导致东旭蓝天不能持续 经营。</w:t>
      </w:r>
    </w:p>
    <w:p>
      <w:pPr>
        <w:pStyle w:val="Style17"/>
        <w:keepNext w:val="0"/>
        <w:keepLines w:val="0"/>
        <w:widowControl w:val="0"/>
        <w:shd w:val="clear" w:color="auto" w:fill="auto"/>
        <w:tabs>
          <w:tab w:pos="1075" w:val="left"/>
        </w:tabs>
        <w:bidi w:val="0"/>
        <w:spacing w:before="0" w:after="0" w:line="475" w:lineRule="exact"/>
        <w:ind w:left="0" w:right="0" w:firstLine="440"/>
        <w:jc w:val="both"/>
        <w:rPr>
          <w:sz w:val="22"/>
          <w:szCs w:val="22"/>
        </w:rPr>
      </w:pPr>
      <w:bookmarkStart w:id="657" w:name="bookmark657"/>
      <w:r>
        <w:rPr>
          <w:color w:val="000000"/>
          <w:spacing w:val="0"/>
          <w:w w:val="100"/>
          <w:position w:val="0"/>
          <w:sz w:val="22"/>
          <w:szCs w:val="22"/>
        </w:rPr>
        <w:t>（</w:t>
      </w:r>
      <w:bookmarkEnd w:id="657"/>
      <w:r>
        <w:rPr>
          <w:rFonts w:ascii="Arial Narrow" w:eastAsia="Arial Narrow" w:hAnsi="Arial Narrow" w:cs="Arial Narrow"/>
          <w:color w:val="000000"/>
          <w:spacing w:val="0"/>
          <w:w w:val="100"/>
          <w:position w:val="0"/>
          <w:sz w:val="24"/>
          <w:szCs w:val="24"/>
        </w:rPr>
        <w:t>5</w:t>
      </w:r>
      <w:r>
        <w:rPr>
          <w:color w:val="000000"/>
          <w:spacing w:val="0"/>
          <w:w w:val="100"/>
          <w:position w:val="0"/>
          <w:sz w:val="22"/>
          <w:szCs w:val="22"/>
        </w:rPr>
        <w:t>）</w:t>
        <w:tab/>
        <w:t>评价财务报表的总体列报、结构和内容，并评价财务报表是否公允反映相关交易和 事项。</w:t>
      </w:r>
    </w:p>
    <w:p>
      <w:pPr>
        <w:pStyle w:val="Style17"/>
        <w:keepNext w:val="0"/>
        <w:keepLines w:val="0"/>
        <w:widowControl w:val="0"/>
        <w:shd w:val="clear" w:color="auto" w:fill="auto"/>
        <w:bidi w:val="0"/>
        <w:spacing w:before="0" w:after="520" w:line="494" w:lineRule="exact"/>
        <w:ind w:left="0" w:right="0" w:firstLine="440"/>
        <w:jc w:val="both"/>
        <w:rPr>
          <w:sz w:val="22"/>
          <w:szCs w:val="22"/>
        </w:rPr>
      </w:pPr>
      <w:bookmarkStart w:id="658" w:name="bookmark658"/>
      <w:r>
        <w:rPr>
          <w:color w:val="000000"/>
          <w:spacing w:val="0"/>
          <w:w w:val="100"/>
          <w:position w:val="0"/>
          <w:sz w:val="22"/>
          <w:szCs w:val="22"/>
        </w:rPr>
        <w:t>（</w:t>
      </w:r>
      <w:bookmarkEnd w:id="658"/>
      <w:r>
        <w:rPr>
          <w:rFonts w:ascii="Arial Narrow" w:eastAsia="Arial Narrow" w:hAnsi="Arial Narrow" w:cs="Arial Narrow"/>
          <w:color w:val="000000"/>
          <w:spacing w:val="0"/>
          <w:w w:val="100"/>
          <w:position w:val="0"/>
          <w:sz w:val="24"/>
          <w:szCs w:val="24"/>
        </w:rPr>
        <w:t>6</w:t>
      </w:r>
      <w:r>
        <w:rPr>
          <w:color w:val="000000"/>
          <w:spacing w:val="0"/>
          <w:w w:val="100"/>
          <w:position w:val="0"/>
          <w:sz w:val="22"/>
          <w:szCs w:val="22"/>
        </w:rPr>
        <w:t>） 就东旭蓝天中实体或业务活动的财务信息获取充分、适当的审计证据，以对财务报 表发表审计意见。我们负责指导、监督和执行集团审计，并对审计意见承担全部责任。</w:t>
      </w:r>
    </w:p>
    <w:p>
      <w:pPr>
        <w:pStyle w:val="Style17"/>
        <w:keepNext w:val="0"/>
        <w:keepLines w:val="0"/>
        <w:widowControl w:val="0"/>
        <w:shd w:val="clear" w:color="auto" w:fill="auto"/>
        <w:bidi w:val="0"/>
        <w:spacing w:before="0" w:after="0" w:line="466" w:lineRule="exact"/>
        <w:ind w:left="0" w:right="0" w:firstLine="440"/>
        <w:jc w:val="both"/>
        <w:rPr>
          <w:sz w:val="22"/>
          <w:szCs w:val="22"/>
        </w:rPr>
      </w:pPr>
      <w:r>
        <w:rPr>
          <w:color w:val="000000"/>
          <w:spacing w:val="0"/>
          <w:w w:val="100"/>
          <w:position w:val="0"/>
          <w:sz w:val="22"/>
          <w:szCs w:val="22"/>
        </w:rPr>
        <w:t>我们与治理层就计划的审计范围、时间安排和重大审计发现等事项进行沟通，包括沟通 我们在审计中识别出的值得关注的内部控制缺陷。</w:t>
      </w:r>
    </w:p>
    <w:p>
      <w:pPr>
        <w:pStyle w:val="Style17"/>
        <w:keepNext w:val="0"/>
        <w:keepLines w:val="0"/>
        <w:widowControl w:val="0"/>
        <w:shd w:val="clear" w:color="auto" w:fill="auto"/>
        <w:bidi w:val="0"/>
        <w:spacing w:before="0" w:after="0" w:line="466" w:lineRule="exact"/>
        <w:ind w:left="0" w:right="0" w:firstLine="440"/>
        <w:jc w:val="both"/>
        <w:rPr>
          <w:sz w:val="22"/>
          <w:szCs w:val="22"/>
        </w:rPr>
      </w:pPr>
      <w:r>
        <w:rPr>
          <w:color w:val="000000"/>
          <w:spacing w:val="0"/>
          <w:w w:val="100"/>
          <w:position w:val="0"/>
          <w:sz w:val="22"/>
          <w:szCs w:val="22"/>
        </w:rPr>
        <w:t>我们还就遵守与独立性相关的职业道德要求向治理层提供声明，并与治理层沟通可能被 合理认为影响我们独立性的所有关系和其他事项，以及相关的防范措施（如适用）。</w:t>
      </w:r>
    </w:p>
    <w:p>
      <w:pPr>
        <w:pStyle w:val="Style17"/>
        <w:keepNext w:val="0"/>
        <w:keepLines w:val="0"/>
        <w:widowControl w:val="0"/>
        <w:shd w:val="clear" w:color="auto" w:fill="auto"/>
        <w:bidi w:val="0"/>
        <w:spacing w:before="0" w:after="1100" w:line="467" w:lineRule="exact"/>
        <w:ind w:left="0" w:right="0" w:firstLine="440"/>
        <w:jc w:val="both"/>
        <w:rPr>
          <w:sz w:val="22"/>
          <w:szCs w:val="22"/>
        </w:r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（此页无正文，仅为签字盖章页）</w:t>
      </w:r>
      <w:r>
        <w:br w:type="page"/>
      </w:r>
    </w:p>
    <w:p>
      <w:pPr>
        <w:pStyle w:val="Style17"/>
        <w:keepNext w:val="0"/>
        <w:keepLines w:val="0"/>
        <w:widowControl w:val="0"/>
        <w:shd w:val="clear" w:color="auto" w:fill="auto"/>
        <w:tabs>
          <w:tab w:pos="4694" w:val="left"/>
        </w:tabs>
        <w:bidi w:val="0"/>
        <w:spacing w:before="0" w:after="420" w:line="240" w:lineRule="auto"/>
        <w:ind w:left="0" w:right="0" w:firstLine="0"/>
        <w:jc w:val="left"/>
        <w:rPr>
          <w:sz w:val="22"/>
          <w:szCs w:val="22"/>
        </w:rPr>
      </w:pPr>
      <w:r>
        <w:rPr>
          <w:color w:val="000000"/>
          <w:spacing w:val="0"/>
          <w:w w:val="100"/>
          <w:position w:val="0"/>
          <w:sz w:val="22"/>
          <w:szCs w:val="22"/>
        </w:rPr>
        <w:t>中兴财光华会计师事务所</w:t>
        <w:tab/>
        <w:t>中国注册会计师：</w:t>
      </w:r>
    </w:p>
    <w:p>
      <w:pPr>
        <w:pStyle w:val="Style17"/>
        <w:keepNext w:val="0"/>
        <w:keepLines w:val="0"/>
        <w:widowControl w:val="0"/>
        <w:shd w:val="clear" w:color="auto" w:fill="auto"/>
        <w:bidi w:val="0"/>
        <w:spacing w:before="0" w:after="1200" w:line="240" w:lineRule="auto"/>
        <w:ind w:left="0" w:right="0" w:firstLine="240"/>
        <w:jc w:val="left"/>
        <w:rPr>
          <w:sz w:val="22"/>
          <w:szCs w:val="22"/>
        </w:rPr>
      </w:pPr>
      <w:r>
        <mc:AlternateContent>
          <mc:Choice Requires="wps">
            <w:drawing>
              <wp:anchor distT="0" distB="1557655" distL="431165" distR="114300" simplePos="0" relativeHeight="125829378" behindDoc="0" locked="0" layoutInCell="1" allowOverlap="1">
                <wp:simplePos x="0" y="0"/>
                <wp:positionH relativeFrom="page">
                  <wp:posOffset>5746750</wp:posOffset>
                </wp:positionH>
                <wp:positionV relativeFrom="paragraph">
                  <wp:posOffset>12700</wp:posOffset>
                </wp:positionV>
                <wp:extent cx="1078865" cy="182880"/>
                <wp:wrapSquare wrapText="left"/>
                <wp:docPr id="4" name="Shape 4"/>
                <a:graphic xmlns:a="http://schemas.openxmlformats.org/drawingml/2006/main">
                  <a:graphicData uri="http://schemas.microsoft.com/office/word/2010/wordprocessingShape">
                    <wps:wsp>
                      <wps:cNvSpPr txBox="1"/>
                      <wps:spPr>
                        <a:xfrm>
                          <a:ext cx="1078865" cy="1828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（项目合伙人）</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452.5pt;margin-top:1.pt;width:84.950000000000003pt;height:14.4pt;z-index:-125829375;mso-wrap-distance-left:33.950000000000003pt;mso-wrap-distance-right:9.pt;mso-wrap-distance-bottom:122.65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（项目合伙人）</w:t>
                      </w:r>
                    </w:p>
                  </w:txbxContent>
                </v:textbox>
                <w10:wrap type="square" side="left" anchorx="page"/>
              </v:shape>
            </w:pict>
          </mc:Fallback>
        </mc:AlternateContent>
      </w:r>
      <w:r>
        <mc:AlternateContent>
          <mc:Choice Requires="wps">
            <w:drawing>
              <wp:anchor distT="1548130" distB="635" distL="114300" distR="354965" simplePos="0" relativeHeight="125829380" behindDoc="0" locked="0" layoutInCell="1" allowOverlap="1">
                <wp:simplePos x="0" y="0"/>
                <wp:positionH relativeFrom="page">
                  <wp:posOffset>5429885</wp:posOffset>
                </wp:positionH>
                <wp:positionV relativeFrom="paragraph">
                  <wp:posOffset>1560830</wp:posOffset>
                </wp:positionV>
                <wp:extent cx="1155065" cy="191770"/>
                <wp:wrapSquare wrapText="left"/>
                <wp:docPr id="6" name="Shape 6"/>
                <a:graphic xmlns:a="http://schemas.openxmlformats.org/drawingml/2006/main">
                  <a:graphicData uri="http://schemas.microsoft.com/office/word/2010/wordprocessingShape">
                    <wps:wsp>
                      <wps:cNvSpPr txBox="1"/>
                      <wps:spPr>
                        <a:xfrm>
                          <a:ext cx="1155065" cy="19177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color w:val="000000"/>
                                <w:spacing w:val="0"/>
                                <w:w w:val="100"/>
                                <w:position w:val="0"/>
                                <w:sz w:val="24"/>
                                <w:szCs w:val="24"/>
                              </w:rPr>
                              <w:t>2022</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4</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26</w:t>
                            </w:r>
                            <w:r>
                              <w:rPr>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032" type="#_x0000_t202" style="position:absolute;margin-left:427.55000000000001pt;margin-top:122.90000000000001pt;width:90.950000000000003pt;height:15.1pt;z-index:-125829373;mso-wrap-distance-left:9.pt;mso-wrap-distance-top:121.90000000000001pt;mso-wrap-distance-right:27.949999999999999pt;mso-wrap-distance-bottom:5.0000000000000003e-002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color w:val="000000"/>
                          <w:spacing w:val="0"/>
                          <w:w w:val="100"/>
                          <w:position w:val="0"/>
                          <w:sz w:val="24"/>
                          <w:szCs w:val="24"/>
                        </w:rPr>
                        <w:t>2022</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4</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26</w:t>
                      </w:r>
                      <w:r>
                        <w:rPr>
                          <w:color w:val="000000"/>
                          <w:spacing w:val="0"/>
                          <w:w w:val="100"/>
                          <w:position w:val="0"/>
                          <w:sz w:val="22"/>
                          <w:szCs w:val="22"/>
                        </w:rPr>
                        <w:t>日</w:t>
                      </w:r>
                    </w:p>
                  </w:txbxContent>
                </v:textbox>
                <w10:wrap type="square" side="left" anchorx="page"/>
              </v:shape>
            </w:pict>
          </mc:Fallback>
        </mc:AlternateContent>
      </w:r>
      <w:r>
        <w:rPr>
          <w:color w:val="000000"/>
          <w:spacing w:val="0"/>
          <w:w w:val="100"/>
          <w:position w:val="0"/>
          <w:sz w:val="22"/>
          <w:szCs w:val="22"/>
        </w:rPr>
        <w:t>（特殊普通合伙）</w:t>
      </w:r>
    </w:p>
    <w:p>
      <w:pPr>
        <w:pStyle w:val="Style17"/>
        <w:keepNext w:val="0"/>
        <w:keepLines w:val="0"/>
        <w:widowControl w:val="0"/>
        <w:shd w:val="clear" w:color="auto" w:fill="auto"/>
        <w:bidi w:val="0"/>
        <w:spacing w:before="0" w:after="720" w:line="240" w:lineRule="auto"/>
        <w:ind w:left="0" w:right="0" w:firstLine="0"/>
        <w:jc w:val="center"/>
        <w:rPr>
          <w:sz w:val="22"/>
          <w:szCs w:val="22"/>
        </w:rPr>
      </w:pPr>
      <w:r>
        <w:rPr>
          <w:color w:val="000000"/>
          <w:spacing w:val="0"/>
          <w:w w:val="100"/>
          <w:position w:val="0"/>
          <w:sz w:val="22"/>
          <w:szCs w:val="22"/>
        </w:rPr>
        <w:t>中国注册会计师:</w:t>
      </w:r>
    </w:p>
    <w:p>
      <w:pPr>
        <w:pStyle w:val="Style17"/>
        <w:keepNext w:val="0"/>
        <w:keepLines w:val="0"/>
        <w:widowControl w:val="0"/>
        <w:shd w:val="clear" w:color="auto" w:fill="auto"/>
        <w:bidi w:val="0"/>
        <w:spacing w:before="0" w:after="7020" w:line="240" w:lineRule="auto"/>
        <w:ind w:left="0" w:right="0" w:firstLine="600"/>
        <w:jc w:val="left"/>
        <w:rPr>
          <w:sz w:val="22"/>
          <w:szCs w:val="22"/>
        </w:rPr>
      </w:pP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北京</w:t>
      </w:r>
    </w:p>
    <w:p>
      <w:pPr>
        <w:pStyle w:val="Style20"/>
        <w:keepNext/>
        <w:keepLines/>
        <w:widowControl w:val="0"/>
        <w:shd w:val="clear" w:color="auto" w:fill="auto"/>
        <w:bidi w:val="0"/>
        <w:spacing w:before="0" w:line="240" w:lineRule="auto"/>
        <w:ind w:left="0" w:right="0" w:firstLine="0"/>
        <w:jc w:val="left"/>
      </w:pPr>
      <w:bookmarkStart w:id="659" w:name="bookmark659"/>
      <w:bookmarkStart w:id="660" w:name="bookmark660"/>
      <w:bookmarkStart w:id="661" w:name="bookmark661"/>
      <w:r>
        <w:rPr>
          <w:color w:val="000000"/>
          <w:spacing w:val="0"/>
          <w:w w:val="100"/>
          <w:position w:val="0"/>
        </w:rPr>
        <w:t>二、财务报表</w:t>
      </w:r>
      <w:bookmarkEnd w:id="659"/>
      <w:bookmarkEnd w:id="660"/>
      <w:bookmarkEnd w:id="66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line="240" w:lineRule="auto"/>
        <w:ind w:left="0" w:right="0" w:firstLine="0"/>
        <w:jc w:val="left"/>
      </w:pPr>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62"/>
      <w:bookmarkEnd w:id="663"/>
      <w:bookmarkEnd w:id="66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编制单位：东旭蓝天新能源股份有限公司</w:t>
      </w:r>
    </w:p>
    <w:p>
      <w:pPr>
        <w:pStyle w:val="Style22"/>
        <w:keepNext w:val="0"/>
        <w:keepLines w:val="0"/>
        <w:widowControl w:val="0"/>
        <w:shd w:val="clear" w:color="auto" w:fill="auto"/>
        <w:bidi w:val="0"/>
        <w:spacing w:before="0" w:after="40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3,386,097,374.70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3,370,043,797.25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41,964,510.31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68,425,836.95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3,283,068,556.19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2,903,702,603.31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10,927,998.57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14,664,194.04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3,754,289,510.70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3,881,705,753.36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550,899,501.39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634,214,523.01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5,509,320.13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85,874,309.18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96,439,466.66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963,573,702.73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1,041,860,994.99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725,796,846.22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862,826,386.68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12,802,492,309.99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12,873,883,556.25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10,086,951.10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9,538,649.27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627,369,141.03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622,331,985.20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1,432,684,408.41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1,493,750,910.15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5,397,974,733.97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5,279,901,076.95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900,256,314.96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656,334,037.30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31,398,710.70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25,887,390.32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346,675,122.08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102,423,778.19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151,397,713.94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4,317,914.63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619,308,170.76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764,642,629.24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250,282,794.38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368,565,269.48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108,391,874.65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118,444,064.62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3,513,582,704.78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3,822,173,629.38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13,350,434,705.01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13,327,285,270.48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26,152,927,015.00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26,201,168,826.73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1,644,157,817.76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1,747,149,315.16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44,167,500.00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3,021,604,852.41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3,125,872,550.73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291,132,282.61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224,776,710.71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13,720,385.92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16,876,923.32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102,072,791.01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99,374,381.17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597,973,264.51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637,336,723.97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249,129,355.36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145,588,982.84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1,786,039.81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2,981,984.85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4,962,960,069.80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3,455,378,111.14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298,999,049.27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421,381,236.23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10,932,620,513.29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9,772,313,452.43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1,866,702,054.65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2,504,442,228.91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247,886,906.58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1,220,571,524.60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1,414,206,771.12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29,597,738.35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35,901,330.03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273,526,907.67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279,078,118.78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3,638,285,131.85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4,233,628,448.84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14,570,905,645.14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14,005,941,901.27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1,486,873,870.00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1,486,873,870.00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10,675,789,931.20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10,675,789,931.20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4,393,825.87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1,932,359.02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216,091,994.43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216,091,994.43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-797,872,419.36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-207,596,526.95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11,585,277,202.14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12,173,091,627.70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-3,255,832.28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22,135,297.76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11,582,021,369.86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12,195,226,925.46</w:t>
            </w:r>
          </w:p>
        </w:tc>
      </w:tr>
    </w:tbl>
    <w:p>
      <w:pPr>
        <w:widowControl w:val="0"/>
        <w:spacing w:line="1" w:lineRule="exact"/>
      </w:pPr>
      <w:r>
        <w:br w:type="page"/>
      </w:r>
    </w:p>
    <w:tbl>
      <w:tblPr>
        <w:tblOverlap w:val="never"/>
        <w:jc w:val="center"/>
        <w:tblLayout w:type="fixed"/>
      </w:tblPr>
      <w:tblGrid>
        <w:gridCol w:w="2971"/>
        <w:gridCol w:w="3302"/>
        <w:gridCol w:w="33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26,152,927,015.00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26,201,168,826.73</w:t>
            </w:r>
          </w:p>
        </w:tc>
      </w:tr>
      <w:tr>
        <w:trPr>
          <w:trHeight w:val="7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法定代表人：赵艳军</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主管会计工作负责人：王正军</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会计机构负责人：王正军</w:t>
            </w:r>
          </w:p>
        </w:tc>
      </w:tr>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665" w:name="bookmark66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、母公司资产负债表</w:t>
            </w:r>
            <w:bookmarkEnd w:id="665"/>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256,119,122.40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264,132,264.76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2,988,186.00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4,009,977.22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24,394.92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2,792,765,894.14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2,786,129,563.11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7,766,431.27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5,013,006.87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3,063,649,611.03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3,055,330,019.66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12,794,180,471.81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13,153,336,184.51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9,169,141.03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4,131,985.20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46,813,250.95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48,477,640.11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2,336,181.53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3,530,017.86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454,390,347.40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170,053,363.16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10,896,016.86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11,227,398.21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14,206,512.44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12,649,454.58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1,340,343,700.00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1,361,308,700.00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14,682,335,622.02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14,774,714,743.63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17,745,985,233.05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17,830,044,763.29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954,459,631.02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884,050,000.00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22,827,066.30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7,261,370.32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1,273,355.00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10,412,871.97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10,475,043.55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62,297,214.71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62,180,525.92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2,374,778,342.22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2,325,389,652.80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70,783,790.27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69,105,496.83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1,786,039.81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1,786,039.81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956,460,952.99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1,505,284,952.60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4,382,486,079.21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4,795,914,900.19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1,394,908,698.75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37,460,237.60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84,495,449.84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1,485,560.09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657,996.30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1,433,854,496.44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628,453,446.14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5,816,340,575.65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5,424,368,346.33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1,486,873,870.00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1,486,873,870.00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10,842,095,949.64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10,842,095,949.64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4,456,680.29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1,973,988.90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146,481,906.33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146,481,906.33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-550,263,748.86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-71,749,297.91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11,929,644,657.40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12,405,676,416.96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17,745,985,233.05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17,830,044,763.29</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3</w:t>
      </w:r>
      <w:bookmarkEnd w:id="668"/>
      <w:r>
        <w:rPr>
          <w:color w:val="000000"/>
          <w:spacing w:val="0"/>
          <w:w w:val="100"/>
          <w:position w:val="0"/>
        </w:rPr>
        <w:t>、合并利润表</w:t>
      </w:r>
      <w:bookmarkEnd w:id="666"/>
      <w:bookmarkEnd w:id="667"/>
      <w:bookmarkEnd w:id="6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3,876,723,009.56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3,471,428,437.98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3,876,723,009.56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3,471,428,437.98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4,070,696,059.26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3,879,469,049.73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3,210,585,634.70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3,017,065,956.14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提取保险责任合同准备金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23,267,714.94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17,310,877.67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9,650,626.98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9,258,625.66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170,238,543.31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171,725,800.07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36,553,365.45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26,008,248.71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620,400,173.88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638,099,541.48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600,402,976.31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658,805,202.06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2,703,595.44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37,003,412.17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167,337,780.85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16,356,028.29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-2,841,656.64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-89,304,863.00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548,301.83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272,542.40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-100,474,228.25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-316,468,579.49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-300,387,132.68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-177,690,435.95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-2,546,379.14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-18,761.71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-432,884,665.56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-975,167,223.61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1,300,888.67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23,048,468.54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132,276,067.62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101,029,765.73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-563,859,844.51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-1,053,148,520.80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39,860,808.40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-12,157,042.74</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-603,720,652.91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-1,040,991,478.06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-603,720,652.91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-1,040,991,478.06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-590,275,892.41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-1,020,892,685.09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-13,444,760.50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-20,098,792.97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2,450,038.25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-185,121.12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2,461,466.85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-157,944.20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2,482,691.39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-107,472.78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2,482,691.39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-107,472.78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-21,224.54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-50,471.42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-21,224.54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-50,471.42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-11,428.60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-27,176.92</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-601,270,614.66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-1,041,176,599.18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-587,814,425.56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-1,021,050,629.29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-13,456,189.10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-20,125,969.89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-0.6866</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法定代表人：赵艳军</w:t>
        <w:tab/>
        <w:t>主管会计工作负责人：王正军</w:t>
        <w:tab/>
        <w:t>会计机构负责人：王正军</w:t>
      </w:r>
    </w:p>
    <w:p>
      <w:pPr>
        <w:pStyle w:val="Style31"/>
        <w:keepNext/>
        <w:keepLines/>
        <w:widowControl w:val="0"/>
        <w:shd w:val="clear" w:color="auto" w:fill="auto"/>
        <w:bidi w:val="0"/>
        <w:spacing w:before="0" w:after="40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4</w:t>
      </w:r>
      <w:bookmarkEnd w:id="672"/>
      <w:r>
        <w:rPr>
          <w:color w:val="000000"/>
          <w:spacing w:val="0"/>
          <w:w w:val="100"/>
          <w:position w:val="0"/>
        </w:rPr>
        <w:t>、母公司利润表</w:t>
      </w:r>
      <w:bookmarkEnd w:id="670"/>
      <w:bookmarkEnd w:id="671"/>
      <w:bookmarkEnd w:id="67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5,606,320.97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2,465,290.04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1,664,389.15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917,511.60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709,461.79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230,707.51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16,656,560.19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12,710,747.22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181,518,770.55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184,126,154.09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181,870,661.36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191,423,741.43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374,773.86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7,317,428.34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120,885,122.10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79,415.41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21,004,943.40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548,301.83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272,542.40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-5,863,788.66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1,990,118.25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-358,989,014.53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-101,441,032.40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-33,421.71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-439,096,107.90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-273,995,279.13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10,000,900.00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41,078,937.46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53,521,934.26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-480,071,508.81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-317,516,313.39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-1,557,057.86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-478,514,450.95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-318,013,842.95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-478,514,450.95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-318,013,842.95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2,482,691.39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-107,472.78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2,482,691.39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-107,472.78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2,482,691.39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-107,472.78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-476,031,759.56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-318,121,315.73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5</w:t>
      </w:r>
      <w:bookmarkEnd w:id="676"/>
      <w:r>
        <w:rPr>
          <w:color w:val="000000"/>
          <w:spacing w:val="0"/>
          <w:w w:val="100"/>
          <w:position w:val="0"/>
        </w:rPr>
        <w:t>、合并现金流量表</w:t>
      </w:r>
      <w:bookmarkEnd w:id="674"/>
      <w:bookmarkEnd w:id="675"/>
      <w:bookmarkEnd w:id="67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4,095,971,556.42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3,609,620,666.21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11,291,376.20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24,293,660.78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68,941,217.80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93,022,758.93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4,176,204,150.42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3,726,937,085.92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3,370,030,505.43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2,669,125,207.59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103,126,802.98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150,683,276.40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62,751,847.36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79,520,580.45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382,543,130.43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279,871,042.19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3,918,452,286.20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3,179,200,106.63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257,751,864.22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547,736,979.29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1,195,945.04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64,048.59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127,090,853.74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24,465,000.00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347,196,603.31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152,751,798.78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347,260,651.90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296,151,595.34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389,949,166.58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70,284,155.02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227,190,554.91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194,136,472.51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366,435,750.36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1,311,276,194.00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-213,683,951.58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-964,015,542.10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50,487,419.63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1,885,613.10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1,067,091,051.75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664,885,613.10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1,117,578,471.38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310,034,351.61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423,585,491.38</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40,090,892.47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192,664,335.82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258,819,198.93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441,105,027.61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608,944,443.01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1,057,354,854.81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55,941,170.09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60,223,616.57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-570,088.37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-1,341,565.57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99,438,994.36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-357,396,511.81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300,055,261.55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657,451,773.36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399,494,255.91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300,055,261.55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6</w:t>
      </w:r>
      <w:bookmarkEnd w:id="680"/>
      <w:r>
        <w:rPr>
          <w:color w:val="000000"/>
          <w:spacing w:val="0"/>
          <w:w w:val="100"/>
          <w:position w:val="0"/>
        </w:rPr>
        <w:t>、母公司现金流量表</w:t>
      </w:r>
      <w:bookmarkEnd w:id="678"/>
      <w:bookmarkEnd w:id="679"/>
      <w:bookmarkEnd w:id="68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3,098,903.79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13,865,246.10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15,247,436.27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24,837,096.97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18,346,340.06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38,702,343.07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10,808,622.67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3,179,417.22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9,446,629.58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4,736,342.71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862,809.79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541,966.75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10,626,322.85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27,666,894.94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31,744,384.89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36,124,621.62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-13,398,044.83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2,577,721.45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262,653.00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7,612,500.00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7,875,153.00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112,615,048.83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4,223,213.99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40,964,691.06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4,223,213.99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154,294,739.89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-4,214,213.99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-146,419,586.89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136,063,932.28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352,386,341.42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336,063,932.28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352,386,341.42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115,460,000.00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22,955,439.72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93,275,333.79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41,076,603.22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208,755,174.79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294,987,329.06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143,631,166.63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277,375,070.24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-210,698.81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7,177,126.75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7,387,825.56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284,552,196.99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7,177,126.75</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7</w:t>
      </w:r>
      <w:bookmarkEnd w:id="684"/>
      <w:r>
        <w:rPr>
          <w:color w:val="000000"/>
          <w:spacing w:val="0"/>
          <w:w w:val="100"/>
          <w:position w:val="0"/>
        </w:rPr>
        <w:t>、合并所有者权益变动表</w:t>
      </w:r>
      <w:bookmarkEnd w:id="682"/>
      <w:bookmarkEnd w:id="683"/>
      <w:bookmarkEnd w:id="68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96,526</w:t>
            </w:r>
          </w:p>
          <w:p>
            <w:pPr>
              <w:pStyle w:val="Style2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12,173 ,091,6 </w:t>
            </w:r>
            <w:r>
              <w:rPr>
                <w:rFonts w:ascii="Times New Roman" w:eastAsia="Times New Roman" w:hAnsi="Times New Roman" w:cs="Times New Roman"/>
                <w:color w:val="000000"/>
                <w:spacing w:val="0"/>
                <w:w w:val="100"/>
                <w:position w:val="0"/>
                <w:sz w:val="18"/>
                <w:szCs w:val="18"/>
              </w:rPr>
              <w:t>27.70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22,135 </w:t>
            </w:r>
            <w:r>
              <w:rPr>
                <w:rFonts w:ascii="Times New Roman" w:eastAsia="Times New Roman" w:hAnsi="Times New Roman" w:cs="Times New Roman"/>
                <w:color w:val="000000"/>
                <w:spacing w:val="0"/>
                <w:w w:val="100"/>
                <w:position w:val="0"/>
                <w:sz w:val="18"/>
                <w:szCs w:val="18"/>
              </w:rPr>
              <w:t xml:space="preserve">,297.7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12,195 ,226,9 </w:t>
            </w:r>
            <w:r>
              <w:rPr>
                <w:rFonts w:ascii="Times New Roman" w:eastAsia="Times New Roman" w:hAnsi="Times New Roman" w:cs="Times New Roman"/>
                <w:color w:val="000000"/>
                <w:spacing w:val="0"/>
                <w:w w:val="100"/>
                <w:position w:val="0"/>
                <w:sz w:val="18"/>
                <w:szCs w:val="18"/>
              </w:rPr>
              <w:t>25.46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96,526</w:t>
            </w:r>
          </w:p>
          <w:p>
            <w:pPr>
              <w:pStyle w:val="Style2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12,173 ,091,6 </w:t>
            </w:r>
            <w:r>
              <w:rPr>
                <w:rFonts w:ascii="Times New Roman" w:eastAsia="Times New Roman" w:hAnsi="Times New Roman" w:cs="Times New Roman"/>
                <w:color w:val="000000"/>
                <w:spacing w:val="0"/>
                <w:w w:val="100"/>
                <w:position w:val="0"/>
                <w:sz w:val="18"/>
                <w:szCs w:val="18"/>
              </w:rPr>
              <w:t>27.70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22,135 </w:t>
            </w:r>
            <w:r>
              <w:rPr>
                <w:rFonts w:ascii="Times New Roman" w:eastAsia="Times New Roman" w:hAnsi="Times New Roman" w:cs="Times New Roman"/>
                <w:color w:val="000000"/>
                <w:spacing w:val="0"/>
                <w:w w:val="100"/>
                <w:position w:val="0"/>
                <w:sz w:val="18"/>
                <w:szCs w:val="18"/>
              </w:rPr>
              <w:t xml:space="preserve">,297.7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12,195 ,226,9 </w:t>
            </w:r>
            <w:r>
              <w:rPr>
                <w:rFonts w:ascii="Times New Roman" w:eastAsia="Times New Roman" w:hAnsi="Times New Roman" w:cs="Times New Roman"/>
                <w:color w:val="000000"/>
                <w:spacing w:val="0"/>
                <w:w w:val="100"/>
                <w:position w:val="0"/>
                <w:sz w:val="18"/>
                <w:szCs w:val="18"/>
              </w:rPr>
              <w:t>25.46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75,892</w:t>
            </w:r>
          </w:p>
          <w:p>
            <w:pPr>
              <w:pStyle w:val="Style2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75,892</w:t>
            </w:r>
          </w:p>
          <w:p>
            <w:pPr>
              <w:pStyle w:val="Style2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70,614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4,393,</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11,585 ,277,2 </w:t>
            </w:r>
            <w:r>
              <w:rPr>
                <w:rFonts w:ascii="Times New Roman" w:eastAsia="Times New Roman" w:hAnsi="Times New Roman" w:cs="Times New Roman"/>
                <w:color w:val="000000"/>
                <w:spacing w:val="0"/>
                <w:w w:val="100"/>
                <w:position w:val="0"/>
                <w:sz w:val="18"/>
                <w:szCs w:val="18"/>
              </w:rPr>
              <w:t>02.14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11,582 ,021,3 69.86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1,031, 098,65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108,612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,088.75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556,846</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02,500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02,500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813,29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108,612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754,345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5"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892,68</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-1,021, </w:t>
            </w:r>
            <w:r>
              <w:rPr>
                <w:rFonts w:ascii="Times New Roman" w:eastAsia="Times New Roman" w:hAnsi="Times New Roman" w:cs="Times New Roman"/>
                <w:color w:val="000000"/>
                <w:spacing w:val="0"/>
                <w:w w:val="100"/>
                <w:position w:val="0"/>
                <w:sz w:val="18"/>
                <w:szCs w:val="18"/>
              </w:rPr>
              <w:t xml:space="preserve">050,62 </w:t>
            </w: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-86,476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892,68</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3"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-1,021, </w:t>
            </w:r>
            <w:r>
              <w:rPr>
                <w:rFonts w:ascii="Times New Roman" w:eastAsia="Times New Roman" w:hAnsi="Times New Roman" w:cs="Times New Roman"/>
                <w:color w:val="000000"/>
                <w:spacing w:val="0"/>
                <w:w w:val="100"/>
                <w:position w:val="0"/>
                <w:sz w:val="18"/>
                <w:szCs w:val="18"/>
              </w:rPr>
              <w:t xml:space="preserve">050,62 </w:t>
            </w: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176,599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-66,350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,821.10</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12,173 ,091,6 </w:t>
            </w:r>
            <w:r>
              <w:rPr>
                <w:rFonts w:ascii="Times New Roman" w:eastAsia="Times New Roman" w:hAnsi="Times New Roman" w:cs="Times New Roman"/>
                <w:color w:val="000000"/>
                <w:spacing w:val="0"/>
                <w:w w:val="100"/>
                <w:position w:val="0"/>
                <w:sz w:val="18"/>
                <w:szCs w:val="18"/>
              </w:rPr>
              <w:t>27.70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8</w:t>
      </w:r>
      <w:bookmarkEnd w:id="688"/>
      <w:r>
        <w:rPr>
          <w:color w:val="000000"/>
          <w:spacing w:val="0"/>
          <w:w w:val="100"/>
          <w:position w:val="0"/>
        </w:rPr>
        <w:t>、母公司所有者权益变动表</w:t>
      </w:r>
      <w:bookmarkEnd w:id="686"/>
      <w:bookmarkEnd w:id="687"/>
      <w:bookmarkEnd w:id="68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1814"/>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73,870.</w:t>
            </w:r>
          </w:p>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10,842,0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95,949.6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12,405,67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73,870.</w:t>
            </w:r>
          </w:p>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10,842,0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95,949.6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-71,749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12,405,67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6,416.96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-478,51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-476,031,7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-478,51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-476,031,7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73,870.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10,842,0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95,949.6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11,929,644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873,87</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095,949</w:t>
            </w:r>
          </w:p>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2,081,4</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146,481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246,264,5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12,723,797,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873,87</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095,949</w:t>
            </w:r>
          </w:p>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2,081,4</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146,481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246,264,5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12,723,797,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-318,121,31</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-318,121,31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873,87</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095,949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12,405,676,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416.96</w:t>
            </w:r>
          </w:p>
        </w:tc>
      </w:tr>
    </w:tbl>
    <w:p>
      <w:pPr>
        <w:widowControl w:val="0"/>
        <w:spacing w:after="159" w:line="1" w:lineRule="exact"/>
      </w:pPr>
    </w:p>
    <w:p>
      <w:pPr>
        <w:pStyle w:val="Style8"/>
        <w:keepNext/>
        <w:keepLines/>
        <w:widowControl w:val="0"/>
        <w:shd w:val="clear" w:color="auto" w:fill="auto"/>
        <w:bidi w:val="0"/>
        <w:spacing w:before="0" w:after="360" w:line="240" w:lineRule="auto"/>
        <w:ind w:left="0" w:right="0" w:firstLine="0"/>
        <w:jc w:val="center"/>
        <w:rPr>
          <w:sz w:val="28"/>
          <w:szCs w:val="28"/>
        </w:rPr>
      </w:pPr>
      <w:bookmarkStart w:id="690" w:name="bookmark690"/>
      <w:bookmarkStart w:id="691" w:name="bookmark691"/>
      <w:bookmarkStart w:id="692" w:name="bookmark692"/>
      <w:r>
        <w:rPr>
          <w:color w:val="000000"/>
          <w:spacing w:val="0"/>
          <w:w w:val="100"/>
          <w:position w:val="0"/>
          <w:sz w:val="28"/>
          <w:szCs w:val="28"/>
        </w:rPr>
        <w:t>财务报表附注</w:t>
      </w:r>
      <w:bookmarkEnd w:id="690"/>
      <w:bookmarkEnd w:id="691"/>
      <w:bookmarkEnd w:id="692"/>
    </w:p>
    <w:p>
      <w:pPr>
        <w:pStyle w:val="Style8"/>
        <w:keepNext/>
        <w:keepLines/>
        <w:widowControl w:val="0"/>
        <w:shd w:val="clear" w:color="auto" w:fill="auto"/>
        <w:bidi w:val="0"/>
        <w:spacing w:before="0" w:after="0" w:line="500" w:lineRule="exact"/>
        <w:ind w:left="0" w:right="0" w:firstLine="420"/>
        <w:jc w:val="both"/>
        <w:rPr>
          <w:sz w:val="20"/>
          <w:szCs w:val="20"/>
        </w:rPr>
      </w:pPr>
      <w:bookmarkStart w:id="693" w:name="bookmark693"/>
      <w:bookmarkStart w:id="694" w:name="bookmark694"/>
      <w:bookmarkStart w:id="695" w:name="bookmark695"/>
      <w:r>
        <w:rPr>
          <w:color w:val="000000"/>
          <w:spacing w:val="0"/>
          <w:w w:val="100"/>
          <w:position w:val="0"/>
          <w:sz w:val="20"/>
          <w:szCs w:val="20"/>
        </w:rPr>
        <w:t>一、公司基本情况</w:t>
      </w:r>
      <w:bookmarkEnd w:id="693"/>
      <w:bookmarkEnd w:id="694"/>
      <w:bookmarkEnd w:id="695"/>
    </w:p>
    <w:p>
      <w:pPr>
        <w:pStyle w:val="Style27"/>
        <w:keepNext w:val="0"/>
        <w:keepLines w:val="0"/>
        <w:widowControl w:val="0"/>
        <w:shd w:val="clear" w:color="auto" w:fill="auto"/>
        <w:bidi w:val="0"/>
        <w:spacing w:before="0" w:after="0" w:line="500" w:lineRule="exact"/>
        <w:ind w:left="0" w:right="0" w:firstLine="360"/>
        <w:jc w:val="both"/>
        <w:rPr>
          <w:sz w:val="17"/>
          <w:szCs w:val="17"/>
        </w:rPr>
      </w:pPr>
      <w:r>
        <w:rPr>
          <w:color w:val="000000"/>
          <w:spacing w:val="0"/>
          <w:w w:val="100"/>
          <w:position w:val="0"/>
          <w:sz w:val="17"/>
          <w:szCs w:val="17"/>
        </w:rPr>
        <w:t>东旭蓝天新能源股份有限公司（以下简称“本公司”或“公司”）是于</w:t>
      </w:r>
      <w:r>
        <w:rPr>
          <w:rFonts w:ascii="Arial Narrow" w:eastAsia="Arial Narrow" w:hAnsi="Arial Narrow" w:cs="Arial Narrow"/>
          <w:color w:val="000000"/>
          <w:spacing w:val="0"/>
          <w:w w:val="100"/>
          <w:position w:val="0"/>
          <w:sz w:val="18"/>
          <w:szCs w:val="18"/>
        </w:rPr>
        <w:t>1993</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日经深府办复</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1993]926</w:t>
      </w:r>
      <w:r>
        <w:rPr>
          <w:color w:val="000000"/>
          <w:spacing w:val="0"/>
          <w:w w:val="100"/>
          <w:position w:val="0"/>
          <w:sz w:val="17"/>
          <w:szCs w:val="17"/>
        </w:rPr>
        <w:t>号文批准在原深 圳市鸿基运输实业股份有限公司的基础上改组设立的公众公司。</w:t>
      </w:r>
      <w:r>
        <w:rPr>
          <w:rFonts w:ascii="Arial Narrow" w:eastAsia="Arial Narrow" w:hAnsi="Arial Narrow" w:cs="Arial Narrow"/>
          <w:color w:val="000000"/>
          <w:spacing w:val="0"/>
          <w:w w:val="100"/>
          <w:position w:val="0"/>
          <w:sz w:val="18"/>
          <w:szCs w:val="18"/>
        </w:rPr>
        <w:t>1994</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8</w:t>
      </w:r>
      <w:r>
        <w:rPr>
          <w:color w:val="000000"/>
          <w:spacing w:val="0"/>
          <w:w w:val="100"/>
          <w:position w:val="0"/>
          <w:sz w:val="17"/>
          <w:szCs w:val="17"/>
        </w:rPr>
        <w:t>日经深证办复</w:t>
      </w:r>
      <w:r>
        <w:rPr>
          <w:rFonts w:ascii="Arial Narrow" w:eastAsia="Arial Narrow" w:hAnsi="Arial Narrow" w:cs="Arial Narrow"/>
          <w:color w:val="000000"/>
          <w:spacing w:val="0"/>
          <w:w w:val="100"/>
          <w:position w:val="0"/>
          <w:sz w:val="18"/>
          <w:szCs w:val="18"/>
        </w:rPr>
        <w:t>[1994]40</w:t>
      </w:r>
      <w:r>
        <w:rPr>
          <w:color w:val="000000"/>
          <w:spacing w:val="0"/>
          <w:w w:val="100"/>
          <w:position w:val="0"/>
          <w:sz w:val="17"/>
          <w:szCs w:val="17"/>
        </w:rPr>
        <w:t>号文批准，向社会公众公开发 行人民币普通股股票，并于同年在深圳证券交易所挂牌上市。</w:t>
      </w:r>
      <w:r>
        <w:rPr>
          <w:rFonts w:ascii="Arial Narrow" w:eastAsia="Arial Narrow" w:hAnsi="Arial Narrow" w:cs="Arial Narrow"/>
          <w:color w:val="000000"/>
          <w:spacing w:val="0"/>
          <w:w w:val="100"/>
          <w:position w:val="0"/>
          <w:sz w:val="18"/>
          <w:szCs w:val="18"/>
        </w:rPr>
        <w:t>1995</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1997</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8</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1999</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7</w:t>
      </w:r>
      <w:r>
        <w:rPr>
          <w:color w:val="000000"/>
          <w:spacing w:val="0"/>
          <w:w w:val="100"/>
          <w:position w:val="0"/>
          <w:sz w:val="17"/>
          <w:szCs w:val="17"/>
        </w:rPr>
        <w:t>月分别实施了增资配股、 分红派息和公积金转增股本，截至</w:t>
      </w:r>
      <w:r>
        <w:rPr>
          <w:rFonts w:ascii="Arial Narrow" w:eastAsia="Arial Narrow" w:hAnsi="Arial Narrow" w:cs="Arial Narrow"/>
          <w:color w:val="000000"/>
          <w:spacing w:val="0"/>
          <w:w w:val="100"/>
          <w:position w:val="0"/>
          <w:sz w:val="18"/>
          <w:szCs w:val="18"/>
        </w:rPr>
        <w:t>2004</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日止，总股本为</w:t>
      </w:r>
      <w:r>
        <w:rPr>
          <w:rFonts w:ascii="Arial Narrow" w:eastAsia="Arial Narrow" w:hAnsi="Arial Narrow" w:cs="Arial Narrow"/>
          <w:color w:val="000000"/>
          <w:spacing w:val="0"/>
          <w:w w:val="100"/>
          <w:position w:val="0"/>
          <w:sz w:val="18"/>
          <w:szCs w:val="18"/>
        </w:rPr>
        <w:t>469,593,364.00</w:t>
      </w:r>
      <w:r>
        <w:rPr>
          <w:color w:val="000000"/>
          <w:spacing w:val="0"/>
          <w:w w:val="100"/>
          <w:position w:val="0"/>
          <w:sz w:val="17"/>
          <w:szCs w:val="17"/>
        </w:rPr>
        <w:t>元。</w:t>
      </w:r>
    </w:p>
    <w:p>
      <w:pPr>
        <w:pStyle w:val="Style27"/>
        <w:keepNext w:val="0"/>
        <w:keepLines w:val="0"/>
        <w:widowControl w:val="0"/>
        <w:shd w:val="clear" w:color="auto" w:fill="auto"/>
        <w:bidi w:val="0"/>
        <w:spacing w:before="0" w:after="0" w:line="500" w:lineRule="exact"/>
        <w:ind w:left="0" w:right="0" w:firstLine="360"/>
        <w:jc w:val="both"/>
        <w:rPr>
          <w:sz w:val="17"/>
          <w:szCs w:val="17"/>
        </w:rPr>
      </w:pPr>
      <w:r>
        <w:rPr>
          <w:rFonts w:ascii="Arial Narrow" w:eastAsia="Arial Narrow" w:hAnsi="Arial Narrow" w:cs="Arial Narrow"/>
          <w:color w:val="000000"/>
          <w:spacing w:val="0"/>
          <w:w w:val="100"/>
          <w:position w:val="0"/>
          <w:sz w:val="18"/>
          <w:szCs w:val="18"/>
        </w:rPr>
        <w:t>2015</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8</w:t>
      </w:r>
      <w:r>
        <w:rPr>
          <w:color w:val="000000"/>
          <w:spacing w:val="0"/>
          <w:w w:val="100"/>
          <w:position w:val="0"/>
          <w:sz w:val="17"/>
          <w:szCs w:val="17"/>
        </w:rPr>
        <w:t>月，东旭集团有限公司（以下简称“东旭集团”）通过收购中国宝安集团控股有限公司所持有的本公司</w:t>
      </w:r>
      <w:r>
        <w:rPr>
          <w:rFonts w:ascii="Arial Narrow" w:eastAsia="Arial Narrow" w:hAnsi="Arial Narrow" w:cs="Arial Narrow"/>
          <w:color w:val="000000"/>
          <w:spacing w:val="0"/>
          <w:w w:val="100"/>
          <w:position w:val="0"/>
          <w:sz w:val="18"/>
          <w:szCs w:val="18"/>
        </w:rPr>
        <w:t>14.99%</w:t>
      </w:r>
      <w:r>
        <w:rPr>
          <w:color w:val="000000"/>
          <w:spacing w:val="0"/>
          <w:w w:val="100"/>
          <w:position w:val="0"/>
          <w:sz w:val="17"/>
          <w:szCs w:val="17"/>
        </w:rPr>
        <w:t>股份， 成为本公司第一大股东，</w:t>
      </w:r>
      <w:r>
        <w:rPr>
          <w:rFonts w:ascii="Arial Narrow" w:eastAsia="Arial Narrow" w:hAnsi="Arial Narrow" w:cs="Arial Narrow"/>
          <w:color w:val="000000"/>
          <w:spacing w:val="0"/>
          <w:w w:val="100"/>
          <w:position w:val="0"/>
          <w:sz w:val="18"/>
          <w:szCs w:val="18"/>
        </w:rPr>
        <w:t>2015</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9</w:t>
      </w:r>
      <w:r>
        <w:rPr>
          <w:color w:val="000000"/>
          <w:spacing w:val="0"/>
          <w:w w:val="100"/>
          <w:position w:val="0"/>
          <w:sz w:val="17"/>
          <w:szCs w:val="17"/>
        </w:rPr>
        <w:t>月，东旭集团通过收购深圳东鸿信投资发展有限公司所持有的本公司</w:t>
      </w:r>
      <w:r>
        <w:rPr>
          <w:rFonts w:ascii="Arial Narrow" w:eastAsia="Arial Narrow" w:hAnsi="Arial Narrow" w:cs="Arial Narrow"/>
          <w:color w:val="000000"/>
          <w:spacing w:val="0"/>
          <w:w w:val="100"/>
          <w:position w:val="0"/>
          <w:sz w:val="18"/>
          <w:szCs w:val="18"/>
        </w:rPr>
        <w:t>14.89%</w:t>
      </w:r>
      <w:r>
        <w:rPr>
          <w:color w:val="000000"/>
          <w:spacing w:val="0"/>
          <w:w w:val="100"/>
          <w:position w:val="0"/>
          <w:sz w:val="17"/>
          <w:szCs w:val="17"/>
        </w:rPr>
        <w:t>股份，将其持股比 例增加至</w:t>
      </w:r>
      <w:r>
        <w:rPr>
          <w:rFonts w:ascii="Arial Narrow" w:eastAsia="Arial Narrow" w:hAnsi="Arial Narrow" w:cs="Arial Narrow"/>
          <w:color w:val="000000"/>
          <w:spacing w:val="0"/>
          <w:w w:val="100"/>
          <w:position w:val="0"/>
          <w:sz w:val="18"/>
          <w:szCs w:val="18"/>
        </w:rPr>
        <w:t>29.88%</w:t>
      </w:r>
      <w:r>
        <w:rPr>
          <w:color w:val="000000"/>
          <w:spacing w:val="0"/>
          <w:w w:val="100"/>
          <w:position w:val="0"/>
          <w:sz w:val="17"/>
          <w:szCs w:val="17"/>
        </w:rPr>
        <w:t>。同时于</w:t>
      </w:r>
      <w:r>
        <w:rPr>
          <w:rFonts w:ascii="Arial Narrow" w:eastAsia="Arial Narrow" w:hAnsi="Arial Narrow" w:cs="Arial Narrow"/>
          <w:color w:val="000000"/>
          <w:spacing w:val="0"/>
          <w:w w:val="100"/>
          <w:position w:val="0"/>
          <w:sz w:val="18"/>
          <w:szCs w:val="18"/>
        </w:rPr>
        <w:t>2015</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8</w:t>
      </w:r>
      <w:r>
        <w:rPr>
          <w:color w:val="000000"/>
          <w:spacing w:val="0"/>
          <w:w w:val="100"/>
          <w:position w:val="0"/>
          <w:sz w:val="17"/>
          <w:szCs w:val="17"/>
        </w:rPr>
        <w:t>日公司第八届董事会第六次会议决议，因原董事辞职，公司补选的新董事中一半以上人 员及董事长均为东旭集团选派，东旭集团成为本公司控股股东。</w:t>
      </w:r>
    </w:p>
    <w:p>
      <w:pPr>
        <w:pStyle w:val="Style27"/>
        <w:keepNext w:val="0"/>
        <w:keepLines w:val="0"/>
        <w:widowControl w:val="0"/>
        <w:shd w:val="clear" w:color="auto" w:fill="auto"/>
        <w:bidi w:val="0"/>
        <w:spacing w:before="0" w:after="0" w:line="500" w:lineRule="exact"/>
        <w:ind w:left="0" w:right="0" w:firstLine="360"/>
        <w:jc w:val="both"/>
        <w:rPr>
          <w:sz w:val="17"/>
          <w:szCs w:val="17"/>
        </w:rPr>
      </w:pPr>
      <w:r>
        <w:rPr>
          <w:rFonts w:ascii="Arial Narrow" w:eastAsia="Arial Narrow" w:hAnsi="Arial Narrow" w:cs="Arial Narrow"/>
          <w:color w:val="000000"/>
          <w:spacing w:val="0"/>
          <w:w w:val="100"/>
          <w:position w:val="0"/>
          <w:sz w:val="18"/>
          <w:szCs w:val="18"/>
        </w:rPr>
        <w:t>2016</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18</w:t>
      </w:r>
      <w:r>
        <w:rPr>
          <w:color w:val="000000"/>
          <w:spacing w:val="0"/>
          <w:w w:val="100"/>
          <w:position w:val="0"/>
          <w:sz w:val="17"/>
          <w:szCs w:val="17"/>
        </w:rPr>
        <w:t>日，公司</w:t>
      </w:r>
      <w:r>
        <w:rPr>
          <w:rFonts w:ascii="Arial Narrow" w:eastAsia="Arial Narrow" w:hAnsi="Arial Narrow" w:cs="Arial Narrow"/>
          <w:color w:val="000000"/>
          <w:spacing w:val="0"/>
          <w:w w:val="100"/>
          <w:position w:val="0"/>
          <w:sz w:val="18"/>
          <w:szCs w:val="18"/>
        </w:rPr>
        <w:t>2015</w:t>
      </w:r>
      <w:r>
        <w:rPr>
          <w:color w:val="000000"/>
          <w:spacing w:val="0"/>
          <w:w w:val="100"/>
          <w:position w:val="0"/>
          <w:sz w:val="17"/>
          <w:szCs w:val="17"/>
        </w:rPr>
        <w:t>年度股东大会审议通过了《关于变更公司名称的议案》。公司名称由“宝安鸿基地产集团股份有 限公司”变更为“东旭蓝天新能源股份有限公司”，自</w:t>
      </w:r>
      <w:r>
        <w:rPr>
          <w:rFonts w:ascii="Arial Narrow" w:eastAsia="Arial Narrow" w:hAnsi="Arial Narrow" w:cs="Arial Narrow"/>
          <w:color w:val="000000"/>
          <w:spacing w:val="0"/>
          <w:w w:val="100"/>
          <w:position w:val="0"/>
          <w:sz w:val="18"/>
          <w:szCs w:val="18"/>
        </w:rPr>
        <w:t>2016</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7</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15 </w:t>
      </w:r>
      <w:r>
        <w:rPr>
          <w:rFonts w:ascii="SimHei" w:eastAsia="SimHei" w:hAnsi="SimHei" w:cs="SimHei"/>
          <w:color w:val="000000"/>
          <w:spacing w:val="0"/>
          <w:w w:val="100"/>
          <w:position w:val="0"/>
          <w:sz w:val="19"/>
          <w:szCs w:val="19"/>
        </w:rPr>
        <w:t>0</w:t>
      </w:r>
      <w:r>
        <w:rPr>
          <w:color w:val="000000"/>
          <w:spacing w:val="0"/>
          <w:w w:val="100"/>
          <w:position w:val="0"/>
          <w:sz w:val="17"/>
          <w:szCs w:val="17"/>
        </w:rPr>
        <w:t>起，证券简称由“宝安地产”变更为“东旭蓝天（股票代 码：</w:t>
      </w:r>
      <w:r>
        <w:rPr>
          <w:rFonts w:ascii="Arial Narrow" w:eastAsia="Arial Narrow" w:hAnsi="Arial Narrow" w:cs="Arial Narrow"/>
          <w:color w:val="000000"/>
          <w:spacing w:val="0"/>
          <w:w w:val="100"/>
          <w:position w:val="0"/>
          <w:sz w:val="18"/>
          <w:szCs w:val="18"/>
        </w:rPr>
        <w:t>000040</w:t>
      </w:r>
      <w:r>
        <w:rPr>
          <w:color w:val="000000"/>
          <w:spacing w:val="0"/>
          <w:w w:val="100"/>
          <w:position w:val="0"/>
          <w:sz w:val="17"/>
          <w:szCs w:val="17"/>
        </w:rPr>
        <w:t>）”。</w:t>
      </w:r>
    </w:p>
    <w:p>
      <w:pPr>
        <w:pStyle w:val="Style27"/>
        <w:keepNext w:val="0"/>
        <w:keepLines w:val="0"/>
        <w:widowControl w:val="0"/>
        <w:shd w:val="clear" w:color="auto" w:fill="auto"/>
        <w:bidi w:val="0"/>
        <w:spacing w:before="0" w:after="0" w:line="500" w:lineRule="exact"/>
        <w:ind w:left="0" w:right="0" w:firstLine="360"/>
        <w:jc w:val="both"/>
        <w:rPr>
          <w:sz w:val="17"/>
          <w:szCs w:val="17"/>
        </w:rPr>
      </w:pPr>
      <w:r>
        <w:rPr>
          <w:rFonts w:ascii="Arial Narrow" w:eastAsia="Arial Narrow" w:hAnsi="Arial Narrow" w:cs="Arial Narrow"/>
          <w:color w:val="000000"/>
          <w:spacing w:val="0"/>
          <w:w w:val="100"/>
          <w:position w:val="0"/>
          <w:sz w:val="18"/>
          <w:szCs w:val="18"/>
        </w:rPr>
        <w:t>2016</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16 </w:t>
      </w:r>
      <w:r>
        <w:rPr>
          <w:rFonts w:ascii="SimHei" w:eastAsia="SimHei" w:hAnsi="SimHei" w:cs="SimHei"/>
          <w:color w:val="000000"/>
          <w:spacing w:val="0"/>
          <w:w w:val="100"/>
          <w:position w:val="0"/>
          <w:sz w:val="19"/>
          <w:szCs w:val="19"/>
        </w:rPr>
        <w:t>0,</w:t>
      </w:r>
      <w:r>
        <w:rPr>
          <w:color w:val="000000"/>
          <w:spacing w:val="0"/>
          <w:w w:val="100"/>
          <w:position w:val="0"/>
          <w:sz w:val="17"/>
          <w:szCs w:val="17"/>
        </w:rPr>
        <w:t>根据公司第八届董事会第八次会议、第八届董事会第十三次会议、</w:t>
      </w:r>
      <w:r>
        <w:rPr>
          <w:rFonts w:ascii="Arial Narrow" w:eastAsia="Arial Narrow" w:hAnsi="Arial Narrow" w:cs="Arial Narrow"/>
          <w:color w:val="000000"/>
          <w:spacing w:val="0"/>
          <w:w w:val="100"/>
          <w:position w:val="0"/>
          <w:sz w:val="18"/>
          <w:szCs w:val="18"/>
        </w:rPr>
        <w:t>2015</w:t>
      </w:r>
      <w:r>
        <w:rPr>
          <w:color w:val="000000"/>
          <w:spacing w:val="0"/>
          <w:w w:val="100"/>
          <w:position w:val="0"/>
          <w:sz w:val="17"/>
          <w:szCs w:val="17"/>
        </w:rPr>
        <w:t>年第二次临时股东大会、</w:t>
      </w:r>
      <w:r>
        <w:rPr>
          <w:rFonts w:ascii="Arial Narrow" w:eastAsia="Arial Narrow" w:hAnsi="Arial Narrow" w:cs="Arial Narrow"/>
          <w:color w:val="000000"/>
          <w:spacing w:val="0"/>
          <w:w w:val="100"/>
          <w:position w:val="0"/>
          <w:sz w:val="18"/>
          <w:szCs w:val="18"/>
        </w:rPr>
        <w:t>2016</w:t>
      </w:r>
      <w:r>
        <w:rPr>
          <w:color w:val="000000"/>
          <w:spacing w:val="0"/>
          <w:w w:val="100"/>
          <w:position w:val="0"/>
          <w:sz w:val="17"/>
          <w:szCs w:val="17"/>
        </w:rPr>
        <w:t>年 第二次临时股东大会会议决议以及中国证券监督管理委员会证监许可</w:t>
      </w:r>
      <w:r>
        <w:rPr>
          <w:rFonts w:ascii="Arial Narrow" w:eastAsia="Arial Narrow" w:hAnsi="Arial Narrow" w:cs="Arial Narrow"/>
          <w:color w:val="000000"/>
          <w:spacing w:val="0"/>
          <w:w w:val="100"/>
          <w:position w:val="0"/>
          <w:sz w:val="18"/>
          <w:szCs w:val="18"/>
        </w:rPr>
        <w:t>[2016]808</w:t>
      </w:r>
      <w:r>
        <w:rPr>
          <w:color w:val="000000"/>
          <w:spacing w:val="0"/>
          <w:w w:val="100"/>
          <w:position w:val="0"/>
          <w:sz w:val="17"/>
          <w:szCs w:val="17"/>
        </w:rPr>
        <w:t>号文《关于核准宝安鸿基地产集团股份有限公司非 公开发行股票的批复》，公司通过非公开发行人民币普通股</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A</w:t>
      </w:r>
      <w:r>
        <w:rPr>
          <w:color w:val="000000"/>
          <w:spacing w:val="0"/>
          <w:w w:val="100"/>
          <w:position w:val="0"/>
          <w:sz w:val="17"/>
          <w:szCs w:val="17"/>
        </w:rPr>
        <w:t>股）</w:t>
      </w:r>
      <w:r>
        <w:rPr>
          <w:rFonts w:ascii="Arial Narrow" w:eastAsia="Arial Narrow" w:hAnsi="Arial Narrow" w:cs="Arial Narrow"/>
          <w:color w:val="000000"/>
          <w:spacing w:val="0"/>
          <w:w w:val="100"/>
          <w:position w:val="0"/>
          <w:sz w:val="18"/>
          <w:szCs w:val="18"/>
        </w:rPr>
        <w:t>867,579,908</w:t>
      </w:r>
      <w:r>
        <w:rPr>
          <w:color w:val="000000"/>
          <w:spacing w:val="0"/>
          <w:w w:val="100"/>
          <w:position w:val="0"/>
          <w:sz w:val="17"/>
          <w:szCs w:val="17"/>
        </w:rPr>
        <w:t>股，每股面值</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元，发行价格为</w:t>
      </w:r>
      <w:r>
        <w:rPr>
          <w:rFonts w:ascii="Arial Narrow" w:eastAsia="Arial Narrow" w:hAnsi="Arial Narrow" w:cs="Arial Narrow"/>
          <w:color w:val="000000"/>
          <w:spacing w:val="0"/>
          <w:w w:val="100"/>
          <w:position w:val="0"/>
          <w:sz w:val="18"/>
          <w:szCs w:val="18"/>
        </w:rPr>
        <w:t>10.95</w:t>
      </w:r>
      <w:r>
        <w:rPr>
          <w:color w:val="000000"/>
          <w:spacing w:val="0"/>
          <w:w w:val="100"/>
          <w:position w:val="0"/>
          <w:sz w:val="17"/>
          <w:szCs w:val="17"/>
        </w:rPr>
        <w:t>元</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股，募集 资金总额约人民币</w:t>
      </w:r>
      <w:r>
        <w:rPr>
          <w:rFonts w:ascii="Arial Narrow" w:eastAsia="Arial Narrow" w:hAnsi="Arial Narrow" w:cs="Arial Narrow"/>
          <w:color w:val="000000"/>
          <w:spacing w:val="0"/>
          <w:w w:val="100"/>
          <w:position w:val="0"/>
          <w:sz w:val="18"/>
          <w:szCs w:val="18"/>
        </w:rPr>
        <w:t>9,499,999,992.60</w:t>
      </w:r>
      <w:r>
        <w:rPr>
          <w:color w:val="000000"/>
          <w:spacing w:val="0"/>
          <w:w w:val="100"/>
          <w:position w:val="0"/>
          <w:sz w:val="17"/>
          <w:szCs w:val="17"/>
        </w:rPr>
        <w:t>元，用于投资公司全资子公司东旭新能源投资有限公司下属的</w:t>
      </w:r>
      <w:r>
        <w:rPr>
          <w:rFonts w:ascii="Arial Narrow" w:eastAsia="Arial Narrow" w:hAnsi="Arial Narrow" w:cs="Arial Narrow"/>
          <w:color w:val="000000"/>
          <w:spacing w:val="0"/>
          <w:w w:val="100"/>
          <w:position w:val="0"/>
          <w:sz w:val="18"/>
          <w:szCs w:val="18"/>
        </w:rPr>
        <w:t>17</w:t>
      </w:r>
      <w:r>
        <w:rPr>
          <w:color w:val="000000"/>
          <w:spacing w:val="0"/>
          <w:w w:val="100"/>
          <w:position w:val="0"/>
          <w:sz w:val="17"/>
          <w:szCs w:val="17"/>
        </w:rPr>
        <w:t>个光伏电站项目。本次增发 完成后，公司总股本为</w:t>
      </w:r>
      <w:r>
        <w:rPr>
          <w:rFonts w:ascii="Arial Narrow" w:eastAsia="Arial Narrow" w:hAnsi="Arial Narrow" w:cs="Arial Narrow"/>
          <w:color w:val="000000"/>
          <w:spacing w:val="0"/>
          <w:w w:val="100"/>
          <w:position w:val="0"/>
          <w:sz w:val="18"/>
          <w:szCs w:val="18"/>
        </w:rPr>
        <w:t>1,337,173,272.00</w:t>
      </w:r>
      <w:r>
        <w:rPr>
          <w:color w:val="000000"/>
          <w:spacing w:val="0"/>
          <w:w w:val="100"/>
          <w:position w:val="0"/>
          <w:sz w:val="17"/>
          <w:szCs w:val="17"/>
        </w:rPr>
        <w:t>元，东旭集团持股比例增加至</w:t>
      </w:r>
      <w:r>
        <w:rPr>
          <w:rFonts w:ascii="Arial Narrow" w:eastAsia="Arial Narrow" w:hAnsi="Arial Narrow" w:cs="Arial Narrow"/>
          <w:color w:val="000000"/>
          <w:spacing w:val="0"/>
          <w:w w:val="100"/>
          <w:position w:val="0"/>
          <w:sz w:val="18"/>
          <w:szCs w:val="18"/>
        </w:rPr>
        <w:t>30.98%</w:t>
      </w:r>
      <w:r>
        <w:rPr>
          <w:color w:val="000000"/>
          <w:spacing w:val="0"/>
          <w:w w:val="100"/>
          <w:position w:val="0"/>
          <w:sz w:val="17"/>
          <w:szCs w:val="17"/>
        </w:rPr>
        <w:t>。</w:t>
      </w:r>
    </w:p>
    <w:p>
      <w:pPr>
        <w:pStyle w:val="Style27"/>
        <w:keepNext w:val="0"/>
        <w:keepLines w:val="0"/>
        <w:widowControl w:val="0"/>
        <w:shd w:val="clear" w:color="auto" w:fill="auto"/>
        <w:bidi w:val="0"/>
        <w:spacing w:before="0" w:after="0" w:line="500" w:lineRule="exact"/>
        <w:ind w:left="0" w:right="0" w:firstLine="360"/>
        <w:jc w:val="both"/>
        <w:rPr>
          <w:sz w:val="17"/>
          <w:szCs w:val="17"/>
        </w:rPr>
      </w:pPr>
      <w:r>
        <w:rPr>
          <w:rFonts w:ascii="Arial Narrow" w:eastAsia="Arial Narrow" w:hAnsi="Arial Narrow" w:cs="Arial Narrow"/>
          <w:color w:val="000000"/>
          <w:spacing w:val="0"/>
          <w:w w:val="100"/>
          <w:position w:val="0"/>
          <w:sz w:val="18"/>
          <w:szCs w:val="18"/>
        </w:rPr>
        <w:t>2018</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22 </w:t>
      </w:r>
      <w:r>
        <w:rPr>
          <w:rFonts w:ascii="SimHei" w:eastAsia="SimHei" w:hAnsi="SimHei" w:cs="SimHei"/>
          <w:color w:val="000000"/>
          <w:spacing w:val="0"/>
          <w:w w:val="100"/>
          <w:position w:val="0"/>
          <w:sz w:val="19"/>
          <w:szCs w:val="19"/>
        </w:rPr>
        <w:t>0,</w:t>
      </w:r>
      <w:r>
        <w:rPr>
          <w:color w:val="000000"/>
          <w:spacing w:val="0"/>
          <w:w w:val="100"/>
          <w:position w:val="0"/>
          <w:sz w:val="17"/>
          <w:szCs w:val="17"/>
        </w:rPr>
        <w:t>根据公司第八届董事会第二十五次会议、第八届董事会第四十八次会议、第九届董事会第七次会议、</w:t>
      </w:r>
      <w:r>
        <w:rPr>
          <w:rFonts w:ascii="Arial Narrow" w:eastAsia="Arial Narrow" w:hAnsi="Arial Narrow" w:cs="Arial Narrow"/>
          <w:color w:val="000000"/>
          <w:spacing w:val="0"/>
          <w:w w:val="100"/>
          <w:position w:val="0"/>
          <w:sz w:val="18"/>
          <w:szCs w:val="18"/>
        </w:rPr>
        <w:t xml:space="preserve">2018 </w:t>
      </w:r>
      <w:r>
        <w:rPr>
          <w:color w:val="000000"/>
          <w:spacing w:val="0"/>
          <w:w w:val="100"/>
          <w:position w:val="0"/>
          <w:sz w:val="17"/>
          <w:szCs w:val="17"/>
        </w:rPr>
        <w:t>年第九次临时股东大会会议决议以及中国证券监督管理委员会证监许可</w:t>
      </w:r>
      <w:r>
        <w:rPr>
          <w:rFonts w:ascii="Arial Narrow" w:eastAsia="Arial Narrow" w:hAnsi="Arial Narrow" w:cs="Arial Narrow"/>
          <w:color w:val="000000"/>
          <w:spacing w:val="0"/>
          <w:w w:val="100"/>
          <w:position w:val="0"/>
          <w:sz w:val="18"/>
          <w:szCs w:val="18"/>
        </w:rPr>
        <w:t>[2018]877</w:t>
      </w:r>
      <w:r>
        <w:rPr>
          <w:color w:val="000000"/>
          <w:spacing w:val="0"/>
          <w:w w:val="100"/>
          <w:position w:val="0"/>
          <w:sz w:val="17"/>
          <w:szCs w:val="17"/>
        </w:rPr>
        <w:t>号文《关于核准东旭蓝天新能源股份有限公司非 公开发行股票的批复》，公司通过非公开发行人民币普通股</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A</w:t>
      </w:r>
      <w:r>
        <w:rPr>
          <w:color w:val="000000"/>
          <w:spacing w:val="0"/>
          <w:w w:val="100"/>
          <w:position w:val="0"/>
          <w:sz w:val="17"/>
          <w:szCs w:val="17"/>
        </w:rPr>
        <w:t>股）</w:t>
      </w:r>
      <w:r>
        <w:rPr>
          <w:rFonts w:ascii="Arial Narrow" w:eastAsia="Arial Narrow" w:hAnsi="Arial Narrow" w:cs="Arial Narrow"/>
          <w:color w:val="000000"/>
          <w:spacing w:val="0"/>
          <w:w w:val="100"/>
          <w:position w:val="0"/>
          <w:sz w:val="18"/>
          <w:szCs w:val="18"/>
        </w:rPr>
        <w:t>149,700,598</w:t>
      </w:r>
      <w:r>
        <w:rPr>
          <w:color w:val="000000"/>
          <w:spacing w:val="0"/>
          <w:w w:val="100"/>
          <w:position w:val="0"/>
          <w:sz w:val="17"/>
          <w:szCs w:val="17"/>
        </w:rPr>
        <w:t>股，每股面值</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元，发行价格为</w:t>
      </w:r>
      <w:r>
        <w:rPr>
          <w:rFonts w:ascii="Arial Narrow" w:eastAsia="Arial Narrow" w:hAnsi="Arial Narrow" w:cs="Arial Narrow"/>
          <w:color w:val="000000"/>
          <w:spacing w:val="0"/>
          <w:w w:val="100"/>
          <w:position w:val="0"/>
          <w:sz w:val="18"/>
          <w:szCs w:val="18"/>
        </w:rPr>
        <w:t>13.36</w:t>
      </w:r>
      <w:r>
        <w:rPr>
          <w:color w:val="000000"/>
          <w:spacing w:val="0"/>
          <w:w w:val="100"/>
          <w:position w:val="0"/>
          <w:sz w:val="17"/>
          <w:szCs w:val="17"/>
        </w:rPr>
        <w:t>元</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股，募集 资金总额约人民币为</w:t>
      </w:r>
      <w:r>
        <w:rPr>
          <w:rFonts w:ascii="Arial Narrow" w:eastAsia="Arial Narrow" w:hAnsi="Arial Narrow" w:cs="Arial Narrow"/>
          <w:color w:val="000000"/>
          <w:spacing w:val="0"/>
          <w:w w:val="100"/>
          <w:position w:val="0"/>
          <w:sz w:val="18"/>
          <w:szCs w:val="18"/>
        </w:rPr>
        <w:t>1,953,911,176.33</w:t>
      </w:r>
      <w:r>
        <w:rPr>
          <w:color w:val="000000"/>
          <w:spacing w:val="0"/>
          <w:w w:val="100"/>
          <w:position w:val="0"/>
          <w:sz w:val="17"/>
          <w:szCs w:val="17"/>
        </w:rPr>
        <w:t>元，用于投资公司全资子公司东旭新能源投资有限公司下属的</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 xml:space="preserve">个光伏电站项目。本次增发 </w:t>
      </w:r>
      <w:r>
        <w:rPr>
          <w:color w:val="000000"/>
          <w:spacing w:val="0"/>
          <w:w w:val="100"/>
          <w:position w:val="0"/>
          <w:sz w:val="17"/>
          <w:szCs w:val="17"/>
        </w:rPr>
        <w:t>完成后，公司总股本为</w:t>
      </w:r>
      <w:r>
        <w:rPr>
          <w:rFonts w:ascii="Arial Narrow" w:eastAsia="Arial Narrow" w:hAnsi="Arial Narrow" w:cs="Arial Narrow"/>
          <w:color w:val="000000"/>
          <w:spacing w:val="0"/>
          <w:w w:val="100"/>
          <w:position w:val="0"/>
          <w:sz w:val="18"/>
          <w:szCs w:val="18"/>
        </w:rPr>
        <w:t>1,486,873,870.00</w:t>
      </w:r>
      <w:r>
        <w:rPr>
          <w:color w:val="000000"/>
          <w:spacing w:val="0"/>
          <w:w w:val="100"/>
          <w:position w:val="0"/>
          <w:sz w:val="17"/>
          <w:szCs w:val="17"/>
        </w:rPr>
        <w:t>元，东旭集团持股比例增加至</w:t>
      </w:r>
      <w:r>
        <w:rPr>
          <w:rFonts w:ascii="Arial Narrow" w:eastAsia="Arial Narrow" w:hAnsi="Arial Narrow" w:cs="Arial Narrow"/>
          <w:color w:val="000000"/>
          <w:spacing w:val="0"/>
          <w:w w:val="100"/>
          <w:position w:val="0"/>
          <w:sz w:val="18"/>
          <w:szCs w:val="18"/>
        </w:rPr>
        <w:t>38.99%</w:t>
      </w:r>
      <w:r>
        <w:rPr>
          <w:color w:val="000000"/>
          <w:spacing w:val="0"/>
          <w:w w:val="100"/>
          <w:position w:val="0"/>
          <w:sz w:val="17"/>
          <w:szCs w:val="17"/>
        </w:rPr>
        <w:t>。</w:t>
      </w:r>
    </w:p>
    <w:p>
      <w:pPr>
        <w:pStyle w:val="Style27"/>
        <w:keepNext w:val="0"/>
        <w:keepLines w:val="0"/>
        <w:widowControl w:val="0"/>
        <w:shd w:val="clear" w:color="auto" w:fill="auto"/>
        <w:bidi w:val="0"/>
        <w:spacing w:before="0" w:after="0" w:line="499" w:lineRule="exact"/>
        <w:ind w:left="0" w:right="0" w:firstLine="360"/>
        <w:jc w:val="both"/>
        <w:rPr>
          <w:sz w:val="17"/>
          <w:szCs w:val="17"/>
        </w:rPr>
      </w:pPr>
      <w:r>
        <w:rPr>
          <w:color w:val="000000"/>
          <w:spacing w:val="0"/>
          <w:w w:val="100"/>
          <w:position w:val="0"/>
          <w:sz w:val="17"/>
          <w:szCs w:val="17"/>
        </w:rPr>
        <w:t>截至</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日，公司总股本为人民币</w:t>
      </w:r>
      <w:r>
        <w:rPr>
          <w:rFonts w:ascii="Arial Narrow" w:eastAsia="Arial Narrow" w:hAnsi="Arial Narrow" w:cs="Arial Narrow"/>
          <w:color w:val="000000"/>
          <w:spacing w:val="0"/>
          <w:w w:val="100"/>
          <w:position w:val="0"/>
          <w:sz w:val="18"/>
          <w:szCs w:val="18"/>
        </w:rPr>
        <w:t>1,486,873,870.00</w:t>
      </w:r>
      <w:r>
        <w:rPr>
          <w:color w:val="000000"/>
          <w:spacing w:val="0"/>
          <w:w w:val="100"/>
          <w:position w:val="0"/>
          <w:sz w:val="17"/>
          <w:szCs w:val="17"/>
        </w:rPr>
        <w:t>元，东旭集团持股比例为</w:t>
      </w:r>
      <w:r>
        <w:rPr>
          <w:rFonts w:ascii="Arial Narrow" w:eastAsia="Arial Narrow" w:hAnsi="Arial Narrow" w:cs="Arial Narrow"/>
          <w:color w:val="000000"/>
          <w:spacing w:val="0"/>
          <w:w w:val="100"/>
          <w:position w:val="0"/>
          <w:sz w:val="18"/>
          <w:szCs w:val="18"/>
        </w:rPr>
        <w:t>39.04%</w:t>
      </w:r>
      <w:r>
        <w:rPr>
          <w:color w:val="000000"/>
          <w:spacing w:val="0"/>
          <w:w w:val="100"/>
          <w:position w:val="0"/>
          <w:sz w:val="17"/>
          <w:szCs w:val="17"/>
        </w:rPr>
        <w:t>。法定代表人：赵艳军；企业 统一社会信用代码：</w:t>
      </w:r>
      <w:r>
        <w:rPr>
          <w:rFonts w:ascii="Arial Narrow" w:eastAsia="Arial Narrow" w:hAnsi="Arial Narrow" w:cs="Arial Narrow"/>
          <w:color w:val="000000"/>
          <w:spacing w:val="0"/>
          <w:w w:val="100"/>
          <w:position w:val="0"/>
          <w:sz w:val="18"/>
          <w:szCs w:val="18"/>
        </w:rPr>
        <w:t>91440300192174418Y</w:t>
      </w:r>
      <w:r>
        <w:rPr>
          <w:color w:val="000000"/>
          <w:spacing w:val="0"/>
          <w:w w:val="100"/>
          <w:position w:val="0"/>
          <w:sz w:val="17"/>
          <w:szCs w:val="17"/>
        </w:rPr>
        <w:t>；</w:t>
      </w:r>
      <w:r>
        <w:rPr>
          <w:color w:val="000000"/>
          <w:spacing w:val="0"/>
          <w:w w:val="100"/>
          <w:position w:val="0"/>
          <w:sz w:val="17"/>
          <w:szCs w:val="17"/>
        </w:rPr>
        <w:t>注册地址：深圳市罗湖区东门中路</w:t>
      </w:r>
      <w:r>
        <w:rPr>
          <w:rFonts w:ascii="Arial Narrow" w:eastAsia="Arial Narrow" w:hAnsi="Arial Narrow" w:cs="Arial Narrow"/>
          <w:color w:val="000000"/>
          <w:spacing w:val="0"/>
          <w:w w:val="100"/>
          <w:position w:val="0"/>
          <w:sz w:val="18"/>
          <w:szCs w:val="18"/>
        </w:rPr>
        <w:t>1011</w:t>
      </w:r>
      <w:r>
        <w:rPr>
          <w:color w:val="000000"/>
          <w:spacing w:val="0"/>
          <w:w w:val="100"/>
          <w:position w:val="0"/>
          <w:sz w:val="17"/>
          <w:szCs w:val="17"/>
        </w:rPr>
        <w:t>号鸿基大厦</w:t>
      </w:r>
      <w:r>
        <w:rPr>
          <w:rFonts w:ascii="Arial Narrow" w:eastAsia="Arial Narrow" w:hAnsi="Arial Narrow" w:cs="Arial Narrow"/>
          <w:color w:val="000000"/>
          <w:spacing w:val="0"/>
          <w:w w:val="100"/>
          <w:position w:val="0"/>
          <w:sz w:val="18"/>
          <w:szCs w:val="18"/>
        </w:rPr>
        <w:t>25</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27</w:t>
      </w:r>
      <w:r>
        <w:rPr>
          <w:color w:val="000000"/>
          <w:spacing w:val="0"/>
          <w:w w:val="100"/>
          <w:position w:val="0"/>
          <w:sz w:val="17"/>
          <w:szCs w:val="17"/>
        </w:rPr>
        <w:t>楼。</w:t>
      </w:r>
    </w:p>
    <w:p>
      <w:pPr>
        <w:pStyle w:val="Style27"/>
        <w:keepNext w:val="0"/>
        <w:keepLines w:val="0"/>
        <w:widowControl w:val="0"/>
        <w:shd w:val="clear" w:color="auto" w:fill="auto"/>
        <w:bidi w:val="0"/>
        <w:spacing w:before="0" w:after="0" w:line="500" w:lineRule="exact"/>
        <w:ind w:left="0" w:right="0" w:firstLine="420"/>
        <w:jc w:val="both"/>
        <w:rPr>
          <w:sz w:val="17"/>
          <w:szCs w:val="17"/>
        </w:rPr>
      </w:pPr>
      <w:r>
        <w:rPr>
          <w:color w:val="000000"/>
          <w:spacing w:val="0"/>
          <w:w w:val="100"/>
          <w:position w:val="0"/>
          <w:sz w:val="17"/>
          <w:szCs w:val="17"/>
        </w:rPr>
        <w:t>东旭蓝天的母公司为东旭集团有限公司，最终控制人为李兆廷。</w:t>
      </w:r>
    </w:p>
    <w:p>
      <w:pPr>
        <w:pStyle w:val="Style27"/>
        <w:keepNext w:val="0"/>
        <w:keepLines w:val="0"/>
        <w:widowControl w:val="0"/>
        <w:shd w:val="clear" w:color="auto" w:fill="auto"/>
        <w:bidi w:val="0"/>
        <w:spacing w:before="0" w:after="0" w:line="501" w:lineRule="exact"/>
        <w:ind w:left="0" w:right="0" w:firstLine="420"/>
        <w:jc w:val="both"/>
        <w:rPr>
          <w:sz w:val="17"/>
          <w:szCs w:val="17"/>
        </w:rPr>
      </w:pPr>
      <w:r>
        <w:rPr>
          <w:color w:val="000000"/>
          <w:spacing w:val="0"/>
          <w:w w:val="100"/>
          <w:position w:val="0"/>
          <w:sz w:val="17"/>
          <w:szCs w:val="17"/>
        </w:rPr>
        <w:t>公司经营范围：一般经营项目是：环保技术的研发、推广及服务，生态环境治理、土壤修复、水处理；园林、城市绿化工程 施工；园林及生态湿地的运营养护；风景园林规划设计、城乡规划设计；湖底淤泥处理；环保项目管理与咨询；光伏电站投资、 建设、运营、维护及管理服务；光伏发电技术及设备的研发；光伏发电项目技术咨询；电力工程总承包及国际工程总承包；经营 进出口业务；物业管理。，许可经营项目是：光伏发电设备的制造、批发零售；机电设备的设计、制造及销售，新能源设备设施的 设计、制造及销售；房地产开发经营。（依法须经批准的项目，经相关部门批准后方可开展经营活动，具体经营项目以相关部门批 准文件或许可证件为准）</w:t>
      </w:r>
    </w:p>
    <w:p>
      <w:pPr>
        <w:pStyle w:val="Style27"/>
        <w:keepNext w:val="0"/>
        <w:keepLines w:val="0"/>
        <w:widowControl w:val="0"/>
        <w:shd w:val="clear" w:color="auto" w:fill="auto"/>
        <w:bidi w:val="0"/>
        <w:spacing w:before="0" w:after="0" w:line="504" w:lineRule="exact"/>
        <w:ind w:left="0" w:right="0" w:firstLine="420"/>
        <w:jc w:val="both"/>
        <w:rPr>
          <w:sz w:val="17"/>
          <w:szCs w:val="17"/>
        </w:rPr>
      </w:pPr>
      <w:r>
        <w:rPr>
          <w:color w:val="000000"/>
          <w:spacing w:val="0"/>
          <w:w w:val="100"/>
          <w:position w:val="0"/>
          <w:sz w:val="17"/>
          <w:szCs w:val="17"/>
        </w:rPr>
        <w:t>本公司</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1-12</w:t>
      </w:r>
      <w:r>
        <w:rPr>
          <w:color w:val="000000"/>
          <w:spacing w:val="0"/>
          <w:w w:val="100"/>
          <w:position w:val="0"/>
          <w:sz w:val="17"/>
          <w:szCs w:val="17"/>
        </w:rPr>
        <w:t>月纳入合并范围的子公司共</w:t>
      </w:r>
      <w:r>
        <w:rPr>
          <w:rFonts w:ascii="Arial Narrow" w:eastAsia="Arial Narrow" w:hAnsi="Arial Narrow" w:cs="Arial Narrow"/>
          <w:color w:val="000000"/>
          <w:spacing w:val="0"/>
          <w:w w:val="100"/>
          <w:position w:val="0"/>
          <w:sz w:val="18"/>
          <w:szCs w:val="18"/>
        </w:rPr>
        <w:t>127</w:t>
      </w:r>
      <w:r>
        <w:rPr>
          <w:color w:val="000000"/>
          <w:spacing w:val="0"/>
          <w:w w:val="100"/>
          <w:position w:val="0"/>
          <w:sz w:val="17"/>
          <w:szCs w:val="17"/>
        </w:rPr>
        <w:t>户（含</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个结构化主体），详见本附注七“在其他主体中的权益”。本公 司本年度合并范围比上年度增加</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户，减少</w:t>
      </w:r>
      <w:r>
        <w:rPr>
          <w:rFonts w:ascii="Arial Narrow" w:eastAsia="Arial Narrow" w:hAnsi="Arial Narrow" w:cs="Arial Narrow"/>
          <w:color w:val="000000"/>
          <w:spacing w:val="0"/>
          <w:w w:val="100"/>
          <w:position w:val="0"/>
          <w:sz w:val="18"/>
          <w:szCs w:val="18"/>
        </w:rPr>
        <w:t>38</w:t>
      </w:r>
      <w:r>
        <w:rPr>
          <w:color w:val="000000"/>
          <w:spacing w:val="0"/>
          <w:w w:val="100"/>
          <w:position w:val="0"/>
          <w:sz w:val="17"/>
          <w:szCs w:val="17"/>
        </w:rPr>
        <w:t>户，详见本附注六“合并范围的变更”。</w:t>
      </w:r>
    </w:p>
    <w:p>
      <w:pPr>
        <w:pStyle w:val="Style27"/>
        <w:keepNext w:val="0"/>
        <w:keepLines w:val="0"/>
        <w:widowControl w:val="0"/>
        <w:shd w:val="clear" w:color="auto" w:fill="auto"/>
        <w:bidi w:val="0"/>
        <w:spacing w:before="0" w:after="0" w:line="500" w:lineRule="exact"/>
        <w:ind w:left="0" w:right="0" w:firstLine="360"/>
        <w:jc w:val="both"/>
        <w:rPr>
          <w:sz w:val="17"/>
          <w:szCs w:val="17"/>
        </w:rPr>
      </w:pPr>
      <w:r>
        <w:rPr>
          <w:color w:val="000000"/>
          <w:spacing w:val="0"/>
          <w:w w:val="100"/>
          <w:position w:val="0"/>
          <w:sz w:val="17"/>
          <w:szCs w:val="17"/>
        </w:rPr>
        <w:t>本财务报表业经本公司第十届董事会第五次会议于</w:t>
      </w:r>
      <w:r>
        <w:rPr>
          <w:rFonts w:ascii="Arial Narrow" w:eastAsia="Arial Narrow" w:hAnsi="Arial Narrow" w:cs="Arial Narrow"/>
          <w:color w:val="000000"/>
          <w:spacing w:val="0"/>
          <w:w w:val="100"/>
          <w:position w:val="0"/>
          <w:sz w:val="18"/>
          <w:szCs w:val="18"/>
        </w:rPr>
        <w:t>2022</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26</w:t>
      </w:r>
      <w:r>
        <w:rPr>
          <w:color w:val="000000"/>
          <w:spacing w:val="0"/>
          <w:w w:val="100"/>
          <w:position w:val="0"/>
          <w:sz w:val="17"/>
          <w:szCs w:val="17"/>
        </w:rPr>
        <w:t>日决议批准报出。</w:t>
      </w:r>
    </w:p>
    <w:p>
      <w:pPr>
        <w:pStyle w:val="Style8"/>
        <w:keepNext/>
        <w:keepLines/>
        <w:widowControl w:val="0"/>
        <w:shd w:val="clear" w:color="auto" w:fill="auto"/>
        <w:tabs>
          <w:tab w:pos="870" w:val="left"/>
        </w:tabs>
        <w:bidi w:val="0"/>
        <w:spacing w:before="0" w:after="0" w:line="500" w:lineRule="exact"/>
        <w:ind w:left="0" w:right="0" w:firstLine="420"/>
        <w:jc w:val="both"/>
        <w:rPr>
          <w:sz w:val="20"/>
          <w:szCs w:val="20"/>
        </w:rPr>
      </w:pPr>
      <w:bookmarkStart w:id="696" w:name="bookmark696"/>
      <w:bookmarkStart w:id="697" w:name="bookmark697"/>
      <w:bookmarkStart w:id="698" w:name="bookmark698"/>
      <w:bookmarkStart w:id="699" w:name="bookmark699"/>
      <w:r>
        <w:rPr>
          <w:color w:val="000000"/>
          <w:spacing w:val="0"/>
          <w:w w:val="100"/>
          <w:position w:val="0"/>
          <w:sz w:val="20"/>
          <w:szCs w:val="20"/>
        </w:rPr>
        <w:t>二</w:t>
      </w:r>
      <w:bookmarkEnd w:id="698"/>
      <w:r>
        <w:rPr>
          <w:color w:val="000000"/>
          <w:spacing w:val="0"/>
          <w:w w:val="100"/>
          <w:position w:val="0"/>
          <w:sz w:val="20"/>
          <w:szCs w:val="20"/>
        </w:rPr>
        <w:t>、</w:t>
        <w:tab/>
        <w:t>财务报表的编制基础</w:t>
      </w:r>
      <w:bookmarkEnd w:id="696"/>
      <w:bookmarkEnd w:id="697"/>
      <w:bookmarkEnd w:id="699"/>
    </w:p>
    <w:p>
      <w:pPr>
        <w:pStyle w:val="Style8"/>
        <w:keepNext/>
        <w:keepLines/>
        <w:widowControl w:val="0"/>
        <w:shd w:val="clear" w:color="auto" w:fill="auto"/>
        <w:tabs>
          <w:tab w:pos="766" w:val="left"/>
        </w:tabs>
        <w:bidi w:val="0"/>
        <w:spacing w:before="0" w:after="0" w:line="500" w:lineRule="exact"/>
        <w:ind w:left="0" w:right="0" w:firstLine="420"/>
        <w:jc w:val="both"/>
        <w:rPr>
          <w:sz w:val="20"/>
          <w:szCs w:val="20"/>
        </w:rPr>
      </w:pPr>
      <w:bookmarkStart w:id="696" w:name="bookmark696"/>
      <w:bookmarkStart w:id="697" w:name="bookmark697"/>
      <w:bookmarkStart w:id="700" w:name="bookmark700"/>
      <w:r>
        <w:rPr>
          <w:rFonts w:ascii="Arial Narrow" w:eastAsia="Arial Narrow" w:hAnsi="Arial Narrow" w:cs="Arial Narrow"/>
          <w:color w:val="000000"/>
          <w:spacing w:val="0"/>
          <w:w w:val="100"/>
          <w:position w:val="0"/>
          <w:sz w:val="20"/>
          <w:szCs w:val="20"/>
        </w:rPr>
        <w:t>1</w:t>
      </w:r>
      <w:bookmarkEnd w:id="700"/>
      <w:r>
        <w:rPr>
          <w:color w:val="000000"/>
          <w:spacing w:val="0"/>
          <w:w w:val="100"/>
          <w:position w:val="0"/>
          <w:sz w:val="20"/>
          <w:szCs w:val="20"/>
        </w:rPr>
        <w:t>、</w:t>
        <w:tab/>
        <w:t>财务报表的编制基础</w:t>
      </w:r>
      <w:bookmarkEnd w:id="696"/>
      <w:bookmarkEnd w:id="697"/>
    </w:p>
    <w:p>
      <w:pPr>
        <w:pStyle w:val="Style27"/>
        <w:keepNext w:val="0"/>
        <w:keepLines w:val="0"/>
        <w:widowControl w:val="0"/>
        <w:shd w:val="clear" w:color="auto" w:fill="auto"/>
        <w:bidi w:val="0"/>
        <w:spacing w:before="0" w:after="0" w:line="500" w:lineRule="exact"/>
        <w:ind w:left="0" w:right="0" w:firstLine="360"/>
        <w:jc w:val="both"/>
        <w:rPr>
          <w:sz w:val="17"/>
          <w:szCs w:val="17"/>
        </w:rPr>
      </w:pPr>
      <w:r>
        <w:rPr>
          <w:color w:val="000000"/>
          <w:spacing w:val="0"/>
          <w:w w:val="100"/>
          <w:position w:val="0"/>
          <w:sz w:val="17"/>
          <w:szCs w:val="17"/>
        </w:rPr>
        <w:t>本公司财务报表以持续经营假设为基础，根据实际发生的交易和事项，按照财政部于</w:t>
      </w:r>
      <w:r>
        <w:rPr>
          <w:rFonts w:ascii="Arial Narrow" w:eastAsia="Arial Narrow" w:hAnsi="Arial Narrow" w:cs="Arial Narrow"/>
          <w:color w:val="000000"/>
          <w:spacing w:val="0"/>
          <w:w w:val="100"/>
          <w:position w:val="0"/>
          <w:sz w:val="18"/>
          <w:szCs w:val="18"/>
        </w:rPr>
        <w:t>2006</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日及以后颁布的《企业 会计准则</w:t>
      </w:r>
      <w:r>
        <w:rPr>
          <w:color w:val="000000"/>
          <w:spacing w:val="0"/>
          <w:w w:val="100"/>
          <w:position w:val="0"/>
          <w:sz w:val="22"/>
          <w:szCs w:val="22"/>
        </w:rPr>
        <w:t>一一</w:t>
      </w:r>
      <w:r>
        <w:rPr>
          <w:color w:val="000000"/>
          <w:spacing w:val="0"/>
          <w:w w:val="100"/>
          <w:position w:val="0"/>
          <w:sz w:val="17"/>
          <w:szCs w:val="17"/>
        </w:rPr>
        <w:t>基本准则》和各项具体会计准则、企业会计准则应用指南、企业会计准则解释及其他相关规定（以下合称“企业会 计准则”），以及中国证券监督管理委员会《公开发行证券的公司信息披露编报规则第</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号——财务报告的一般规定》的披露 规定编制。</w:t>
      </w:r>
    </w:p>
    <w:p>
      <w:pPr>
        <w:pStyle w:val="Style27"/>
        <w:keepNext w:val="0"/>
        <w:keepLines w:val="0"/>
        <w:widowControl w:val="0"/>
        <w:shd w:val="clear" w:color="auto" w:fill="auto"/>
        <w:bidi w:val="0"/>
        <w:spacing w:before="0" w:after="260" w:line="500" w:lineRule="exact"/>
        <w:ind w:left="0" w:right="0" w:firstLine="360"/>
        <w:jc w:val="both"/>
        <w:rPr>
          <w:sz w:val="17"/>
          <w:szCs w:val="17"/>
        </w:rPr>
      </w:pPr>
      <w:r>
        <w:rPr>
          <w:color w:val="000000"/>
          <w:spacing w:val="0"/>
          <w:w w:val="100"/>
          <w:position w:val="0"/>
          <w:sz w:val="17"/>
          <w:szCs w:val="17"/>
        </w:rPr>
        <w:t>根据企业会计准则的相关规定，本公司会计核算以权责发生制为基础。除某些金融工具外，本财务报表均以历史成本为计量 基础。资产如果发生减值，则按照相关规定计提相应的减值准备。</w:t>
      </w:r>
    </w:p>
    <w:p>
      <w:pPr>
        <w:pStyle w:val="Style17"/>
        <w:keepNext w:val="0"/>
        <w:keepLines w:val="0"/>
        <w:widowControl w:val="0"/>
        <w:shd w:val="clear" w:color="auto" w:fill="auto"/>
        <w:tabs>
          <w:tab w:pos="774" w:val="left"/>
        </w:tabs>
        <w:bidi w:val="0"/>
        <w:spacing w:before="0" w:after="0" w:line="523" w:lineRule="auto"/>
        <w:ind w:left="0" w:right="0" w:firstLine="420"/>
        <w:jc w:val="both"/>
      </w:pPr>
      <w:bookmarkStart w:id="701" w:name="bookmark701"/>
      <w:r>
        <w:rPr>
          <w:rFonts w:ascii="Arial Narrow" w:eastAsia="Arial Narrow" w:hAnsi="Arial Narrow" w:cs="Arial Narrow"/>
          <w:b/>
          <w:bCs/>
          <w:color w:val="000000"/>
          <w:spacing w:val="0"/>
          <w:w w:val="100"/>
          <w:position w:val="0"/>
          <w:sz w:val="20"/>
          <w:szCs w:val="20"/>
        </w:rPr>
        <w:t>2</w:t>
      </w:r>
      <w:bookmarkEnd w:id="701"/>
      <w:r>
        <w:rPr>
          <w:b/>
          <w:bCs/>
          <w:color w:val="000000"/>
          <w:spacing w:val="0"/>
          <w:w w:val="100"/>
          <w:position w:val="0"/>
        </w:rPr>
        <w:t>、</w:t>
        <w:tab/>
        <w:t>持续经营</w:t>
      </w:r>
    </w:p>
    <w:p>
      <w:pPr>
        <w:pStyle w:val="Style27"/>
        <w:keepNext w:val="0"/>
        <w:keepLines w:val="0"/>
        <w:widowControl w:val="0"/>
        <w:shd w:val="clear" w:color="auto" w:fill="auto"/>
        <w:bidi w:val="0"/>
        <w:spacing w:before="0" w:after="0" w:line="500" w:lineRule="exact"/>
        <w:ind w:left="0" w:right="0" w:firstLine="360"/>
        <w:jc w:val="both"/>
        <w:rPr>
          <w:sz w:val="17"/>
          <w:szCs w:val="17"/>
        </w:rPr>
      </w:pPr>
      <w:r>
        <w:rPr>
          <w:color w:val="000000"/>
          <w:spacing w:val="0"/>
          <w:w w:val="100"/>
          <w:position w:val="0"/>
          <w:sz w:val="17"/>
          <w:szCs w:val="17"/>
        </w:rPr>
        <w:t>公司自本报告期末起至少</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个月具备持续经营能力，无影响持续经营能力的重大事项。</w:t>
      </w:r>
    </w:p>
    <w:p>
      <w:pPr>
        <w:pStyle w:val="Style8"/>
        <w:keepNext/>
        <w:keepLines/>
        <w:widowControl w:val="0"/>
        <w:shd w:val="clear" w:color="auto" w:fill="auto"/>
        <w:tabs>
          <w:tab w:pos="870" w:val="left"/>
        </w:tabs>
        <w:bidi w:val="0"/>
        <w:spacing w:before="0" w:after="0" w:line="500" w:lineRule="exact"/>
        <w:ind w:left="0" w:right="0" w:firstLine="420"/>
        <w:jc w:val="both"/>
        <w:rPr>
          <w:sz w:val="20"/>
          <w:szCs w:val="20"/>
        </w:rPr>
      </w:pPr>
      <w:bookmarkStart w:id="702" w:name="bookmark702"/>
      <w:bookmarkStart w:id="703" w:name="bookmark703"/>
      <w:bookmarkStart w:id="704" w:name="bookmark704"/>
      <w:bookmarkStart w:id="705" w:name="bookmark705"/>
      <w:r>
        <w:rPr>
          <w:color w:val="000000"/>
          <w:spacing w:val="0"/>
          <w:w w:val="100"/>
          <w:position w:val="0"/>
          <w:sz w:val="20"/>
          <w:szCs w:val="20"/>
        </w:rPr>
        <w:t>三</w:t>
      </w:r>
      <w:bookmarkEnd w:id="704"/>
      <w:r>
        <w:rPr>
          <w:color w:val="000000"/>
          <w:spacing w:val="0"/>
          <w:w w:val="100"/>
          <w:position w:val="0"/>
          <w:sz w:val="20"/>
          <w:szCs w:val="20"/>
        </w:rPr>
        <w:t>、</w:t>
        <w:tab/>
        <w:t>公司主要会计政策、会计估计</w:t>
      </w:r>
      <w:bookmarkEnd w:id="702"/>
      <w:bookmarkEnd w:id="703"/>
      <w:bookmarkEnd w:id="705"/>
    </w:p>
    <w:p>
      <w:pPr>
        <w:pStyle w:val="Style20"/>
        <w:keepNext/>
        <w:keepLines/>
        <w:widowControl w:val="0"/>
        <w:shd w:val="clear" w:color="auto" w:fill="auto"/>
        <w:bidi w:val="0"/>
        <w:spacing w:before="0" w:after="0" w:line="500" w:lineRule="exact"/>
        <w:ind w:left="0" w:right="0" w:firstLine="420"/>
        <w:jc w:val="both"/>
        <w:rPr>
          <w:sz w:val="20"/>
          <w:szCs w:val="20"/>
        </w:rPr>
      </w:pPr>
      <w:bookmarkStart w:id="706" w:name="bookmark706"/>
      <w:bookmarkStart w:id="707" w:name="bookmark707"/>
      <w:bookmarkStart w:id="708" w:name="bookmark708"/>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、遵循企业会计准则的声明</w:t>
      </w:r>
      <w:bookmarkEnd w:id="706"/>
      <w:bookmarkEnd w:id="707"/>
      <w:bookmarkEnd w:id="708"/>
    </w:p>
    <w:p>
      <w:pPr>
        <w:pStyle w:val="Style17"/>
        <w:keepNext w:val="0"/>
        <w:keepLines w:val="0"/>
        <w:widowControl w:val="0"/>
        <w:shd w:val="clear" w:color="auto" w:fill="auto"/>
        <w:bidi w:val="0"/>
        <w:spacing w:before="0" w:after="0" w:line="500" w:lineRule="exact"/>
        <w:ind w:left="0" w:right="0" w:firstLine="420"/>
        <w:jc w:val="both"/>
      </w:pPr>
      <w:r>
        <w:rPr>
          <w:color w:val="000000"/>
          <w:spacing w:val="0"/>
          <w:w w:val="100"/>
          <w:position w:val="0"/>
        </w:rPr>
        <w:t>本财务报表符合企业会计准则的要求，真实、完整地反映了本公司</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 xml:space="preserve">日合并及公司的财务状 </w:t>
      </w:r>
      <w:r>
        <w:rPr>
          <w:color w:val="000000"/>
          <w:spacing w:val="0"/>
          <w:w w:val="100"/>
          <w:position w:val="0"/>
        </w:rPr>
        <w:t>况以及</w:t>
      </w:r>
      <w:r>
        <w:rPr>
          <w:b/>
          <w:bCs/>
          <w:color w:val="000000"/>
          <w:spacing w:val="0"/>
          <w:w w:val="100"/>
          <w:position w:val="0"/>
        </w:rPr>
        <w:t>2021</w:t>
      </w:r>
      <w:r>
        <w:rPr>
          <w:color w:val="000000"/>
          <w:spacing w:val="0"/>
          <w:w w:val="100"/>
          <w:position w:val="0"/>
        </w:rPr>
        <w:t>年度合并及公司的经营成果和现金流量。</w:t>
      </w:r>
    </w:p>
    <w:p>
      <w:pPr>
        <w:pStyle w:val="Style20"/>
        <w:keepNext/>
        <w:keepLines/>
        <w:widowControl w:val="0"/>
        <w:shd w:val="clear" w:color="auto" w:fill="auto"/>
        <w:tabs>
          <w:tab w:pos="752" w:val="left"/>
        </w:tabs>
        <w:bidi w:val="0"/>
        <w:spacing w:before="0" w:after="0" w:line="500" w:lineRule="exact"/>
        <w:ind w:left="0" w:right="0" w:firstLine="400"/>
        <w:jc w:val="both"/>
        <w:rPr>
          <w:sz w:val="20"/>
          <w:szCs w:val="20"/>
        </w:rPr>
      </w:pPr>
      <w:bookmarkStart w:id="709" w:name="bookmark709"/>
      <w:bookmarkStart w:id="710" w:name="bookmark710"/>
      <w:bookmarkStart w:id="711" w:name="bookmark711"/>
      <w:bookmarkStart w:id="712" w:name="bookmark712"/>
      <w:r>
        <w:rPr>
          <w:rFonts w:ascii="Arial Narrow" w:eastAsia="Arial Narrow" w:hAnsi="Arial Narrow" w:cs="Arial Narrow"/>
          <w:color w:val="000000"/>
          <w:spacing w:val="0"/>
          <w:w w:val="100"/>
          <w:position w:val="0"/>
          <w:sz w:val="20"/>
          <w:szCs w:val="20"/>
        </w:rPr>
        <w:t>2</w:t>
      </w:r>
      <w:bookmarkEnd w:id="711"/>
      <w:r>
        <w:rPr>
          <w:color w:val="000000"/>
          <w:spacing w:val="0"/>
          <w:w w:val="100"/>
          <w:position w:val="0"/>
          <w:sz w:val="20"/>
          <w:szCs w:val="20"/>
        </w:rPr>
        <w:t>、</w:t>
        <w:tab/>
        <w:t>会计期间</w:t>
      </w:r>
      <w:bookmarkEnd w:id="709"/>
      <w:bookmarkEnd w:id="710"/>
      <w:bookmarkEnd w:id="712"/>
    </w:p>
    <w:p>
      <w:pPr>
        <w:pStyle w:val="Style17"/>
        <w:keepNext w:val="0"/>
        <w:keepLines w:val="0"/>
        <w:widowControl w:val="0"/>
        <w:shd w:val="clear" w:color="auto" w:fill="auto"/>
        <w:bidi w:val="0"/>
        <w:spacing w:before="0" w:after="0" w:line="500" w:lineRule="exact"/>
        <w:ind w:left="0" w:right="0" w:firstLine="400"/>
        <w:jc w:val="both"/>
      </w:pPr>
      <w:r>
        <w:rPr>
          <w:color w:val="000000"/>
          <w:spacing w:val="0"/>
          <w:w w:val="100"/>
          <w:position w:val="0"/>
        </w:rPr>
        <w:t>本公司的会计期间分为年度和中期，会计中期指短于一个完整的会计年度的报告期间。本公司会计年度采 用公历年度，即每年自</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日起至</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日止。</w:t>
      </w:r>
    </w:p>
    <w:p>
      <w:pPr>
        <w:pStyle w:val="Style20"/>
        <w:keepNext/>
        <w:keepLines/>
        <w:widowControl w:val="0"/>
        <w:shd w:val="clear" w:color="auto" w:fill="auto"/>
        <w:tabs>
          <w:tab w:pos="752" w:val="left"/>
        </w:tabs>
        <w:bidi w:val="0"/>
        <w:spacing w:before="0" w:after="0" w:line="500" w:lineRule="exact"/>
        <w:ind w:left="0" w:right="0" w:firstLine="400"/>
        <w:jc w:val="both"/>
        <w:rPr>
          <w:sz w:val="20"/>
          <w:szCs w:val="20"/>
        </w:rPr>
      </w:pPr>
      <w:bookmarkStart w:id="713" w:name="bookmark713"/>
      <w:bookmarkStart w:id="714" w:name="bookmark714"/>
      <w:bookmarkStart w:id="715" w:name="bookmark715"/>
      <w:bookmarkStart w:id="716" w:name="bookmark716"/>
      <w:r>
        <w:rPr>
          <w:rFonts w:ascii="Arial Narrow" w:eastAsia="Arial Narrow" w:hAnsi="Arial Narrow" w:cs="Arial Narrow"/>
          <w:color w:val="000000"/>
          <w:spacing w:val="0"/>
          <w:w w:val="100"/>
          <w:position w:val="0"/>
          <w:sz w:val="20"/>
          <w:szCs w:val="20"/>
        </w:rPr>
        <w:t>3</w:t>
      </w:r>
      <w:bookmarkEnd w:id="715"/>
      <w:r>
        <w:rPr>
          <w:color w:val="000000"/>
          <w:spacing w:val="0"/>
          <w:w w:val="100"/>
          <w:position w:val="0"/>
          <w:sz w:val="20"/>
          <w:szCs w:val="20"/>
        </w:rPr>
        <w:t>、</w:t>
        <w:tab/>
        <w:t>营业周期</w:t>
      </w:r>
      <w:bookmarkEnd w:id="713"/>
      <w:bookmarkEnd w:id="714"/>
      <w:bookmarkEnd w:id="716"/>
    </w:p>
    <w:p>
      <w:pPr>
        <w:pStyle w:val="Style17"/>
        <w:keepNext w:val="0"/>
        <w:keepLines w:val="0"/>
        <w:widowControl w:val="0"/>
        <w:shd w:val="clear" w:color="auto" w:fill="auto"/>
        <w:bidi w:val="0"/>
        <w:spacing w:before="0" w:after="0" w:line="500" w:lineRule="exact"/>
        <w:ind w:left="0" w:right="0" w:firstLine="400"/>
        <w:jc w:val="both"/>
      </w:pPr>
      <w:r>
        <w:rPr>
          <w:color w:val="000000"/>
          <w:spacing w:val="0"/>
          <w:w w:val="100"/>
          <w:position w:val="0"/>
        </w:rPr>
        <w:t>正常营业周期是指本公司从购买用于加工的资产起至实现现金或现金等价物的期间。本公司以</w:t>
      </w:r>
      <w:r>
        <w:rPr>
          <w:b/>
          <w:bCs/>
          <w:color w:val="000000"/>
          <w:spacing w:val="0"/>
          <w:w w:val="100"/>
          <w:position w:val="0"/>
        </w:rPr>
        <w:t>12</w:t>
      </w:r>
      <w:r>
        <w:rPr>
          <w:color w:val="000000"/>
          <w:spacing w:val="0"/>
          <w:w w:val="100"/>
          <w:position w:val="0"/>
        </w:rPr>
        <w:t>个月作 为一个营业周期，并以其作为资产和负债的流动性划分标准。</w:t>
      </w:r>
    </w:p>
    <w:p>
      <w:pPr>
        <w:pStyle w:val="Style20"/>
        <w:keepNext/>
        <w:keepLines/>
        <w:widowControl w:val="0"/>
        <w:shd w:val="clear" w:color="auto" w:fill="auto"/>
        <w:tabs>
          <w:tab w:pos="752" w:val="left"/>
        </w:tabs>
        <w:bidi w:val="0"/>
        <w:spacing w:before="0" w:after="0" w:line="500" w:lineRule="exact"/>
        <w:ind w:left="0" w:right="0" w:firstLine="400"/>
        <w:jc w:val="both"/>
        <w:rPr>
          <w:sz w:val="20"/>
          <w:szCs w:val="20"/>
        </w:rPr>
      </w:pPr>
      <w:bookmarkStart w:id="717" w:name="bookmark717"/>
      <w:bookmarkStart w:id="718" w:name="bookmark718"/>
      <w:bookmarkStart w:id="719" w:name="bookmark719"/>
      <w:bookmarkStart w:id="720" w:name="bookmark720"/>
      <w:r>
        <w:rPr>
          <w:rFonts w:ascii="Arial Narrow" w:eastAsia="Arial Narrow" w:hAnsi="Arial Narrow" w:cs="Arial Narrow"/>
          <w:color w:val="000000"/>
          <w:spacing w:val="0"/>
          <w:w w:val="100"/>
          <w:position w:val="0"/>
          <w:sz w:val="20"/>
          <w:szCs w:val="20"/>
        </w:rPr>
        <w:t>4</w:t>
      </w:r>
      <w:bookmarkEnd w:id="719"/>
      <w:r>
        <w:rPr>
          <w:color w:val="000000"/>
          <w:spacing w:val="0"/>
          <w:w w:val="100"/>
          <w:position w:val="0"/>
          <w:sz w:val="20"/>
          <w:szCs w:val="20"/>
        </w:rPr>
        <w:t>、</w:t>
        <w:tab/>
        <w:t>记账本位币</w:t>
      </w:r>
      <w:bookmarkEnd w:id="717"/>
      <w:bookmarkEnd w:id="718"/>
      <w:bookmarkEnd w:id="720"/>
    </w:p>
    <w:p>
      <w:pPr>
        <w:pStyle w:val="Style17"/>
        <w:keepNext w:val="0"/>
        <w:keepLines w:val="0"/>
        <w:widowControl w:val="0"/>
        <w:shd w:val="clear" w:color="auto" w:fill="auto"/>
        <w:bidi w:val="0"/>
        <w:spacing w:before="0" w:after="0" w:line="500" w:lineRule="exact"/>
        <w:ind w:left="0" w:right="0" w:firstLine="400"/>
        <w:jc w:val="both"/>
      </w:pPr>
      <w:r>
        <w:rPr>
          <w:color w:val="000000"/>
          <w:spacing w:val="0"/>
          <w:w w:val="100"/>
          <w:position w:val="0"/>
        </w:rPr>
        <w:t>本公司以人民币为记账本位币。</w:t>
      </w:r>
    </w:p>
    <w:p>
      <w:pPr>
        <w:pStyle w:val="Style20"/>
        <w:keepNext/>
        <w:keepLines/>
        <w:widowControl w:val="0"/>
        <w:shd w:val="clear" w:color="auto" w:fill="auto"/>
        <w:tabs>
          <w:tab w:pos="747" w:val="left"/>
        </w:tabs>
        <w:bidi w:val="0"/>
        <w:spacing w:before="0" w:after="0" w:line="500" w:lineRule="exact"/>
        <w:ind w:left="0" w:right="0" w:firstLine="400"/>
        <w:jc w:val="both"/>
        <w:rPr>
          <w:sz w:val="20"/>
          <w:szCs w:val="20"/>
        </w:rPr>
      </w:pPr>
      <w:bookmarkStart w:id="721" w:name="bookmark721"/>
      <w:bookmarkStart w:id="722" w:name="bookmark722"/>
      <w:bookmarkStart w:id="723" w:name="bookmark723"/>
      <w:bookmarkStart w:id="724" w:name="bookmark724"/>
      <w:r>
        <w:rPr>
          <w:rFonts w:ascii="Arial Narrow" w:eastAsia="Arial Narrow" w:hAnsi="Arial Narrow" w:cs="Arial Narrow"/>
          <w:color w:val="000000"/>
          <w:spacing w:val="0"/>
          <w:w w:val="100"/>
          <w:position w:val="0"/>
          <w:sz w:val="20"/>
          <w:szCs w:val="20"/>
        </w:rPr>
        <w:t>5</w:t>
      </w:r>
      <w:bookmarkEnd w:id="723"/>
      <w:r>
        <w:rPr>
          <w:color w:val="000000"/>
          <w:spacing w:val="0"/>
          <w:w w:val="100"/>
          <w:position w:val="0"/>
          <w:sz w:val="20"/>
          <w:szCs w:val="20"/>
        </w:rPr>
        <w:t>、</w:t>
        <w:tab/>
        <w:t>同一控制下和非同一控制下企业合并的会计处理方法</w:t>
      </w:r>
      <w:bookmarkEnd w:id="721"/>
      <w:bookmarkEnd w:id="722"/>
      <w:bookmarkEnd w:id="724"/>
    </w:p>
    <w:p>
      <w:pPr>
        <w:pStyle w:val="Style27"/>
        <w:keepNext w:val="0"/>
        <w:keepLines w:val="0"/>
        <w:widowControl w:val="0"/>
        <w:shd w:val="clear" w:color="auto" w:fill="auto"/>
        <w:bidi w:val="0"/>
        <w:spacing w:before="0" w:after="0" w:line="500" w:lineRule="exact"/>
        <w:ind w:left="0" w:right="0" w:firstLine="400"/>
        <w:jc w:val="both"/>
        <w:rPr>
          <w:sz w:val="17"/>
          <w:szCs w:val="17"/>
        </w:rPr>
      </w:pPr>
      <w:r>
        <w:rPr>
          <w:color w:val="000000"/>
          <w:spacing w:val="0"/>
          <w:w w:val="100"/>
          <w:position w:val="0"/>
          <w:sz w:val="17"/>
          <w:szCs w:val="17"/>
        </w:rPr>
        <w:t>企业合并，是指将两个或两个以上单独的企业合并形成一个报告主体的交易或事项。企业合并分为同一控制下企业合并 和非同一控制下企业合并。</w:t>
      </w:r>
    </w:p>
    <w:p>
      <w:pPr>
        <w:pStyle w:val="Style27"/>
        <w:keepNext w:val="0"/>
        <w:keepLines w:val="0"/>
        <w:widowControl w:val="0"/>
        <w:shd w:val="clear" w:color="auto" w:fill="auto"/>
        <w:tabs>
          <w:tab w:pos="862" w:val="left"/>
        </w:tabs>
        <w:bidi w:val="0"/>
        <w:spacing w:before="0" w:after="0" w:line="500" w:lineRule="exact"/>
        <w:ind w:left="0" w:right="0" w:firstLine="400"/>
        <w:jc w:val="both"/>
        <w:rPr>
          <w:sz w:val="17"/>
          <w:szCs w:val="17"/>
        </w:rPr>
      </w:pPr>
      <w:bookmarkStart w:id="725" w:name="bookmark725"/>
      <w:r>
        <w:rPr>
          <w:color w:val="000000"/>
          <w:spacing w:val="0"/>
          <w:w w:val="100"/>
          <w:position w:val="0"/>
          <w:sz w:val="17"/>
          <w:szCs w:val="17"/>
        </w:rPr>
        <w:t>（</w:t>
      </w:r>
      <w:bookmarkEnd w:id="725"/>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w:t>
        <w:tab/>
        <w:t>同一控制下企业合并</w:t>
      </w:r>
    </w:p>
    <w:p>
      <w:pPr>
        <w:pStyle w:val="Style27"/>
        <w:keepNext w:val="0"/>
        <w:keepLines w:val="0"/>
        <w:widowControl w:val="0"/>
        <w:shd w:val="clear" w:color="auto" w:fill="auto"/>
        <w:bidi w:val="0"/>
        <w:spacing w:before="0" w:after="0" w:line="500" w:lineRule="exact"/>
        <w:ind w:left="0" w:right="0" w:firstLine="400"/>
        <w:jc w:val="both"/>
        <w:rPr>
          <w:sz w:val="17"/>
          <w:szCs w:val="17"/>
        </w:rPr>
      </w:pPr>
      <w:r>
        <w:rPr>
          <w:color w:val="000000"/>
          <w:spacing w:val="0"/>
          <w:w w:val="100"/>
          <w:position w:val="0"/>
          <w:sz w:val="17"/>
          <w:szCs w:val="17"/>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7"/>
        <w:keepNext w:val="0"/>
        <w:keepLines w:val="0"/>
        <w:widowControl w:val="0"/>
        <w:shd w:val="clear" w:color="auto" w:fill="auto"/>
        <w:bidi w:val="0"/>
        <w:spacing w:before="0" w:after="0" w:line="500" w:lineRule="exact"/>
        <w:ind w:left="0" w:right="0" w:firstLine="400"/>
        <w:jc w:val="both"/>
        <w:rPr>
          <w:sz w:val="17"/>
          <w:szCs w:val="17"/>
        </w:rPr>
      </w:pPr>
      <w:r>
        <w:rPr>
          <w:color w:val="000000"/>
          <w:spacing w:val="0"/>
          <w:w w:val="100"/>
          <w:position w:val="0"/>
          <w:sz w:val="17"/>
          <w:szCs w:val="17"/>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7"/>
        <w:keepNext w:val="0"/>
        <w:keepLines w:val="0"/>
        <w:widowControl w:val="0"/>
        <w:shd w:val="clear" w:color="auto" w:fill="auto"/>
        <w:bidi w:val="0"/>
        <w:spacing w:before="0" w:after="0" w:line="500" w:lineRule="exact"/>
        <w:ind w:left="0" w:right="0" w:firstLine="400"/>
        <w:jc w:val="both"/>
        <w:rPr>
          <w:sz w:val="17"/>
          <w:szCs w:val="17"/>
        </w:rPr>
      </w:pPr>
      <w:r>
        <w:rPr>
          <w:color w:val="000000"/>
          <w:spacing w:val="0"/>
          <w:w w:val="100"/>
          <w:position w:val="0"/>
          <w:sz w:val="17"/>
          <w:szCs w:val="17"/>
        </w:rPr>
        <w:t>合并方为进行企业合并发生的各项直接费用，于发生时计入当期损益。</w:t>
      </w:r>
    </w:p>
    <w:p>
      <w:pPr>
        <w:pStyle w:val="Style27"/>
        <w:keepNext w:val="0"/>
        <w:keepLines w:val="0"/>
        <w:widowControl w:val="0"/>
        <w:shd w:val="clear" w:color="auto" w:fill="auto"/>
        <w:tabs>
          <w:tab w:pos="862" w:val="left"/>
        </w:tabs>
        <w:bidi w:val="0"/>
        <w:spacing w:before="0" w:after="0" w:line="500" w:lineRule="exact"/>
        <w:ind w:left="0" w:right="0" w:firstLine="400"/>
        <w:jc w:val="both"/>
        <w:rPr>
          <w:sz w:val="17"/>
          <w:szCs w:val="17"/>
        </w:rPr>
      </w:pPr>
      <w:bookmarkStart w:id="726" w:name="bookmark726"/>
      <w:r>
        <w:rPr>
          <w:color w:val="000000"/>
          <w:spacing w:val="0"/>
          <w:w w:val="100"/>
          <w:position w:val="0"/>
          <w:sz w:val="17"/>
          <w:szCs w:val="17"/>
        </w:rPr>
        <w:t>（</w:t>
      </w:r>
      <w:bookmarkEnd w:id="726"/>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w:t>
        <w:tab/>
        <w:t>非同一控制下企业合并</w:t>
      </w:r>
    </w:p>
    <w:p>
      <w:pPr>
        <w:pStyle w:val="Style27"/>
        <w:keepNext w:val="0"/>
        <w:keepLines w:val="0"/>
        <w:widowControl w:val="0"/>
        <w:shd w:val="clear" w:color="auto" w:fill="auto"/>
        <w:bidi w:val="0"/>
        <w:spacing w:before="0" w:after="0" w:line="500" w:lineRule="exact"/>
        <w:ind w:left="0" w:right="0" w:firstLine="400"/>
        <w:jc w:val="both"/>
        <w:rPr>
          <w:sz w:val="17"/>
          <w:szCs w:val="17"/>
        </w:rPr>
      </w:pPr>
      <w:r>
        <w:rPr>
          <w:color w:val="000000"/>
          <w:spacing w:val="0"/>
          <w:w w:val="100"/>
          <w:position w:val="0"/>
          <w:sz w:val="17"/>
          <w:szCs w:val="17"/>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7"/>
        <w:keepNext w:val="0"/>
        <w:keepLines w:val="0"/>
        <w:widowControl w:val="0"/>
        <w:shd w:val="clear" w:color="auto" w:fill="auto"/>
        <w:bidi w:val="0"/>
        <w:spacing w:before="0" w:after="0" w:line="500" w:lineRule="exact"/>
        <w:ind w:left="0" w:right="0" w:firstLine="400"/>
        <w:jc w:val="both"/>
        <w:rPr>
          <w:sz w:val="17"/>
          <w:szCs w:val="17"/>
        </w:rPr>
      </w:pPr>
      <w:r>
        <w:rPr>
          <w:color w:val="000000"/>
          <w:spacing w:val="0"/>
          <w:w w:val="100"/>
          <w:position w:val="0"/>
          <w:sz w:val="17"/>
          <w:szCs w:val="17"/>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 xml:space="preserve">个月内出现对购买日已存在情况的新的或进 一步证据而需要调整或有对价的，相应调整合并商誉。购买方发生的合并成本及在合并中取得的可辨认净资产按购买日的公 </w:t>
      </w:r>
      <w:r>
        <w:rPr>
          <w:color w:val="000000"/>
          <w:spacing w:val="0"/>
          <w:w w:val="100"/>
          <w:position w:val="0"/>
          <w:sz w:val="17"/>
          <w:szCs w:val="17"/>
        </w:rPr>
        <w:t>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购买方取得被购买方的可抵扣暂时性差异，在购买日因不符合递延所得税资产确认条件而未予确认的，在购买日后</w:t>
      </w: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通过多次交易分步实现的非同一控制下企业合并，根据《财政部关于印发企业会计准则解释第</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号的通知》（财会〔</w:t>
      </w:r>
      <w:r>
        <w:rPr>
          <w:rFonts w:ascii="Arial Narrow" w:eastAsia="Arial Narrow" w:hAnsi="Arial Narrow" w:cs="Arial Narrow"/>
          <w:color w:val="000000"/>
          <w:spacing w:val="0"/>
          <w:w w:val="100"/>
          <w:position w:val="0"/>
          <w:sz w:val="18"/>
          <w:szCs w:val="18"/>
        </w:rPr>
        <w:t>2012</w:t>
      </w:r>
      <w:r>
        <w:rPr>
          <w:color w:val="000000"/>
          <w:spacing w:val="0"/>
          <w:w w:val="100"/>
          <w:position w:val="0"/>
          <w:sz w:val="17"/>
          <w:szCs w:val="17"/>
        </w:rPr>
        <w:t xml:space="preserve">〕 </w:t>
      </w:r>
      <w:r>
        <w:rPr>
          <w:rFonts w:ascii="Arial Narrow" w:eastAsia="Arial Narrow" w:hAnsi="Arial Narrow" w:cs="Arial Narrow"/>
          <w:color w:val="000000"/>
          <w:spacing w:val="0"/>
          <w:w w:val="100"/>
          <w:position w:val="0"/>
          <w:sz w:val="18"/>
          <w:szCs w:val="18"/>
        </w:rPr>
        <w:t>19</w:t>
      </w:r>
      <w:r>
        <w:rPr>
          <w:color w:val="000000"/>
          <w:spacing w:val="0"/>
          <w:w w:val="100"/>
          <w:position w:val="0"/>
          <w:sz w:val="17"/>
          <w:szCs w:val="17"/>
        </w:rPr>
        <w:t>号）和《企业会计准则第</w:t>
      </w:r>
      <w:r>
        <w:rPr>
          <w:rFonts w:ascii="Arial Narrow" w:eastAsia="Arial Narrow" w:hAnsi="Arial Narrow" w:cs="Arial Narrow"/>
          <w:color w:val="000000"/>
          <w:spacing w:val="0"/>
          <w:w w:val="100"/>
          <w:position w:val="0"/>
          <w:sz w:val="18"/>
          <w:szCs w:val="18"/>
        </w:rPr>
        <w:t>33</w:t>
      </w:r>
      <w:r>
        <w:rPr>
          <w:color w:val="000000"/>
          <w:spacing w:val="0"/>
          <w:w w:val="100"/>
          <w:position w:val="0"/>
          <w:sz w:val="17"/>
          <w:szCs w:val="17"/>
        </w:rPr>
        <w:t>号</w:t>
      </w:r>
      <w:r>
        <w:rPr>
          <w:color w:val="000000"/>
          <w:spacing w:val="0"/>
          <w:w w:val="100"/>
          <w:position w:val="0"/>
          <w:sz w:val="22"/>
          <w:szCs w:val="22"/>
        </w:rPr>
        <w:t>一一</w:t>
      </w:r>
      <w:r>
        <w:rPr>
          <w:color w:val="000000"/>
          <w:spacing w:val="0"/>
          <w:w w:val="100"/>
          <w:position w:val="0"/>
          <w:sz w:val="17"/>
          <w:szCs w:val="17"/>
        </w:rPr>
        <w:t>合并财务报表》第五十一条关于“一揽子交易”的判断标准，判断该多次交易是否属 于“一揽子交易”。属于“一揽子交易”的，参考本部分前面各段描述及本附注长期股权投资”进行会计处理；不属于的， 区分个别财务报表和合并财务报表进行相关会计处理：</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7"/>
        <w:keepNext w:val="0"/>
        <w:keepLines w:val="0"/>
        <w:widowControl w:val="0"/>
        <w:shd w:val="clear" w:color="auto" w:fill="auto"/>
        <w:bidi w:val="0"/>
        <w:spacing w:before="0" w:after="260" w:line="501" w:lineRule="exact"/>
        <w:ind w:left="0" w:right="0" w:firstLine="380"/>
        <w:jc w:val="both"/>
        <w:rPr>
          <w:sz w:val="17"/>
          <w:szCs w:val="17"/>
        </w:rPr>
      </w:pPr>
      <w:r>
        <w:rPr>
          <w:color w:val="000000"/>
          <w:spacing w:val="0"/>
          <w:w w:val="100"/>
          <w:position w:val="0"/>
          <w:sz w:val="17"/>
          <w:szCs w:val="17"/>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0"/>
        <w:keepNext/>
        <w:keepLines/>
        <w:widowControl w:val="0"/>
        <w:shd w:val="clear" w:color="auto" w:fill="auto"/>
        <w:bidi w:val="0"/>
        <w:spacing w:before="0" w:after="0" w:line="240" w:lineRule="auto"/>
        <w:ind w:left="0" w:right="0" w:firstLine="380"/>
        <w:jc w:val="both"/>
        <w:rPr>
          <w:sz w:val="20"/>
          <w:szCs w:val="20"/>
        </w:rPr>
      </w:pPr>
      <w:bookmarkStart w:id="727" w:name="bookmark727"/>
      <w:bookmarkStart w:id="728" w:name="bookmark728"/>
      <w:bookmarkStart w:id="729" w:name="bookmark729"/>
      <w:bookmarkStart w:id="730" w:name="bookmark730"/>
      <w:r>
        <w:rPr>
          <w:rFonts w:ascii="Arial Narrow" w:eastAsia="Arial Narrow" w:hAnsi="Arial Narrow" w:cs="Arial Narrow"/>
          <w:color w:val="000000"/>
          <w:spacing w:val="0"/>
          <w:w w:val="100"/>
          <w:position w:val="0"/>
          <w:sz w:val="20"/>
          <w:szCs w:val="20"/>
        </w:rPr>
        <w:t>6</w:t>
      </w:r>
      <w:bookmarkEnd w:id="729"/>
      <w:r>
        <w:rPr>
          <w:color w:val="000000"/>
          <w:spacing w:val="0"/>
          <w:w w:val="100"/>
          <w:position w:val="0"/>
          <w:sz w:val="20"/>
          <w:szCs w:val="20"/>
        </w:rPr>
        <w:t>、合并会计报表的编制方法</w:t>
      </w:r>
      <w:bookmarkEnd w:id="727"/>
      <w:bookmarkEnd w:id="728"/>
      <w:bookmarkEnd w:id="730"/>
    </w:p>
    <w:p>
      <w:pPr>
        <w:pStyle w:val="Style27"/>
        <w:keepNext w:val="0"/>
        <w:keepLines w:val="0"/>
        <w:widowControl w:val="0"/>
        <w:shd w:val="clear" w:color="auto" w:fill="auto"/>
        <w:tabs>
          <w:tab w:pos="784" w:val="left"/>
        </w:tabs>
        <w:bidi w:val="0"/>
        <w:spacing w:before="0" w:after="0" w:line="499" w:lineRule="exact"/>
        <w:ind w:left="0" w:right="0" w:firstLine="380"/>
        <w:jc w:val="both"/>
        <w:rPr>
          <w:sz w:val="17"/>
          <w:szCs w:val="17"/>
        </w:rPr>
      </w:pPr>
      <w:bookmarkStart w:id="731" w:name="bookmark731"/>
      <w:r>
        <w:rPr>
          <w:color w:val="000000"/>
          <w:spacing w:val="0"/>
          <w:w w:val="100"/>
          <w:position w:val="0"/>
          <w:sz w:val="17"/>
          <w:szCs w:val="17"/>
        </w:rPr>
        <w:t>（</w:t>
      </w:r>
      <w:bookmarkEnd w:id="731"/>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w:t>
        <w:tab/>
        <w:t>合并财务报表范围的确定原则</w:t>
      </w:r>
    </w:p>
    <w:p>
      <w:pPr>
        <w:pStyle w:val="Style27"/>
        <w:keepNext w:val="0"/>
        <w:keepLines w:val="0"/>
        <w:widowControl w:val="0"/>
        <w:shd w:val="clear" w:color="auto" w:fill="auto"/>
        <w:bidi w:val="0"/>
        <w:spacing w:before="0" w:after="0" w:line="499" w:lineRule="exact"/>
        <w:ind w:left="0" w:right="0" w:firstLine="380"/>
        <w:jc w:val="both"/>
        <w:rPr>
          <w:sz w:val="17"/>
          <w:szCs w:val="17"/>
        </w:rPr>
      </w:pPr>
      <w:r>
        <w:rPr>
          <w:color w:val="000000"/>
          <w:spacing w:val="0"/>
          <w:w w:val="100"/>
          <w:position w:val="0"/>
          <w:sz w:val="17"/>
          <w:szCs w:val="17"/>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动而享有可变回报，并且有能力运用对被投资方的权力影响该回报金额。合并范围包括本公司及全部子孙公司。子孙公司， 是指被本公司控制的主体。</w:t>
      </w:r>
    </w:p>
    <w:p>
      <w:pPr>
        <w:pStyle w:val="Style27"/>
        <w:keepNext w:val="0"/>
        <w:keepLines w:val="0"/>
        <w:widowControl w:val="0"/>
        <w:shd w:val="clear" w:color="auto" w:fill="auto"/>
        <w:bidi w:val="0"/>
        <w:spacing w:before="0" w:after="0" w:line="499" w:lineRule="exact"/>
        <w:ind w:left="0" w:right="0" w:firstLine="380"/>
        <w:jc w:val="both"/>
        <w:rPr>
          <w:sz w:val="17"/>
          <w:szCs w:val="17"/>
        </w:rPr>
      </w:pPr>
      <w:r>
        <w:rPr>
          <w:color w:val="000000"/>
          <w:spacing w:val="0"/>
          <w:w w:val="100"/>
          <w:position w:val="0"/>
          <w:sz w:val="17"/>
          <w:szCs w:val="17"/>
        </w:rPr>
        <w:t>一旦相关事实和情况的变化导致上述控制定义涉及的相关要素发生了变化，本公司将进行重新评估。</w:t>
      </w:r>
    </w:p>
    <w:p>
      <w:pPr>
        <w:pStyle w:val="Style27"/>
        <w:keepNext w:val="0"/>
        <w:keepLines w:val="0"/>
        <w:widowControl w:val="0"/>
        <w:shd w:val="clear" w:color="auto" w:fill="auto"/>
        <w:tabs>
          <w:tab w:pos="784" w:val="left"/>
        </w:tabs>
        <w:bidi w:val="0"/>
        <w:spacing w:before="0" w:after="120" w:line="499" w:lineRule="exact"/>
        <w:ind w:left="0" w:right="0" w:firstLine="380"/>
        <w:jc w:val="both"/>
        <w:rPr>
          <w:sz w:val="17"/>
          <w:szCs w:val="17"/>
        </w:rPr>
      </w:pPr>
      <w:bookmarkStart w:id="732" w:name="bookmark732"/>
      <w:r>
        <w:rPr>
          <w:color w:val="000000"/>
          <w:spacing w:val="0"/>
          <w:w w:val="100"/>
          <w:position w:val="0"/>
          <w:sz w:val="17"/>
          <w:szCs w:val="17"/>
        </w:rPr>
        <w:t>（</w:t>
      </w:r>
      <w:bookmarkEnd w:id="732"/>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w:t>
        <w:tab/>
        <w:t>合并财务报表编制的方法</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公司内所有重大往来余额、交易及未实现利润在合并财务报表编制时予以抵销。</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号</w:t>
      </w:r>
      <w:r>
        <w:rPr>
          <w:color w:val="000000"/>
          <w:spacing w:val="0"/>
          <w:w w:val="100"/>
          <w:position w:val="0"/>
          <w:sz w:val="22"/>
          <w:szCs w:val="22"/>
        </w:rPr>
        <w:t>一一</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7"/>
          <w:szCs w:val="17"/>
        </w:rPr>
        <w:t>长期股权投资》或《企业会计准则第</w:t>
      </w:r>
      <w:r>
        <w:rPr>
          <w:rFonts w:ascii="Arial Narrow" w:eastAsia="Arial Narrow" w:hAnsi="Arial Narrow" w:cs="Arial Narrow"/>
          <w:color w:val="000000"/>
          <w:spacing w:val="0"/>
          <w:w w:val="100"/>
          <w:position w:val="0"/>
          <w:sz w:val="18"/>
          <w:szCs w:val="18"/>
        </w:rPr>
        <w:t>22</w:t>
      </w:r>
      <w:r>
        <w:rPr>
          <w:color w:val="000000"/>
          <w:spacing w:val="0"/>
          <w:w w:val="100"/>
          <w:position w:val="0"/>
          <w:sz w:val="17"/>
          <w:szCs w:val="17"/>
        </w:rPr>
        <w:t>号——金融工具确认和计量》等相关规定进行后续计量，详见本附注三、</w:t>
      </w:r>
      <w:r>
        <w:rPr>
          <w:rFonts w:ascii="Arial Narrow" w:eastAsia="Arial Narrow" w:hAnsi="Arial Narrow" w:cs="Arial Narrow"/>
          <w:color w:val="000000"/>
          <w:spacing w:val="0"/>
          <w:w w:val="100"/>
          <w:position w:val="0"/>
          <w:sz w:val="18"/>
          <w:szCs w:val="18"/>
        </w:rPr>
        <w:t xml:space="preserve">14 </w:t>
      </w:r>
      <w:r>
        <w:rPr>
          <w:color w:val="000000"/>
          <w:spacing w:val="0"/>
          <w:w w:val="100"/>
          <w:position w:val="0"/>
          <w:sz w:val="17"/>
          <w:szCs w:val="17"/>
        </w:rPr>
        <w:t>“长期股 权投资”或本附注三、</w:t>
      </w: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sz w:val="17"/>
          <w:szCs w:val="17"/>
        </w:rPr>
        <w:t>“金融工具”。</w:t>
      </w:r>
    </w:p>
    <w:p>
      <w:pPr>
        <w:pStyle w:val="Style27"/>
        <w:keepNext w:val="0"/>
        <w:keepLines w:val="0"/>
        <w:widowControl w:val="0"/>
        <w:shd w:val="clear" w:color="auto" w:fill="auto"/>
        <w:bidi w:val="0"/>
        <w:spacing w:before="0" w:after="280" w:line="501" w:lineRule="exact"/>
        <w:ind w:left="0" w:right="0" w:firstLine="380"/>
        <w:jc w:val="both"/>
        <w:rPr>
          <w:sz w:val="17"/>
          <w:szCs w:val="17"/>
        </w:rPr>
      </w:pPr>
      <w:r>
        <w:rPr>
          <w:color w:val="000000"/>
          <w:spacing w:val="0"/>
          <w:w w:val="100"/>
          <w:position w:val="0"/>
          <w:sz w:val="17"/>
          <w:szCs w:val="17"/>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w:t>
      </w:r>
      <w:r>
        <w:rPr>
          <w:color w:val="000000"/>
          <w:spacing w:val="0"/>
          <w:w w:val="100"/>
          <w:position w:val="0"/>
          <w:sz w:val="16"/>
          <w:szCs w:val="16"/>
        </w:rPr>
        <w:t>①</w:t>
      </w:r>
      <w:r>
        <w:rPr>
          <w:color w:val="000000"/>
          <w:spacing w:val="0"/>
          <w:w w:val="100"/>
          <w:position w:val="0"/>
          <w:sz w:val="17"/>
          <w:szCs w:val="17"/>
        </w:rPr>
        <w:t>这些交易是同时或者在考虑了彼此影响的情况下订立的；</w:t>
      </w:r>
      <w:r>
        <w:rPr>
          <w:color w:val="000000"/>
          <w:spacing w:val="0"/>
          <w:w w:val="100"/>
          <w:position w:val="0"/>
          <w:sz w:val="16"/>
          <w:szCs w:val="16"/>
        </w:rPr>
        <w:t>②</w:t>
      </w:r>
      <w:r>
        <w:rPr>
          <w:color w:val="000000"/>
          <w:spacing w:val="0"/>
          <w:w w:val="100"/>
          <w:position w:val="0"/>
          <w:sz w:val="17"/>
          <w:szCs w:val="17"/>
        </w:rPr>
        <w:t>这些交 易整体才能达成一项完整的商业结果；</w:t>
      </w:r>
      <w:r>
        <w:rPr>
          <w:color w:val="000000"/>
          <w:spacing w:val="0"/>
          <w:w w:val="100"/>
          <w:position w:val="0"/>
          <w:sz w:val="16"/>
          <w:szCs w:val="16"/>
        </w:rPr>
        <w:t>③</w:t>
      </w:r>
      <w:r>
        <w:rPr>
          <w:color w:val="000000"/>
          <w:spacing w:val="0"/>
          <w:w w:val="100"/>
          <w:position w:val="0"/>
          <w:sz w:val="17"/>
          <w:szCs w:val="17"/>
        </w:rPr>
        <w:t>一项交易的发生取决于其他至少一项交易的发生；</w:t>
      </w:r>
      <w:r>
        <w:rPr>
          <w:color w:val="000000"/>
          <w:spacing w:val="0"/>
          <w:w w:val="100"/>
          <w:position w:val="0"/>
          <w:sz w:val="16"/>
          <w:szCs w:val="16"/>
        </w:rPr>
        <w:t>④</w:t>
      </w:r>
      <w:r>
        <w:rPr>
          <w:color w:val="000000"/>
          <w:spacing w:val="0"/>
          <w:w w:val="100"/>
          <w:position w:val="0"/>
          <w:sz w:val="17"/>
          <w:szCs w:val="17"/>
        </w:rPr>
        <w:t xml:space="preserve">一项交易单独看是不经济的， 但是和其他交易一并考虑时是经济的。不属于一揽子交易的，对其中的每一项交易视情况分别按照“不丧失控制权的情况下 部分处置对子公司的长期股权投资”和“因处置部分股权投资或其他原因丧失了对原有子公司的控制权”（详见前段）适用 </w:t>
      </w:r>
      <w:r>
        <w:rPr>
          <w:color w:val="000000"/>
          <w:spacing w:val="0"/>
          <w:w w:val="100"/>
          <w:position w:val="0"/>
          <w:sz w:val="17"/>
          <w:szCs w:val="17"/>
        </w:rPr>
        <w:t>的原则进行会计处理。处置对子公司股权投资直至丧失控制权的各项交易属于一揽子交易的，将各项交易作为一项处置子公 司并丧失控制权的交易进行会计处理；但是，在丧失控制权之前每一次处置价款与处置投资对应的享有该子公司净资产份额 的差额，在合并财务报表中确认为其他综合收益，在丧失控制权时一并转入丧失控制权当期的损益。</w:t>
      </w:r>
    </w:p>
    <w:p>
      <w:pPr>
        <w:pStyle w:val="Style20"/>
        <w:keepNext/>
        <w:keepLines/>
        <w:widowControl w:val="0"/>
        <w:shd w:val="clear" w:color="auto" w:fill="auto"/>
        <w:tabs>
          <w:tab w:pos="737" w:val="left"/>
        </w:tabs>
        <w:bidi w:val="0"/>
        <w:spacing w:before="0" w:after="0" w:line="523" w:lineRule="auto"/>
        <w:ind w:left="0" w:right="0" w:firstLine="380"/>
        <w:jc w:val="left"/>
        <w:rPr>
          <w:sz w:val="20"/>
          <w:szCs w:val="20"/>
        </w:rPr>
      </w:pPr>
      <w:bookmarkStart w:id="733" w:name="bookmark733"/>
      <w:bookmarkStart w:id="734" w:name="bookmark734"/>
      <w:bookmarkStart w:id="735" w:name="bookmark735"/>
      <w:bookmarkStart w:id="736" w:name="bookmark736"/>
      <w:r>
        <w:rPr>
          <w:rFonts w:ascii="Arial Narrow" w:eastAsia="Arial Narrow" w:hAnsi="Arial Narrow" w:cs="Arial Narrow"/>
          <w:color w:val="000000"/>
          <w:spacing w:val="0"/>
          <w:w w:val="100"/>
          <w:position w:val="0"/>
          <w:sz w:val="20"/>
          <w:szCs w:val="20"/>
        </w:rPr>
        <w:t>7</w:t>
      </w:r>
      <w:bookmarkEnd w:id="735"/>
      <w:r>
        <w:rPr>
          <w:color w:val="000000"/>
          <w:spacing w:val="0"/>
          <w:w w:val="100"/>
          <w:position w:val="0"/>
          <w:sz w:val="20"/>
          <w:szCs w:val="20"/>
        </w:rPr>
        <w:t>、</w:t>
        <w:tab/>
        <w:t>合营安排分类及共同经营会计处理方法</w:t>
      </w:r>
      <w:bookmarkEnd w:id="733"/>
      <w:bookmarkEnd w:id="734"/>
      <w:bookmarkEnd w:id="736"/>
    </w:p>
    <w:p>
      <w:pPr>
        <w:pStyle w:val="Style27"/>
        <w:keepNext w:val="0"/>
        <w:keepLines w:val="0"/>
        <w:widowControl w:val="0"/>
        <w:shd w:val="clear" w:color="auto" w:fill="auto"/>
        <w:bidi w:val="0"/>
        <w:spacing w:before="0" w:after="0" w:line="500" w:lineRule="exact"/>
        <w:ind w:left="0" w:right="0" w:firstLine="400"/>
        <w:jc w:val="both"/>
        <w:rPr>
          <w:sz w:val="17"/>
          <w:szCs w:val="17"/>
        </w:rPr>
      </w:pPr>
      <w:r>
        <w:rPr>
          <w:color w:val="000000"/>
          <w:spacing w:val="0"/>
          <w:w w:val="100"/>
          <w:position w:val="0"/>
          <w:sz w:val="17"/>
          <w:szCs w:val="17"/>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7"/>
        <w:keepNext w:val="0"/>
        <w:keepLines w:val="0"/>
        <w:widowControl w:val="0"/>
        <w:shd w:val="clear" w:color="auto" w:fill="auto"/>
        <w:bidi w:val="0"/>
        <w:spacing w:before="0" w:after="0" w:line="500" w:lineRule="exact"/>
        <w:ind w:left="0" w:right="0" w:firstLine="400"/>
        <w:jc w:val="both"/>
        <w:rPr>
          <w:sz w:val="17"/>
          <w:szCs w:val="17"/>
        </w:rPr>
      </w:pPr>
      <w:r>
        <w:rPr>
          <w:color w:val="000000"/>
          <w:spacing w:val="0"/>
          <w:w w:val="100"/>
          <w:position w:val="0"/>
          <w:sz w:val="17"/>
          <w:szCs w:val="17"/>
        </w:rPr>
        <w:t>本公司对合营企业的投资采用权益法核算，按照本附注三、</w:t>
      </w:r>
      <w:r>
        <w:rPr>
          <w:rFonts w:ascii="Arial Narrow" w:eastAsia="Arial Narrow" w:hAnsi="Arial Narrow" w:cs="Arial Narrow"/>
          <w:color w:val="000000"/>
          <w:spacing w:val="0"/>
          <w:w w:val="100"/>
          <w:position w:val="0"/>
          <w:sz w:val="18"/>
          <w:szCs w:val="18"/>
        </w:rPr>
        <w:t>14</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）②“权益法核算的长期股权投资”中所述的会计政 策处理。</w:t>
      </w:r>
    </w:p>
    <w:p>
      <w:pPr>
        <w:pStyle w:val="Style27"/>
        <w:keepNext w:val="0"/>
        <w:keepLines w:val="0"/>
        <w:widowControl w:val="0"/>
        <w:shd w:val="clear" w:color="auto" w:fill="auto"/>
        <w:bidi w:val="0"/>
        <w:spacing w:before="0" w:after="0" w:line="500" w:lineRule="exact"/>
        <w:ind w:left="0" w:right="0" w:firstLine="400"/>
        <w:jc w:val="both"/>
        <w:rPr>
          <w:sz w:val="17"/>
          <w:szCs w:val="17"/>
        </w:rPr>
      </w:pPr>
      <w:r>
        <w:rPr>
          <w:color w:val="000000"/>
          <w:spacing w:val="0"/>
          <w:w w:val="100"/>
          <w:position w:val="0"/>
          <w:sz w:val="17"/>
          <w:szCs w:val="17"/>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27"/>
        <w:keepNext w:val="0"/>
        <w:keepLines w:val="0"/>
        <w:widowControl w:val="0"/>
        <w:shd w:val="clear" w:color="auto" w:fill="auto"/>
        <w:bidi w:val="0"/>
        <w:spacing w:before="0" w:after="280" w:line="510" w:lineRule="exact"/>
        <w:ind w:left="0" w:right="0" w:firstLine="400"/>
        <w:jc w:val="both"/>
        <w:rPr>
          <w:sz w:val="17"/>
          <w:szCs w:val="17"/>
        </w:rPr>
      </w:pPr>
      <w:r>
        <w:rPr>
          <w:color w:val="000000"/>
          <w:spacing w:val="0"/>
          <w:w w:val="100"/>
          <w:position w:val="0"/>
          <w:sz w:val="17"/>
          <w:szCs w:val="17"/>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Arial Narrow" w:eastAsia="Arial Narrow" w:hAnsi="Arial Narrow" w:cs="Arial Narrow"/>
          <w:color w:val="000000"/>
          <w:spacing w:val="0"/>
          <w:w w:val="100"/>
          <w:position w:val="0"/>
          <w:sz w:val="18"/>
          <w:szCs w:val="18"/>
        </w:rPr>
        <w:t>8</w:t>
      </w:r>
      <w:r>
        <w:rPr>
          <w:color w:val="000000"/>
          <w:spacing w:val="0"/>
          <w:w w:val="100"/>
          <w:position w:val="0"/>
          <w:sz w:val="17"/>
          <w:szCs w:val="17"/>
        </w:rPr>
        <w:t>号——资产减值》等规定的资产减值损失的，对于由本公司向共同经营投出或出售资产的情况，本公司全额确认 该损失；对于本公司自共同经营购买资产的情况，本公司按承担的份额确认该损失。</w:t>
      </w:r>
    </w:p>
    <w:p>
      <w:pPr>
        <w:pStyle w:val="Style20"/>
        <w:keepNext/>
        <w:keepLines/>
        <w:widowControl w:val="0"/>
        <w:shd w:val="clear" w:color="auto" w:fill="auto"/>
        <w:tabs>
          <w:tab w:pos="737" w:val="left"/>
        </w:tabs>
        <w:bidi w:val="0"/>
        <w:spacing w:before="0" w:after="0" w:line="535" w:lineRule="auto"/>
        <w:ind w:left="0" w:right="0" w:firstLine="380"/>
        <w:jc w:val="left"/>
        <w:rPr>
          <w:sz w:val="20"/>
          <w:szCs w:val="20"/>
        </w:rPr>
      </w:pPr>
      <w:bookmarkStart w:id="737" w:name="bookmark737"/>
      <w:bookmarkStart w:id="738" w:name="bookmark738"/>
      <w:bookmarkStart w:id="739" w:name="bookmark739"/>
      <w:bookmarkStart w:id="740" w:name="bookmark740"/>
      <w:r>
        <w:rPr>
          <w:rFonts w:ascii="Arial Narrow" w:eastAsia="Arial Narrow" w:hAnsi="Arial Narrow" w:cs="Arial Narrow"/>
          <w:color w:val="000000"/>
          <w:spacing w:val="0"/>
          <w:w w:val="100"/>
          <w:position w:val="0"/>
          <w:sz w:val="20"/>
          <w:szCs w:val="20"/>
        </w:rPr>
        <w:t>8</w:t>
      </w:r>
      <w:bookmarkEnd w:id="739"/>
      <w:r>
        <w:rPr>
          <w:color w:val="000000"/>
          <w:spacing w:val="0"/>
          <w:w w:val="100"/>
          <w:position w:val="0"/>
          <w:sz w:val="20"/>
          <w:szCs w:val="20"/>
        </w:rPr>
        <w:t>、</w:t>
        <w:tab/>
        <w:t>现金及现金等价物</w:t>
      </w:r>
      <w:bookmarkEnd w:id="737"/>
      <w:bookmarkEnd w:id="738"/>
      <w:bookmarkEnd w:id="740"/>
    </w:p>
    <w:p>
      <w:pPr>
        <w:pStyle w:val="Style27"/>
        <w:keepNext w:val="0"/>
        <w:keepLines w:val="0"/>
        <w:widowControl w:val="0"/>
        <w:shd w:val="clear" w:color="auto" w:fill="auto"/>
        <w:bidi w:val="0"/>
        <w:spacing w:before="0" w:after="280" w:line="510" w:lineRule="exact"/>
        <w:ind w:left="0" w:right="0" w:firstLine="400"/>
        <w:jc w:val="both"/>
        <w:rPr>
          <w:sz w:val="17"/>
          <w:szCs w:val="17"/>
        </w:rPr>
      </w:pPr>
      <w:r>
        <w:rPr>
          <w:color w:val="000000"/>
          <w:spacing w:val="0"/>
          <w:w w:val="100"/>
          <w:position w:val="0"/>
          <w:sz w:val="17"/>
          <w:szCs w:val="17"/>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20"/>
        <w:keepNext/>
        <w:keepLines/>
        <w:widowControl w:val="0"/>
        <w:shd w:val="clear" w:color="auto" w:fill="auto"/>
        <w:tabs>
          <w:tab w:pos="737" w:val="left"/>
        </w:tabs>
        <w:bidi w:val="0"/>
        <w:spacing w:before="0" w:after="0" w:line="528" w:lineRule="auto"/>
        <w:ind w:left="0" w:right="0" w:firstLine="400"/>
        <w:jc w:val="both"/>
        <w:rPr>
          <w:sz w:val="20"/>
          <w:szCs w:val="20"/>
        </w:rPr>
      </w:pPr>
      <w:bookmarkStart w:id="741" w:name="bookmark741"/>
      <w:bookmarkStart w:id="742" w:name="bookmark742"/>
      <w:bookmarkStart w:id="743" w:name="bookmark743"/>
      <w:bookmarkStart w:id="744" w:name="bookmark744"/>
      <w:r>
        <w:rPr>
          <w:rFonts w:ascii="Arial Narrow" w:eastAsia="Arial Narrow" w:hAnsi="Arial Narrow" w:cs="Arial Narrow"/>
          <w:color w:val="000000"/>
          <w:spacing w:val="0"/>
          <w:w w:val="100"/>
          <w:position w:val="0"/>
          <w:sz w:val="20"/>
          <w:szCs w:val="20"/>
        </w:rPr>
        <w:t>9</w:t>
      </w:r>
      <w:bookmarkEnd w:id="743"/>
      <w:r>
        <w:rPr>
          <w:color w:val="000000"/>
          <w:spacing w:val="0"/>
          <w:w w:val="100"/>
          <w:position w:val="0"/>
          <w:sz w:val="20"/>
          <w:szCs w:val="20"/>
        </w:rPr>
        <w:t>、</w:t>
        <w:tab/>
        <w:t>外币业务的核算和折算方法</w:t>
      </w:r>
      <w:bookmarkEnd w:id="741"/>
      <w:bookmarkEnd w:id="742"/>
      <w:bookmarkEnd w:id="744"/>
    </w:p>
    <w:p>
      <w:pPr>
        <w:pStyle w:val="Style17"/>
        <w:keepNext w:val="0"/>
        <w:keepLines w:val="0"/>
        <w:widowControl w:val="0"/>
        <w:shd w:val="clear" w:color="auto" w:fill="auto"/>
        <w:tabs>
          <w:tab w:pos="859" w:val="left"/>
        </w:tabs>
        <w:bidi w:val="0"/>
        <w:spacing w:before="0" w:after="0" w:line="504" w:lineRule="exact"/>
        <w:ind w:left="0" w:right="0"/>
        <w:jc w:val="left"/>
      </w:pPr>
      <w:bookmarkStart w:id="745" w:name="bookmark745"/>
      <w:r>
        <w:rPr>
          <w:color w:val="000000"/>
          <w:spacing w:val="0"/>
          <w:w w:val="100"/>
          <w:position w:val="0"/>
        </w:rPr>
        <w:t>（</w:t>
      </w:r>
      <w:bookmarkEnd w:id="745"/>
      <w:r>
        <w:rPr>
          <w:b/>
          <w:bCs/>
          <w:color w:val="000000"/>
          <w:spacing w:val="0"/>
          <w:w w:val="100"/>
          <w:position w:val="0"/>
        </w:rPr>
        <w:t>1</w:t>
      </w:r>
      <w:r>
        <w:rPr>
          <w:color w:val="000000"/>
          <w:spacing w:val="0"/>
          <w:w w:val="100"/>
          <w:position w:val="0"/>
        </w:rPr>
        <w:t>）</w:t>
        <w:tab/>
        <w:t>外币交易的折算方法</w:t>
      </w:r>
    </w:p>
    <w:p>
      <w:pPr>
        <w:pStyle w:val="Style17"/>
        <w:keepNext w:val="0"/>
        <w:keepLines w:val="0"/>
        <w:widowControl w:val="0"/>
        <w:shd w:val="clear" w:color="auto" w:fill="auto"/>
        <w:bidi w:val="0"/>
        <w:spacing w:before="0" w:after="0" w:line="504" w:lineRule="exact"/>
        <w:ind w:left="0" w:right="0" w:firstLine="400"/>
        <w:jc w:val="both"/>
      </w:pPr>
      <w:r>
        <w:rPr>
          <w:color w:val="000000"/>
          <w:spacing w:val="0"/>
          <w:w w:val="100"/>
          <w:position w:val="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17"/>
        <w:keepNext w:val="0"/>
        <w:keepLines w:val="0"/>
        <w:widowControl w:val="0"/>
        <w:shd w:val="clear" w:color="auto" w:fill="auto"/>
        <w:tabs>
          <w:tab w:pos="859" w:val="left"/>
        </w:tabs>
        <w:bidi w:val="0"/>
        <w:spacing w:before="0" w:after="40" w:line="504" w:lineRule="exact"/>
        <w:ind w:left="0" w:right="0"/>
        <w:jc w:val="left"/>
      </w:pPr>
      <w:bookmarkStart w:id="746" w:name="bookmark746"/>
      <w:r>
        <w:rPr>
          <w:color w:val="000000"/>
          <w:spacing w:val="0"/>
          <w:w w:val="100"/>
          <w:position w:val="0"/>
        </w:rPr>
        <w:t>（</w:t>
      </w:r>
      <w:bookmarkEnd w:id="746"/>
      <w:r>
        <w:rPr>
          <w:b/>
          <w:bCs/>
          <w:color w:val="000000"/>
          <w:spacing w:val="0"/>
          <w:w w:val="100"/>
          <w:position w:val="0"/>
        </w:rPr>
        <w:t>2</w:t>
      </w:r>
      <w:r>
        <w:rPr>
          <w:color w:val="000000"/>
          <w:spacing w:val="0"/>
          <w:w w:val="100"/>
          <w:position w:val="0"/>
        </w:rPr>
        <w:t>）</w:t>
        <w:tab/>
        <w:t>对于外币货币性项目和外币非货币性项目的折算方法</w:t>
      </w:r>
    </w:p>
    <w:p>
      <w:pPr>
        <w:pStyle w:val="Style17"/>
        <w:keepNext w:val="0"/>
        <w:keepLines w:val="0"/>
        <w:widowControl w:val="0"/>
        <w:shd w:val="clear" w:color="auto" w:fill="auto"/>
        <w:bidi w:val="0"/>
        <w:spacing w:before="0" w:after="280" w:line="456" w:lineRule="exact"/>
        <w:ind w:left="0" w:right="0" w:firstLine="40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w:t>
      </w:r>
    </w:p>
    <w:p>
      <w:pPr>
        <w:pStyle w:val="Style17"/>
        <w:keepNext w:val="0"/>
        <w:keepLines w:val="0"/>
        <w:widowControl w:val="0"/>
        <w:numPr>
          <w:ilvl w:val="0"/>
          <w:numId w:val="11"/>
        </w:numPr>
        <w:shd w:val="clear" w:color="auto" w:fill="auto"/>
        <w:bidi w:val="0"/>
        <w:spacing w:before="0" w:after="0" w:line="494" w:lineRule="exact"/>
        <w:ind w:left="0" w:right="0" w:firstLine="0"/>
        <w:jc w:val="both"/>
      </w:pPr>
      <w:bookmarkStart w:id="747" w:name="bookmark747"/>
      <w:bookmarkEnd w:id="747"/>
      <w:r>
        <w:rPr>
          <w:color w:val="000000"/>
          <w:spacing w:val="0"/>
          <w:w w:val="100"/>
          <w:position w:val="0"/>
        </w:rPr>
        <w:t>可供出售的外币货币性项目除摊余成本之外的其他账面余额变动产生的汇兑差额计入其他综合收益之 外，均计入当期损益。</w:t>
      </w:r>
    </w:p>
    <w:p>
      <w:pPr>
        <w:pStyle w:val="Style17"/>
        <w:keepNext w:val="0"/>
        <w:keepLines w:val="0"/>
        <w:widowControl w:val="0"/>
        <w:shd w:val="clear" w:color="auto" w:fill="auto"/>
        <w:bidi w:val="0"/>
        <w:spacing w:before="0" w:after="260" w:line="494" w:lineRule="exact"/>
        <w:ind w:left="0" w:right="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20"/>
        <w:keepNext/>
        <w:keepLines/>
        <w:widowControl w:val="0"/>
        <w:shd w:val="clear" w:color="auto" w:fill="auto"/>
        <w:bidi w:val="0"/>
        <w:spacing w:before="0" w:after="0" w:line="518" w:lineRule="auto"/>
        <w:ind w:left="0" w:right="0" w:firstLine="380"/>
        <w:jc w:val="both"/>
        <w:rPr>
          <w:sz w:val="20"/>
          <w:szCs w:val="20"/>
        </w:rPr>
      </w:pPr>
      <w:bookmarkStart w:id="748" w:name="bookmark748"/>
      <w:bookmarkStart w:id="749" w:name="bookmark749"/>
      <w:bookmarkStart w:id="750" w:name="bookmark750"/>
      <w:bookmarkStart w:id="751" w:name="bookmark751"/>
      <w:r>
        <w:rPr>
          <w:rFonts w:ascii="Arial Narrow" w:eastAsia="Arial Narrow" w:hAnsi="Arial Narrow" w:cs="Arial Narrow"/>
          <w:color w:val="000000"/>
          <w:spacing w:val="0"/>
          <w:w w:val="100"/>
          <w:position w:val="0"/>
          <w:sz w:val="20"/>
          <w:szCs w:val="20"/>
        </w:rPr>
        <w:t>1</w:t>
      </w:r>
      <w:bookmarkEnd w:id="750"/>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、金融工具</w:t>
      </w:r>
      <w:bookmarkEnd w:id="748"/>
      <w:bookmarkEnd w:id="749"/>
      <w:bookmarkEnd w:id="751"/>
    </w:p>
    <w:p>
      <w:pPr>
        <w:pStyle w:val="Style27"/>
        <w:keepNext w:val="0"/>
        <w:keepLines w:val="0"/>
        <w:widowControl w:val="0"/>
        <w:shd w:val="clear" w:color="auto" w:fill="auto"/>
        <w:bidi w:val="0"/>
        <w:spacing w:before="0" w:after="0" w:line="499" w:lineRule="exact"/>
        <w:ind w:left="0" w:right="0" w:firstLine="380"/>
        <w:jc w:val="both"/>
        <w:rPr>
          <w:sz w:val="17"/>
          <w:szCs w:val="17"/>
        </w:rPr>
      </w:pPr>
      <w:r>
        <w:rPr>
          <w:color w:val="000000"/>
          <w:spacing w:val="0"/>
          <w:w w:val="100"/>
          <w:position w:val="0"/>
          <w:sz w:val="17"/>
          <w:szCs w:val="17"/>
        </w:rPr>
        <w:t>金融工具，是指形成一方的金融资产并形成其他方的金融负债或权益工具的合同。当本公司成为金融工具合同的一方时， 确认相关的金融资产或金融负债。</w:t>
      </w:r>
    </w:p>
    <w:p>
      <w:pPr>
        <w:pStyle w:val="Style27"/>
        <w:keepNext w:val="0"/>
        <w:keepLines w:val="0"/>
        <w:widowControl w:val="0"/>
        <w:shd w:val="clear" w:color="auto" w:fill="auto"/>
        <w:bidi w:val="0"/>
        <w:spacing w:before="0" w:after="0" w:line="499" w:lineRule="exact"/>
        <w:ind w:left="0" w:right="0" w:firstLine="380"/>
        <w:jc w:val="both"/>
        <w:rPr>
          <w:sz w:val="17"/>
          <w:szCs w:val="17"/>
        </w:rPr>
      </w:pPr>
      <w:r>
        <w:rPr>
          <w:color w:val="000000"/>
          <w:spacing w:val="0"/>
          <w:w w:val="100"/>
          <w:position w:val="0"/>
          <w:sz w:val="17"/>
          <w:szCs w:val="17"/>
        </w:rPr>
        <w:t>金融资产和金融负债在初始确认时以公允价值计量：①对于以公允价值计量且其变动计入当期损益的金融资产和金融负 债，相关交易费用直接计入当期损益；②对于其他类别的金融资产和金融负债，相关交易费用计入初始确认金额。金融资产 和金融负债的后续计量取决于其分类。</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金融资产或金融负债满足下列条件之一的，表明持有目的是交易性的：①取得相关金融资产或承担相关金融负债的目的， 主要是为了近期内出售或回购；②初始确认时属于集中管理的可辨认金融工具组合的一部分，且有客观证据表明近期实际存 在短期获利模式；③属于衍生工具，但符合财务担保合同定义的衍生工具以及被指定为有效套期工具的衍生工具除外。</w:t>
      </w:r>
    </w:p>
    <w:p>
      <w:pPr>
        <w:pStyle w:val="Style27"/>
        <w:keepNext w:val="0"/>
        <w:keepLines w:val="0"/>
        <w:widowControl w:val="0"/>
        <w:shd w:val="clear" w:color="auto" w:fill="auto"/>
        <w:bidi w:val="0"/>
        <w:spacing w:before="0" w:after="0" w:line="501" w:lineRule="exact"/>
        <w:ind w:left="0" w:right="0" w:firstLine="380"/>
        <w:jc w:val="both"/>
        <w:rPr>
          <w:sz w:val="17"/>
          <w:szCs w:val="17"/>
        </w:rPr>
      </w:pPr>
      <w:bookmarkStart w:id="752" w:name="bookmark752"/>
      <w:r>
        <w:rPr>
          <w:color w:val="000000"/>
          <w:spacing w:val="0"/>
          <w:w w:val="100"/>
          <w:position w:val="0"/>
          <w:sz w:val="17"/>
          <w:szCs w:val="17"/>
        </w:rPr>
        <w:t>（</w:t>
      </w:r>
      <w:bookmarkEnd w:id="752"/>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）债务工具</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债务工具是指从发行方角度分析符合金融负债定义的工具。债务工具的分类和后续计量取决于本公司管理金融资产的业 务模式，以及金融资产的合同现金流量特征。不能通过现金流量特征测试的，直接分类为以公允价值计量且其变动计入当期 损益的金融资产；能够通过现金流量特征测试的，其分类取决于管理金融资产的业务模式，以及是否将其指定为以公允价值 计量且其变动计入当期损益的金融资产。</w:t>
      </w:r>
    </w:p>
    <w:p>
      <w:pPr>
        <w:pStyle w:val="Style27"/>
        <w:keepNext w:val="0"/>
        <w:keepLines w:val="0"/>
        <w:widowControl w:val="0"/>
        <w:numPr>
          <w:ilvl w:val="0"/>
          <w:numId w:val="13"/>
        </w:numPr>
        <w:shd w:val="clear" w:color="auto" w:fill="auto"/>
        <w:tabs>
          <w:tab w:pos="649" w:val="left"/>
        </w:tabs>
        <w:bidi w:val="0"/>
        <w:spacing w:before="0" w:after="0" w:line="502" w:lineRule="exact"/>
        <w:ind w:left="0" w:right="0" w:firstLine="380"/>
        <w:jc w:val="both"/>
        <w:rPr>
          <w:sz w:val="17"/>
          <w:szCs w:val="17"/>
        </w:rPr>
      </w:pPr>
      <w:bookmarkStart w:id="753" w:name="bookmark753"/>
      <w:bookmarkEnd w:id="753"/>
      <w:r>
        <w:rPr>
          <w:color w:val="000000"/>
          <w:spacing w:val="0"/>
          <w:w w:val="100"/>
          <w:position w:val="0"/>
          <w:sz w:val="17"/>
          <w:szCs w:val="17"/>
        </w:rPr>
        <w:t>以摊余成本计量。本公司管理此类金融资产的业务模式为以收取合同现金流量为目标，且此类金融资产的合同现金流 量特征与基本借贷安排相一致，即在特定日期产生的现金流量，仅为对本金和以未偿付本金金额为基础的利息的支付，同时 并未指定此类金融资产为以公允价值计量且其变动计入当期损益。本公司对于此类金融资产按照实际利率法确认利息收入。 此类金融资产因终止确认产生的利得或损失以及因减值导致的损失直接计入当期损益。</w:t>
      </w:r>
    </w:p>
    <w:p>
      <w:pPr>
        <w:pStyle w:val="Style27"/>
        <w:keepNext w:val="0"/>
        <w:keepLines w:val="0"/>
        <w:widowControl w:val="0"/>
        <w:numPr>
          <w:ilvl w:val="0"/>
          <w:numId w:val="13"/>
        </w:numPr>
        <w:shd w:val="clear" w:color="auto" w:fill="auto"/>
        <w:tabs>
          <w:tab w:pos="654" w:val="left"/>
        </w:tabs>
        <w:bidi w:val="0"/>
        <w:spacing w:before="0" w:after="0" w:line="501" w:lineRule="exact"/>
        <w:ind w:left="0" w:right="0" w:firstLine="380"/>
        <w:jc w:val="both"/>
        <w:rPr>
          <w:sz w:val="17"/>
          <w:szCs w:val="17"/>
        </w:rPr>
      </w:pPr>
      <w:bookmarkStart w:id="754" w:name="bookmark754"/>
      <w:bookmarkEnd w:id="754"/>
      <w:r>
        <w:rPr>
          <w:color w:val="000000"/>
          <w:spacing w:val="0"/>
          <w:w w:val="100"/>
          <w:position w:val="0"/>
          <w:sz w:val="17"/>
          <w:szCs w:val="17"/>
        </w:rPr>
        <w:t xml:space="preserve">以公允价值计量且其变动计入其他综合收益。本公司管理此类金融资产的业务模式为既以收取合同现金流量为目标又 以出售为目标，且此类金融资产的合同现金流量特征与基本借贷安排相一致，即在特定日期产生的现金流量，仅为对本金和 以未偿付本金金额为基础的利息的支付，同时并未指定此类金融资产为以公允价值计量且其变动计入当期损益。此类金融资 产按照公允价值计量且其变动计入其他综合收益，但减值损失或利得、汇兑损益和按照实际利率法计算的利息收入计入当期 </w:t>
      </w:r>
      <w:r>
        <w:rPr>
          <w:color w:val="000000"/>
          <w:spacing w:val="0"/>
          <w:w w:val="100"/>
          <w:position w:val="0"/>
          <w:sz w:val="17"/>
          <w:szCs w:val="17"/>
        </w:rPr>
        <w:t>损益。此类金融资产终止确认时，累计计入其他综合收益的公允价值变动将结转计入当期损益。此类金融资产列示为其他债 权投资。</w:t>
      </w:r>
    </w:p>
    <w:p>
      <w:pPr>
        <w:pStyle w:val="Style27"/>
        <w:keepNext w:val="0"/>
        <w:keepLines w:val="0"/>
        <w:widowControl w:val="0"/>
        <w:numPr>
          <w:ilvl w:val="0"/>
          <w:numId w:val="13"/>
        </w:numPr>
        <w:shd w:val="clear" w:color="auto" w:fill="auto"/>
        <w:bidi w:val="0"/>
        <w:spacing w:before="0" w:after="0" w:line="502" w:lineRule="exact"/>
        <w:ind w:left="0" w:right="0" w:firstLine="380"/>
        <w:jc w:val="both"/>
        <w:rPr>
          <w:sz w:val="17"/>
          <w:szCs w:val="17"/>
        </w:rPr>
      </w:pPr>
      <w:bookmarkStart w:id="755" w:name="bookmark755"/>
      <w:bookmarkEnd w:id="755"/>
      <w:r>
        <w:rPr>
          <w:color w:val="000000"/>
          <w:spacing w:val="0"/>
          <w:w w:val="100"/>
          <w:position w:val="0"/>
          <w:sz w:val="17"/>
          <w:szCs w:val="17"/>
        </w:rPr>
        <w:t>以公允价值计量且其变动计入当期损益。本公司将持有的未划分为以摊余成本计量和以公允价值计量且其变动计入其 他综合收益的债务工具，以公允价值计量且其变动计入当期损益，分类为以公允价值计量且其变动计入当期损益的金融资产， 列示为交易性金融资产。</w:t>
      </w:r>
    </w:p>
    <w:p>
      <w:pPr>
        <w:pStyle w:val="Style27"/>
        <w:keepNext w:val="0"/>
        <w:keepLines w:val="0"/>
        <w:widowControl w:val="0"/>
        <w:shd w:val="clear" w:color="auto" w:fill="auto"/>
        <w:tabs>
          <w:tab w:pos="811" w:val="left"/>
        </w:tabs>
        <w:bidi w:val="0"/>
        <w:spacing w:before="0" w:after="0" w:line="502" w:lineRule="exact"/>
        <w:ind w:left="0" w:right="0" w:firstLine="380"/>
        <w:jc w:val="both"/>
        <w:rPr>
          <w:sz w:val="17"/>
          <w:szCs w:val="17"/>
        </w:rPr>
      </w:pPr>
      <w:bookmarkStart w:id="756" w:name="bookmark756"/>
      <w:r>
        <w:rPr>
          <w:color w:val="000000"/>
          <w:spacing w:val="0"/>
          <w:w w:val="100"/>
          <w:position w:val="0"/>
          <w:sz w:val="17"/>
          <w:szCs w:val="17"/>
        </w:rPr>
        <w:t>（</w:t>
      </w:r>
      <w:bookmarkEnd w:id="756"/>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w:t>
        <w:tab/>
        <w:t>权益工具</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权益工具是指从发行方角度分析符合权益工具定义的工具。权益工具投资以公允价值计量且其变动计入当期损益，列示 为交易性金融资产，但本公司管理层指定为以公允价值计量且其变动计入其他综合收益除外。指定为以公允价值计量且其变 动计入综合收益的，列示为其他权益工具投资，相关公允价值变动不得结转至当期损益，且该指定一经作出不得撤销。相关 股利收入计入当期损益。</w:t>
      </w:r>
    </w:p>
    <w:p>
      <w:pPr>
        <w:pStyle w:val="Style27"/>
        <w:keepNext w:val="0"/>
        <w:keepLines w:val="0"/>
        <w:widowControl w:val="0"/>
        <w:shd w:val="clear" w:color="auto" w:fill="auto"/>
        <w:tabs>
          <w:tab w:pos="811" w:val="left"/>
        </w:tabs>
        <w:bidi w:val="0"/>
        <w:spacing w:before="0" w:after="0" w:line="502" w:lineRule="exact"/>
        <w:ind w:left="0" w:right="0" w:firstLine="380"/>
        <w:jc w:val="both"/>
        <w:rPr>
          <w:sz w:val="17"/>
          <w:szCs w:val="17"/>
        </w:rPr>
      </w:pPr>
      <w:bookmarkStart w:id="757" w:name="bookmark757"/>
      <w:r>
        <w:rPr>
          <w:color w:val="000000"/>
          <w:spacing w:val="0"/>
          <w:w w:val="100"/>
          <w:position w:val="0"/>
          <w:sz w:val="17"/>
          <w:szCs w:val="17"/>
        </w:rPr>
        <w:t>（</w:t>
      </w:r>
      <w:bookmarkEnd w:id="757"/>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w:t>
        <w:tab/>
        <w:t>金融负债</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金融负债于初始确认时分类为以公允价值计量且其变动计入当期损益的金融负债及其他金融负债。</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以公允价值计量且其变动计入当期损益的金融负债，包括交易性金融负债和指定为以公允价值计量且其变动计入当期损 益的金融负债。满足以下条件之一时，金融负债可在初始计量时指定为以公允价值计量且其变动计入当期损益的金融负债： ①该项指定能够消除或显著减少会计错配；②根据正式书面文件载明的风险管理或投资策略，以公允价值为基础对金融负债 组合或金融资产和金融负债组合进行管理和业绩评价，并在公司内部以此为基础向关键管理人员报告。该指定一经作出，不 得撤销。</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指定为以公允价值计量且变动计入当期损益的金融负债，由公司自身信用风险变动引起的公允价值的变动金额，计入其 他综合收益；其他公允价值变动，计入当期损益。该金融负债终止确认时，之前计入其他综合收益的累计利得或损失从其他 综合收益转出，计入留存收益。</w:t>
      </w:r>
    </w:p>
    <w:p>
      <w:pPr>
        <w:pStyle w:val="Style27"/>
        <w:keepNext w:val="0"/>
        <w:keepLines w:val="0"/>
        <w:widowControl w:val="0"/>
        <w:shd w:val="clear" w:color="auto" w:fill="auto"/>
        <w:tabs>
          <w:tab w:pos="811" w:val="left"/>
        </w:tabs>
        <w:bidi w:val="0"/>
        <w:spacing w:before="0" w:after="0" w:line="502" w:lineRule="exact"/>
        <w:ind w:left="0" w:right="0" w:firstLine="380"/>
        <w:jc w:val="both"/>
        <w:rPr>
          <w:sz w:val="17"/>
          <w:szCs w:val="17"/>
        </w:rPr>
      </w:pPr>
      <w:bookmarkStart w:id="758" w:name="bookmark758"/>
      <w:r>
        <w:rPr>
          <w:color w:val="000000"/>
          <w:spacing w:val="0"/>
          <w:w w:val="100"/>
          <w:position w:val="0"/>
          <w:sz w:val="17"/>
          <w:szCs w:val="17"/>
        </w:rPr>
        <w:t>（</w:t>
      </w:r>
      <w:bookmarkEnd w:id="758"/>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w:t>
        <w:tab/>
        <w:t>金融资产和金融负债的终止确认</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金融资产满足下列条件之一的，予以终止确认：</w:t>
      </w:r>
    </w:p>
    <w:p>
      <w:pPr>
        <w:pStyle w:val="Style27"/>
        <w:keepNext w:val="0"/>
        <w:keepLines w:val="0"/>
        <w:widowControl w:val="0"/>
        <w:numPr>
          <w:ilvl w:val="0"/>
          <w:numId w:val="15"/>
        </w:numPr>
        <w:shd w:val="clear" w:color="auto" w:fill="auto"/>
        <w:tabs>
          <w:tab w:pos="691" w:val="left"/>
        </w:tabs>
        <w:bidi w:val="0"/>
        <w:spacing w:before="0" w:after="0" w:line="502" w:lineRule="exact"/>
        <w:ind w:left="0" w:right="0" w:firstLine="380"/>
        <w:jc w:val="both"/>
        <w:rPr>
          <w:sz w:val="17"/>
          <w:szCs w:val="17"/>
        </w:rPr>
      </w:pPr>
      <w:bookmarkStart w:id="759" w:name="bookmark759"/>
      <w:bookmarkEnd w:id="759"/>
      <w:r>
        <w:rPr>
          <w:color w:val="000000"/>
          <w:spacing w:val="0"/>
          <w:w w:val="100"/>
          <w:position w:val="0"/>
          <w:sz w:val="17"/>
          <w:szCs w:val="17"/>
        </w:rPr>
        <w:t>收取该金融资产现金流量的合同权利终止；</w:t>
      </w:r>
    </w:p>
    <w:p>
      <w:pPr>
        <w:pStyle w:val="Style27"/>
        <w:keepNext w:val="0"/>
        <w:keepLines w:val="0"/>
        <w:widowControl w:val="0"/>
        <w:numPr>
          <w:ilvl w:val="0"/>
          <w:numId w:val="15"/>
        </w:numPr>
        <w:shd w:val="clear" w:color="auto" w:fill="auto"/>
        <w:tabs>
          <w:tab w:pos="691" w:val="left"/>
        </w:tabs>
        <w:bidi w:val="0"/>
        <w:spacing w:before="0" w:after="0" w:line="502" w:lineRule="exact"/>
        <w:ind w:left="0" w:right="0" w:firstLine="380"/>
        <w:jc w:val="both"/>
        <w:rPr>
          <w:sz w:val="17"/>
          <w:szCs w:val="17"/>
        </w:rPr>
      </w:pPr>
      <w:bookmarkStart w:id="760" w:name="bookmark760"/>
      <w:bookmarkEnd w:id="760"/>
      <w:r>
        <w:rPr>
          <w:color w:val="000000"/>
          <w:spacing w:val="0"/>
          <w:w w:val="100"/>
          <w:position w:val="0"/>
          <w:sz w:val="17"/>
          <w:szCs w:val="17"/>
        </w:rPr>
        <w:t>该金融资产已转移，且本公司将金融资产所有权上几乎所有的风险和报酬转移给转入方；</w:t>
      </w:r>
    </w:p>
    <w:p>
      <w:pPr>
        <w:pStyle w:val="Style27"/>
        <w:keepNext w:val="0"/>
        <w:keepLines w:val="0"/>
        <w:widowControl w:val="0"/>
        <w:numPr>
          <w:ilvl w:val="0"/>
          <w:numId w:val="15"/>
        </w:numPr>
        <w:shd w:val="clear" w:color="auto" w:fill="auto"/>
        <w:tabs>
          <w:tab w:pos="671" w:val="left"/>
        </w:tabs>
        <w:bidi w:val="0"/>
        <w:spacing w:before="0" w:after="0" w:line="494" w:lineRule="exact"/>
        <w:ind w:left="0" w:right="0" w:firstLine="380"/>
        <w:jc w:val="both"/>
        <w:rPr>
          <w:sz w:val="17"/>
          <w:szCs w:val="17"/>
        </w:rPr>
      </w:pPr>
      <w:bookmarkStart w:id="761" w:name="bookmark761"/>
      <w:bookmarkEnd w:id="761"/>
      <w:r>
        <w:rPr>
          <w:color w:val="000000"/>
          <w:spacing w:val="0"/>
          <w:w w:val="100"/>
          <w:position w:val="0"/>
          <w:sz w:val="17"/>
          <w:szCs w:val="17"/>
        </w:rPr>
        <w:t>该金融资产已转移，虽然本公司既没有转移也没有保留金融资产所有权上几乎所有的风险和报酬，但是放弃了对该金 融资产的控制。</w:t>
      </w:r>
    </w:p>
    <w:p>
      <w:pPr>
        <w:pStyle w:val="Style27"/>
        <w:keepNext w:val="0"/>
        <w:keepLines w:val="0"/>
        <w:widowControl w:val="0"/>
        <w:shd w:val="clear" w:color="auto" w:fill="auto"/>
        <w:bidi w:val="0"/>
        <w:spacing w:before="0" w:after="0" w:line="500" w:lineRule="exact"/>
        <w:ind w:left="0" w:right="0" w:firstLine="360"/>
        <w:jc w:val="both"/>
        <w:rPr>
          <w:sz w:val="17"/>
          <w:szCs w:val="17"/>
        </w:rPr>
      </w:pPr>
      <w:r>
        <w:rPr>
          <w:color w:val="000000"/>
          <w:spacing w:val="0"/>
          <w:w w:val="100"/>
          <w:position w:val="0"/>
          <w:sz w:val="17"/>
          <w:szCs w:val="17"/>
        </w:rPr>
        <w:t>金融负债（或其一部分）的现时义务已经解除的，本公司终止确认该金融负债（或该部分金融负债）。</w:t>
      </w:r>
    </w:p>
    <w:p>
      <w:pPr>
        <w:pStyle w:val="Style27"/>
        <w:keepNext w:val="0"/>
        <w:keepLines w:val="0"/>
        <w:widowControl w:val="0"/>
        <w:shd w:val="clear" w:color="auto" w:fill="auto"/>
        <w:bidi w:val="0"/>
        <w:spacing w:before="0" w:after="0" w:line="500" w:lineRule="exact"/>
        <w:ind w:left="0" w:right="0" w:firstLine="360"/>
        <w:jc w:val="both"/>
        <w:rPr>
          <w:sz w:val="17"/>
          <w:szCs w:val="17"/>
        </w:rPr>
      </w:pPr>
      <w:bookmarkStart w:id="762" w:name="bookmark762"/>
      <w:r>
        <w:rPr>
          <w:color w:val="000000"/>
          <w:spacing w:val="0"/>
          <w:w w:val="100"/>
          <w:position w:val="0"/>
          <w:sz w:val="17"/>
          <w:szCs w:val="17"/>
        </w:rPr>
        <w:t>（</w:t>
      </w:r>
      <w:bookmarkEnd w:id="762"/>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）金融工具的减值</w:t>
      </w:r>
    </w:p>
    <w:p>
      <w:pPr>
        <w:pStyle w:val="Style27"/>
        <w:keepNext w:val="0"/>
        <w:keepLines w:val="0"/>
        <w:widowControl w:val="0"/>
        <w:shd w:val="clear" w:color="auto" w:fill="auto"/>
        <w:bidi w:val="0"/>
        <w:spacing w:before="0" w:after="0" w:line="499" w:lineRule="exact"/>
        <w:ind w:left="0" w:right="0" w:firstLine="360"/>
        <w:jc w:val="both"/>
        <w:rPr>
          <w:sz w:val="17"/>
          <w:szCs w:val="17"/>
        </w:rPr>
      </w:pPr>
      <w:r>
        <w:rPr>
          <w:color w:val="000000"/>
          <w:spacing w:val="0"/>
          <w:w w:val="100"/>
          <w:position w:val="0"/>
          <w:sz w:val="17"/>
          <w:szCs w:val="17"/>
        </w:rPr>
        <w:t>本公司以预期信用损失为基础进行金融工具减值会计处理并确认损失准备。预期信用损失，是指以发生违约的风险为权 重的金融工具信用损失的加权平均值。信用损失，是指按照原实际利率折现的、根据合同应收的所有合同现金流量与预期收 取的所有现金流量之间的差额，即全部现金短缺的现值。</w:t>
      </w:r>
    </w:p>
    <w:p>
      <w:pPr>
        <w:pStyle w:val="Style27"/>
        <w:keepNext w:val="0"/>
        <w:keepLines w:val="0"/>
        <w:widowControl w:val="0"/>
        <w:shd w:val="clear" w:color="auto" w:fill="auto"/>
        <w:bidi w:val="0"/>
        <w:spacing w:before="0" w:after="0" w:line="499" w:lineRule="exact"/>
        <w:ind w:left="0" w:right="0" w:firstLine="360"/>
        <w:jc w:val="both"/>
        <w:rPr>
          <w:sz w:val="17"/>
          <w:szCs w:val="17"/>
        </w:rPr>
      </w:pPr>
      <w:r>
        <w:rPr>
          <w:color w:val="000000"/>
          <w:spacing w:val="0"/>
          <w:w w:val="100"/>
          <w:position w:val="0"/>
          <w:sz w:val="17"/>
          <w:szCs w:val="17"/>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况预测的合理且有依据的信息。本公司按照下列方法确定相关金融工具的预期信用损失：</w:t>
      </w:r>
    </w:p>
    <w:p>
      <w:pPr>
        <w:pStyle w:val="Style27"/>
        <w:keepNext w:val="0"/>
        <w:keepLines w:val="0"/>
        <w:widowControl w:val="0"/>
        <w:numPr>
          <w:ilvl w:val="0"/>
          <w:numId w:val="17"/>
        </w:numPr>
        <w:shd w:val="clear" w:color="auto" w:fill="auto"/>
        <w:tabs>
          <w:tab w:pos="673" w:val="left"/>
        </w:tabs>
        <w:bidi w:val="0"/>
        <w:spacing w:before="0" w:after="0" w:line="500" w:lineRule="exact"/>
        <w:ind w:left="0" w:right="0" w:firstLine="360"/>
        <w:jc w:val="both"/>
        <w:rPr>
          <w:sz w:val="17"/>
          <w:szCs w:val="17"/>
        </w:rPr>
      </w:pPr>
      <w:bookmarkStart w:id="763" w:name="bookmark763"/>
      <w:bookmarkEnd w:id="763"/>
      <w:r>
        <w:rPr>
          <w:color w:val="000000"/>
          <w:spacing w:val="0"/>
          <w:w w:val="100"/>
          <w:position w:val="0"/>
          <w:sz w:val="17"/>
          <w:szCs w:val="17"/>
        </w:rPr>
        <w:t>对于金融资产，信用损失为本公司应收取的合同现金流量与预期收取的现金流量之间差额的现值；</w:t>
      </w:r>
    </w:p>
    <w:p>
      <w:pPr>
        <w:pStyle w:val="Style27"/>
        <w:keepNext w:val="0"/>
        <w:keepLines w:val="0"/>
        <w:widowControl w:val="0"/>
        <w:numPr>
          <w:ilvl w:val="0"/>
          <w:numId w:val="17"/>
        </w:numPr>
        <w:shd w:val="clear" w:color="auto" w:fill="auto"/>
        <w:tabs>
          <w:tab w:pos="673" w:val="left"/>
        </w:tabs>
        <w:bidi w:val="0"/>
        <w:spacing w:before="0" w:after="0" w:line="500" w:lineRule="exact"/>
        <w:ind w:left="0" w:right="0" w:firstLine="360"/>
        <w:jc w:val="both"/>
        <w:rPr>
          <w:sz w:val="17"/>
          <w:szCs w:val="17"/>
        </w:rPr>
      </w:pPr>
      <w:bookmarkStart w:id="764" w:name="bookmark764"/>
      <w:bookmarkEnd w:id="764"/>
      <w:r>
        <w:rPr>
          <w:color w:val="000000"/>
          <w:spacing w:val="0"/>
          <w:w w:val="100"/>
          <w:position w:val="0"/>
          <w:sz w:val="17"/>
          <w:szCs w:val="17"/>
        </w:rPr>
        <w:t>对于租赁应收款项，信用损失为本公司应收取的合同现金流量与预期收取的现金流量之间差额的现值；</w:t>
      </w:r>
    </w:p>
    <w:p>
      <w:pPr>
        <w:pStyle w:val="Style27"/>
        <w:keepNext w:val="0"/>
        <w:keepLines w:val="0"/>
        <w:widowControl w:val="0"/>
        <w:numPr>
          <w:ilvl w:val="0"/>
          <w:numId w:val="17"/>
        </w:numPr>
        <w:shd w:val="clear" w:color="auto" w:fill="auto"/>
        <w:tabs>
          <w:tab w:pos="682" w:val="left"/>
        </w:tabs>
        <w:bidi w:val="0"/>
        <w:spacing w:before="0" w:after="0" w:line="499" w:lineRule="exact"/>
        <w:ind w:left="0" w:right="0" w:firstLine="360"/>
        <w:jc w:val="both"/>
        <w:rPr>
          <w:sz w:val="17"/>
          <w:szCs w:val="17"/>
        </w:rPr>
      </w:pPr>
      <w:bookmarkStart w:id="765" w:name="bookmark765"/>
      <w:bookmarkEnd w:id="765"/>
      <w:r>
        <w:rPr>
          <w:color w:val="000000"/>
          <w:spacing w:val="0"/>
          <w:w w:val="100"/>
          <w:position w:val="0"/>
          <w:sz w:val="17"/>
          <w:szCs w:val="17"/>
        </w:rPr>
        <w:t>对于资产负债表日已发生信用减值但并非购买或源生已发生信用减值的金融资产，信用损失为该金融资产账面余额与 按原实际利率折现的估计未来现金流量的现值之间的差额。</w:t>
      </w:r>
    </w:p>
    <w:p>
      <w:pPr>
        <w:pStyle w:val="Style27"/>
        <w:keepNext w:val="0"/>
        <w:keepLines w:val="0"/>
        <w:widowControl w:val="0"/>
        <w:shd w:val="clear" w:color="auto" w:fill="auto"/>
        <w:bidi w:val="0"/>
        <w:spacing w:before="0" w:after="0" w:line="501" w:lineRule="exact"/>
        <w:ind w:left="0" w:right="0" w:firstLine="360"/>
        <w:jc w:val="both"/>
        <w:rPr>
          <w:sz w:val="17"/>
          <w:szCs w:val="17"/>
        </w:rPr>
      </w:pPr>
      <w:r>
        <w:rPr>
          <w:color w:val="000000"/>
          <w:spacing w:val="0"/>
          <w:w w:val="100"/>
          <w:position w:val="0"/>
          <w:sz w:val="17"/>
          <w:szCs w:val="17"/>
        </w:rPr>
        <w:t>对于购买或源生的未发生信用减值的金融工具，每个资产负债表日，考虑合理且有依据的信息（包括前瞻性信息），评 估其信用风险自初始确认后是否显著增加，按照三阶段分别确认预期信用损失。信用风险自初始确认后未显著增加的，处于 第一阶段，按照该金融工具未来</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个月内的预期信用损失计量损失准备；信用风险自初始确认后已显著增加但尚未发生信 用减值的，处于第二阶段，按照该金融工具整个存续期的预期信用损失计量损失准备；自初始确认后已经发生信用减值的， 处于第三阶段，按照该金融工具整个存续期的预期信用损失计量损失准备。处于第一阶段和第二阶段的金融工具，按照其账 面余额和实际利率计算利息收入；处于第三阶段的金融工具，按照其摊余成本和实际利率计算确定利息收入。</w:t>
      </w:r>
    </w:p>
    <w:p>
      <w:pPr>
        <w:pStyle w:val="Style27"/>
        <w:keepNext w:val="0"/>
        <w:keepLines w:val="0"/>
        <w:widowControl w:val="0"/>
        <w:shd w:val="clear" w:color="auto" w:fill="auto"/>
        <w:bidi w:val="0"/>
        <w:spacing w:before="0" w:after="0" w:line="504" w:lineRule="exact"/>
        <w:ind w:left="0" w:right="0" w:firstLine="360"/>
        <w:jc w:val="both"/>
        <w:rPr>
          <w:sz w:val="17"/>
          <w:szCs w:val="17"/>
        </w:rPr>
      </w:pPr>
      <w:r>
        <w:rPr>
          <w:color w:val="000000"/>
          <w:spacing w:val="0"/>
          <w:w w:val="100"/>
          <w:position w:val="0"/>
          <w:sz w:val="17"/>
          <w:szCs w:val="17"/>
        </w:rPr>
        <w:t>对于购买或源生的已发生信用减值的金融资产，在资产负债表日仅将自初始确认后整个存续期内预期信用损失的累计变 动确认为损失准备，其利息收入按照金融资产的摊余成本和经信用调整的实际利率计算确定。</w:t>
      </w:r>
    </w:p>
    <w:p>
      <w:pPr>
        <w:pStyle w:val="Style27"/>
        <w:keepNext w:val="0"/>
        <w:keepLines w:val="0"/>
        <w:widowControl w:val="0"/>
        <w:shd w:val="clear" w:color="auto" w:fill="auto"/>
        <w:bidi w:val="0"/>
        <w:spacing w:before="0" w:after="0" w:line="504" w:lineRule="exact"/>
        <w:ind w:left="0" w:right="0" w:firstLine="360"/>
        <w:jc w:val="both"/>
        <w:rPr>
          <w:sz w:val="17"/>
          <w:szCs w:val="17"/>
        </w:rPr>
      </w:pPr>
      <w:r>
        <w:rPr>
          <w:color w:val="000000"/>
          <w:spacing w:val="0"/>
          <w:w w:val="100"/>
          <w:position w:val="0"/>
          <w:sz w:val="17"/>
          <w:szCs w:val="17"/>
        </w:rPr>
        <w:t>损失准备的增加或转回，作为减值损失或利得，计入当期损益。对于持有的以公允价值计量且其变动计入其他综合收益 的债务工具，减值损失或利得计入当期损益的同时调整其他综合收益。</w:t>
      </w:r>
    </w:p>
    <w:p>
      <w:pPr>
        <w:pStyle w:val="Style27"/>
        <w:keepNext w:val="0"/>
        <w:keepLines w:val="0"/>
        <w:widowControl w:val="0"/>
        <w:shd w:val="clear" w:color="auto" w:fill="auto"/>
        <w:bidi w:val="0"/>
        <w:spacing w:before="0" w:after="0" w:line="500" w:lineRule="exact"/>
        <w:ind w:left="0" w:right="0" w:firstLine="360"/>
        <w:jc w:val="both"/>
        <w:rPr>
          <w:sz w:val="17"/>
          <w:szCs w:val="17"/>
        </w:rPr>
      </w:pPr>
      <w:r>
        <w:rPr>
          <w:rFonts w:ascii="Arial Narrow" w:eastAsia="Arial Narrow" w:hAnsi="Arial Narrow" w:cs="Arial Narrow"/>
          <w:color w:val="000000"/>
          <w:spacing w:val="0"/>
          <w:w w:val="100"/>
          <w:position w:val="0"/>
          <w:sz w:val="18"/>
          <w:szCs w:val="18"/>
        </w:rPr>
        <w:t>A.</w:t>
      </w:r>
      <w:r>
        <w:rPr>
          <w:color w:val="000000"/>
          <w:spacing w:val="0"/>
          <w:w w:val="100"/>
          <w:position w:val="0"/>
          <w:sz w:val="17"/>
          <w:szCs w:val="17"/>
        </w:rPr>
        <w:t>对于应收票据和应收账款，无论是否存在重大融资成分，本公司均按照整个存续期的预期信用损失计量损失准备。</w:t>
      </w:r>
    </w:p>
    <w:p>
      <w:pPr>
        <w:pStyle w:val="Style27"/>
        <w:keepNext w:val="0"/>
        <w:keepLines w:val="0"/>
        <w:widowControl w:val="0"/>
        <w:shd w:val="clear" w:color="auto" w:fill="auto"/>
        <w:bidi w:val="0"/>
        <w:spacing w:before="0" w:after="0" w:line="499" w:lineRule="exact"/>
        <w:ind w:left="0" w:right="0" w:firstLine="360"/>
        <w:jc w:val="both"/>
        <w:rPr>
          <w:sz w:val="17"/>
          <w:szCs w:val="17"/>
        </w:rPr>
      </w:pPr>
      <w:r>
        <w:rPr>
          <w:color w:val="000000"/>
          <w:spacing w:val="0"/>
          <w:w w:val="100"/>
          <w:position w:val="0"/>
          <w:sz w:val="17"/>
          <w:szCs w:val="17"/>
        </w:rPr>
        <w:t>当单项应收票据和应收账款无法以合理成本取得评估预期信用损失的信息时，本公司依据信用风险特征，将应收票据和 应收账款划分为若干组合，在组合基础上计算预期信用损失。</w:t>
      </w:r>
    </w:p>
    <w:p>
      <w:pPr>
        <w:pStyle w:val="Style27"/>
        <w:keepNext w:val="0"/>
        <w:keepLines w:val="0"/>
        <w:widowControl w:val="0"/>
        <w:shd w:val="clear" w:color="auto" w:fill="auto"/>
        <w:bidi w:val="0"/>
        <w:spacing w:before="0" w:after="0" w:line="500" w:lineRule="exact"/>
        <w:ind w:left="0" w:right="0" w:firstLine="360"/>
        <w:jc w:val="both"/>
        <w:rPr>
          <w:sz w:val="17"/>
          <w:szCs w:val="17"/>
        </w:rPr>
      </w:pPr>
      <w:r>
        <w:rPr>
          <w:color w:val="000000"/>
          <w:spacing w:val="0"/>
          <w:w w:val="100"/>
          <w:position w:val="0"/>
          <w:sz w:val="17"/>
          <w:szCs w:val="17"/>
        </w:rPr>
        <w:t>对于划分为组合的应收账款，本公司参考历史信用损失经验，结合当前状况以及对未来经济状况的预测，编制应收账款</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账龄与整个存续期预期信用损失率对照表，计算预期信用损失。确定应收账款组合的依据如下:</w:t>
      </w:r>
    </w:p>
    <w:tbl>
      <w:tblPr>
        <w:tblOverlap w:val="never"/>
        <w:jc w:val="center"/>
        <w:tblLayout w:type="fixed"/>
      </w:tblPr>
      <w:tblGrid>
        <w:gridCol w:w="4709"/>
        <w:gridCol w:w="4699"/>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 w:right="0" w:firstLine="0"/>
              <w:jc w:val="center"/>
              <w:rPr>
                <w:sz w:val="17"/>
                <w:szCs w:val="17"/>
              </w:rPr>
            </w:pPr>
            <w:r>
              <w:rPr>
                <w:color w:val="000000"/>
                <w:spacing w:val="0"/>
                <w:w w:val="100"/>
                <w:position w:val="0"/>
                <w:sz w:val="17"/>
                <w:szCs w:val="17"/>
              </w:rPr>
              <w:t>应收工程结算款</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应收国家电网电费及补贴款组合</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合并范围内关联方组合</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其他应收账款</w:t>
            </w:r>
          </w:p>
        </w:tc>
      </w:tr>
    </w:tbl>
    <w:p>
      <w:pPr>
        <w:widowControl w:val="0"/>
        <w:spacing w:after="259" w:line="1" w:lineRule="exact"/>
      </w:pPr>
    </w:p>
    <w:p>
      <w:pPr>
        <w:pStyle w:val="Style27"/>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对于划分为组合的应收票据，本公司参考历史信用损失经验，结合当前状况以及对未来经济状况的预测，通过违约风险</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敞口和整个存续期预期信用损失率，计算预期信用损失。确定组合的依据如下：</w:t>
      </w:r>
    </w:p>
    <w:tbl>
      <w:tblPr>
        <w:tblOverlap w:val="never"/>
        <w:jc w:val="center"/>
        <w:tblLayout w:type="fixed"/>
      </w:tblPr>
      <w:tblGrid>
        <w:gridCol w:w="4574"/>
        <w:gridCol w:w="4565"/>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商业承兑汇票</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银行承兑汇票</w:t>
            </w:r>
          </w:p>
        </w:tc>
      </w:tr>
    </w:tbl>
    <w:p>
      <w:pPr>
        <w:widowControl w:val="0"/>
        <w:spacing w:after="259" w:line="1" w:lineRule="exact"/>
      </w:pPr>
    </w:p>
    <w:p>
      <w:pPr>
        <w:pStyle w:val="Style27"/>
        <w:keepNext w:val="0"/>
        <w:keepLines w:val="0"/>
        <w:widowControl w:val="0"/>
        <w:shd w:val="clear" w:color="auto" w:fill="auto"/>
        <w:bidi w:val="0"/>
        <w:spacing w:before="0" w:after="300" w:line="240" w:lineRule="auto"/>
        <w:ind w:left="0" w:right="0" w:firstLine="380"/>
        <w:jc w:val="both"/>
        <w:rPr>
          <w:sz w:val="17"/>
          <w:szCs w:val="17"/>
        </w:rPr>
      </w:pPr>
      <w:r>
        <w:rPr>
          <w:rFonts w:ascii="Arial Narrow" w:eastAsia="Arial Narrow" w:hAnsi="Arial Narrow" w:cs="Arial Narrow"/>
          <w:color w:val="000000"/>
          <w:spacing w:val="0"/>
          <w:w w:val="100"/>
          <w:position w:val="0"/>
          <w:sz w:val="18"/>
          <w:szCs w:val="18"/>
        </w:rPr>
        <w:t>B.</w:t>
      </w:r>
      <w:r>
        <w:rPr>
          <w:color w:val="000000"/>
          <w:spacing w:val="0"/>
          <w:w w:val="100"/>
          <w:position w:val="0"/>
          <w:sz w:val="17"/>
          <w:szCs w:val="17"/>
        </w:rPr>
        <w:t>当单项其他应收款、长期应收款无法以合理成本取得评估预期信用损失的信息时，本公司依据信用风险特征将其他应</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收款、长期应收款划分为若干组合，在组合基础上计算预期信用损失。确定组合的依据如下：</w:t>
      </w:r>
    </w:p>
    <w:tbl>
      <w:tblPr>
        <w:tblOverlap w:val="never"/>
        <w:jc w:val="center"/>
        <w:tblLayout w:type="fixed"/>
      </w:tblPr>
      <w:tblGrid>
        <w:gridCol w:w="3658"/>
        <w:gridCol w:w="5578"/>
      </w:tblGrid>
      <w:tr>
        <w:trPr>
          <w:trHeight w:val="73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7"/>
                <w:szCs w:val="17"/>
              </w:rPr>
              <w:t>其他应收款组合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出口退税款、员工公务借款、备用金、押金及保证金、合并范围内关联 方往来、代扣代缴社保</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7"/>
                <w:szCs w:val="17"/>
              </w:rPr>
              <w:t>其他应收款组合</w:t>
            </w: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应收其他款项</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7"/>
                <w:szCs w:val="17"/>
              </w:rPr>
              <w:t>长期应收款组合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应收租赁款</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7"/>
                <w:szCs w:val="17"/>
              </w:rPr>
              <w:t>长期应收款组合</w:t>
            </w:r>
            <w:r>
              <w:rPr>
                <w:rFonts w:ascii="Arial Narrow" w:eastAsia="Arial Narrow" w:hAnsi="Arial Narrow" w:cs="Arial Narrow"/>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应收其他款项</w:t>
            </w:r>
          </w:p>
        </w:tc>
      </w:tr>
    </w:tbl>
    <w:p>
      <w:pPr>
        <w:pStyle w:val="Style27"/>
        <w:keepNext w:val="0"/>
        <w:keepLines w:val="0"/>
        <w:widowControl w:val="0"/>
        <w:shd w:val="clear" w:color="auto" w:fill="auto"/>
        <w:bidi w:val="0"/>
        <w:spacing w:before="0" w:after="40" w:line="497" w:lineRule="exact"/>
        <w:ind w:left="0" w:right="0" w:firstLine="380"/>
        <w:jc w:val="both"/>
        <w:rPr>
          <w:sz w:val="17"/>
          <w:szCs w:val="17"/>
        </w:rPr>
      </w:pPr>
      <w:r>
        <w:rPr>
          <w:color w:val="000000"/>
          <w:spacing w:val="0"/>
          <w:w w:val="100"/>
          <w:position w:val="0"/>
          <w:sz w:val="17"/>
          <w:szCs w:val="17"/>
        </w:rPr>
        <w:t>对于应收租赁款，本公司参考历史信用损失经验，结合当前状况以及对未来经济状况的预测，通过违约风险敞口和整个 存续期预期信用损失率，计算预期信用损失。除应收租赁款之外的划分为组合的其他应收款和长期应收款，通过违约风险敞 口和未来</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个月内或整个存续期预期信用损失率，计算预期信用损失。</w:t>
      </w:r>
    </w:p>
    <w:p>
      <w:pPr>
        <w:pStyle w:val="Style27"/>
        <w:keepNext w:val="0"/>
        <w:keepLines w:val="0"/>
        <w:widowControl w:val="0"/>
        <w:shd w:val="clear" w:color="auto" w:fill="auto"/>
        <w:bidi w:val="0"/>
        <w:spacing w:before="0" w:after="40" w:line="504" w:lineRule="exact"/>
        <w:ind w:left="0" w:right="0" w:firstLine="380"/>
        <w:jc w:val="both"/>
        <w:rPr>
          <w:sz w:val="17"/>
          <w:szCs w:val="17"/>
        </w:rPr>
      </w:pPr>
      <w:bookmarkStart w:id="766" w:name="bookmark766"/>
      <w:r>
        <w:rPr>
          <w:color w:val="000000"/>
          <w:spacing w:val="0"/>
          <w:w w:val="100"/>
          <w:position w:val="0"/>
          <w:sz w:val="17"/>
          <w:szCs w:val="17"/>
        </w:rPr>
        <w:t>（</w:t>
      </w:r>
      <w:bookmarkEnd w:id="766"/>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）衍生工具及嵌入衍生工具</w:t>
      </w:r>
    </w:p>
    <w:p>
      <w:pPr>
        <w:pStyle w:val="Style27"/>
        <w:keepNext w:val="0"/>
        <w:keepLines w:val="0"/>
        <w:widowControl w:val="0"/>
        <w:shd w:val="clear" w:color="auto" w:fill="auto"/>
        <w:bidi w:val="0"/>
        <w:spacing w:before="0" w:after="40" w:line="509" w:lineRule="exact"/>
        <w:ind w:left="0" w:right="0" w:firstLine="380"/>
        <w:jc w:val="both"/>
        <w:rPr>
          <w:sz w:val="17"/>
          <w:szCs w:val="17"/>
        </w:rPr>
      </w:pPr>
      <w:r>
        <w:rPr>
          <w:color w:val="000000"/>
          <w:spacing w:val="0"/>
          <w:w w:val="100"/>
          <w:position w:val="0"/>
          <w:sz w:val="17"/>
          <w:szCs w:val="17"/>
        </w:rPr>
        <w:t>本公司衍生工具主要包括远期合同、期货合同、互换合同。衍生工具初始以衍生交易合同签订当日的公允价值进行计量， 并以其公允价值进行后续计量。本公司衍生工具公允价值变动而产生的利得或损失，直接计入当期损益。</w:t>
      </w:r>
    </w:p>
    <w:p>
      <w:pPr>
        <w:pStyle w:val="Style27"/>
        <w:keepNext w:val="0"/>
        <w:keepLines w:val="0"/>
        <w:widowControl w:val="0"/>
        <w:shd w:val="clear" w:color="auto" w:fill="auto"/>
        <w:bidi w:val="0"/>
        <w:spacing w:before="0" w:after="40" w:line="504" w:lineRule="exact"/>
        <w:ind w:left="0" w:right="0" w:firstLine="380"/>
        <w:jc w:val="both"/>
        <w:rPr>
          <w:sz w:val="17"/>
          <w:szCs w:val="17"/>
        </w:rPr>
      </w:pPr>
      <w:r>
        <w:rPr>
          <w:color w:val="000000"/>
          <w:spacing w:val="0"/>
          <w:w w:val="100"/>
          <w:position w:val="0"/>
          <w:sz w:val="17"/>
          <w:szCs w:val="17"/>
        </w:rPr>
        <w:t>嵌入衍生工具是指嵌入到非衍生工具（即主合同）中的衍生工具，与主合同构成混合合同。混合合同包含的主合同属于 金融工具准则规范的资产的，本公司不从该混合合同中分拆嵌入衍生工具，而是将该混合合同作为一个整体适用金融工具准 则关于金融资产分类的相关规定。</w:t>
      </w:r>
    </w:p>
    <w:p>
      <w:pPr>
        <w:pStyle w:val="Style27"/>
        <w:keepNext w:val="0"/>
        <w:keepLines w:val="0"/>
        <w:widowControl w:val="0"/>
        <w:shd w:val="clear" w:color="auto" w:fill="auto"/>
        <w:bidi w:val="0"/>
        <w:spacing w:before="0" w:after="40" w:line="466" w:lineRule="exact"/>
        <w:ind w:left="0" w:right="0" w:firstLine="380"/>
        <w:jc w:val="both"/>
        <w:rPr>
          <w:sz w:val="17"/>
          <w:szCs w:val="17"/>
        </w:rPr>
      </w:pPr>
      <w:r>
        <w:rPr>
          <w:color w:val="000000"/>
          <w:spacing w:val="0"/>
          <w:w w:val="100"/>
          <w:position w:val="0"/>
          <w:sz w:val="17"/>
          <w:szCs w:val="17"/>
        </w:rPr>
        <w:t>混合合同包含的主合同不属于金融工具准则规范的资产，且同时符合下列条件的，本公司从主合同中分拆嵌入衍生工具， 将其作为单独存在的衍生工具进行处理：</w:t>
      </w:r>
    </w:p>
    <w:p>
      <w:pPr>
        <w:pStyle w:val="Style27"/>
        <w:keepNext w:val="0"/>
        <w:keepLines w:val="0"/>
        <w:widowControl w:val="0"/>
        <w:numPr>
          <w:ilvl w:val="0"/>
          <w:numId w:val="19"/>
        </w:numPr>
        <w:shd w:val="clear" w:color="auto" w:fill="auto"/>
        <w:bidi w:val="0"/>
        <w:spacing w:before="0" w:after="100" w:line="504" w:lineRule="exact"/>
        <w:ind w:left="0" w:right="0" w:firstLine="380"/>
        <w:jc w:val="left"/>
        <w:rPr>
          <w:sz w:val="17"/>
          <w:szCs w:val="17"/>
        </w:rPr>
      </w:pPr>
      <w:bookmarkStart w:id="767" w:name="bookmark767"/>
      <w:bookmarkEnd w:id="767"/>
      <w:r>
        <w:rPr>
          <w:color w:val="000000"/>
          <w:spacing w:val="0"/>
          <w:w w:val="100"/>
          <w:position w:val="0"/>
          <w:sz w:val="17"/>
          <w:szCs w:val="17"/>
        </w:rPr>
        <w:t>嵌入衍生工具的经济特征和风险与主合同的经济特征和风险不紧密相关；</w:t>
      </w:r>
    </w:p>
    <w:p>
      <w:pPr>
        <w:pStyle w:val="Style27"/>
        <w:keepNext w:val="0"/>
        <w:keepLines w:val="0"/>
        <w:widowControl w:val="0"/>
        <w:numPr>
          <w:ilvl w:val="0"/>
          <w:numId w:val="19"/>
        </w:numPr>
        <w:shd w:val="clear" w:color="auto" w:fill="auto"/>
        <w:tabs>
          <w:tab w:pos="712" w:val="left"/>
        </w:tabs>
        <w:bidi w:val="0"/>
        <w:spacing w:before="0" w:after="0" w:line="500" w:lineRule="exact"/>
        <w:ind w:left="0" w:right="0" w:firstLine="380"/>
        <w:jc w:val="both"/>
        <w:rPr>
          <w:sz w:val="17"/>
          <w:szCs w:val="17"/>
        </w:rPr>
      </w:pPr>
      <w:bookmarkStart w:id="768" w:name="bookmark768"/>
      <w:bookmarkEnd w:id="768"/>
      <w:r>
        <w:rPr>
          <w:color w:val="000000"/>
          <w:spacing w:val="0"/>
          <w:w w:val="100"/>
          <w:position w:val="0"/>
          <w:sz w:val="17"/>
          <w:szCs w:val="17"/>
        </w:rPr>
        <w:t>与嵌入衍生工具具有相关条款的单独工具符合衍生工具的定义；</w:t>
      </w:r>
    </w:p>
    <w:p>
      <w:pPr>
        <w:pStyle w:val="Style27"/>
        <w:keepNext w:val="0"/>
        <w:keepLines w:val="0"/>
        <w:widowControl w:val="0"/>
        <w:numPr>
          <w:ilvl w:val="0"/>
          <w:numId w:val="19"/>
        </w:numPr>
        <w:shd w:val="clear" w:color="auto" w:fill="auto"/>
        <w:tabs>
          <w:tab w:pos="712" w:val="left"/>
        </w:tabs>
        <w:bidi w:val="0"/>
        <w:spacing w:before="0" w:after="0" w:line="500" w:lineRule="exact"/>
        <w:ind w:left="0" w:right="0" w:firstLine="380"/>
        <w:jc w:val="both"/>
        <w:rPr>
          <w:sz w:val="17"/>
          <w:szCs w:val="17"/>
        </w:rPr>
      </w:pPr>
      <w:bookmarkStart w:id="769" w:name="bookmark769"/>
      <w:bookmarkEnd w:id="769"/>
      <w:r>
        <w:rPr>
          <w:color w:val="000000"/>
          <w:spacing w:val="0"/>
          <w:w w:val="100"/>
          <w:position w:val="0"/>
          <w:sz w:val="17"/>
          <w:szCs w:val="17"/>
        </w:rPr>
        <w:t>该混合合同不是以公允价值计量且其变动计入当期损益进行会计处理。</w:t>
      </w:r>
    </w:p>
    <w:p>
      <w:pPr>
        <w:pStyle w:val="Style27"/>
        <w:keepNext w:val="0"/>
        <w:keepLines w:val="0"/>
        <w:widowControl w:val="0"/>
        <w:shd w:val="clear" w:color="auto" w:fill="auto"/>
        <w:tabs>
          <w:tab w:pos="832" w:val="left"/>
        </w:tabs>
        <w:bidi w:val="0"/>
        <w:spacing w:before="0" w:after="0" w:line="500" w:lineRule="exact"/>
        <w:ind w:left="0" w:right="0" w:firstLine="380"/>
        <w:jc w:val="both"/>
        <w:rPr>
          <w:sz w:val="17"/>
          <w:szCs w:val="17"/>
        </w:rPr>
      </w:pPr>
      <w:bookmarkStart w:id="770" w:name="bookmark770"/>
      <w:r>
        <w:rPr>
          <w:color w:val="000000"/>
          <w:spacing w:val="0"/>
          <w:w w:val="100"/>
          <w:position w:val="0"/>
          <w:sz w:val="17"/>
          <w:szCs w:val="17"/>
        </w:rPr>
        <w:t>（</w:t>
      </w:r>
      <w:bookmarkEnd w:id="770"/>
      <w:r>
        <w:rPr>
          <w:rFonts w:ascii="Arial Narrow" w:eastAsia="Arial Narrow" w:hAnsi="Arial Narrow" w:cs="Arial Narrow"/>
          <w:color w:val="000000"/>
          <w:spacing w:val="0"/>
          <w:w w:val="100"/>
          <w:position w:val="0"/>
          <w:sz w:val="18"/>
          <w:szCs w:val="18"/>
        </w:rPr>
        <w:t>7</w:t>
      </w:r>
      <w:r>
        <w:rPr>
          <w:color w:val="000000"/>
          <w:spacing w:val="0"/>
          <w:w w:val="100"/>
          <w:position w:val="0"/>
          <w:sz w:val="17"/>
          <w:szCs w:val="17"/>
        </w:rPr>
        <w:t>）</w:t>
        <w:tab/>
        <w:t>金融资产和金融负债的抵销</w:t>
      </w:r>
    </w:p>
    <w:p>
      <w:pPr>
        <w:pStyle w:val="Style27"/>
        <w:keepNext w:val="0"/>
        <w:keepLines w:val="0"/>
        <w:widowControl w:val="0"/>
        <w:shd w:val="clear" w:color="auto" w:fill="auto"/>
        <w:bidi w:val="0"/>
        <w:spacing w:before="0" w:after="0" w:line="504" w:lineRule="exact"/>
        <w:ind w:left="0" w:right="0" w:firstLine="380"/>
        <w:jc w:val="both"/>
        <w:rPr>
          <w:sz w:val="17"/>
          <w:szCs w:val="17"/>
        </w:rPr>
      </w:pPr>
      <w:r>
        <w:rPr>
          <w:color w:val="000000"/>
          <w:spacing w:val="0"/>
          <w:w w:val="100"/>
          <w:position w:val="0"/>
          <w:sz w:val="17"/>
          <w:szCs w:val="17"/>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27"/>
        <w:keepNext w:val="0"/>
        <w:keepLines w:val="0"/>
        <w:widowControl w:val="0"/>
        <w:shd w:val="clear" w:color="auto" w:fill="auto"/>
        <w:tabs>
          <w:tab w:pos="832" w:val="left"/>
        </w:tabs>
        <w:bidi w:val="0"/>
        <w:spacing w:before="0" w:after="0" w:line="504" w:lineRule="exact"/>
        <w:ind w:left="0" w:right="0" w:firstLine="380"/>
        <w:jc w:val="both"/>
        <w:rPr>
          <w:sz w:val="17"/>
          <w:szCs w:val="17"/>
        </w:rPr>
      </w:pPr>
      <w:bookmarkStart w:id="771" w:name="bookmark771"/>
      <w:r>
        <w:rPr>
          <w:color w:val="000000"/>
          <w:spacing w:val="0"/>
          <w:w w:val="100"/>
          <w:position w:val="0"/>
          <w:sz w:val="17"/>
          <w:szCs w:val="17"/>
        </w:rPr>
        <w:t>（</w:t>
      </w:r>
      <w:bookmarkEnd w:id="771"/>
      <w:r>
        <w:rPr>
          <w:rFonts w:ascii="Arial Narrow" w:eastAsia="Arial Narrow" w:hAnsi="Arial Narrow" w:cs="Arial Narrow"/>
          <w:color w:val="000000"/>
          <w:spacing w:val="0"/>
          <w:w w:val="100"/>
          <w:position w:val="0"/>
          <w:sz w:val="18"/>
          <w:szCs w:val="18"/>
        </w:rPr>
        <w:t>8</w:t>
      </w:r>
      <w:r>
        <w:rPr>
          <w:color w:val="000000"/>
          <w:spacing w:val="0"/>
          <w:w w:val="100"/>
          <w:position w:val="0"/>
          <w:sz w:val="17"/>
          <w:szCs w:val="17"/>
        </w:rPr>
        <w:t>）</w:t>
        <w:tab/>
        <w:t>金融工具的公允价值确定</w:t>
      </w:r>
    </w:p>
    <w:p>
      <w:pPr>
        <w:pStyle w:val="Style27"/>
        <w:keepNext w:val="0"/>
        <w:keepLines w:val="0"/>
        <w:widowControl w:val="0"/>
        <w:shd w:val="clear" w:color="auto" w:fill="auto"/>
        <w:bidi w:val="0"/>
        <w:spacing w:before="0" w:after="320" w:line="502" w:lineRule="exact"/>
        <w:ind w:left="0" w:right="0" w:firstLine="380"/>
        <w:jc w:val="both"/>
        <w:rPr>
          <w:sz w:val="17"/>
          <w:szCs w:val="17"/>
        </w:rPr>
      </w:pPr>
      <w:r>
        <w:rPr>
          <w:color w:val="000000"/>
          <w:spacing w:val="0"/>
          <w:w w:val="100"/>
          <w:position w:val="0"/>
          <w:sz w:val="17"/>
          <w:szCs w:val="17"/>
        </w:rPr>
        <w:t>存在活跃市场的金融工具，以市场参与者在计量日发生的有序交易中，出售一项资产所能收到或者转移一项负债所需支 付的价格确定其公允价值。不存在活跃市场的金融工具，采用估值技术确定其公允价值。在估值时，本公司采用在当前情况 下适用并且有足够可利用数据和其他信息支持的估值技术，选择与市场参与者在相关资产或负债的交易中所考虑的资产或负 债特征相一致的输入值，并尽可能优先使用相关可观察输入值。在相关可观察输入值无法取得或取得不切实可行时，使用不 可观察输入值。</w:t>
      </w:r>
    </w:p>
    <w:p>
      <w:pPr>
        <w:pStyle w:val="Style20"/>
        <w:keepNext/>
        <w:keepLines/>
        <w:widowControl w:val="0"/>
        <w:shd w:val="clear" w:color="auto" w:fill="auto"/>
        <w:bidi w:val="0"/>
        <w:spacing w:before="0" w:after="0" w:line="523" w:lineRule="auto"/>
        <w:ind w:left="0" w:right="0" w:firstLine="380"/>
        <w:jc w:val="left"/>
        <w:rPr>
          <w:sz w:val="20"/>
          <w:szCs w:val="20"/>
        </w:rPr>
      </w:pPr>
      <w:bookmarkStart w:id="772" w:name="bookmark772"/>
      <w:bookmarkStart w:id="773" w:name="bookmark773"/>
      <w:bookmarkStart w:id="774" w:name="bookmark774"/>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、存货</w:t>
      </w:r>
      <w:bookmarkEnd w:id="772"/>
      <w:bookmarkEnd w:id="773"/>
      <w:bookmarkEnd w:id="774"/>
    </w:p>
    <w:p>
      <w:pPr>
        <w:pStyle w:val="Style27"/>
        <w:keepNext w:val="0"/>
        <w:keepLines w:val="0"/>
        <w:widowControl w:val="0"/>
        <w:shd w:val="clear" w:color="auto" w:fill="auto"/>
        <w:tabs>
          <w:tab w:pos="832" w:val="left"/>
        </w:tabs>
        <w:bidi w:val="0"/>
        <w:spacing w:before="0" w:after="0" w:line="500" w:lineRule="exact"/>
        <w:ind w:left="0" w:right="0" w:firstLine="380"/>
        <w:jc w:val="both"/>
        <w:rPr>
          <w:sz w:val="17"/>
          <w:szCs w:val="17"/>
        </w:rPr>
      </w:pPr>
      <w:bookmarkStart w:id="775" w:name="bookmark775"/>
      <w:r>
        <w:rPr>
          <w:color w:val="000000"/>
          <w:spacing w:val="0"/>
          <w:w w:val="100"/>
          <w:position w:val="0"/>
          <w:sz w:val="17"/>
          <w:szCs w:val="17"/>
        </w:rPr>
        <w:t>（</w:t>
      </w:r>
      <w:bookmarkEnd w:id="775"/>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w:t>
        <w:tab/>
        <w:t>存货的分类</w:t>
      </w:r>
    </w:p>
    <w:p>
      <w:pPr>
        <w:pStyle w:val="Style27"/>
        <w:keepNext w:val="0"/>
        <w:keepLines w:val="0"/>
        <w:widowControl w:val="0"/>
        <w:shd w:val="clear" w:color="auto" w:fill="auto"/>
        <w:bidi w:val="0"/>
        <w:spacing w:before="0" w:after="0" w:line="500" w:lineRule="exact"/>
        <w:ind w:left="0" w:right="0" w:firstLine="380"/>
        <w:jc w:val="both"/>
        <w:rPr>
          <w:sz w:val="17"/>
          <w:szCs w:val="17"/>
        </w:rPr>
      </w:pPr>
      <w:r>
        <w:rPr>
          <w:color w:val="000000"/>
          <w:spacing w:val="0"/>
          <w:w w:val="100"/>
          <w:position w:val="0"/>
          <w:sz w:val="17"/>
          <w:szCs w:val="17"/>
        </w:rPr>
        <w:t>存货主要包括库存商品、原材料、在产品、消耗性生物资产、低值易耗品、合同履约成本等。</w:t>
      </w:r>
    </w:p>
    <w:p>
      <w:pPr>
        <w:pStyle w:val="Style27"/>
        <w:keepNext w:val="0"/>
        <w:keepLines w:val="0"/>
        <w:widowControl w:val="0"/>
        <w:shd w:val="clear" w:color="auto" w:fill="auto"/>
        <w:tabs>
          <w:tab w:pos="832" w:val="left"/>
        </w:tabs>
        <w:bidi w:val="0"/>
        <w:spacing w:before="0" w:after="0" w:line="500" w:lineRule="exact"/>
        <w:ind w:left="0" w:right="0" w:firstLine="380"/>
        <w:jc w:val="both"/>
        <w:rPr>
          <w:sz w:val="17"/>
          <w:szCs w:val="17"/>
        </w:rPr>
      </w:pPr>
      <w:bookmarkStart w:id="776" w:name="bookmark776"/>
      <w:r>
        <w:rPr>
          <w:color w:val="000000"/>
          <w:spacing w:val="0"/>
          <w:w w:val="100"/>
          <w:position w:val="0"/>
          <w:sz w:val="17"/>
          <w:szCs w:val="17"/>
        </w:rPr>
        <w:t>（</w:t>
      </w:r>
      <w:bookmarkEnd w:id="776"/>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w:t>
        <w:tab/>
        <w:t>存货取得和发出的计价方法</w:t>
      </w:r>
    </w:p>
    <w:p>
      <w:pPr>
        <w:pStyle w:val="Style27"/>
        <w:keepNext w:val="0"/>
        <w:keepLines w:val="0"/>
        <w:widowControl w:val="0"/>
        <w:shd w:val="clear" w:color="auto" w:fill="auto"/>
        <w:bidi w:val="0"/>
        <w:spacing w:before="0" w:after="0" w:line="500" w:lineRule="exact"/>
        <w:ind w:left="0" w:right="0" w:firstLine="380"/>
        <w:jc w:val="both"/>
        <w:rPr>
          <w:sz w:val="17"/>
          <w:szCs w:val="17"/>
        </w:rPr>
      </w:pPr>
      <w:r>
        <w:rPr>
          <w:color w:val="000000"/>
          <w:spacing w:val="0"/>
          <w:w w:val="100"/>
          <w:position w:val="0"/>
          <w:sz w:val="17"/>
          <w:szCs w:val="17"/>
        </w:rPr>
        <w:t>存货按成本进行初始计量，在取得时按实际成本计价，发出时按加权平均法计价。资产负债表日，存货按照成本与可变 现净值孰低计量。</w:t>
      </w:r>
    </w:p>
    <w:p>
      <w:pPr>
        <w:pStyle w:val="Style27"/>
        <w:keepNext w:val="0"/>
        <w:keepLines w:val="0"/>
        <w:widowControl w:val="0"/>
        <w:shd w:val="clear" w:color="auto" w:fill="auto"/>
        <w:tabs>
          <w:tab w:pos="832" w:val="left"/>
        </w:tabs>
        <w:bidi w:val="0"/>
        <w:spacing w:before="0" w:after="0" w:line="500" w:lineRule="exact"/>
        <w:ind w:left="0" w:right="0" w:firstLine="380"/>
        <w:jc w:val="both"/>
        <w:rPr>
          <w:sz w:val="17"/>
          <w:szCs w:val="17"/>
        </w:rPr>
      </w:pPr>
      <w:bookmarkStart w:id="777" w:name="bookmark777"/>
      <w:r>
        <w:rPr>
          <w:color w:val="000000"/>
          <w:spacing w:val="0"/>
          <w:w w:val="100"/>
          <w:position w:val="0"/>
          <w:sz w:val="17"/>
          <w:szCs w:val="17"/>
        </w:rPr>
        <w:t>（</w:t>
      </w:r>
      <w:bookmarkEnd w:id="777"/>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w:t>
        <w:tab/>
        <w:t>存货可变现净值的确认和跌价准备的计提方法</w:t>
      </w:r>
    </w:p>
    <w:p>
      <w:pPr>
        <w:pStyle w:val="Style27"/>
        <w:keepNext w:val="0"/>
        <w:keepLines w:val="0"/>
        <w:widowControl w:val="0"/>
        <w:shd w:val="clear" w:color="auto" w:fill="auto"/>
        <w:bidi w:val="0"/>
        <w:spacing w:before="0" w:after="0" w:line="500" w:lineRule="exact"/>
        <w:ind w:left="0" w:right="0" w:firstLine="380"/>
        <w:jc w:val="both"/>
        <w:rPr>
          <w:sz w:val="17"/>
          <w:szCs w:val="17"/>
        </w:rPr>
      </w:pPr>
      <w:r>
        <w:rPr>
          <w:color w:val="000000"/>
          <w:spacing w:val="0"/>
          <w:w w:val="100"/>
          <w:position w:val="0"/>
          <w:sz w:val="17"/>
          <w:szCs w:val="17"/>
        </w:rPr>
        <w:t>存货可变现净值是指在正常经营过程中，存货的估计售价减去至完工时估计将要发生的成本、估计的销售费用以及相关 税费后的金额。在确定存货的可变现净值时，以取得的确凿证据为基础，同时考虑持有存货的目的以及资产负债表日后事项 的影响。</w:t>
      </w:r>
    </w:p>
    <w:p>
      <w:pPr>
        <w:pStyle w:val="Style27"/>
        <w:keepNext w:val="0"/>
        <w:keepLines w:val="0"/>
        <w:widowControl w:val="0"/>
        <w:shd w:val="clear" w:color="auto" w:fill="auto"/>
        <w:bidi w:val="0"/>
        <w:spacing w:before="0" w:after="0" w:line="500" w:lineRule="exact"/>
        <w:ind w:left="0" w:right="0" w:firstLine="380"/>
        <w:jc w:val="both"/>
        <w:rPr>
          <w:sz w:val="17"/>
          <w:szCs w:val="17"/>
        </w:rPr>
      </w:pPr>
      <w:r>
        <w:rPr>
          <w:color w:val="000000"/>
          <w:spacing w:val="0"/>
          <w:w w:val="100"/>
          <w:position w:val="0"/>
          <w:sz w:val="17"/>
          <w:szCs w:val="17"/>
        </w:rPr>
        <w:t>存货跌价准备的计提方法：本公司于每年中期期末及年度终了在对存货进行全面盘点的基础上，对遭受损失，全部或部 分陈旧过时或销售价格低于成本的存货，根据存货成本与可变现净值孰低计量，按单个存货项目对同类存货项目的可变现净 值低于存货成本的差额计提存货跌价准备，并计入当期损益。确定可变现净值时，除考虑持有目的和资产负债表日该存货的 价格与成本波动外，还需要考虑未来事项的影响。</w:t>
      </w:r>
    </w:p>
    <w:p>
      <w:pPr>
        <w:pStyle w:val="Style27"/>
        <w:keepNext w:val="0"/>
        <w:keepLines w:val="0"/>
        <w:widowControl w:val="0"/>
        <w:shd w:val="clear" w:color="auto" w:fill="auto"/>
        <w:bidi w:val="0"/>
        <w:spacing w:before="0" w:after="0" w:line="500" w:lineRule="exact"/>
        <w:ind w:left="0" w:right="0" w:firstLine="380"/>
        <w:jc w:val="both"/>
        <w:rPr>
          <w:sz w:val="17"/>
          <w:szCs w:val="17"/>
        </w:rPr>
        <w:sectPr>
          <w:footnotePr>
            <w:pos w:val="pageBottom"/>
            <w:numFmt w:val="decimal"/>
            <w:numRestart w:val="continuous"/>
          </w:footnotePr>
          <w:pgSz w:w="11900" w:h="16840"/>
          <w:pgMar w:top="1332" w:right="1061" w:bottom="1550" w:left="1051" w:header="0" w:footer="3" w:gutter="0"/>
          <w:cols w:space="720"/>
          <w:noEndnote/>
          <w:rtlGutter w:val="0"/>
          <w:docGrid w:linePitch="360"/>
        </w:sectPr>
      </w:pPr>
      <w:r>
        <w:rPr>
          <w:color w:val="000000"/>
          <w:spacing w:val="0"/>
          <w:w w:val="100"/>
          <w:position w:val="0"/>
          <w:sz w:val="17"/>
          <w:szCs w:val="17"/>
        </w:rPr>
        <w:t>若以前减记存货价值的影响因素已经消失，减记的金额予以恢复，并在原已计提的存货跌价准备金额内转回，转回的金</w:t>
      </w:r>
    </w:p>
    <w:p>
      <w:pPr>
        <w:pStyle w:val="Style27"/>
        <w:keepNext w:val="0"/>
        <w:keepLines w:val="0"/>
        <w:widowControl w:val="0"/>
        <w:shd w:val="clear" w:color="auto" w:fill="auto"/>
        <w:bidi w:val="0"/>
        <w:spacing w:before="0" w:after="0" w:line="500" w:lineRule="exact"/>
        <w:ind w:left="0" w:right="0" w:firstLine="0"/>
        <w:jc w:val="left"/>
        <w:rPr>
          <w:sz w:val="17"/>
          <w:szCs w:val="17"/>
        </w:rPr>
      </w:pPr>
      <w:r>
        <w:rPr>
          <w:color w:val="000000"/>
          <w:spacing w:val="0"/>
          <w:w w:val="100"/>
          <w:position w:val="0"/>
          <w:sz w:val="17"/>
          <w:szCs w:val="17"/>
        </w:rPr>
        <w:t>额计入当期损益。</w:t>
      </w:r>
    </w:p>
    <w:p>
      <w:pPr>
        <w:pStyle w:val="Style27"/>
        <w:keepNext w:val="0"/>
        <w:keepLines w:val="0"/>
        <w:widowControl w:val="0"/>
        <w:shd w:val="clear" w:color="auto" w:fill="auto"/>
        <w:tabs>
          <w:tab w:pos="770" w:val="left"/>
        </w:tabs>
        <w:bidi w:val="0"/>
        <w:spacing w:before="0" w:after="0" w:line="500" w:lineRule="exact"/>
        <w:ind w:left="0" w:right="0" w:firstLine="360"/>
        <w:jc w:val="both"/>
        <w:rPr>
          <w:sz w:val="17"/>
          <w:szCs w:val="17"/>
        </w:rPr>
      </w:pPr>
      <w:bookmarkStart w:id="778" w:name="bookmark778"/>
      <w:r>
        <w:rPr>
          <w:color w:val="000000"/>
          <w:spacing w:val="0"/>
          <w:w w:val="100"/>
          <w:position w:val="0"/>
          <w:sz w:val="17"/>
          <w:szCs w:val="17"/>
        </w:rPr>
        <w:t>（</w:t>
      </w:r>
      <w:bookmarkEnd w:id="778"/>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w:t>
        <w:tab/>
        <w:t>存货的盘存制度为永续盘存制。</w:t>
      </w:r>
    </w:p>
    <w:p>
      <w:pPr>
        <w:pStyle w:val="Style27"/>
        <w:keepNext w:val="0"/>
        <w:keepLines w:val="0"/>
        <w:widowControl w:val="0"/>
        <w:shd w:val="clear" w:color="auto" w:fill="auto"/>
        <w:tabs>
          <w:tab w:pos="770" w:val="left"/>
        </w:tabs>
        <w:bidi w:val="0"/>
        <w:spacing w:before="0" w:after="280" w:line="500" w:lineRule="exact"/>
        <w:ind w:left="0" w:right="0" w:firstLine="360"/>
        <w:jc w:val="both"/>
        <w:rPr>
          <w:sz w:val="17"/>
          <w:szCs w:val="17"/>
        </w:rPr>
      </w:pPr>
      <w:bookmarkStart w:id="779" w:name="bookmark779"/>
      <w:r>
        <w:rPr>
          <w:color w:val="000000"/>
          <w:spacing w:val="0"/>
          <w:w w:val="100"/>
          <w:position w:val="0"/>
          <w:sz w:val="17"/>
          <w:szCs w:val="17"/>
        </w:rPr>
        <w:t>（</w:t>
      </w:r>
      <w:bookmarkEnd w:id="779"/>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w:t>
        <w:tab/>
        <w:t>低值易耗品的摊销方法：于领用时按一次摊销法摊销。</w:t>
      </w:r>
    </w:p>
    <w:p>
      <w:pPr>
        <w:pStyle w:val="Style20"/>
        <w:keepNext/>
        <w:keepLines/>
        <w:widowControl w:val="0"/>
        <w:shd w:val="clear" w:color="auto" w:fill="auto"/>
        <w:tabs>
          <w:tab w:pos="741" w:val="left"/>
        </w:tabs>
        <w:bidi w:val="0"/>
        <w:spacing w:before="0" w:after="0" w:line="240" w:lineRule="auto"/>
        <w:ind w:left="0" w:right="0" w:firstLine="360"/>
        <w:jc w:val="left"/>
        <w:rPr>
          <w:sz w:val="20"/>
          <w:szCs w:val="20"/>
        </w:rPr>
      </w:pPr>
      <w:bookmarkStart w:id="780" w:name="bookmark780"/>
      <w:bookmarkStart w:id="781" w:name="bookmark781"/>
      <w:bookmarkStart w:id="782" w:name="bookmark782"/>
      <w:bookmarkStart w:id="783" w:name="bookmark783"/>
      <w:r>
        <w:rPr>
          <w:rFonts w:ascii="Arial Narrow" w:eastAsia="Arial Narrow" w:hAnsi="Arial Narrow" w:cs="Arial Narrow"/>
          <w:color w:val="000000"/>
          <w:spacing w:val="0"/>
          <w:w w:val="100"/>
          <w:position w:val="0"/>
          <w:sz w:val="20"/>
          <w:szCs w:val="20"/>
        </w:rPr>
        <w:t>1</w:t>
      </w:r>
      <w:bookmarkEnd w:id="782"/>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合同资产和合同负债</w:t>
      </w:r>
      <w:bookmarkEnd w:id="780"/>
      <w:bookmarkEnd w:id="781"/>
      <w:bookmarkEnd w:id="783"/>
    </w:p>
    <w:p>
      <w:pPr>
        <w:pStyle w:val="Style27"/>
        <w:keepNext w:val="0"/>
        <w:keepLines w:val="0"/>
        <w:widowControl w:val="0"/>
        <w:shd w:val="clear" w:color="auto" w:fill="auto"/>
        <w:bidi w:val="0"/>
        <w:spacing w:before="0" w:after="0" w:line="497" w:lineRule="exact"/>
        <w:ind w:left="0" w:right="0" w:firstLine="420"/>
        <w:jc w:val="both"/>
        <w:rPr>
          <w:sz w:val="17"/>
          <w:szCs w:val="17"/>
        </w:rPr>
      </w:pPr>
      <w:r>
        <w:rPr>
          <w:color w:val="000000"/>
          <w:spacing w:val="0"/>
          <w:w w:val="100"/>
          <w:position w:val="0"/>
          <w:sz w:val="17"/>
          <w:szCs w:val="17"/>
        </w:rPr>
        <w:t>本公司根据履行履约义务与客户付款之间的关系在资产负债表中列示合同资产或合同负债。合同资产是本公司已向客 户转让商品而有权收取对价的权利，且该权利取决于时间流逝之外的其他因素。合同负债是本公司已收或应收客户对价而应 向客户转让商品的义务。</w:t>
      </w:r>
    </w:p>
    <w:p>
      <w:pPr>
        <w:pStyle w:val="Style27"/>
        <w:keepNext w:val="0"/>
        <w:keepLines w:val="0"/>
        <w:widowControl w:val="0"/>
        <w:shd w:val="clear" w:color="auto" w:fill="auto"/>
        <w:bidi w:val="0"/>
        <w:spacing w:before="0" w:after="0" w:line="497" w:lineRule="exact"/>
        <w:ind w:left="0" w:right="0" w:firstLine="420"/>
        <w:jc w:val="both"/>
        <w:rPr>
          <w:sz w:val="17"/>
          <w:szCs w:val="17"/>
        </w:rPr>
      </w:pPr>
      <w:r>
        <w:rPr>
          <w:color w:val="000000"/>
          <w:spacing w:val="0"/>
          <w:w w:val="100"/>
          <w:position w:val="0"/>
          <w:sz w:val="17"/>
          <w:szCs w:val="17"/>
        </w:rPr>
        <w:t>合同资产按照预期信用损失法计提减值准备。无论是否包含重大融资成分，本公司在资产负债表日均按照整个存续期 内预期信用损失的金额计量其损失准备，如果该预期信用损失大于当前合同资产减值准备的账面金额，将其差额确认为减值 损失，反之则确认为减值利得。实际发生减值损失，认定相关合同资产无法收回，经批准予以核销。</w:t>
      </w:r>
    </w:p>
    <w:p>
      <w:pPr>
        <w:pStyle w:val="Style27"/>
        <w:keepNext w:val="0"/>
        <w:keepLines w:val="0"/>
        <w:widowControl w:val="0"/>
        <w:shd w:val="clear" w:color="auto" w:fill="auto"/>
        <w:bidi w:val="0"/>
        <w:spacing w:before="0" w:after="280" w:line="502" w:lineRule="exact"/>
        <w:ind w:left="0" w:right="0" w:firstLine="420"/>
        <w:jc w:val="both"/>
        <w:rPr>
          <w:sz w:val="17"/>
          <w:szCs w:val="17"/>
        </w:rPr>
      </w:pPr>
      <w:r>
        <w:rPr>
          <w:color w:val="000000"/>
          <w:spacing w:val="0"/>
          <w:w w:val="100"/>
          <w:position w:val="0"/>
          <w:sz w:val="17"/>
          <w:szCs w:val="17"/>
        </w:rPr>
        <w:t>资产负债表日，对于不同合同下的合同资产、合同负债，分别列示。对于同一合同下的合同资产、合同负债，以净额 列示，净额为借方余额的，根据其流动性分别列示为合同资产或其他非流动资产，已计提减值准备的，减去合同资产减值准 备的期末余额后列示；净额为贷方余额的，根据其流动性列示为合同负债或其他非流动负债。</w:t>
      </w:r>
    </w:p>
    <w:p>
      <w:pPr>
        <w:pStyle w:val="Style20"/>
        <w:keepNext/>
        <w:keepLines/>
        <w:widowControl w:val="0"/>
        <w:shd w:val="clear" w:color="auto" w:fill="auto"/>
        <w:tabs>
          <w:tab w:pos="741" w:val="left"/>
        </w:tabs>
        <w:bidi w:val="0"/>
        <w:spacing w:before="0" w:after="0" w:line="240" w:lineRule="auto"/>
        <w:ind w:left="0" w:right="0" w:firstLine="360"/>
        <w:jc w:val="left"/>
        <w:rPr>
          <w:sz w:val="20"/>
          <w:szCs w:val="20"/>
        </w:rPr>
      </w:pPr>
      <w:bookmarkStart w:id="784" w:name="bookmark784"/>
      <w:bookmarkStart w:id="785" w:name="bookmark785"/>
      <w:bookmarkStart w:id="786" w:name="bookmark786"/>
      <w:bookmarkStart w:id="787" w:name="bookmark787"/>
      <w:r>
        <w:rPr>
          <w:rFonts w:ascii="Arial Narrow" w:eastAsia="Arial Narrow" w:hAnsi="Arial Narrow" w:cs="Arial Narrow"/>
          <w:color w:val="000000"/>
          <w:spacing w:val="0"/>
          <w:w w:val="100"/>
          <w:position w:val="0"/>
          <w:sz w:val="20"/>
          <w:szCs w:val="20"/>
        </w:rPr>
        <w:t>1</w:t>
      </w:r>
      <w:bookmarkEnd w:id="786"/>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持有待售资产</w:t>
      </w:r>
      <w:bookmarkEnd w:id="784"/>
      <w:bookmarkEnd w:id="785"/>
      <w:bookmarkEnd w:id="787"/>
    </w:p>
    <w:p>
      <w:pPr>
        <w:pStyle w:val="Style27"/>
        <w:keepNext w:val="0"/>
        <w:keepLines w:val="0"/>
        <w:widowControl w:val="0"/>
        <w:shd w:val="clear" w:color="auto" w:fill="auto"/>
        <w:bidi w:val="0"/>
        <w:spacing w:before="0" w:after="0" w:line="502" w:lineRule="exact"/>
        <w:ind w:left="0" w:right="0" w:firstLine="420"/>
        <w:jc w:val="both"/>
        <w:rPr>
          <w:sz w:val="17"/>
          <w:szCs w:val="17"/>
        </w:rPr>
      </w:pPr>
      <w:r>
        <w:rPr>
          <w:color w:val="000000"/>
          <w:spacing w:val="0"/>
          <w:w w:val="100"/>
          <w:position w:val="0"/>
          <w:sz w:val="17"/>
          <w:szCs w:val="17"/>
        </w:rPr>
        <w:t>本公司将通过出售（包括具有商业实质的非货币性资产交换，下同）而非持续使用一项非流动资产或处置组收回其账 面价值，并同时满足以下两个条件的，划分为持有待售类别：⑴某项非流动资产或处置组根据类似交易中出售此类资产或处 置组的惯例，在当前状况下即可立即出售；⑵本公司已经就出售计划作出决议且获得确定的购买承诺，预计出售将在一年 内完成。（有关规定要求相关权力机构或者监管部门批准后方可出售的，已经获得批准。）</w:t>
      </w:r>
    </w:p>
    <w:p>
      <w:pPr>
        <w:pStyle w:val="Style27"/>
        <w:keepNext w:val="0"/>
        <w:keepLines w:val="0"/>
        <w:widowControl w:val="0"/>
        <w:shd w:val="clear" w:color="auto" w:fill="auto"/>
        <w:bidi w:val="0"/>
        <w:spacing w:before="0" w:after="0" w:line="490" w:lineRule="exact"/>
        <w:ind w:left="0" w:right="0" w:firstLine="420"/>
        <w:jc w:val="both"/>
        <w:rPr>
          <w:sz w:val="17"/>
          <w:szCs w:val="17"/>
        </w:rPr>
      </w:pPr>
      <w:r>
        <w:rPr>
          <w:color w:val="000000"/>
          <w:spacing w:val="0"/>
          <w:w w:val="100"/>
          <w:position w:val="0"/>
          <w:sz w:val="17"/>
          <w:szCs w:val="17"/>
        </w:rPr>
        <w:t>本公司将专为转售而取得的非流动资产或处置组，在取得日满足“预计出售将在一年内完成”的规定条件，且短期（通 常为</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个月）内很可能满足持有待售类别的其他划分条件的，在取得日划分为持有待售类别。</w:t>
      </w:r>
    </w:p>
    <w:p>
      <w:pPr>
        <w:pStyle w:val="Style27"/>
        <w:keepNext w:val="0"/>
        <w:keepLines w:val="0"/>
        <w:widowControl w:val="0"/>
        <w:shd w:val="clear" w:color="auto" w:fill="auto"/>
        <w:bidi w:val="0"/>
        <w:spacing w:before="0" w:after="120" w:line="500" w:lineRule="exact"/>
        <w:ind w:left="0" w:right="0" w:firstLine="420"/>
        <w:jc w:val="both"/>
        <w:rPr>
          <w:sz w:val="17"/>
          <w:szCs w:val="17"/>
        </w:rPr>
      </w:pPr>
      <w:r>
        <w:rPr>
          <w:color w:val="000000"/>
          <w:spacing w:val="0"/>
          <w:w w:val="100"/>
          <w:position w:val="0"/>
          <w:sz w:val="17"/>
          <w:szCs w:val="17"/>
        </w:rPr>
        <w:t>本公司初始计量或在资产负债表日重新计量划分为持有待售的非流动资产和处置组时，其账面价值高于公允价值减去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同时计提持有待售资产减值准备。对于持有待售的处置组确认的资产减值损失金额，先抵减处置组中商誉的账面价值，再根 据处置组中适用《企业会计准则第</w:t>
      </w:r>
      <w:r>
        <w:rPr>
          <w:rFonts w:ascii="Arial Narrow" w:eastAsia="Arial Narrow" w:hAnsi="Arial Narrow" w:cs="Arial Narrow"/>
          <w:color w:val="000000"/>
          <w:spacing w:val="0"/>
          <w:w w:val="100"/>
          <w:position w:val="0"/>
          <w:sz w:val="18"/>
          <w:szCs w:val="18"/>
        </w:rPr>
        <w:t>42</w:t>
      </w:r>
      <w:r>
        <w:rPr>
          <w:color w:val="000000"/>
          <w:spacing w:val="0"/>
          <w:w w:val="100"/>
          <w:position w:val="0"/>
          <w:sz w:val="17"/>
          <w:szCs w:val="17"/>
        </w:rPr>
        <w:t>号</w:t>
      </w:r>
      <w:r>
        <w:rPr>
          <w:color w:val="000000"/>
          <w:spacing w:val="0"/>
          <w:w w:val="100"/>
          <w:position w:val="0"/>
          <w:sz w:val="22"/>
          <w:szCs w:val="22"/>
        </w:rPr>
        <w:t>一一</w:t>
      </w:r>
      <w:r>
        <w:rPr>
          <w:color w:val="000000"/>
          <w:spacing w:val="0"/>
          <w:w w:val="100"/>
          <w:position w:val="0"/>
          <w:sz w:val="17"/>
          <w:szCs w:val="17"/>
        </w:rPr>
        <w:t>持有待售的非流动资产、处置组和终止经营》计量规定的各项非流动资产账面 价值所占比重，按比例抵减其账面价值。</w:t>
      </w:r>
    </w:p>
    <w:p>
      <w:pPr>
        <w:pStyle w:val="Style27"/>
        <w:keepNext w:val="0"/>
        <w:keepLines w:val="0"/>
        <w:widowControl w:val="0"/>
        <w:shd w:val="clear" w:color="auto" w:fill="auto"/>
        <w:bidi w:val="0"/>
        <w:spacing w:before="0" w:after="0" w:line="415" w:lineRule="exact"/>
        <w:ind w:left="0" w:right="0" w:firstLine="420"/>
        <w:jc w:val="both"/>
        <w:rPr>
          <w:sz w:val="18"/>
          <w:szCs w:val="18"/>
        </w:rPr>
        <w:sectPr>
          <w:footnotePr>
            <w:pos w:val="pageBottom"/>
            <w:numFmt w:val="decimal"/>
            <w:numRestart w:val="continuous"/>
          </w:footnotePr>
          <w:pgSz w:w="11900" w:h="16840"/>
          <w:pgMar w:top="1378" w:right="1021" w:bottom="1263" w:left="1112" w:header="0" w:footer="3" w:gutter="0"/>
          <w:cols w:space="720"/>
          <w:noEndnote/>
          <w:rtlGutter w:val="0"/>
          <w:docGrid w:linePitch="360"/>
        </w:sectPr>
      </w:pPr>
      <w:r>
        <w:rPr>
          <w:color w:val="000000"/>
          <w:spacing w:val="0"/>
          <w:w w:val="100"/>
          <w:position w:val="0"/>
          <w:sz w:val="17"/>
          <w:szCs w:val="17"/>
        </w:rPr>
        <w:t xml:space="preserve">后续资产负债表日持有待售的非流动资产公允价值减去出售费用后的净额增加的，以前减记的金额予以恢复，并在划 分为持有待售类别后确认的资产减值损失金额内转回，转回金额计入当期损益。划分为持有待售类别前确认的资产减值损失 </w:t>
      </w:r>
      <w:r>
        <w:rPr>
          <w:rFonts w:ascii="Times New Roman" w:eastAsia="Times New Roman" w:hAnsi="Times New Roman" w:cs="Times New Roman"/>
          <w:b/>
          <w:bCs/>
          <w:color w:val="000000"/>
          <w:spacing w:val="0"/>
          <w:w w:val="100"/>
          <w:position w:val="0"/>
          <w:sz w:val="18"/>
          <w:szCs w:val="18"/>
        </w:rPr>
        <w:t xml:space="preserve">124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224</w:t>
      </w:r>
    </w:p>
    <w:p>
      <w:pPr>
        <w:pStyle w:val="Style27"/>
        <w:keepNext w:val="0"/>
        <w:keepLines w:val="0"/>
        <w:widowControl w:val="0"/>
        <w:shd w:val="clear" w:color="auto" w:fill="auto"/>
        <w:bidi w:val="0"/>
        <w:spacing w:before="0" w:after="0" w:line="499" w:lineRule="exact"/>
        <w:ind w:left="0" w:right="0" w:firstLine="0"/>
        <w:jc w:val="left"/>
        <w:rPr>
          <w:sz w:val="17"/>
          <w:szCs w:val="17"/>
        </w:rPr>
      </w:pPr>
      <w:r>
        <w:rPr>
          <w:color w:val="000000"/>
          <w:spacing w:val="0"/>
          <w:w w:val="100"/>
          <w:position w:val="0"/>
          <w:sz w:val="17"/>
          <w:szCs w:val="17"/>
        </w:rPr>
        <w:t>不转回。持有待售的处置组以前减记的金额应当予以恢复，并在划分为持有待售类别后适用《企业会计准则第</w:t>
      </w:r>
      <w:r>
        <w:rPr>
          <w:rFonts w:ascii="Arial Narrow" w:eastAsia="Arial Narrow" w:hAnsi="Arial Narrow" w:cs="Arial Narrow"/>
          <w:color w:val="000000"/>
          <w:spacing w:val="0"/>
          <w:w w:val="100"/>
          <w:position w:val="0"/>
          <w:sz w:val="18"/>
          <w:szCs w:val="18"/>
        </w:rPr>
        <w:t>42</w:t>
      </w:r>
      <w:r>
        <w:rPr>
          <w:color w:val="000000"/>
          <w:spacing w:val="0"/>
          <w:w w:val="100"/>
          <w:position w:val="0"/>
          <w:sz w:val="17"/>
          <w:szCs w:val="17"/>
        </w:rPr>
        <w:t>号——持 有待售的非流动资产、处置组和终止经营》计量规定的非流动资产确认的资产减值损失金额内转回，转回金额计入当期损益。 已抵减的商誉账面价值，以及适用《企业会计准则第</w:t>
      </w:r>
      <w:r>
        <w:rPr>
          <w:rFonts w:ascii="Arial Narrow" w:eastAsia="Arial Narrow" w:hAnsi="Arial Narrow" w:cs="Arial Narrow"/>
          <w:color w:val="000000"/>
          <w:spacing w:val="0"/>
          <w:w w:val="100"/>
          <w:position w:val="0"/>
          <w:sz w:val="18"/>
          <w:szCs w:val="18"/>
        </w:rPr>
        <w:t>42</w:t>
      </w:r>
      <w:r>
        <w:rPr>
          <w:color w:val="000000"/>
          <w:spacing w:val="0"/>
          <w:w w:val="100"/>
          <w:position w:val="0"/>
          <w:sz w:val="17"/>
          <w:szCs w:val="17"/>
        </w:rPr>
        <w:t>号</w:t>
      </w:r>
      <w:r>
        <w:rPr>
          <w:color w:val="000000"/>
          <w:spacing w:val="0"/>
          <w:w w:val="100"/>
          <w:position w:val="0"/>
          <w:sz w:val="22"/>
          <w:szCs w:val="22"/>
        </w:rPr>
        <w:t>一一</w:t>
      </w:r>
      <w:r>
        <w:rPr>
          <w:color w:val="000000"/>
          <w:spacing w:val="0"/>
          <w:w w:val="100"/>
          <w:position w:val="0"/>
          <w:sz w:val="17"/>
          <w:szCs w:val="17"/>
        </w:rPr>
        <w:t>持有待售的非流动资产、处置组和终止经营》计量规定的非 流动资产在划分为持有待售类别前确认的资产减值损失不得转回。</w:t>
      </w:r>
    </w:p>
    <w:p>
      <w:pPr>
        <w:pStyle w:val="Style27"/>
        <w:keepNext w:val="0"/>
        <w:keepLines w:val="0"/>
        <w:widowControl w:val="0"/>
        <w:shd w:val="clear" w:color="auto" w:fill="auto"/>
        <w:bidi w:val="0"/>
        <w:spacing w:before="0" w:after="0" w:line="490" w:lineRule="exact"/>
        <w:ind w:left="0" w:right="0" w:firstLine="360"/>
        <w:jc w:val="both"/>
        <w:rPr>
          <w:sz w:val="17"/>
          <w:szCs w:val="17"/>
        </w:rPr>
      </w:pPr>
      <w:r>
        <w:rPr>
          <w:color w:val="000000"/>
          <w:spacing w:val="0"/>
          <w:w w:val="100"/>
          <w:position w:val="0"/>
          <w:sz w:val="17"/>
          <w:szCs w:val="17"/>
        </w:rPr>
        <w:t>持有待售的非流动资产或处置组中的非流动资产不计提折旧或摊销，持有待售的处置组中负债的利息和其他费用继续 予以确认。</w:t>
      </w:r>
    </w:p>
    <w:p>
      <w:pPr>
        <w:pStyle w:val="Style27"/>
        <w:keepNext w:val="0"/>
        <w:keepLines w:val="0"/>
        <w:widowControl w:val="0"/>
        <w:shd w:val="clear" w:color="auto" w:fill="auto"/>
        <w:bidi w:val="0"/>
        <w:spacing w:before="0" w:after="160" w:line="497" w:lineRule="exact"/>
        <w:ind w:left="0" w:right="0" w:firstLine="360"/>
        <w:jc w:val="both"/>
        <w:rPr>
          <w:sz w:val="17"/>
          <w:szCs w:val="17"/>
        </w:rPr>
      </w:pPr>
      <w:r>
        <w:rPr>
          <w:color w:val="000000"/>
          <w:spacing w:val="0"/>
          <w:w w:val="100"/>
          <w:position w:val="0"/>
          <w:sz w:val="17"/>
          <w:szCs w:val="17"/>
        </w:rPr>
        <w:t>非流动资产或处置组因不再满足持有待售类别的划分条件时，本公司不再将其继续划分为持有待售类别或非流动资产 从持有待售的处置组中移除，并按照以下两者孰低计量：（</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）划分为持有待售类别前的账面价值，按照假定不划分为持有待 售类别情况下本应确认的折旧、摊销或减值等进行调整后的金额；（</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）可收回金额。</w:t>
      </w:r>
    </w:p>
    <w:p>
      <w:pPr>
        <w:pStyle w:val="Style27"/>
        <w:keepNext w:val="0"/>
        <w:keepLines w:val="0"/>
        <w:widowControl w:val="0"/>
        <w:shd w:val="clear" w:color="auto" w:fill="auto"/>
        <w:bidi w:val="0"/>
        <w:spacing w:before="0" w:after="300" w:line="240" w:lineRule="auto"/>
        <w:ind w:left="0" w:right="0" w:firstLine="360"/>
        <w:jc w:val="both"/>
        <w:rPr>
          <w:sz w:val="17"/>
          <w:szCs w:val="17"/>
        </w:rPr>
      </w:pPr>
      <w:r>
        <w:rPr>
          <w:color w:val="000000"/>
          <w:spacing w:val="0"/>
          <w:w w:val="100"/>
          <w:position w:val="0"/>
          <w:sz w:val="17"/>
          <w:szCs w:val="17"/>
        </w:rPr>
        <w:t>终止确认持有待售的非流动资产或处置组时，本公司将尚未确认的利得或损失计入当期损益。</w:t>
      </w:r>
    </w:p>
    <w:p>
      <w:pPr>
        <w:pStyle w:val="Style20"/>
        <w:keepNext/>
        <w:keepLines/>
        <w:widowControl w:val="0"/>
        <w:shd w:val="clear" w:color="auto" w:fill="auto"/>
        <w:bidi w:val="0"/>
        <w:spacing w:before="0" w:after="0" w:line="240" w:lineRule="auto"/>
        <w:ind w:left="0" w:right="0" w:firstLine="360"/>
        <w:jc w:val="both"/>
        <w:rPr>
          <w:sz w:val="20"/>
          <w:szCs w:val="20"/>
        </w:rPr>
      </w:pPr>
      <w:bookmarkStart w:id="788" w:name="bookmark788"/>
      <w:bookmarkStart w:id="789" w:name="bookmark789"/>
      <w:bookmarkStart w:id="790" w:name="bookmark790"/>
      <w:bookmarkStart w:id="791" w:name="bookmark791"/>
      <w:r>
        <w:rPr>
          <w:rFonts w:ascii="Arial Narrow" w:eastAsia="Arial Narrow" w:hAnsi="Arial Narrow" w:cs="Arial Narrow"/>
          <w:color w:val="000000"/>
          <w:spacing w:val="0"/>
          <w:w w:val="100"/>
          <w:position w:val="0"/>
          <w:sz w:val="20"/>
          <w:szCs w:val="20"/>
        </w:rPr>
        <w:t>1</w:t>
      </w:r>
      <w:bookmarkEnd w:id="790"/>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、长期股权投资</w:t>
      </w:r>
      <w:bookmarkEnd w:id="788"/>
      <w:bookmarkEnd w:id="789"/>
      <w:bookmarkEnd w:id="791"/>
    </w:p>
    <w:p>
      <w:pPr>
        <w:pStyle w:val="Style27"/>
        <w:keepNext w:val="0"/>
        <w:keepLines w:val="0"/>
        <w:widowControl w:val="0"/>
        <w:shd w:val="clear" w:color="auto" w:fill="auto"/>
        <w:bidi w:val="0"/>
        <w:spacing w:before="0" w:after="0" w:line="499" w:lineRule="exact"/>
        <w:ind w:left="0" w:right="0" w:firstLine="360"/>
        <w:jc w:val="both"/>
        <w:rPr>
          <w:sz w:val="17"/>
          <w:szCs w:val="17"/>
        </w:rPr>
      </w:pPr>
      <w:r>
        <w:rPr>
          <w:color w:val="000000"/>
          <w:spacing w:val="0"/>
          <w:w w:val="100"/>
          <w:position w:val="0"/>
          <w:sz w:val="17"/>
          <w:szCs w:val="17"/>
        </w:rPr>
        <w:t>本部分所指的长期股权投资是指本公司对被投资单位具有控制、共同控制或重大影响的长期股权投资。本公司对被投资 单位不具有控制、共同控制或重大影响的长期股权投资，作为交易性金融资产或其他权益工具投资核算，其会计政策详见附 注三、</w:t>
      </w: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sz w:val="17"/>
          <w:szCs w:val="17"/>
        </w:rPr>
        <w:t>“金融工具”。</w:t>
      </w:r>
    </w:p>
    <w:p>
      <w:pPr>
        <w:pStyle w:val="Style27"/>
        <w:keepNext w:val="0"/>
        <w:keepLines w:val="0"/>
        <w:widowControl w:val="0"/>
        <w:shd w:val="clear" w:color="auto" w:fill="auto"/>
        <w:bidi w:val="0"/>
        <w:spacing w:before="0" w:after="0" w:line="499" w:lineRule="exact"/>
        <w:ind w:left="0" w:right="0" w:firstLine="360"/>
        <w:jc w:val="both"/>
        <w:rPr>
          <w:sz w:val="17"/>
          <w:szCs w:val="17"/>
        </w:rPr>
      </w:pPr>
      <w:r>
        <w:rPr>
          <w:color w:val="000000"/>
          <w:spacing w:val="0"/>
          <w:w w:val="100"/>
          <w:position w:val="0"/>
          <w:sz w:val="17"/>
          <w:szCs w:val="17"/>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7"/>
        <w:keepNext w:val="0"/>
        <w:keepLines w:val="0"/>
        <w:widowControl w:val="0"/>
        <w:shd w:val="clear" w:color="auto" w:fill="auto"/>
        <w:bidi w:val="0"/>
        <w:spacing w:before="0" w:after="0" w:line="499" w:lineRule="exact"/>
        <w:ind w:left="0" w:right="0" w:firstLine="360"/>
        <w:jc w:val="both"/>
        <w:rPr>
          <w:sz w:val="17"/>
          <w:szCs w:val="17"/>
        </w:rPr>
      </w:pPr>
      <w:bookmarkStart w:id="792" w:name="bookmark792"/>
      <w:r>
        <w:rPr>
          <w:color w:val="000000"/>
          <w:spacing w:val="0"/>
          <w:w w:val="100"/>
          <w:position w:val="0"/>
          <w:sz w:val="17"/>
          <w:szCs w:val="17"/>
        </w:rPr>
        <w:t>（</w:t>
      </w:r>
      <w:bookmarkEnd w:id="792"/>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）投资成本的确定</w:t>
      </w:r>
    </w:p>
    <w:p>
      <w:pPr>
        <w:pStyle w:val="Style27"/>
        <w:keepNext w:val="0"/>
        <w:keepLines w:val="0"/>
        <w:widowControl w:val="0"/>
        <w:shd w:val="clear" w:color="auto" w:fill="auto"/>
        <w:bidi w:val="0"/>
        <w:spacing w:before="0" w:after="0" w:line="500" w:lineRule="exact"/>
        <w:ind w:left="0" w:right="0" w:firstLine="360"/>
        <w:jc w:val="both"/>
        <w:rPr>
          <w:sz w:val="17"/>
          <w:szCs w:val="17"/>
        </w:rPr>
      </w:pPr>
      <w:r>
        <w:rPr>
          <w:color w:val="000000"/>
          <w:spacing w:val="0"/>
          <w:w w:val="100"/>
          <w:position w:val="0"/>
          <w:sz w:val="17"/>
          <w:szCs w:val="17"/>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调整留存收益。通过多次交易分步取得同一控制下被合并方的股权，最终形成同一控制下企业合并的，应分别是否属于“一 揽子交易”进行处理：属于“一揽子交易”的，将各项交易作为一项取得控制权的交易进行会计处理。不属于“一揽子交易” 的，在合并日按照应享有被合并方股东权益</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 xml:space="preserve">所有者权益在最终控制方合并财务报表中的账面价值的份额作为长期股权投资 的初始投资成本，长期股权投资初始投资成本与达到合并前的长期股权投资账面价值加上合并日进一步取得股份新支付对价 </w:t>
      </w:r>
      <w:r>
        <w:rPr>
          <w:color w:val="000000"/>
          <w:spacing w:val="0"/>
          <w:w w:val="100"/>
          <w:position w:val="0"/>
          <w:sz w:val="17"/>
          <w:szCs w:val="17"/>
        </w:rPr>
        <w:t>的账面价值之和的差额，调整资本公积；资本公积不足冲减的，调整留存收益。</w:t>
      </w:r>
    </w:p>
    <w:p>
      <w:pPr>
        <w:pStyle w:val="Style27"/>
        <w:keepNext w:val="0"/>
        <w:keepLines w:val="0"/>
        <w:widowControl w:val="0"/>
        <w:shd w:val="clear" w:color="auto" w:fill="auto"/>
        <w:bidi w:val="0"/>
        <w:spacing w:before="0" w:after="0" w:line="500" w:lineRule="exact"/>
        <w:ind w:left="0" w:right="0" w:firstLine="380"/>
        <w:jc w:val="left"/>
        <w:rPr>
          <w:sz w:val="17"/>
          <w:szCs w:val="17"/>
        </w:rPr>
      </w:pPr>
      <w:r>
        <w:rPr>
          <w:color w:val="000000"/>
          <w:spacing w:val="0"/>
          <w:w w:val="100"/>
          <w:position w:val="0"/>
          <w:sz w:val="17"/>
          <w:szCs w:val="17"/>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最终形成非同一控制下的企业合并的，应分别是否属于“一揽子交易”进行处理：属于“一揽子交易”的，将各项交易作为 一项取得控制权的交易进行会计处理。不属于“一揽子交易”的，按照原持有被购买方的股权投资账面价值加上新增投资成 本之和，作为改按成本法核算的长期股权投资的初始投资成本。原持有的股权采用权益法核算的，相关其他综合收益暂不进 行会计处理。</w:t>
      </w:r>
    </w:p>
    <w:p>
      <w:pPr>
        <w:pStyle w:val="Style27"/>
        <w:keepNext w:val="0"/>
        <w:keepLines w:val="0"/>
        <w:widowControl w:val="0"/>
        <w:shd w:val="clear" w:color="auto" w:fill="auto"/>
        <w:bidi w:val="0"/>
        <w:spacing w:before="0" w:after="0" w:line="499" w:lineRule="exact"/>
        <w:ind w:left="0" w:right="0" w:firstLine="380"/>
        <w:jc w:val="left"/>
        <w:rPr>
          <w:sz w:val="17"/>
          <w:szCs w:val="17"/>
        </w:rPr>
      </w:pPr>
      <w:r>
        <w:rPr>
          <w:color w:val="000000"/>
          <w:spacing w:val="0"/>
          <w:w w:val="100"/>
          <w:position w:val="0"/>
          <w:sz w:val="17"/>
          <w:szCs w:val="17"/>
        </w:rPr>
        <w:t>合并方或购买方为企业合并发生的审计、法律服务、评估咨询等中介费用以及其他相关管理费用，于发生时计入当期损 益。</w:t>
      </w:r>
    </w:p>
    <w:p>
      <w:pPr>
        <w:pStyle w:val="Style27"/>
        <w:keepNext w:val="0"/>
        <w:keepLines w:val="0"/>
        <w:widowControl w:val="0"/>
        <w:shd w:val="clear" w:color="auto" w:fill="auto"/>
        <w:bidi w:val="0"/>
        <w:spacing w:before="0" w:after="0" w:line="499" w:lineRule="exact"/>
        <w:ind w:left="0" w:right="0" w:firstLine="380"/>
        <w:jc w:val="left"/>
        <w:rPr>
          <w:sz w:val="17"/>
          <w:szCs w:val="17"/>
        </w:rPr>
      </w:pPr>
      <w:r>
        <w:rPr>
          <w:color w:val="000000"/>
          <w:spacing w:val="0"/>
          <w:w w:val="100"/>
          <w:position w:val="0"/>
          <w:sz w:val="17"/>
          <w:szCs w:val="17"/>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Arial Narrow" w:eastAsia="Arial Narrow" w:hAnsi="Arial Narrow" w:cs="Arial Narrow"/>
          <w:color w:val="000000"/>
          <w:spacing w:val="0"/>
          <w:w w:val="100"/>
          <w:position w:val="0"/>
          <w:sz w:val="18"/>
          <w:szCs w:val="18"/>
        </w:rPr>
        <w:t>22</w:t>
      </w:r>
      <w:r>
        <w:rPr>
          <w:color w:val="000000"/>
          <w:spacing w:val="0"/>
          <w:w w:val="100"/>
          <w:position w:val="0"/>
          <w:sz w:val="17"/>
          <w:szCs w:val="17"/>
        </w:rPr>
        <w:t>号一融工具确认和计量》确定的原持有股权投资的公允价值加 上新增投资成本之和。</w:t>
      </w:r>
    </w:p>
    <w:p>
      <w:pPr>
        <w:pStyle w:val="Style27"/>
        <w:keepNext w:val="0"/>
        <w:keepLines w:val="0"/>
        <w:widowControl w:val="0"/>
        <w:shd w:val="clear" w:color="auto" w:fill="auto"/>
        <w:bidi w:val="0"/>
        <w:spacing w:before="0" w:after="0" w:line="499" w:lineRule="exact"/>
        <w:ind w:left="0" w:right="0" w:firstLine="380"/>
        <w:jc w:val="both"/>
        <w:rPr>
          <w:sz w:val="17"/>
          <w:szCs w:val="17"/>
        </w:rPr>
      </w:pPr>
      <w:bookmarkStart w:id="793" w:name="bookmark793"/>
      <w:r>
        <w:rPr>
          <w:color w:val="000000"/>
          <w:spacing w:val="0"/>
          <w:w w:val="100"/>
          <w:position w:val="0"/>
          <w:sz w:val="17"/>
          <w:szCs w:val="17"/>
        </w:rPr>
        <w:t>（</w:t>
      </w:r>
      <w:bookmarkEnd w:id="793"/>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）后续计量及损益确认方法</w:t>
      </w:r>
    </w:p>
    <w:p>
      <w:pPr>
        <w:pStyle w:val="Style27"/>
        <w:keepNext w:val="0"/>
        <w:keepLines w:val="0"/>
        <w:widowControl w:val="0"/>
        <w:shd w:val="clear" w:color="auto" w:fill="auto"/>
        <w:bidi w:val="0"/>
        <w:spacing w:before="0" w:after="0" w:line="499" w:lineRule="exact"/>
        <w:ind w:left="0" w:right="0" w:firstLine="380"/>
        <w:jc w:val="both"/>
        <w:rPr>
          <w:sz w:val="17"/>
          <w:szCs w:val="17"/>
        </w:rPr>
      </w:pPr>
      <w:r>
        <w:rPr>
          <w:color w:val="000000"/>
          <w:spacing w:val="0"/>
          <w:w w:val="100"/>
          <w:position w:val="0"/>
          <w:sz w:val="17"/>
          <w:szCs w:val="17"/>
        </w:rPr>
        <w:t>对被投资单位具有共同控制（构成共同经营者除外）或重大影响的长期股权投资，采用权益法核算。此外，公司财务报 表采用成本法核算能够对被投资单位实施控制的长期股权投资。</w:t>
      </w:r>
    </w:p>
    <w:p>
      <w:pPr>
        <w:pStyle w:val="Style27"/>
        <w:keepNext w:val="0"/>
        <w:keepLines w:val="0"/>
        <w:widowControl w:val="0"/>
        <w:numPr>
          <w:ilvl w:val="0"/>
          <w:numId w:val="21"/>
        </w:numPr>
        <w:shd w:val="clear" w:color="auto" w:fill="auto"/>
        <w:tabs>
          <w:tab w:pos="693" w:val="left"/>
        </w:tabs>
        <w:bidi w:val="0"/>
        <w:spacing w:before="0" w:after="0" w:line="499" w:lineRule="exact"/>
        <w:ind w:left="0" w:right="0" w:firstLine="380"/>
        <w:jc w:val="both"/>
        <w:rPr>
          <w:sz w:val="17"/>
          <w:szCs w:val="17"/>
        </w:rPr>
      </w:pPr>
      <w:bookmarkStart w:id="794" w:name="bookmark794"/>
      <w:bookmarkEnd w:id="794"/>
      <w:r>
        <w:rPr>
          <w:color w:val="000000"/>
          <w:spacing w:val="0"/>
          <w:w w:val="100"/>
          <w:position w:val="0"/>
          <w:sz w:val="17"/>
          <w:szCs w:val="17"/>
        </w:rPr>
        <w:t>成本法核算的长期股权投资</w:t>
      </w:r>
    </w:p>
    <w:p>
      <w:pPr>
        <w:pStyle w:val="Style27"/>
        <w:keepNext w:val="0"/>
        <w:keepLines w:val="0"/>
        <w:widowControl w:val="0"/>
        <w:shd w:val="clear" w:color="auto" w:fill="auto"/>
        <w:bidi w:val="0"/>
        <w:spacing w:before="0" w:after="0" w:line="499" w:lineRule="exact"/>
        <w:ind w:left="0" w:right="0" w:firstLine="380"/>
        <w:jc w:val="both"/>
        <w:rPr>
          <w:sz w:val="17"/>
          <w:szCs w:val="17"/>
        </w:rPr>
      </w:pPr>
      <w:r>
        <w:rPr>
          <w:color w:val="000000"/>
          <w:spacing w:val="0"/>
          <w:w w:val="100"/>
          <w:position w:val="0"/>
          <w:sz w:val="17"/>
          <w:szCs w:val="17"/>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7"/>
        <w:keepNext w:val="0"/>
        <w:keepLines w:val="0"/>
        <w:widowControl w:val="0"/>
        <w:numPr>
          <w:ilvl w:val="0"/>
          <w:numId w:val="21"/>
        </w:numPr>
        <w:shd w:val="clear" w:color="auto" w:fill="auto"/>
        <w:tabs>
          <w:tab w:pos="693" w:val="left"/>
        </w:tabs>
        <w:bidi w:val="0"/>
        <w:spacing w:before="0" w:after="0" w:line="499" w:lineRule="exact"/>
        <w:ind w:left="0" w:right="0" w:firstLine="380"/>
        <w:jc w:val="both"/>
        <w:rPr>
          <w:sz w:val="17"/>
          <w:szCs w:val="17"/>
        </w:rPr>
      </w:pPr>
      <w:bookmarkStart w:id="795" w:name="bookmark795"/>
      <w:bookmarkEnd w:id="795"/>
      <w:r>
        <w:rPr>
          <w:color w:val="000000"/>
          <w:spacing w:val="0"/>
          <w:w w:val="100"/>
          <w:position w:val="0"/>
          <w:sz w:val="17"/>
          <w:szCs w:val="17"/>
        </w:rPr>
        <w:t>权益法核算的长期股权投资</w:t>
      </w:r>
    </w:p>
    <w:p>
      <w:pPr>
        <w:pStyle w:val="Style27"/>
        <w:keepNext w:val="0"/>
        <w:keepLines w:val="0"/>
        <w:widowControl w:val="0"/>
        <w:shd w:val="clear" w:color="auto" w:fill="auto"/>
        <w:bidi w:val="0"/>
        <w:spacing w:before="0" w:after="0" w:line="499" w:lineRule="exact"/>
        <w:ind w:left="0" w:right="0" w:firstLine="380"/>
        <w:jc w:val="both"/>
        <w:rPr>
          <w:sz w:val="17"/>
          <w:szCs w:val="17"/>
        </w:rPr>
      </w:pPr>
      <w:r>
        <w:rPr>
          <w:color w:val="000000"/>
          <w:spacing w:val="0"/>
          <w:w w:val="100"/>
          <w:position w:val="0"/>
          <w:sz w:val="17"/>
          <w:szCs w:val="17"/>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7"/>
        <w:keepNext w:val="0"/>
        <w:keepLines w:val="0"/>
        <w:widowControl w:val="0"/>
        <w:shd w:val="clear" w:color="auto" w:fill="auto"/>
        <w:bidi w:val="0"/>
        <w:spacing w:before="0" w:after="0" w:line="499" w:lineRule="exact"/>
        <w:ind w:left="0" w:right="0" w:firstLine="0"/>
        <w:jc w:val="both"/>
        <w:rPr>
          <w:sz w:val="17"/>
          <w:szCs w:val="17"/>
        </w:rPr>
      </w:pPr>
      <w:r>
        <w:rPr>
          <w:color w:val="000000"/>
          <w:spacing w:val="0"/>
          <w:w w:val="100"/>
          <w:position w:val="0"/>
          <w:sz w:val="17"/>
          <w:szCs w:val="17"/>
        </w:rPr>
        <w:t xml:space="preserve">采用权益法核算时，按照应享有或应分担的被投资单位实现的净损益和其他综合收益的份额，分别确认投资收益和其他综合 </w:t>
      </w:r>
      <w:r>
        <w:rPr>
          <w:color w:val="000000"/>
          <w:spacing w:val="0"/>
          <w:w w:val="100"/>
          <w:position w:val="0"/>
          <w:sz w:val="17"/>
          <w:szCs w:val="17"/>
        </w:rPr>
        <w:t>收益，同时调整长期股权投资的账面价值；按照被投资单位宣告分派的利润或现金股利计算应享有的部分，相应减少长期股 权投资的账面价值；对于被投资单位除净损益、其他综合收益和利润分配以外所有者权益的其他变动，调整长期股权投资的 账面价值并计入资本公积。在确认应享有被投资单位净损益的份额时，以取得投资时被投资单位各项可辨认资产等的公允价 值为基础，对被投资单位的净利润进行调整后确认。被投资单位采用的会计政策及会计期间与本公司不一致的，按照本公司 的会计政策及会计期间对被投资单位的财务报表进行调整，并据以确认投资收益和其他综合收益。对于本公司与联营企业及 合营企业之间发生的交易，投出或出售的资产不构成业务的，未实现内部交易损益按照享有的比例计算归属于本公司的部分 予以抵销，在此基础上确认投资损益。但本公司与被投资单位发生的未实现内部交易损失，属于所转让资产减值损失的，不 予以抵销。本公司向合营企业或联营企业投出的资产构成业务的，投资方因此取得长期股权投资但未取得控制权的，以投出 业务的公允价值作为新增长期股权投资的初始投资成本，初始投资成本与投出业务的账面价值之差，全额计入当期损益。本 公司向合营企业或联营企业出售的资产构成业务的，取得的对价与业务的账面价值之差，全额计入当期损益。本公司自联营 企业及合营企业购入的资产构成业务的，按《企业会计准则第</w:t>
      </w:r>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号</w:t>
      </w:r>
      <w:r>
        <w:rPr>
          <w:color w:val="000000"/>
          <w:spacing w:val="0"/>
          <w:w w:val="100"/>
          <w:position w:val="0"/>
          <w:sz w:val="22"/>
          <w:szCs w:val="22"/>
        </w:rPr>
        <w:t>一一</w:t>
      </w:r>
      <w:r>
        <w:rPr>
          <w:color w:val="000000"/>
          <w:spacing w:val="0"/>
          <w:w w:val="100"/>
          <w:position w:val="0"/>
          <w:sz w:val="17"/>
          <w:szCs w:val="17"/>
        </w:rPr>
        <w:t>业合并》的规定进行会计处理，全额确认与交易 相关的利得或损失。</w:t>
      </w:r>
    </w:p>
    <w:p>
      <w:pPr>
        <w:pStyle w:val="Style27"/>
        <w:keepNext w:val="0"/>
        <w:keepLines w:val="0"/>
        <w:widowControl w:val="0"/>
        <w:shd w:val="clear" w:color="auto" w:fill="auto"/>
        <w:bidi w:val="0"/>
        <w:spacing w:before="0" w:after="0" w:line="498" w:lineRule="exact"/>
        <w:ind w:left="0" w:right="0" w:firstLine="380"/>
        <w:jc w:val="both"/>
        <w:rPr>
          <w:sz w:val="17"/>
          <w:szCs w:val="17"/>
        </w:rPr>
      </w:pPr>
      <w:r>
        <w:rPr>
          <w:color w:val="000000"/>
          <w:spacing w:val="0"/>
          <w:w w:val="100"/>
          <w:position w:val="0"/>
          <w:sz w:val="17"/>
          <w:szCs w:val="17"/>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7"/>
        <w:keepNext w:val="0"/>
        <w:keepLines w:val="0"/>
        <w:widowControl w:val="0"/>
        <w:shd w:val="clear" w:color="auto" w:fill="auto"/>
        <w:bidi w:val="0"/>
        <w:spacing w:before="0" w:after="0" w:line="498" w:lineRule="exact"/>
        <w:ind w:left="0" w:right="0" w:firstLine="380"/>
        <w:jc w:val="both"/>
        <w:rPr>
          <w:sz w:val="17"/>
          <w:szCs w:val="17"/>
        </w:rPr>
      </w:pPr>
      <w:r>
        <w:rPr>
          <w:color w:val="000000"/>
          <w:spacing w:val="0"/>
          <w:w w:val="100"/>
          <w:position w:val="0"/>
          <w:sz w:val="17"/>
          <w:szCs w:val="17"/>
        </w:rPr>
        <w:t>对于本公司首次执行新会计准则之前已经持有的对联营企业和合营企业的长期股权投资，如存在与该投资相关的股权投 资借方差额，按原剩余期限直线摊销的金额计入当期损益。</w:t>
      </w:r>
    </w:p>
    <w:p>
      <w:pPr>
        <w:pStyle w:val="Style27"/>
        <w:keepNext w:val="0"/>
        <w:keepLines w:val="0"/>
        <w:widowControl w:val="0"/>
        <w:numPr>
          <w:ilvl w:val="0"/>
          <w:numId w:val="21"/>
        </w:numPr>
        <w:shd w:val="clear" w:color="auto" w:fill="auto"/>
        <w:tabs>
          <w:tab w:pos="693" w:val="left"/>
        </w:tabs>
        <w:bidi w:val="0"/>
        <w:spacing w:before="0" w:after="0" w:line="498" w:lineRule="exact"/>
        <w:ind w:left="0" w:right="0" w:firstLine="380"/>
        <w:jc w:val="both"/>
        <w:rPr>
          <w:sz w:val="17"/>
          <w:szCs w:val="17"/>
        </w:rPr>
      </w:pPr>
      <w:bookmarkStart w:id="796" w:name="bookmark796"/>
      <w:bookmarkEnd w:id="796"/>
      <w:r>
        <w:rPr>
          <w:color w:val="000000"/>
          <w:spacing w:val="0"/>
          <w:w w:val="100"/>
          <w:position w:val="0"/>
          <w:sz w:val="17"/>
          <w:szCs w:val="17"/>
        </w:rPr>
        <w:t>收购少数股权</w:t>
      </w:r>
    </w:p>
    <w:p>
      <w:pPr>
        <w:pStyle w:val="Style27"/>
        <w:keepNext w:val="0"/>
        <w:keepLines w:val="0"/>
        <w:widowControl w:val="0"/>
        <w:shd w:val="clear" w:color="auto" w:fill="auto"/>
        <w:bidi w:val="0"/>
        <w:spacing w:before="0" w:after="0" w:line="498" w:lineRule="exact"/>
        <w:ind w:left="0" w:right="0" w:firstLine="380"/>
        <w:jc w:val="both"/>
        <w:rPr>
          <w:sz w:val="17"/>
          <w:szCs w:val="17"/>
        </w:rPr>
      </w:pPr>
      <w:r>
        <w:rPr>
          <w:color w:val="000000"/>
          <w:spacing w:val="0"/>
          <w:w w:val="100"/>
          <w:position w:val="0"/>
          <w:sz w:val="17"/>
          <w:szCs w:val="17"/>
        </w:rPr>
        <w:t xml:space="preserve">在编制合并财务报表时，因购买少数股权新增的长期股权投资与按照新增持股比例计算应享有子公司自购买日（或合并 </w:t>
      </w:r>
      <w:r>
        <w:rPr>
          <w:rFonts w:ascii="SimHei" w:eastAsia="SimHei" w:hAnsi="SimHei" w:cs="SimHei"/>
          <w:color w:val="000000"/>
          <w:spacing w:val="0"/>
          <w:w w:val="100"/>
          <w:position w:val="0"/>
          <w:sz w:val="19"/>
          <w:szCs w:val="19"/>
        </w:rPr>
        <w:t>0）</w:t>
      </w:r>
      <w:r>
        <w:rPr>
          <w:color w:val="000000"/>
          <w:spacing w:val="0"/>
          <w:w w:val="100"/>
          <w:position w:val="0"/>
          <w:sz w:val="17"/>
          <w:szCs w:val="17"/>
        </w:rPr>
        <w:t>开始持续计算的净资产份额之间的差额，调整资本公积，资本公积不足冲减的，调整留存收益。</w:t>
      </w:r>
    </w:p>
    <w:p>
      <w:pPr>
        <w:pStyle w:val="Style27"/>
        <w:keepNext w:val="0"/>
        <w:keepLines w:val="0"/>
        <w:widowControl w:val="0"/>
        <w:numPr>
          <w:ilvl w:val="0"/>
          <w:numId w:val="21"/>
        </w:numPr>
        <w:shd w:val="clear" w:color="auto" w:fill="auto"/>
        <w:tabs>
          <w:tab w:pos="693" w:val="left"/>
        </w:tabs>
        <w:bidi w:val="0"/>
        <w:spacing w:before="0" w:after="0" w:line="498" w:lineRule="exact"/>
        <w:ind w:left="0" w:right="0" w:firstLine="380"/>
        <w:jc w:val="both"/>
        <w:rPr>
          <w:sz w:val="17"/>
          <w:szCs w:val="17"/>
        </w:rPr>
      </w:pPr>
      <w:bookmarkStart w:id="797" w:name="bookmark797"/>
      <w:bookmarkEnd w:id="797"/>
      <w:r>
        <w:rPr>
          <w:color w:val="000000"/>
          <w:spacing w:val="0"/>
          <w:w w:val="100"/>
          <w:position w:val="0"/>
          <w:sz w:val="17"/>
          <w:szCs w:val="17"/>
        </w:rPr>
        <w:t>处置长期股权投资</w:t>
      </w:r>
    </w:p>
    <w:p>
      <w:pPr>
        <w:pStyle w:val="Style27"/>
        <w:keepNext w:val="0"/>
        <w:keepLines w:val="0"/>
        <w:widowControl w:val="0"/>
        <w:shd w:val="clear" w:color="auto" w:fill="auto"/>
        <w:bidi w:val="0"/>
        <w:spacing w:before="0" w:after="0" w:line="498" w:lineRule="exact"/>
        <w:ind w:left="0" w:right="0" w:firstLine="380"/>
        <w:jc w:val="both"/>
        <w:rPr>
          <w:sz w:val="17"/>
          <w:szCs w:val="17"/>
        </w:rPr>
      </w:pPr>
      <w:r>
        <w:rPr>
          <w:color w:val="000000"/>
          <w:spacing w:val="0"/>
          <w:w w:val="100"/>
          <w:position w:val="0"/>
          <w:sz w:val="17"/>
          <w:szCs w:val="17"/>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附注三、</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 “合并财务报表编制的方法”中所述的相关会计政策处理。</w:t>
      </w:r>
    </w:p>
    <w:p>
      <w:pPr>
        <w:pStyle w:val="Style27"/>
        <w:keepNext w:val="0"/>
        <w:keepLines w:val="0"/>
        <w:widowControl w:val="0"/>
        <w:shd w:val="clear" w:color="auto" w:fill="auto"/>
        <w:bidi w:val="0"/>
        <w:spacing w:before="0" w:after="0" w:line="498" w:lineRule="exact"/>
        <w:ind w:left="0" w:right="0" w:firstLine="380"/>
        <w:jc w:val="both"/>
        <w:rPr>
          <w:sz w:val="17"/>
          <w:szCs w:val="17"/>
        </w:rPr>
      </w:pPr>
      <w:r>
        <w:rPr>
          <w:color w:val="000000"/>
          <w:spacing w:val="0"/>
          <w:w w:val="100"/>
          <w:position w:val="0"/>
          <w:sz w:val="17"/>
          <w:szCs w:val="17"/>
        </w:rPr>
        <w:t>其他情形下的长期股权投资处置，对于处置的股权，其账面价值与实际取得价款的差额，计入当期损益。</w:t>
      </w:r>
    </w:p>
    <w:p>
      <w:pPr>
        <w:pStyle w:val="Style27"/>
        <w:keepNext w:val="0"/>
        <w:keepLines w:val="0"/>
        <w:widowControl w:val="0"/>
        <w:shd w:val="clear" w:color="auto" w:fill="auto"/>
        <w:bidi w:val="0"/>
        <w:spacing w:before="0" w:after="0" w:line="498" w:lineRule="exact"/>
        <w:ind w:left="0" w:right="0" w:firstLine="380"/>
        <w:jc w:val="both"/>
        <w:rPr>
          <w:sz w:val="17"/>
          <w:szCs w:val="17"/>
        </w:rPr>
      </w:pPr>
      <w:r>
        <w:rPr>
          <w:color w:val="000000"/>
          <w:spacing w:val="0"/>
          <w:w w:val="100"/>
          <w:position w:val="0"/>
          <w:sz w:val="17"/>
          <w:szCs w:val="17"/>
        </w:rPr>
        <w:t xml:space="preserve">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w:t>
      </w:r>
      <w:r>
        <w:rPr>
          <w:color w:val="000000"/>
          <w:spacing w:val="0"/>
          <w:w w:val="100"/>
          <w:position w:val="0"/>
          <w:sz w:val="17"/>
          <w:szCs w:val="17"/>
        </w:rPr>
        <w:t>益和利润分配以外的其他所有者权益变动而确认的所有者权益，按比例结转入当期损益。</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7"/>
        <w:keepNext w:val="0"/>
        <w:keepLines w:val="0"/>
        <w:widowControl w:val="0"/>
        <w:shd w:val="clear" w:color="auto" w:fill="auto"/>
        <w:bidi w:val="0"/>
        <w:spacing w:before="0" w:after="280" w:line="500" w:lineRule="exact"/>
        <w:ind w:left="0" w:right="0" w:firstLine="380"/>
        <w:jc w:val="both"/>
        <w:rPr>
          <w:sz w:val="17"/>
          <w:szCs w:val="17"/>
        </w:rPr>
      </w:pPr>
      <w:r>
        <w:rPr>
          <w:color w:val="000000"/>
          <w:spacing w:val="0"/>
          <w:w w:val="100"/>
          <w:position w:val="0"/>
          <w:sz w:val="17"/>
          <w:szCs w:val="17"/>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0"/>
        <w:keepNext/>
        <w:keepLines/>
        <w:widowControl w:val="0"/>
        <w:shd w:val="clear" w:color="auto" w:fill="auto"/>
        <w:bidi w:val="0"/>
        <w:spacing w:before="0" w:after="0" w:line="523" w:lineRule="auto"/>
        <w:ind w:left="0" w:right="0" w:firstLine="440"/>
        <w:jc w:val="both"/>
        <w:rPr>
          <w:sz w:val="20"/>
          <w:szCs w:val="20"/>
        </w:rPr>
      </w:pPr>
      <w:bookmarkStart w:id="798" w:name="bookmark798"/>
      <w:bookmarkStart w:id="799" w:name="bookmark799"/>
      <w:bookmarkStart w:id="800" w:name="bookmark800"/>
      <w:bookmarkStart w:id="801" w:name="bookmark801"/>
      <w:r>
        <w:rPr>
          <w:rFonts w:ascii="Arial Narrow" w:eastAsia="Arial Narrow" w:hAnsi="Arial Narrow" w:cs="Arial Narrow"/>
          <w:color w:val="000000"/>
          <w:spacing w:val="0"/>
          <w:w w:val="100"/>
          <w:position w:val="0"/>
          <w:sz w:val="20"/>
          <w:szCs w:val="20"/>
        </w:rPr>
        <w:t>1</w:t>
      </w:r>
      <w:bookmarkEnd w:id="800"/>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、投资性房地产</w:t>
      </w:r>
      <w:bookmarkEnd w:id="798"/>
      <w:bookmarkEnd w:id="799"/>
      <w:bookmarkEnd w:id="801"/>
    </w:p>
    <w:p>
      <w:pPr>
        <w:pStyle w:val="Style27"/>
        <w:keepNext w:val="0"/>
        <w:keepLines w:val="0"/>
        <w:widowControl w:val="0"/>
        <w:shd w:val="clear" w:color="auto" w:fill="auto"/>
        <w:bidi w:val="0"/>
        <w:spacing w:before="0" w:after="0" w:line="500" w:lineRule="exact"/>
        <w:ind w:left="0" w:right="0" w:firstLine="380"/>
        <w:jc w:val="both"/>
        <w:rPr>
          <w:sz w:val="17"/>
          <w:szCs w:val="17"/>
        </w:rPr>
      </w:pPr>
      <w:r>
        <w:rPr>
          <w:color w:val="000000"/>
          <w:spacing w:val="0"/>
          <w:w w:val="100"/>
          <w:position w:val="0"/>
          <w:sz w:val="17"/>
          <w:szCs w:val="17"/>
        </w:rPr>
        <w:t>投资性房地产是指为赚取租金或资本增值，或两者兼有而持有的房地产。包括已出租的土地使用权、持有并准备增值后 转让的土地使用权、已出租的建筑物等。</w:t>
      </w:r>
    </w:p>
    <w:p>
      <w:pPr>
        <w:pStyle w:val="Style27"/>
        <w:keepNext w:val="0"/>
        <w:keepLines w:val="0"/>
        <w:widowControl w:val="0"/>
        <w:shd w:val="clear" w:color="auto" w:fill="auto"/>
        <w:bidi w:val="0"/>
        <w:spacing w:before="0" w:after="0" w:line="500" w:lineRule="exact"/>
        <w:ind w:left="0" w:right="0" w:firstLine="380"/>
        <w:jc w:val="both"/>
        <w:rPr>
          <w:sz w:val="17"/>
          <w:szCs w:val="17"/>
        </w:rPr>
      </w:pPr>
      <w:r>
        <w:rPr>
          <w:color w:val="000000"/>
          <w:spacing w:val="0"/>
          <w:w w:val="100"/>
          <w:position w:val="0"/>
          <w:sz w:val="17"/>
          <w:szCs w:val="17"/>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7"/>
        <w:keepNext w:val="0"/>
        <w:keepLines w:val="0"/>
        <w:widowControl w:val="0"/>
        <w:shd w:val="clear" w:color="auto" w:fill="auto"/>
        <w:bidi w:val="0"/>
        <w:spacing w:before="0" w:after="0" w:line="499" w:lineRule="exact"/>
        <w:ind w:left="140" w:right="0" w:firstLine="360"/>
        <w:jc w:val="both"/>
        <w:rPr>
          <w:sz w:val="17"/>
          <w:szCs w:val="17"/>
        </w:rPr>
      </w:pPr>
      <w:r>
        <w:rPr>
          <w:color w:val="000000"/>
          <w:spacing w:val="0"/>
          <w:w w:val="100"/>
          <w:position w:val="0"/>
          <w:sz w:val="17"/>
          <w:szCs w:val="17"/>
        </w:rPr>
        <w:t>本公司投资性房地产采用成本模式对投资性房地产进行后续计量，并按照与房屋建筑物或土地使用权一致的政策进行折 旧或摊销。</w:t>
      </w:r>
    </w:p>
    <w:p>
      <w:pPr>
        <w:pStyle w:val="Style27"/>
        <w:keepNext w:val="0"/>
        <w:keepLines w:val="0"/>
        <w:widowControl w:val="0"/>
        <w:shd w:val="clear" w:color="auto" w:fill="auto"/>
        <w:bidi w:val="0"/>
        <w:spacing w:before="0" w:after="0" w:line="499" w:lineRule="exact"/>
        <w:ind w:left="0" w:right="0" w:firstLine="500"/>
        <w:jc w:val="left"/>
        <w:rPr>
          <w:sz w:val="17"/>
          <w:szCs w:val="17"/>
        </w:rPr>
      </w:pPr>
      <w:r>
        <w:rPr>
          <w:color w:val="000000"/>
          <w:spacing w:val="0"/>
          <w:w w:val="100"/>
          <w:position w:val="0"/>
          <w:sz w:val="17"/>
          <w:szCs w:val="17"/>
        </w:rPr>
        <w:t>投资性房地产的减值测试方法和减值准备计提方法详见本附注、</w:t>
      </w:r>
      <w:r>
        <w:rPr>
          <w:rFonts w:ascii="Arial Narrow" w:eastAsia="Arial Narrow" w:hAnsi="Arial Narrow" w:cs="Arial Narrow"/>
          <w:color w:val="000000"/>
          <w:spacing w:val="0"/>
          <w:w w:val="100"/>
          <w:position w:val="0"/>
          <w:sz w:val="18"/>
          <w:szCs w:val="18"/>
        </w:rPr>
        <w:t xml:space="preserve">24 </w:t>
      </w:r>
      <w:r>
        <w:rPr>
          <w:color w:val="000000"/>
          <w:spacing w:val="0"/>
          <w:w w:val="100"/>
          <w:position w:val="0"/>
          <w:sz w:val="17"/>
          <w:szCs w:val="17"/>
        </w:rPr>
        <w:t>“长期资产减值”。</w:t>
      </w:r>
    </w:p>
    <w:p>
      <w:pPr>
        <w:pStyle w:val="Style27"/>
        <w:keepNext w:val="0"/>
        <w:keepLines w:val="0"/>
        <w:widowControl w:val="0"/>
        <w:shd w:val="clear" w:color="auto" w:fill="auto"/>
        <w:bidi w:val="0"/>
        <w:spacing w:before="0" w:after="0" w:line="499" w:lineRule="exact"/>
        <w:ind w:left="140" w:right="0" w:firstLine="360"/>
        <w:jc w:val="both"/>
        <w:rPr>
          <w:sz w:val="17"/>
          <w:szCs w:val="17"/>
        </w:rPr>
      </w:pPr>
      <w:r>
        <w:rPr>
          <w:color w:val="000000"/>
          <w:spacing w:val="0"/>
          <w:w w:val="100"/>
          <w:position w:val="0"/>
          <w:sz w:val="17"/>
          <w:szCs w:val="17"/>
        </w:rPr>
        <w:t>自用房地产或存货转换为投资性房地产或投资性房地产转换为自用房地产时，按转换前的账面价值作为转换后的入账价 值。</w:t>
      </w:r>
    </w:p>
    <w:p>
      <w:pPr>
        <w:pStyle w:val="Style27"/>
        <w:keepNext w:val="0"/>
        <w:keepLines w:val="0"/>
        <w:widowControl w:val="0"/>
        <w:shd w:val="clear" w:color="auto" w:fill="auto"/>
        <w:bidi w:val="0"/>
        <w:spacing w:before="0" w:after="0" w:line="499" w:lineRule="exact"/>
        <w:ind w:left="140" w:right="0" w:firstLine="360"/>
        <w:jc w:val="both"/>
        <w:rPr>
          <w:sz w:val="17"/>
          <w:szCs w:val="17"/>
        </w:rPr>
      </w:pPr>
      <w:r>
        <w:rPr>
          <w:color w:val="000000"/>
          <w:spacing w:val="0"/>
          <w:w w:val="100"/>
          <w:position w:val="0"/>
          <w:sz w:val="17"/>
          <w:szCs w:val="17"/>
        </w:rPr>
        <w:t>投资性房地产的用途改变为自用时，自改变之日起，将该投资性房地产转换为固定资产或无形资产。自用房地产的用途 改变为赚取租金或资本增值时，自改变之日起，将固定资产或无形资产转换为投资性房地产。以转换前的账面价值作为转换 后的入账价值。</w:t>
      </w:r>
    </w:p>
    <w:p>
      <w:pPr>
        <w:pStyle w:val="Style27"/>
        <w:keepNext w:val="0"/>
        <w:keepLines w:val="0"/>
        <w:widowControl w:val="0"/>
        <w:shd w:val="clear" w:color="auto" w:fill="auto"/>
        <w:bidi w:val="0"/>
        <w:spacing w:before="0" w:after="280" w:line="499" w:lineRule="exact"/>
        <w:ind w:left="140" w:right="0" w:firstLine="360"/>
        <w:jc w:val="both"/>
        <w:rPr>
          <w:sz w:val="17"/>
          <w:szCs w:val="17"/>
        </w:rPr>
      </w:pPr>
      <w:r>
        <w:rPr>
          <w:color w:val="000000"/>
          <w:spacing w:val="0"/>
          <w:w w:val="100"/>
          <w:position w:val="0"/>
          <w:sz w:val="17"/>
          <w:szCs w:val="17"/>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20"/>
        <w:keepNext/>
        <w:keepLines/>
        <w:widowControl w:val="0"/>
        <w:shd w:val="clear" w:color="auto" w:fill="auto"/>
        <w:bidi w:val="0"/>
        <w:spacing w:before="0" w:after="0" w:line="523" w:lineRule="auto"/>
        <w:ind w:left="0" w:right="0" w:firstLine="560"/>
        <w:jc w:val="both"/>
        <w:rPr>
          <w:sz w:val="20"/>
          <w:szCs w:val="20"/>
        </w:rPr>
      </w:pPr>
      <w:bookmarkStart w:id="802" w:name="bookmark802"/>
      <w:bookmarkStart w:id="803" w:name="bookmark803"/>
      <w:bookmarkStart w:id="804" w:name="bookmark804"/>
      <w:bookmarkStart w:id="805" w:name="bookmark805"/>
      <w:r>
        <w:rPr>
          <w:rFonts w:ascii="Arial Narrow" w:eastAsia="Arial Narrow" w:hAnsi="Arial Narrow" w:cs="Arial Narrow"/>
          <w:color w:val="000000"/>
          <w:spacing w:val="0"/>
          <w:w w:val="100"/>
          <w:position w:val="0"/>
          <w:sz w:val="20"/>
          <w:szCs w:val="20"/>
        </w:rPr>
        <w:t>1</w:t>
      </w:r>
      <w:bookmarkEnd w:id="804"/>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、固定资产计价和折旧方法</w:t>
      </w:r>
      <w:bookmarkEnd w:id="802"/>
      <w:bookmarkEnd w:id="803"/>
      <w:bookmarkEnd w:id="805"/>
    </w:p>
    <w:p>
      <w:pPr>
        <w:pStyle w:val="Style27"/>
        <w:keepNext w:val="0"/>
        <w:keepLines w:val="0"/>
        <w:widowControl w:val="0"/>
        <w:shd w:val="clear" w:color="auto" w:fill="auto"/>
        <w:tabs>
          <w:tab w:pos="963" w:val="left"/>
        </w:tabs>
        <w:bidi w:val="0"/>
        <w:spacing w:before="0" w:after="0" w:line="499" w:lineRule="exact"/>
        <w:ind w:left="0" w:right="0" w:firstLine="500"/>
        <w:jc w:val="both"/>
        <w:rPr>
          <w:sz w:val="17"/>
          <w:szCs w:val="17"/>
        </w:rPr>
      </w:pPr>
      <w:bookmarkStart w:id="806" w:name="bookmark806"/>
      <w:r>
        <w:rPr>
          <w:color w:val="000000"/>
          <w:spacing w:val="0"/>
          <w:w w:val="100"/>
          <w:position w:val="0"/>
          <w:sz w:val="17"/>
          <w:szCs w:val="17"/>
        </w:rPr>
        <w:t>（</w:t>
      </w:r>
      <w:bookmarkEnd w:id="806"/>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w:t>
        <w:tab/>
        <w:t>固定资产确认条件</w:t>
      </w:r>
    </w:p>
    <w:p>
      <w:pPr>
        <w:pStyle w:val="Style27"/>
        <w:keepNext w:val="0"/>
        <w:keepLines w:val="0"/>
        <w:widowControl w:val="0"/>
        <w:shd w:val="clear" w:color="auto" w:fill="auto"/>
        <w:bidi w:val="0"/>
        <w:spacing w:before="0" w:after="0" w:line="499" w:lineRule="exact"/>
        <w:ind w:left="140" w:right="0" w:firstLine="360"/>
        <w:jc w:val="both"/>
        <w:rPr>
          <w:sz w:val="17"/>
          <w:szCs w:val="17"/>
        </w:rPr>
      </w:pPr>
      <w:r>
        <w:rPr>
          <w:color w:val="000000"/>
          <w:spacing w:val="0"/>
          <w:w w:val="100"/>
          <w:position w:val="0"/>
          <w:sz w:val="17"/>
          <w:szCs w:val="17"/>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27"/>
        <w:keepNext w:val="0"/>
        <w:keepLines w:val="0"/>
        <w:widowControl w:val="0"/>
        <w:shd w:val="clear" w:color="auto" w:fill="auto"/>
        <w:tabs>
          <w:tab w:pos="963" w:val="left"/>
        </w:tabs>
        <w:bidi w:val="0"/>
        <w:spacing w:before="0" w:after="0" w:line="499" w:lineRule="exact"/>
        <w:ind w:left="0" w:right="0" w:firstLine="500"/>
        <w:jc w:val="both"/>
        <w:rPr>
          <w:sz w:val="17"/>
          <w:szCs w:val="17"/>
        </w:rPr>
      </w:pPr>
      <w:bookmarkStart w:id="807" w:name="bookmark807"/>
      <w:r>
        <w:rPr>
          <w:color w:val="000000"/>
          <w:spacing w:val="0"/>
          <w:w w:val="100"/>
          <w:position w:val="0"/>
          <w:sz w:val="17"/>
          <w:szCs w:val="17"/>
        </w:rPr>
        <w:t>（</w:t>
      </w:r>
      <w:bookmarkEnd w:id="807"/>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w:t>
        <w:tab/>
        <w:t>各类固定资产的折旧方法</w:t>
      </w:r>
    </w:p>
    <w:p>
      <w:pPr>
        <w:pStyle w:val="Style27"/>
        <w:keepNext w:val="0"/>
        <w:keepLines w:val="0"/>
        <w:widowControl w:val="0"/>
        <w:shd w:val="clear" w:color="auto" w:fill="auto"/>
        <w:bidi w:val="0"/>
        <w:spacing w:before="0" w:after="280" w:line="499" w:lineRule="exact"/>
        <w:ind w:left="0" w:right="0" w:firstLine="500"/>
        <w:jc w:val="both"/>
        <w:rPr>
          <w:sz w:val="17"/>
          <w:szCs w:val="17"/>
        </w:rPr>
      </w:pPr>
      <w:r>
        <w:rPr>
          <w:color w:val="000000"/>
          <w:spacing w:val="0"/>
          <w:w w:val="100"/>
          <w:position w:val="0"/>
          <w:sz w:val="17"/>
          <w:szCs w:val="17"/>
        </w:rPr>
        <w:t>固定资产从达到预定可使用状态的次月起，采用年限平均法在使用寿命内计提折旧。各类固定资产的使用寿命、预计净</w:t>
      </w:r>
    </w:p>
    <w:p>
      <w:pPr>
        <w:pStyle w:val="Style25"/>
        <w:keepNext w:val="0"/>
        <w:keepLines w:val="0"/>
        <w:widowControl w:val="0"/>
        <w:shd w:val="clear" w:color="auto" w:fill="auto"/>
        <w:bidi w:val="0"/>
        <w:spacing w:before="0" w:after="0" w:line="240" w:lineRule="auto"/>
        <w:ind w:left="139" w:right="0" w:firstLine="0"/>
        <w:jc w:val="left"/>
        <w:rPr>
          <w:sz w:val="17"/>
          <w:szCs w:val="17"/>
        </w:rPr>
      </w:pPr>
      <w:r>
        <w:rPr>
          <w:color w:val="000000"/>
          <w:spacing w:val="0"/>
          <w:w w:val="100"/>
          <w:position w:val="0"/>
          <w:sz w:val="17"/>
          <w:szCs w:val="17"/>
        </w:rPr>
        <w:t>残值和年折旧率如下:</w:t>
      </w:r>
    </w:p>
    <w:tbl>
      <w:tblPr>
        <w:tblOverlap w:val="never"/>
        <w:jc w:val="center"/>
        <w:tblLayout w:type="fixed"/>
      </w:tblPr>
      <w:tblGrid>
        <w:gridCol w:w="1248"/>
        <w:gridCol w:w="2165"/>
        <w:gridCol w:w="2741"/>
        <w:gridCol w:w="1464"/>
        <w:gridCol w:w="1502"/>
      </w:tblGrid>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明细类别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残值率（</w:t>
            </w:r>
            <w:r>
              <w:rPr>
                <w:b/>
                <w:bCs/>
                <w:color w:val="000000"/>
                <w:spacing w:val="0"/>
                <w:w w:val="100"/>
                <w:position w:val="0"/>
                <w:sz w:val="22"/>
                <w:szCs w:val="22"/>
              </w:rPr>
              <w:t>％</w:t>
            </w:r>
            <w:r>
              <w:rPr>
                <w:b/>
                <w:bCs/>
                <w:color w:val="000000"/>
                <w:spacing w:val="0"/>
                <w:w w:val="100"/>
                <w:position w:val="0"/>
                <w:sz w:val="17"/>
                <w:szCs w:val="17"/>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年折旧率（</w:t>
            </w:r>
            <w:r>
              <w:rPr>
                <w:b/>
                <w:bCs/>
                <w:color w:val="000000"/>
                <w:spacing w:val="0"/>
                <w:w w:val="100"/>
                <w:position w:val="0"/>
                <w:sz w:val="22"/>
                <w:szCs w:val="22"/>
              </w:rPr>
              <w:t>％</w:t>
            </w:r>
            <w:r>
              <w:rPr>
                <w:b/>
                <w:bCs/>
                <w:color w:val="000000"/>
                <w:spacing w:val="0"/>
                <w:w w:val="100"/>
                <w:position w:val="0"/>
                <w:sz w:val="17"/>
                <w:szCs w:val="17"/>
              </w:rPr>
              <w:t>）</w:t>
            </w:r>
          </w:p>
        </w:tc>
      </w:tr>
      <w:tr>
        <w:trPr>
          <w:trHeight w:val="9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7"/>
                <w:szCs w:val="17"/>
              </w:rPr>
              <w:t>房屋及</w:t>
            </w:r>
          </w:p>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有权属年限（房产证或土地证上 规定的期限）按权属年限，无权 属年限按</w:t>
            </w:r>
            <w:r>
              <w:rPr>
                <w:rFonts w:ascii="Arial Narrow" w:eastAsia="Arial Narrow" w:hAnsi="Arial Narrow" w:cs="Arial Narrow"/>
                <w:color w:val="000000"/>
                <w:spacing w:val="0"/>
                <w:w w:val="100"/>
                <w:position w:val="0"/>
                <w:sz w:val="18"/>
                <w:szCs w:val="18"/>
              </w:rPr>
              <w:t>30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3.17</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简易房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19.00</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9.50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4.75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9.50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19.00</w:t>
            </w:r>
          </w:p>
        </w:tc>
      </w:tr>
      <w:tr>
        <w:trPr>
          <w:trHeight w:val="9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实验、质检、办公设备、 电子设备、工具器具及其 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19.00</w:t>
            </w:r>
          </w:p>
        </w:tc>
      </w:tr>
    </w:tbl>
    <w:p>
      <w:pPr>
        <w:pStyle w:val="Style25"/>
        <w:keepNext w:val="0"/>
        <w:keepLines w:val="0"/>
        <w:widowControl w:val="0"/>
        <w:shd w:val="clear" w:color="auto" w:fill="auto"/>
        <w:bidi w:val="0"/>
        <w:spacing w:before="0" w:after="0" w:line="240" w:lineRule="auto"/>
        <w:ind w:left="504" w:right="0" w:firstLine="0"/>
        <w:jc w:val="left"/>
        <w:rPr>
          <w:sz w:val="17"/>
          <w:szCs w:val="17"/>
        </w:rPr>
      </w:pPr>
      <w:r>
        <w:rPr>
          <w:color w:val="000000"/>
          <w:spacing w:val="0"/>
          <w:w w:val="100"/>
          <w:position w:val="0"/>
          <w:sz w:val="17"/>
          <w:szCs w:val="17"/>
        </w:rPr>
        <w:t>预计净残值是指假定固定资产预计使用寿命已满并处于使用寿命终了时的预期状态，本公司目前从该项资产处置中获得</w:t>
      </w:r>
    </w:p>
    <w:p>
      <w:pPr>
        <w:pStyle w:val="Style27"/>
        <w:keepNext w:val="0"/>
        <w:keepLines w:val="0"/>
        <w:widowControl w:val="0"/>
        <w:shd w:val="clear" w:color="auto" w:fill="auto"/>
        <w:bidi w:val="0"/>
        <w:spacing w:before="0" w:after="0" w:line="503" w:lineRule="exact"/>
        <w:ind w:left="0" w:right="0" w:firstLine="0"/>
        <w:jc w:val="both"/>
        <w:rPr>
          <w:sz w:val="17"/>
          <w:szCs w:val="17"/>
        </w:rPr>
      </w:pPr>
      <w:r>
        <w:rPr>
          <w:color w:val="000000"/>
          <w:spacing w:val="0"/>
          <w:w w:val="100"/>
          <w:position w:val="0"/>
          <w:sz w:val="17"/>
          <w:szCs w:val="17"/>
        </w:rPr>
        <w:t>的扣除预计处置费用后的金额。</w:t>
      </w:r>
    </w:p>
    <w:p>
      <w:pPr>
        <w:pStyle w:val="Style27"/>
        <w:keepNext w:val="0"/>
        <w:keepLines w:val="0"/>
        <w:widowControl w:val="0"/>
        <w:numPr>
          <w:ilvl w:val="0"/>
          <w:numId w:val="23"/>
        </w:numPr>
        <w:shd w:val="clear" w:color="auto" w:fill="auto"/>
        <w:tabs>
          <w:tab w:pos="884" w:val="left"/>
        </w:tabs>
        <w:bidi w:val="0"/>
        <w:spacing w:before="0" w:after="0" w:line="503" w:lineRule="exact"/>
        <w:ind w:left="0" w:right="0" w:firstLine="420"/>
        <w:jc w:val="both"/>
        <w:rPr>
          <w:sz w:val="17"/>
          <w:szCs w:val="17"/>
        </w:rPr>
      </w:pPr>
      <w:bookmarkStart w:id="808" w:name="bookmark808"/>
      <w:bookmarkEnd w:id="808"/>
      <w:r>
        <w:rPr>
          <w:color w:val="000000"/>
          <w:spacing w:val="0"/>
          <w:w w:val="100"/>
          <w:position w:val="0"/>
          <w:sz w:val="17"/>
          <w:szCs w:val="17"/>
        </w:rPr>
        <w:t>固定资产的减值测试方法及减值准备计提方法</w:t>
      </w:r>
    </w:p>
    <w:p>
      <w:pPr>
        <w:pStyle w:val="Style27"/>
        <w:keepNext w:val="0"/>
        <w:keepLines w:val="0"/>
        <w:widowControl w:val="0"/>
        <w:shd w:val="clear" w:color="auto" w:fill="auto"/>
        <w:bidi w:val="0"/>
        <w:spacing w:before="0" w:after="0" w:line="503" w:lineRule="exact"/>
        <w:ind w:left="0" w:right="0" w:firstLine="420"/>
        <w:jc w:val="both"/>
        <w:rPr>
          <w:sz w:val="17"/>
          <w:szCs w:val="17"/>
        </w:rPr>
      </w:pPr>
      <w:r>
        <w:rPr>
          <w:color w:val="000000"/>
          <w:spacing w:val="0"/>
          <w:w w:val="100"/>
          <w:position w:val="0"/>
          <w:sz w:val="17"/>
          <w:szCs w:val="17"/>
        </w:rPr>
        <w:t>固定资产的减值测试方法和减值准备计提方法详见本附注三、</w:t>
      </w:r>
      <w:r>
        <w:rPr>
          <w:rFonts w:ascii="Arial Narrow" w:eastAsia="Arial Narrow" w:hAnsi="Arial Narrow" w:cs="Arial Narrow"/>
          <w:color w:val="000000"/>
          <w:spacing w:val="0"/>
          <w:w w:val="100"/>
          <w:position w:val="0"/>
          <w:sz w:val="18"/>
          <w:szCs w:val="18"/>
        </w:rPr>
        <w:t xml:space="preserve">24 </w:t>
      </w:r>
      <w:r>
        <w:rPr>
          <w:color w:val="000000"/>
          <w:spacing w:val="0"/>
          <w:w w:val="100"/>
          <w:position w:val="0"/>
          <w:sz w:val="17"/>
          <w:szCs w:val="17"/>
        </w:rPr>
        <w:t>“长期资产减值”。</w:t>
      </w:r>
    </w:p>
    <w:p>
      <w:pPr>
        <w:pStyle w:val="Style27"/>
        <w:keepNext w:val="0"/>
        <w:keepLines w:val="0"/>
        <w:widowControl w:val="0"/>
        <w:numPr>
          <w:ilvl w:val="0"/>
          <w:numId w:val="23"/>
        </w:numPr>
        <w:shd w:val="clear" w:color="auto" w:fill="auto"/>
        <w:tabs>
          <w:tab w:pos="884" w:val="left"/>
        </w:tabs>
        <w:bidi w:val="0"/>
        <w:spacing w:before="0" w:after="0" w:line="503" w:lineRule="exact"/>
        <w:ind w:left="0" w:right="0" w:firstLine="420"/>
        <w:jc w:val="both"/>
        <w:rPr>
          <w:sz w:val="17"/>
          <w:szCs w:val="17"/>
        </w:rPr>
      </w:pPr>
      <w:bookmarkStart w:id="809" w:name="bookmark809"/>
      <w:bookmarkEnd w:id="809"/>
      <w:r>
        <w:rPr>
          <w:color w:val="000000"/>
          <w:spacing w:val="0"/>
          <w:w w:val="100"/>
          <w:position w:val="0"/>
          <w:sz w:val="17"/>
          <w:szCs w:val="17"/>
        </w:rPr>
        <w:t>其他说明</w:t>
      </w:r>
    </w:p>
    <w:p>
      <w:pPr>
        <w:pStyle w:val="Style27"/>
        <w:keepNext w:val="0"/>
        <w:keepLines w:val="0"/>
        <w:widowControl w:val="0"/>
        <w:shd w:val="clear" w:color="auto" w:fill="auto"/>
        <w:bidi w:val="0"/>
        <w:spacing w:before="0" w:after="0" w:line="503" w:lineRule="exact"/>
        <w:ind w:left="0" w:right="0" w:firstLine="420"/>
        <w:jc w:val="both"/>
        <w:rPr>
          <w:sz w:val="17"/>
          <w:szCs w:val="17"/>
        </w:rPr>
      </w:pPr>
      <w:r>
        <w:rPr>
          <w:color w:val="000000"/>
          <w:spacing w:val="0"/>
          <w:w w:val="100"/>
          <w:position w:val="0"/>
          <w:sz w:val="17"/>
          <w:szCs w:val="17"/>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7"/>
        <w:keepNext w:val="0"/>
        <w:keepLines w:val="0"/>
        <w:widowControl w:val="0"/>
        <w:shd w:val="clear" w:color="auto" w:fill="auto"/>
        <w:bidi w:val="0"/>
        <w:spacing w:before="0" w:after="0" w:line="503" w:lineRule="exact"/>
        <w:ind w:left="0" w:right="0" w:firstLine="420"/>
        <w:jc w:val="both"/>
        <w:rPr>
          <w:sz w:val="17"/>
          <w:szCs w:val="17"/>
        </w:rPr>
      </w:pPr>
      <w:r>
        <w:rPr>
          <w:color w:val="000000"/>
          <w:spacing w:val="0"/>
          <w:w w:val="100"/>
          <w:position w:val="0"/>
          <w:sz w:val="17"/>
          <w:szCs w:val="17"/>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27"/>
        <w:keepNext w:val="0"/>
        <w:keepLines w:val="0"/>
        <w:widowControl w:val="0"/>
        <w:shd w:val="clear" w:color="auto" w:fill="auto"/>
        <w:bidi w:val="0"/>
        <w:spacing w:before="0" w:after="280" w:line="503" w:lineRule="exact"/>
        <w:ind w:left="0" w:right="0" w:firstLine="420"/>
        <w:jc w:val="both"/>
        <w:rPr>
          <w:sz w:val="17"/>
          <w:szCs w:val="17"/>
        </w:rPr>
      </w:pPr>
      <w:r>
        <w:rPr>
          <w:color w:val="000000"/>
          <w:spacing w:val="0"/>
          <w:w w:val="100"/>
          <w:position w:val="0"/>
          <w:sz w:val="17"/>
          <w:szCs w:val="17"/>
        </w:rPr>
        <w:t>本公司至少于年度终了对固定资产的使用寿命、预计净残值和折旧方法进行复核，如发生改变则作为会计估计变更处理。</w:t>
      </w:r>
    </w:p>
    <w:p>
      <w:pPr>
        <w:pStyle w:val="Style20"/>
        <w:keepNext/>
        <w:keepLines/>
        <w:widowControl w:val="0"/>
        <w:shd w:val="clear" w:color="auto" w:fill="auto"/>
        <w:tabs>
          <w:tab w:pos="925" w:val="left"/>
        </w:tabs>
        <w:bidi w:val="0"/>
        <w:spacing w:before="0" w:after="0" w:line="526" w:lineRule="auto"/>
        <w:ind w:left="0" w:right="0" w:firstLine="480"/>
        <w:jc w:val="both"/>
        <w:rPr>
          <w:sz w:val="20"/>
          <w:szCs w:val="20"/>
        </w:rPr>
      </w:pPr>
      <w:bookmarkStart w:id="810" w:name="bookmark810"/>
      <w:bookmarkStart w:id="811" w:name="bookmark811"/>
      <w:bookmarkStart w:id="812" w:name="bookmark812"/>
      <w:bookmarkStart w:id="813" w:name="bookmark813"/>
      <w:r>
        <w:rPr>
          <w:rFonts w:ascii="Arial Narrow" w:eastAsia="Arial Narrow" w:hAnsi="Arial Narrow" w:cs="Arial Narrow"/>
          <w:color w:val="000000"/>
          <w:spacing w:val="0"/>
          <w:w w:val="100"/>
          <w:position w:val="0"/>
          <w:sz w:val="20"/>
          <w:szCs w:val="20"/>
        </w:rPr>
        <w:t>1</w:t>
      </w:r>
      <w:bookmarkEnd w:id="812"/>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w:t>
        <w:tab/>
        <w:t>在建工程</w:t>
      </w:r>
      <w:bookmarkEnd w:id="810"/>
      <w:bookmarkEnd w:id="811"/>
      <w:bookmarkEnd w:id="813"/>
    </w:p>
    <w:p>
      <w:pPr>
        <w:pStyle w:val="Style27"/>
        <w:keepNext w:val="0"/>
        <w:keepLines w:val="0"/>
        <w:widowControl w:val="0"/>
        <w:shd w:val="clear" w:color="auto" w:fill="auto"/>
        <w:bidi w:val="0"/>
        <w:spacing w:before="0" w:after="0" w:line="503" w:lineRule="exact"/>
        <w:ind w:left="0" w:right="0" w:firstLine="420"/>
        <w:jc w:val="both"/>
        <w:rPr>
          <w:sz w:val="17"/>
          <w:szCs w:val="17"/>
        </w:rPr>
      </w:pPr>
      <w:r>
        <w:rPr>
          <w:color w:val="000000"/>
          <w:spacing w:val="0"/>
          <w:w w:val="100"/>
          <w:position w:val="0"/>
          <w:sz w:val="17"/>
          <w:szCs w:val="17"/>
        </w:rPr>
        <w:t>本公司在建工程成本按实际工程支出确定</w:t>
      </w:r>
      <w:r>
        <w:rPr>
          <w:color w:val="000000"/>
          <w:spacing w:val="0"/>
          <w:w w:val="100"/>
          <w:position w:val="0"/>
          <w:sz w:val="16"/>
          <w:szCs w:val="16"/>
        </w:rPr>
        <w:t>，</w:t>
      </w:r>
      <w:r>
        <w:rPr>
          <w:color w:val="000000"/>
          <w:spacing w:val="0"/>
          <w:w w:val="100"/>
          <w:position w:val="0"/>
          <w:sz w:val="17"/>
          <w:szCs w:val="17"/>
        </w:rPr>
        <w:t>包括在建期间发生的各项必要工程支出、工程达到预定可使用状态前的应予 资本化的借款费用以及其他相关费用等。</w:t>
      </w:r>
    </w:p>
    <w:p>
      <w:pPr>
        <w:pStyle w:val="Style27"/>
        <w:keepNext w:val="0"/>
        <w:keepLines w:val="0"/>
        <w:widowControl w:val="0"/>
        <w:shd w:val="clear" w:color="auto" w:fill="auto"/>
        <w:bidi w:val="0"/>
        <w:spacing w:before="0" w:after="280" w:line="503" w:lineRule="exact"/>
        <w:ind w:left="0" w:right="0" w:firstLine="420"/>
        <w:jc w:val="both"/>
        <w:rPr>
          <w:sz w:val="17"/>
          <w:szCs w:val="17"/>
        </w:rPr>
      </w:pPr>
      <w:r>
        <w:rPr>
          <w:color w:val="000000"/>
          <w:spacing w:val="0"/>
          <w:w w:val="100"/>
          <w:position w:val="0"/>
          <w:sz w:val="17"/>
          <w:szCs w:val="17"/>
        </w:rPr>
        <w:t>在建工程在达到预定可使用状态时转入固定资产。</w:t>
      </w:r>
    </w:p>
    <w:p>
      <w:pPr>
        <w:pStyle w:val="Style20"/>
        <w:keepNext/>
        <w:keepLines/>
        <w:widowControl w:val="0"/>
        <w:shd w:val="clear" w:color="auto" w:fill="auto"/>
        <w:tabs>
          <w:tab w:pos="925" w:val="left"/>
        </w:tabs>
        <w:bidi w:val="0"/>
        <w:spacing w:before="0" w:after="0" w:line="526" w:lineRule="auto"/>
        <w:ind w:left="0" w:right="0" w:firstLine="480"/>
        <w:jc w:val="both"/>
        <w:rPr>
          <w:sz w:val="20"/>
          <w:szCs w:val="20"/>
        </w:rPr>
      </w:pPr>
      <w:bookmarkStart w:id="814" w:name="bookmark814"/>
      <w:bookmarkStart w:id="815" w:name="bookmark815"/>
      <w:bookmarkStart w:id="816" w:name="bookmark816"/>
      <w:bookmarkStart w:id="817" w:name="bookmark817"/>
      <w:r>
        <w:rPr>
          <w:rFonts w:ascii="Arial Narrow" w:eastAsia="Arial Narrow" w:hAnsi="Arial Narrow" w:cs="Arial Narrow"/>
          <w:color w:val="000000"/>
          <w:spacing w:val="0"/>
          <w:w w:val="100"/>
          <w:position w:val="0"/>
          <w:sz w:val="20"/>
          <w:szCs w:val="20"/>
        </w:rPr>
        <w:t>1</w:t>
      </w:r>
      <w:bookmarkEnd w:id="816"/>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w:t>
        <w:tab/>
        <w:t>借款费用</w:t>
      </w:r>
      <w:bookmarkEnd w:id="814"/>
      <w:bookmarkEnd w:id="815"/>
      <w:bookmarkEnd w:id="817"/>
    </w:p>
    <w:p>
      <w:pPr>
        <w:pStyle w:val="Style17"/>
        <w:keepNext w:val="0"/>
        <w:keepLines w:val="0"/>
        <w:widowControl w:val="0"/>
        <w:shd w:val="clear" w:color="auto" w:fill="auto"/>
        <w:bidi w:val="0"/>
        <w:spacing w:before="0" w:after="0" w:line="503" w:lineRule="exact"/>
        <w:ind w:left="0" w:right="0" w:firstLine="48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17"/>
        <w:keepNext w:val="0"/>
        <w:keepLines w:val="0"/>
        <w:widowControl w:val="0"/>
        <w:shd w:val="clear" w:color="auto" w:fill="auto"/>
        <w:bidi w:val="0"/>
        <w:spacing w:before="0" w:after="0" w:line="503" w:lineRule="exact"/>
        <w:ind w:left="0" w:right="0" w:firstLine="48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17"/>
        <w:keepNext w:val="0"/>
        <w:keepLines w:val="0"/>
        <w:widowControl w:val="0"/>
        <w:shd w:val="clear" w:color="auto" w:fill="auto"/>
        <w:bidi w:val="0"/>
        <w:spacing w:before="0" w:after="0" w:line="503" w:lineRule="exact"/>
        <w:ind w:left="0" w:right="0" w:firstLine="480"/>
        <w:jc w:val="both"/>
      </w:pPr>
      <w:r>
        <w:rPr>
          <w:color w:val="000000"/>
          <w:spacing w:val="0"/>
          <w:w w:val="100"/>
          <w:position w:val="0"/>
        </w:rPr>
        <w:t>资本化期间内，外币专门借款的汇兑差额全部予以资本化；外币一般借款的汇兑差额计入当期损益。</w:t>
      </w:r>
    </w:p>
    <w:p>
      <w:pPr>
        <w:pStyle w:val="Style17"/>
        <w:keepNext w:val="0"/>
        <w:keepLines w:val="0"/>
        <w:widowControl w:val="0"/>
        <w:shd w:val="clear" w:color="auto" w:fill="auto"/>
        <w:bidi w:val="0"/>
        <w:spacing w:before="0" w:after="0" w:line="503" w:lineRule="exact"/>
        <w:ind w:left="0" w:right="0" w:firstLine="480"/>
        <w:jc w:val="both"/>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17"/>
        <w:keepNext w:val="0"/>
        <w:keepLines w:val="0"/>
        <w:widowControl w:val="0"/>
        <w:shd w:val="clear" w:color="auto" w:fill="auto"/>
        <w:bidi w:val="0"/>
        <w:spacing w:before="0" w:after="0" w:line="503" w:lineRule="exact"/>
        <w:ind w:left="0" w:right="0" w:firstLine="480"/>
        <w:jc w:val="both"/>
      </w:pPr>
      <w:r>
        <w:rPr>
          <w:color w:val="000000"/>
          <w:spacing w:val="0"/>
          <w:w w:val="100"/>
          <w:position w:val="0"/>
        </w:rPr>
        <w:t>如果符合资本化条件的资产在购建或生产过程中发生非正常中断、并且中断时间连续超过</w:t>
      </w:r>
      <w:r>
        <w:rPr>
          <w:b/>
          <w:bCs/>
          <w:color w:val="000000"/>
          <w:spacing w:val="0"/>
          <w:w w:val="100"/>
          <w:position w:val="0"/>
        </w:rPr>
        <w:t>3</w:t>
      </w:r>
      <w:r>
        <w:rPr>
          <w:color w:val="000000"/>
          <w:spacing w:val="0"/>
          <w:w w:val="100"/>
          <w:position w:val="0"/>
        </w:rPr>
        <w:t xml:space="preserve">个月的， </w:t>
      </w:r>
      <w:r>
        <w:rPr>
          <w:color w:val="000000"/>
          <w:spacing w:val="0"/>
          <w:w w:val="100"/>
          <w:position w:val="0"/>
        </w:rPr>
        <w:t>暂停借款费用的资本化，直至资产的购建或生产活动重新开始。</w:t>
      </w:r>
    </w:p>
    <w:p>
      <w:pPr>
        <w:pStyle w:val="Style17"/>
        <w:keepNext w:val="0"/>
        <w:keepLines w:val="0"/>
        <w:widowControl w:val="0"/>
        <w:shd w:val="clear" w:color="auto" w:fill="auto"/>
        <w:bidi w:val="0"/>
        <w:spacing w:before="0" w:after="260" w:line="502" w:lineRule="exact"/>
        <w:ind w:left="0" w:right="0" w:firstLine="440"/>
        <w:jc w:val="both"/>
      </w:pPr>
      <w:r>
        <w:rPr>
          <w:color w:val="000000"/>
          <w:spacing w:val="0"/>
          <w:w w:val="100"/>
          <w:position w:val="0"/>
        </w:rPr>
        <w:t>为购建或者生产符合资本化条件的资产而占用了一般借款的，根据累计资产支出超过专门借款部分的 资产支出加权平均数乘以所占用一般借款的资本化率，计算确定一般借款应予资本化的利息金额。资本化 率根据一般借款加权平均利率计算确定。</w:t>
      </w:r>
    </w:p>
    <w:p>
      <w:pPr>
        <w:pStyle w:val="Style20"/>
        <w:keepNext/>
        <w:keepLines/>
        <w:widowControl w:val="0"/>
        <w:shd w:val="clear" w:color="auto" w:fill="auto"/>
        <w:bidi w:val="0"/>
        <w:spacing w:before="0" w:after="0" w:line="526" w:lineRule="auto"/>
        <w:ind w:left="0" w:right="0" w:firstLine="440"/>
        <w:jc w:val="both"/>
        <w:rPr>
          <w:sz w:val="20"/>
          <w:szCs w:val="20"/>
        </w:rPr>
      </w:pPr>
      <w:bookmarkStart w:id="818" w:name="bookmark818"/>
      <w:bookmarkStart w:id="819" w:name="bookmark819"/>
      <w:bookmarkStart w:id="820" w:name="bookmark820"/>
      <w:bookmarkStart w:id="821" w:name="bookmark821"/>
      <w:r>
        <w:rPr>
          <w:rFonts w:ascii="Arial Narrow" w:eastAsia="Arial Narrow" w:hAnsi="Arial Narrow" w:cs="Arial Narrow"/>
          <w:color w:val="000000"/>
          <w:spacing w:val="0"/>
          <w:w w:val="100"/>
          <w:position w:val="0"/>
          <w:sz w:val="20"/>
          <w:szCs w:val="20"/>
        </w:rPr>
        <w:t>1</w:t>
      </w:r>
      <w:bookmarkEnd w:id="820"/>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、生物资产</w:t>
      </w:r>
      <w:bookmarkEnd w:id="818"/>
      <w:bookmarkEnd w:id="819"/>
      <w:bookmarkEnd w:id="821"/>
    </w:p>
    <w:p>
      <w:pPr>
        <w:pStyle w:val="Style17"/>
        <w:keepNext w:val="0"/>
        <w:keepLines w:val="0"/>
        <w:widowControl w:val="0"/>
        <w:shd w:val="clear" w:color="auto" w:fill="auto"/>
        <w:tabs>
          <w:tab w:pos="947" w:val="left"/>
        </w:tabs>
        <w:bidi w:val="0"/>
        <w:spacing w:before="0" w:after="0" w:line="502" w:lineRule="exact"/>
        <w:ind w:left="0" w:right="0" w:firstLine="440"/>
        <w:jc w:val="both"/>
      </w:pPr>
      <w:bookmarkStart w:id="822" w:name="bookmark822"/>
      <w:r>
        <w:rPr>
          <w:color w:val="000000"/>
          <w:spacing w:val="0"/>
          <w:w w:val="100"/>
          <w:position w:val="0"/>
        </w:rPr>
        <w:t>（</w:t>
      </w:r>
      <w:bookmarkEnd w:id="822"/>
      <w:r>
        <w:rPr>
          <w:b/>
          <w:bCs/>
          <w:color w:val="000000"/>
          <w:spacing w:val="0"/>
          <w:w w:val="100"/>
          <w:position w:val="0"/>
        </w:rPr>
        <w:t>1</w:t>
      </w:r>
      <w:r>
        <w:rPr>
          <w:color w:val="000000"/>
          <w:spacing w:val="0"/>
          <w:w w:val="100"/>
          <w:position w:val="0"/>
        </w:rPr>
        <w:t>）</w:t>
        <w:tab/>
        <w:t>生物资产的确定标准</w:t>
      </w:r>
    </w:p>
    <w:p>
      <w:pPr>
        <w:pStyle w:val="Style17"/>
        <w:keepNext w:val="0"/>
        <w:keepLines w:val="0"/>
        <w:widowControl w:val="0"/>
        <w:shd w:val="clear" w:color="auto" w:fill="auto"/>
        <w:bidi w:val="0"/>
        <w:spacing w:before="0" w:after="0" w:line="502" w:lineRule="exact"/>
        <w:ind w:left="0" w:right="0" w:firstLine="440"/>
        <w:jc w:val="both"/>
      </w:pPr>
      <w:r>
        <w:rPr>
          <w:color w:val="000000"/>
          <w:spacing w:val="0"/>
          <w:w w:val="100"/>
          <w:position w:val="0"/>
        </w:rPr>
        <w:t>生物资产，是指有生命的动物和植物构成的资产。生物资产的确认需要同时满足下列条件：公司因过 去的交易或事项而拥有或控制该生物资产；与该资产有关的经济利益或服务潜能很可能流入公司；该生物 资产的成本能够可靠地计量。</w:t>
      </w:r>
    </w:p>
    <w:p>
      <w:pPr>
        <w:pStyle w:val="Style17"/>
        <w:keepNext w:val="0"/>
        <w:keepLines w:val="0"/>
        <w:widowControl w:val="0"/>
        <w:shd w:val="clear" w:color="auto" w:fill="auto"/>
        <w:tabs>
          <w:tab w:pos="947" w:val="left"/>
        </w:tabs>
        <w:bidi w:val="0"/>
        <w:spacing w:before="0" w:after="0" w:line="506" w:lineRule="exact"/>
        <w:ind w:left="0" w:right="0" w:firstLine="440"/>
        <w:jc w:val="both"/>
      </w:pPr>
      <w:bookmarkStart w:id="823" w:name="bookmark823"/>
      <w:r>
        <w:rPr>
          <w:color w:val="000000"/>
          <w:spacing w:val="0"/>
          <w:w w:val="100"/>
          <w:position w:val="0"/>
        </w:rPr>
        <w:t>（</w:t>
      </w:r>
      <w:bookmarkEnd w:id="823"/>
      <w:r>
        <w:rPr>
          <w:b/>
          <w:bCs/>
          <w:color w:val="000000"/>
          <w:spacing w:val="0"/>
          <w:w w:val="100"/>
          <w:position w:val="0"/>
        </w:rPr>
        <w:t>2</w:t>
      </w:r>
      <w:r>
        <w:rPr>
          <w:color w:val="000000"/>
          <w:spacing w:val="0"/>
          <w:w w:val="100"/>
          <w:position w:val="0"/>
        </w:rPr>
        <w:t>）</w:t>
        <w:tab/>
        <w:t>本公司生物资产包括消耗性生物资产、生产性生物资产。</w:t>
      </w:r>
    </w:p>
    <w:p>
      <w:pPr>
        <w:pStyle w:val="Style17"/>
        <w:keepNext w:val="0"/>
        <w:keepLines w:val="0"/>
        <w:widowControl w:val="0"/>
        <w:shd w:val="clear" w:color="auto" w:fill="auto"/>
        <w:tabs>
          <w:tab w:pos="1030" w:val="left"/>
        </w:tabs>
        <w:bidi w:val="0"/>
        <w:spacing w:before="0" w:after="0" w:line="506" w:lineRule="exact"/>
        <w:ind w:left="0" w:right="0" w:firstLine="440"/>
        <w:jc w:val="both"/>
      </w:pPr>
      <w:bookmarkStart w:id="824" w:name="bookmark824"/>
      <w:r>
        <w:rPr>
          <w:color w:val="000000"/>
          <w:spacing w:val="0"/>
          <w:w w:val="100"/>
          <w:position w:val="0"/>
        </w:rPr>
        <w:t>（</w:t>
      </w:r>
      <w:bookmarkEnd w:id="824"/>
      <w:r>
        <w:rPr>
          <w:b/>
          <w:bCs/>
          <w:color w:val="000000"/>
          <w:spacing w:val="0"/>
          <w:w w:val="100"/>
          <w:position w:val="0"/>
        </w:rPr>
        <w:t>3</w:t>
      </w:r>
      <w:r>
        <w:rPr>
          <w:color w:val="000000"/>
          <w:spacing w:val="0"/>
          <w:w w:val="100"/>
          <w:position w:val="0"/>
        </w:rPr>
        <w:t>）</w:t>
        <w:tab/>
        <w:t>生物资产按照成本进行初始计量：外购生物资产的成本，包括购买价款、相关税费、运输费、 保险费以及可直接归属于购买该资产的其他支出；计入生物资产成本的借款费用，按照借款费用的相关规 定处理；投资者投入生物资产的成本，按照投资合同或协议约定的价值确定，但合同或协议约定价值不公 允的除外。</w:t>
      </w:r>
    </w:p>
    <w:p>
      <w:pPr>
        <w:pStyle w:val="Style17"/>
        <w:keepNext w:val="0"/>
        <w:keepLines w:val="0"/>
        <w:widowControl w:val="0"/>
        <w:shd w:val="clear" w:color="auto" w:fill="auto"/>
        <w:tabs>
          <w:tab w:pos="947" w:val="left"/>
        </w:tabs>
        <w:bidi w:val="0"/>
        <w:spacing w:before="0" w:after="0" w:line="501" w:lineRule="exact"/>
        <w:ind w:left="0" w:right="0" w:firstLine="440"/>
        <w:jc w:val="both"/>
      </w:pPr>
      <w:bookmarkStart w:id="825" w:name="bookmark825"/>
      <w:r>
        <w:rPr>
          <w:color w:val="000000"/>
          <w:spacing w:val="0"/>
          <w:w w:val="100"/>
          <w:position w:val="0"/>
        </w:rPr>
        <w:t>（</w:t>
      </w:r>
      <w:bookmarkEnd w:id="825"/>
      <w:r>
        <w:rPr>
          <w:b/>
          <w:bCs/>
          <w:color w:val="000000"/>
          <w:spacing w:val="0"/>
          <w:w w:val="100"/>
          <w:position w:val="0"/>
        </w:rPr>
        <w:t>4</w:t>
      </w:r>
      <w:r>
        <w:rPr>
          <w:color w:val="000000"/>
          <w:spacing w:val="0"/>
          <w:w w:val="100"/>
          <w:position w:val="0"/>
        </w:rPr>
        <w:t>）</w:t>
        <w:tab/>
        <w:t>生物资产的后续计量：</w:t>
      </w:r>
    </w:p>
    <w:p>
      <w:pPr>
        <w:pStyle w:val="Style17"/>
        <w:keepNext w:val="0"/>
        <w:keepLines w:val="0"/>
        <w:widowControl w:val="0"/>
        <w:numPr>
          <w:ilvl w:val="0"/>
          <w:numId w:val="25"/>
        </w:numPr>
        <w:shd w:val="clear" w:color="auto" w:fill="auto"/>
        <w:tabs>
          <w:tab w:pos="805" w:val="left"/>
        </w:tabs>
        <w:bidi w:val="0"/>
        <w:spacing w:before="0" w:after="0" w:line="501" w:lineRule="exact"/>
        <w:ind w:left="0" w:right="0" w:firstLine="440"/>
        <w:jc w:val="both"/>
      </w:pPr>
      <w:bookmarkStart w:id="826" w:name="bookmark826"/>
      <w:bookmarkEnd w:id="826"/>
      <w:r>
        <w:rPr>
          <w:color w:val="000000"/>
          <w:spacing w:val="0"/>
          <w:w w:val="100"/>
          <w:position w:val="0"/>
        </w:rPr>
        <w:t>消耗性生物资产出售或入库前耗用的苗种、饲料、肥料等材料费、人工费和应分摊的间接费用等必 要支出构成消耗性生物资产的成本；</w:t>
      </w:r>
    </w:p>
    <w:p>
      <w:pPr>
        <w:pStyle w:val="Style17"/>
        <w:keepNext w:val="0"/>
        <w:keepLines w:val="0"/>
        <w:widowControl w:val="0"/>
        <w:numPr>
          <w:ilvl w:val="0"/>
          <w:numId w:val="25"/>
        </w:numPr>
        <w:shd w:val="clear" w:color="auto" w:fill="auto"/>
        <w:tabs>
          <w:tab w:pos="814" w:val="left"/>
        </w:tabs>
        <w:bidi w:val="0"/>
        <w:spacing w:before="0" w:after="0" w:line="501" w:lineRule="exact"/>
        <w:ind w:left="0" w:right="0" w:firstLine="440"/>
        <w:jc w:val="both"/>
      </w:pPr>
      <w:bookmarkStart w:id="827" w:name="bookmark827"/>
      <w:bookmarkEnd w:id="827"/>
      <w:r>
        <w:rPr>
          <w:color w:val="000000"/>
          <w:spacing w:val="0"/>
          <w:w w:val="100"/>
          <w:position w:val="0"/>
        </w:rPr>
        <w:t>生产性生物资产达到预定生产经营目的后，根据其性质、使用情况和有关经济利益的预期实现方式 确定其使用寿命、预计净残值按照年限平均法计提折旧，并根据用途分别计入相关资产的成本或当期损益。 本公司的成熟生产性生物资产使用寿命、预计净残值如下：</w:t>
      </w:r>
    </w:p>
    <w:tbl>
      <w:tblPr>
        <w:tblOverlap w:val="never"/>
        <w:jc w:val="center"/>
        <w:tblLayout w:type="fixed"/>
      </w:tblPr>
      <w:tblGrid>
        <w:gridCol w:w="3288"/>
        <w:gridCol w:w="3254"/>
        <w:gridCol w:w="2827"/>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预计净残值</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油茶树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30</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p>
        </w:tc>
      </w:tr>
    </w:tbl>
    <w:p>
      <w:pPr>
        <w:widowControl w:val="0"/>
        <w:spacing w:after="199" w:line="1" w:lineRule="exact"/>
      </w:pPr>
    </w:p>
    <w:p>
      <w:pPr>
        <w:pStyle w:val="Style17"/>
        <w:keepNext w:val="0"/>
        <w:keepLines w:val="0"/>
        <w:widowControl w:val="0"/>
        <w:shd w:val="clear" w:color="auto" w:fill="auto"/>
        <w:tabs>
          <w:tab w:pos="947" w:val="left"/>
        </w:tabs>
        <w:bidi w:val="0"/>
        <w:spacing w:before="0" w:after="260" w:line="240" w:lineRule="auto"/>
        <w:ind w:left="0" w:right="0" w:firstLine="440"/>
        <w:jc w:val="both"/>
      </w:pPr>
      <w:bookmarkStart w:id="828" w:name="bookmark828"/>
      <w:r>
        <w:rPr>
          <w:color w:val="000000"/>
          <w:spacing w:val="0"/>
          <w:w w:val="100"/>
          <w:position w:val="0"/>
        </w:rPr>
        <w:t>（</w:t>
      </w:r>
      <w:bookmarkEnd w:id="828"/>
      <w:r>
        <w:rPr>
          <w:b/>
          <w:bCs/>
          <w:color w:val="000000"/>
          <w:spacing w:val="0"/>
          <w:w w:val="100"/>
          <w:position w:val="0"/>
        </w:rPr>
        <w:t>5</w:t>
      </w:r>
      <w:r>
        <w:rPr>
          <w:color w:val="000000"/>
          <w:spacing w:val="0"/>
          <w:w w:val="100"/>
          <w:position w:val="0"/>
        </w:rPr>
        <w:t>）</w:t>
        <w:tab/>
        <w:t>消耗性生物资产按加权平均法结转成本。</w:t>
      </w:r>
    </w:p>
    <w:p>
      <w:pPr>
        <w:pStyle w:val="Style17"/>
        <w:keepNext w:val="0"/>
        <w:keepLines w:val="0"/>
        <w:widowControl w:val="0"/>
        <w:shd w:val="clear" w:color="auto" w:fill="auto"/>
        <w:tabs>
          <w:tab w:pos="947" w:val="left"/>
        </w:tabs>
        <w:bidi w:val="0"/>
        <w:spacing w:before="0" w:after="0" w:line="240" w:lineRule="auto"/>
        <w:ind w:left="0" w:right="0" w:firstLine="440"/>
        <w:jc w:val="both"/>
      </w:pPr>
      <w:bookmarkStart w:id="829" w:name="bookmark829"/>
      <w:r>
        <w:rPr>
          <w:color w:val="000000"/>
          <w:spacing w:val="0"/>
          <w:w w:val="100"/>
          <w:position w:val="0"/>
        </w:rPr>
        <w:t>（</w:t>
      </w:r>
      <w:bookmarkEnd w:id="829"/>
      <w:r>
        <w:rPr>
          <w:b/>
          <w:bCs/>
          <w:color w:val="000000"/>
          <w:spacing w:val="0"/>
          <w:w w:val="100"/>
          <w:position w:val="0"/>
        </w:rPr>
        <w:t>6</w:t>
      </w:r>
      <w:r>
        <w:rPr>
          <w:color w:val="000000"/>
          <w:spacing w:val="0"/>
          <w:w w:val="100"/>
          <w:position w:val="0"/>
        </w:rPr>
        <w:t>）</w:t>
        <w:tab/>
        <w:t>每年度终了，对生物资产进行检查。</w:t>
      </w:r>
    </w:p>
    <w:p>
      <w:pPr>
        <w:pStyle w:val="Style17"/>
        <w:keepNext w:val="0"/>
        <w:keepLines w:val="0"/>
        <w:widowControl w:val="0"/>
        <w:numPr>
          <w:ilvl w:val="0"/>
          <w:numId w:val="27"/>
        </w:numPr>
        <w:shd w:val="clear" w:color="auto" w:fill="auto"/>
        <w:tabs>
          <w:tab w:pos="805" w:val="left"/>
        </w:tabs>
        <w:bidi w:val="0"/>
        <w:spacing w:before="0" w:after="0" w:line="506" w:lineRule="exact"/>
        <w:ind w:left="0" w:right="0" w:firstLine="440"/>
        <w:jc w:val="both"/>
      </w:pPr>
      <w:bookmarkStart w:id="830" w:name="bookmark830"/>
      <w:bookmarkEnd w:id="830"/>
      <w:r>
        <w:rPr>
          <w:color w:val="000000"/>
          <w:spacing w:val="0"/>
          <w:w w:val="100"/>
          <w:position w:val="0"/>
        </w:rPr>
        <w:t>有证据表明消耗性生物资产的可变现净值低于其账面价值的，按照可变现净值或可收回金额低于账 面价值的差额计提消耗性生物资产跌价准备，计入当期损益；消耗性生物资产跌价因素消失的，原已计提 的跌价准备转回，转回金额计入当期损益；</w:t>
      </w:r>
    </w:p>
    <w:p>
      <w:pPr>
        <w:pStyle w:val="Style17"/>
        <w:keepNext w:val="0"/>
        <w:keepLines w:val="0"/>
        <w:widowControl w:val="0"/>
        <w:numPr>
          <w:ilvl w:val="0"/>
          <w:numId w:val="27"/>
        </w:numPr>
        <w:shd w:val="clear" w:color="auto" w:fill="auto"/>
        <w:tabs>
          <w:tab w:pos="397" w:val="left"/>
        </w:tabs>
        <w:bidi w:val="0"/>
        <w:spacing w:before="0" w:after="260" w:line="506" w:lineRule="exact"/>
        <w:ind w:left="0" w:right="0" w:firstLine="440"/>
        <w:jc w:val="both"/>
      </w:pPr>
      <w:bookmarkStart w:id="831" w:name="bookmark831"/>
      <w:bookmarkEnd w:id="831"/>
      <w:r>
        <w:rPr>
          <w:color w:val="000000"/>
          <w:spacing w:val="0"/>
          <w:w w:val="100"/>
          <w:position w:val="0"/>
        </w:rPr>
        <w:t xml:space="preserve">有证据表明生产性生物资产的可收回金额低于其账面价值的，按照可变现净值或可收回金额低于账 </w:t>
      </w:r>
      <w:r>
        <w:rPr>
          <w:color w:val="000000"/>
          <w:spacing w:val="0"/>
          <w:w w:val="100"/>
          <w:position w:val="0"/>
        </w:rPr>
        <w:t>面价值的差额计提生产性生物资产减值准备，并计入当期损益，生产性生物资产减值准备一经计提，在资 产存续期内不予转回。</w:t>
      </w:r>
    </w:p>
    <w:p>
      <w:pPr>
        <w:pStyle w:val="Style20"/>
        <w:keepNext/>
        <w:keepLines/>
        <w:widowControl w:val="0"/>
        <w:shd w:val="clear" w:color="auto" w:fill="auto"/>
        <w:bidi w:val="0"/>
        <w:spacing w:before="0" w:after="0" w:line="521" w:lineRule="auto"/>
        <w:ind w:left="0" w:right="0" w:firstLine="440"/>
        <w:jc w:val="both"/>
        <w:rPr>
          <w:sz w:val="20"/>
          <w:szCs w:val="20"/>
        </w:rPr>
      </w:pPr>
      <w:bookmarkStart w:id="832" w:name="bookmark832"/>
      <w:bookmarkStart w:id="833" w:name="bookmark833"/>
      <w:bookmarkStart w:id="834" w:name="bookmark834"/>
      <w:r>
        <w:rPr>
          <w:rFonts w:ascii="Arial Narrow" w:eastAsia="Arial Narrow" w:hAnsi="Arial Narrow" w:cs="Arial Narrow"/>
          <w:color w:val="000000"/>
          <w:spacing w:val="0"/>
          <w:w w:val="100"/>
          <w:position w:val="0"/>
          <w:sz w:val="20"/>
          <w:szCs w:val="20"/>
        </w:rPr>
        <w:t>20</w:t>
      </w:r>
      <w:r>
        <w:rPr>
          <w:color w:val="000000"/>
          <w:spacing w:val="0"/>
          <w:w w:val="100"/>
          <w:position w:val="0"/>
          <w:sz w:val="20"/>
          <w:szCs w:val="20"/>
        </w:rPr>
        <w:t>、租赁</w:t>
      </w:r>
      <w:bookmarkEnd w:id="832"/>
      <w:bookmarkEnd w:id="833"/>
      <w:bookmarkEnd w:id="834"/>
    </w:p>
    <w:p>
      <w:pPr>
        <w:pStyle w:val="Style17"/>
        <w:keepNext w:val="0"/>
        <w:keepLines w:val="0"/>
        <w:widowControl w:val="0"/>
        <w:shd w:val="clear" w:color="auto" w:fill="auto"/>
        <w:bidi w:val="0"/>
        <w:spacing w:before="0" w:after="0" w:line="497" w:lineRule="exact"/>
        <w:ind w:left="0" w:right="0" w:firstLine="440"/>
        <w:jc w:val="both"/>
      </w:pPr>
      <w:r>
        <w:rPr>
          <w:color w:val="000000"/>
          <w:spacing w:val="0"/>
          <w:w w:val="100"/>
          <w:position w:val="0"/>
        </w:rPr>
        <w:t>租赁，是指在一定期间内，出租人将资产的使用权让与承租人以获取对价的合同。在合同开始日，本 公司评估合同是否为租赁或者包含租赁，如果合同中一方让渡了在一定期间内控制一项或多项已识别资产 使用的权利以换取对价，则该合同为租赁或者包含租赁。除非合同条款和条件发生变化，本公司不重新评 估合同是否为租赁或者包含租赁。</w:t>
      </w:r>
    </w:p>
    <w:p>
      <w:pPr>
        <w:pStyle w:val="Style17"/>
        <w:keepNext w:val="0"/>
        <w:keepLines w:val="0"/>
        <w:widowControl w:val="0"/>
        <w:shd w:val="clear" w:color="auto" w:fill="auto"/>
        <w:bidi w:val="0"/>
        <w:spacing w:before="0" w:after="0" w:line="497" w:lineRule="exact"/>
        <w:ind w:left="0" w:right="0" w:firstLine="440"/>
        <w:jc w:val="both"/>
      </w:pPr>
      <w:r>
        <w:rPr>
          <w:color w:val="000000"/>
          <w:spacing w:val="0"/>
          <w:w w:val="100"/>
          <w:position w:val="0"/>
        </w:rPr>
        <w:t>（</w:t>
      </w:r>
      <w:r>
        <w:rPr>
          <w:b/>
          <w:bCs/>
          <w:color w:val="000000"/>
          <w:spacing w:val="0"/>
          <w:w w:val="100"/>
          <w:position w:val="0"/>
        </w:rPr>
        <w:t>1</w:t>
      </w:r>
      <w:r>
        <w:rPr>
          <w:color w:val="000000"/>
          <w:spacing w:val="0"/>
          <w:w w:val="100"/>
          <w:position w:val="0"/>
        </w:rPr>
        <w:t>）本公司作为承租人</w:t>
      </w:r>
    </w:p>
    <w:p>
      <w:pPr>
        <w:pStyle w:val="Style17"/>
        <w:keepNext w:val="0"/>
        <w:keepLines w:val="0"/>
        <w:widowControl w:val="0"/>
        <w:shd w:val="clear" w:color="auto" w:fill="auto"/>
        <w:bidi w:val="0"/>
        <w:spacing w:before="0" w:after="0" w:line="497" w:lineRule="exact"/>
        <w:ind w:left="0" w:right="0" w:firstLine="440"/>
        <w:jc w:val="both"/>
      </w:pPr>
      <w:r>
        <w:rPr>
          <w:color w:val="000000"/>
          <w:spacing w:val="0"/>
          <w:w w:val="100"/>
          <w:position w:val="0"/>
        </w:rPr>
        <w:t>合同中同时包含多项单独租赁的，将合同予以分拆，分别各项单独租赁进行会计处理。合同中同时包 含租赁和非租赁部分的，将租赁和非租赁部分进行分拆，按照各租赁部分单独价格及非租赁部分的单独价 格之和的相对比例分摊合同对价。租赁期是本公司有权使用租赁资产且不可撤销的期间。</w:t>
      </w:r>
    </w:p>
    <w:p>
      <w:pPr>
        <w:pStyle w:val="Style17"/>
        <w:keepNext w:val="0"/>
        <w:keepLines w:val="0"/>
        <w:widowControl w:val="0"/>
        <w:numPr>
          <w:ilvl w:val="0"/>
          <w:numId w:val="29"/>
        </w:numPr>
        <w:shd w:val="clear" w:color="auto" w:fill="auto"/>
        <w:tabs>
          <w:tab w:pos="781" w:val="left"/>
        </w:tabs>
        <w:bidi w:val="0"/>
        <w:spacing w:before="0" w:after="0" w:line="497" w:lineRule="exact"/>
        <w:ind w:left="0" w:right="0" w:firstLine="440"/>
        <w:jc w:val="both"/>
      </w:pPr>
      <w:bookmarkStart w:id="835" w:name="bookmark835"/>
      <w:bookmarkEnd w:id="835"/>
      <w:r>
        <w:rPr>
          <w:color w:val="000000"/>
          <w:spacing w:val="0"/>
          <w:w w:val="100"/>
          <w:position w:val="0"/>
        </w:rPr>
        <w:t>使用权资产</w:t>
      </w:r>
    </w:p>
    <w:p>
      <w:pPr>
        <w:pStyle w:val="Style17"/>
        <w:keepNext w:val="0"/>
        <w:keepLines w:val="0"/>
        <w:widowControl w:val="0"/>
        <w:shd w:val="clear" w:color="auto" w:fill="auto"/>
        <w:bidi w:val="0"/>
        <w:spacing w:before="0" w:after="0" w:line="497" w:lineRule="exact"/>
        <w:ind w:left="0" w:right="0" w:firstLine="440"/>
        <w:jc w:val="both"/>
      </w:pPr>
      <w:r>
        <w:rPr>
          <w:color w:val="000000"/>
          <w:spacing w:val="0"/>
          <w:w w:val="100"/>
          <w:position w:val="0"/>
        </w:rPr>
        <w:t>使用权资产是指本公司可在租赁期内使用租赁资产的权利。本公司租赁资产的类别主要包括房屋建筑 物、设备、土地等。</w:t>
      </w:r>
    </w:p>
    <w:p>
      <w:pPr>
        <w:pStyle w:val="Style17"/>
        <w:keepNext w:val="0"/>
        <w:keepLines w:val="0"/>
        <w:widowControl w:val="0"/>
        <w:shd w:val="clear" w:color="auto" w:fill="auto"/>
        <w:bidi w:val="0"/>
        <w:spacing w:before="0" w:after="0" w:line="497" w:lineRule="exact"/>
        <w:ind w:left="0" w:right="0" w:firstLine="440"/>
        <w:jc w:val="both"/>
      </w:pPr>
      <w:r>
        <w:rPr>
          <w:color w:val="000000"/>
          <w:spacing w:val="0"/>
          <w:w w:val="100"/>
          <w:position w:val="0"/>
        </w:rPr>
        <w:t>在租赁期开始日，本公司按照成本对使用权资产进行初始计量，包括：</w:t>
      </w:r>
      <w:r>
        <w:rPr>
          <w:b/>
          <w:bCs/>
          <w:color w:val="000000"/>
          <w:spacing w:val="0"/>
          <w:w w:val="100"/>
          <w:position w:val="0"/>
        </w:rPr>
        <w:t>A.</w:t>
      </w:r>
      <w:r>
        <w:rPr>
          <w:color w:val="000000"/>
          <w:spacing w:val="0"/>
          <w:w w:val="100"/>
          <w:position w:val="0"/>
        </w:rPr>
        <w:t xml:space="preserve">租赁负债的初始计量金额； </w:t>
      </w:r>
      <w:r>
        <w:rPr>
          <w:b/>
          <w:bCs/>
          <w:color w:val="000000"/>
          <w:spacing w:val="0"/>
          <w:w w:val="100"/>
          <w:position w:val="0"/>
        </w:rPr>
        <w:t>B.</w:t>
      </w:r>
      <w:r>
        <w:rPr>
          <w:color w:val="000000"/>
          <w:spacing w:val="0"/>
          <w:w w:val="100"/>
          <w:position w:val="0"/>
        </w:rPr>
        <w:t>在租赁期开始日或之前支付的租赁付款额，存在租赁激励的，扣除已享受的租赁激励相关金额；</w:t>
      </w:r>
      <w:r>
        <w:rPr>
          <w:b/>
          <w:bCs/>
          <w:color w:val="000000"/>
          <w:spacing w:val="0"/>
          <w:w w:val="100"/>
          <w:position w:val="0"/>
        </w:rPr>
        <w:t>C.</w:t>
      </w:r>
      <w:r>
        <w:rPr>
          <w:color w:val="000000"/>
          <w:spacing w:val="0"/>
          <w:w w:val="100"/>
          <w:position w:val="0"/>
        </w:rPr>
        <w:t>发生 的初始直接费用；</w:t>
      </w:r>
      <w:r>
        <w:rPr>
          <w:b/>
          <w:bCs/>
          <w:color w:val="000000"/>
          <w:spacing w:val="0"/>
          <w:w w:val="100"/>
          <w:position w:val="0"/>
        </w:rPr>
        <w:t>D.</w:t>
      </w:r>
      <w:r>
        <w:rPr>
          <w:color w:val="000000"/>
          <w:spacing w:val="0"/>
          <w:w w:val="100"/>
          <w:position w:val="0"/>
        </w:rPr>
        <w:t>为拆卸及移除租赁资产、复原租赁资产所在场地或将租赁资产恢复至租赁条款约定状 态预计将发生的成本，但属于为生产存货而发生的，适用《企业会计准则第</w:t>
      </w:r>
      <w:r>
        <w:rPr>
          <w:b/>
          <w:bCs/>
          <w:color w:val="000000"/>
          <w:spacing w:val="0"/>
          <w:w w:val="100"/>
          <w:position w:val="0"/>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货》。</w:t>
      </w:r>
    </w:p>
    <w:p>
      <w:pPr>
        <w:pStyle w:val="Style17"/>
        <w:keepNext w:val="0"/>
        <w:keepLines w:val="0"/>
        <w:widowControl w:val="0"/>
        <w:shd w:val="clear" w:color="auto" w:fill="auto"/>
        <w:bidi w:val="0"/>
        <w:spacing w:before="0" w:after="0" w:line="497" w:lineRule="exact"/>
        <w:ind w:left="0" w:right="0" w:firstLine="440"/>
        <w:jc w:val="both"/>
      </w:pPr>
      <w:r>
        <w:rPr>
          <w:color w:val="000000"/>
          <w:spacing w:val="0"/>
          <w:w w:val="100"/>
          <w:position w:val="0"/>
        </w:rPr>
        <w:t>在租赁期开始日后，本公司采用成本模式对使用权资产进行后续计量，根据与使用权资产有关的经济 利益的预期实现方式作出决定，以直线法对使用权资产计提折旧，并对已识别的减值损失进行会计处理。 本公司按照租赁准则有关规定重新计量租赁负债的，相应调整使用权资产的账面价值。</w:t>
      </w:r>
    </w:p>
    <w:p>
      <w:pPr>
        <w:pStyle w:val="Style17"/>
        <w:keepNext w:val="0"/>
        <w:keepLines w:val="0"/>
        <w:widowControl w:val="0"/>
        <w:numPr>
          <w:ilvl w:val="0"/>
          <w:numId w:val="29"/>
        </w:numPr>
        <w:shd w:val="clear" w:color="auto" w:fill="auto"/>
        <w:tabs>
          <w:tab w:pos="781" w:val="left"/>
        </w:tabs>
        <w:bidi w:val="0"/>
        <w:spacing w:before="0" w:after="0" w:line="497" w:lineRule="exact"/>
        <w:ind w:left="0" w:right="0" w:firstLine="440"/>
        <w:jc w:val="both"/>
      </w:pPr>
      <w:bookmarkStart w:id="836" w:name="bookmark836"/>
      <w:bookmarkEnd w:id="836"/>
      <w:r>
        <w:rPr>
          <w:color w:val="000000"/>
          <w:spacing w:val="0"/>
          <w:w w:val="100"/>
          <w:position w:val="0"/>
        </w:rPr>
        <w:t>租赁负债</w:t>
      </w:r>
    </w:p>
    <w:p>
      <w:pPr>
        <w:pStyle w:val="Style17"/>
        <w:keepNext w:val="0"/>
        <w:keepLines w:val="0"/>
        <w:widowControl w:val="0"/>
        <w:shd w:val="clear" w:color="auto" w:fill="auto"/>
        <w:bidi w:val="0"/>
        <w:spacing w:before="0" w:after="0" w:line="497" w:lineRule="exact"/>
        <w:ind w:left="0" w:right="0" w:firstLine="440"/>
        <w:jc w:val="both"/>
      </w:pPr>
      <w:r>
        <w:rPr>
          <w:color w:val="000000"/>
          <w:spacing w:val="0"/>
          <w:w w:val="100"/>
          <w:position w:val="0"/>
        </w:rPr>
        <w:t>租赁负债反映本公司尚未支付的租赁付款额的现值。本公司按照租赁期开始日尚未支付的租赁付款额 的现值对租赁负债进行初始计量。</w:t>
      </w:r>
    </w:p>
    <w:p>
      <w:pPr>
        <w:pStyle w:val="Style17"/>
        <w:keepNext w:val="0"/>
        <w:keepLines w:val="0"/>
        <w:widowControl w:val="0"/>
        <w:shd w:val="clear" w:color="auto" w:fill="auto"/>
        <w:bidi w:val="0"/>
        <w:spacing w:before="0" w:after="0" w:line="497" w:lineRule="exact"/>
        <w:ind w:left="0" w:right="0" w:firstLine="440"/>
        <w:jc w:val="both"/>
      </w:pPr>
      <w:r>
        <w:rPr>
          <w:color w:val="000000"/>
          <w:spacing w:val="0"/>
          <w:w w:val="100"/>
          <w:position w:val="0"/>
        </w:rPr>
        <w:t>租赁付款额，是指本公司向出租人支付的与在租赁期内使用租赁资产的权利相关的款项，包括：</w:t>
      </w:r>
      <w:r>
        <w:rPr>
          <w:b/>
          <w:bCs/>
          <w:color w:val="000000"/>
          <w:spacing w:val="0"/>
          <w:w w:val="100"/>
          <w:position w:val="0"/>
        </w:rPr>
        <w:t>A.</w:t>
      </w:r>
      <w:r>
        <w:rPr>
          <w:color w:val="000000"/>
          <w:spacing w:val="0"/>
          <w:w w:val="100"/>
          <w:position w:val="0"/>
        </w:rPr>
        <w:t>固 定付款额及实质固定付款额，存在租赁激励的，扣除租赁激励相关金额；</w:t>
      </w:r>
      <w:r>
        <w:rPr>
          <w:b/>
          <w:bCs/>
          <w:color w:val="000000"/>
          <w:spacing w:val="0"/>
          <w:w w:val="100"/>
          <w:position w:val="0"/>
        </w:rPr>
        <w:t>B.</w:t>
      </w:r>
      <w:r>
        <w:rPr>
          <w:color w:val="000000"/>
          <w:spacing w:val="0"/>
          <w:w w:val="100"/>
          <w:position w:val="0"/>
        </w:rPr>
        <w:t>取决于指数或比率的可变租赁 付款额，该款项在初始计量时根据租赁期开始日的指数或比率确定；</w:t>
      </w:r>
      <w:r>
        <w:rPr>
          <w:b/>
          <w:bCs/>
          <w:color w:val="000000"/>
          <w:spacing w:val="0"/>
          <w:w w:val="100"/>
          <w:position w:val="0"/>
        </w:rPr>
        <w:t>C.</w:t>
      </w:r>
      <w:r>
        <w:rPr>
          <w:color w:val="000000"/>
          <w:spacing w:val="0"/>
          <w:w w:val="100"/>
          <w:position w:val="0"/>
        </w:rPr>
        <w:t xml:space="preserve">本公司合理确定将行使购买选择权 </w:t>
      </w:r>
      <w:r>
        <w:rPr>
          <w:color w:val="000000"/>
          <w:spacing w:val="0"/>
          <w:w w:val="100"/>
          <w:position w:val="0"/>
        </w:rPr>
        <w:t>时，购买选择权的行权价格；</w:t>
      </w:r>
      <w:r>
        <w:rPr>
          <w:b/>
          <w:bCs/>
          <w:color w:val="000000"/>
          <w:spacing w:val="0"/>
          <w:w w:val="100"/>
          <w:position w:val="0"/>
        </w:rPr>
        <w:t>D.</w:t>
      </w:r>
      <w:r>
        <w:rPr>
          <w:color w:val="000000"/>
          <w:spacing w:val="0"/>
          <w:w w:val="100"/>
          <w:position w:val="0"/>
        </w:rPr>
        <w:t>租赁期反映出本公司将行使终止租赁选择权时，行使终止租赁选择权需支 付的款项；</w:t>
      </w:r>
      <w:r>
        <w:rPr>
          <w:b/>
          <w:bCs/>
          <w:color w:val="000000"/>
          <w:spacing w:val="0"/>
          <w:w w:val="100"/>
          <w:position w:val="0"/>
        </w:rPr>
        <w:t>E.</w:t>
      </w:r>
      <w:r>
        <w:rPr>
          <w:color w:val="000000"/>
          <w:spacing w:val="0"/>
          <w:w w:val="100"/>
          <w:position w:val="0"/>
        </w:rPr>
        <w:t>根据本公司提供的担保余值预计应支付的款项。</w:t>
      </w:r>
    </w:p>
    <w:p>
      <w:pPr>
        <w:pStyle w:val="Style17"/>
        <w:keepNext w:val="0"/>
        <w:keepLines w:val="0"/>
        <w:widowControl w:val="0"/>
        <w:shd w:val="clear" w:color="auto" w:fill="auto"/>
        <w:bidi w:val="0"/>
        <w:spacing w:before="0" w:after="0" w:line="528" w:lineRule="exact"/>
        <w:ind w:left="0" w:right="0" w:firstLine="440"/>
        <w:jc w:val="both"/>
      </w:pPr>
      <w:r>
        <w:rPr>
          <w:color w:val="000000"/>
          <w:spacing w:val="0"/>
          <w:w w:val="100"/>
          <w:position w:val="0"/>
        </w:rPr>
        <w:t>在计算租赁付款额的现值时，本公司采用租赁内含利率作为折现率；无法确定租赁内含利率时，采用 增量借款利率作为折现率，以同期银行贷款利率为基础，考虑相关因素调整得出增量借款利率。</w:t>
      </w:r>
    </w:p>
    <w:p>
      <w:pPr>
        <w:pStyle w:val="Style17"/>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本公司按照固定的周期性利率计算租赁负债在租赁期内各期间的利息费用，并计入当期损益，但应当 资本化的计入相关资产成本。</w:t>
      </w:r>
    </w:p>
    <w:p>
      <w:pPr>
        <w:pStyle w:val="Style17"/>
        <w:keepNext w:val="0"/>
        <w:keepLines w:val="0"/>
        <w:widowControl w:val="0"/>
        <w:shd w:val="clear" w:color="auto" w:fill="auto"/>
        <w:bidi w:val="0"/>
        <w:spacing w:before="0" w:after="0" w:line="501" w:lineRule="exact"/>
        <w:ind w:left="0" w:right="0" w:firstLine="440"/>
        <w:jc w:val="both"/>
      </w:pPr>
      <w:r>
        <w:rPr>
          <w:color w:val="000000"/>
          <w:spacing w:val="0"/>
          <w:w w:val="100"/>
          <w:position w:val="0"/>
        </w:rPr>
        <w:t>当购买选择权、续租选择权、终止租赁选择权的评估结果发生变化，续租选择权、终止租赁选择权实 际行使情况与原评估结果不一致，根据担保余值预计的应付金额发生变动，用于确定租赁付款额的指数或 比率发生变动，或者实质固定付款额发生变动时，重新计量租赁负债。</w:t>
      </w:r>
    </w:p>
    <w:p>
      <w:pPr>
        <w:pStyle w:val="Style17"/>
        <w:keepNext w:val="0"/>
        <w:keepLines w:val="0"/>
        <w:widowControl w:val="0"/>
        <w:numPr>
          <w:ilvl w:val="0"/>
          <w:numId w:val="29"/>
        </w:numPr>
        <w:shd w:val="clear" w:color="auto" w:fill="auto"/>
        <w:tabs>
          <w:tab w:pos="777" w:val="left"/>
        </w:tabs>
        <w:bidi w:val="0"/>
        <w:spacing w:before="0" w:after="0" w:line="501" w:lineRule="exact"/>
        <w:ind w:left="0" w:right="0" w:firstLine="440"/>
        <w:jc w:val="both"/>
      </w:pPr>
      <w:bookmarkStart w:id="837" w:name="bookmark837"/>
      <w:bookmarkEnd w:id="837"/>
      <w:r>
        <w:rPr>
          <w:color w:val="000000"/>
          <w:spacing w:val="0"/>
          <w:w w:val="100"/>
          <w:position w:val="0"/>
        </w:rPr>
        <w:t>租赁的变更</w:t>
      </w:r>
    </w:p>
    <w:p>
      <w:pPr>
        <w:pStyle w:val="Style17"/>
        <w:keepNext w:val="0"/>
        <w:keepLines w:val="0"/>
        <w:widowControl w:val="0"/>
        <w:shd w:val="clear" w:color="auto" w:fill="auto"/>
        <w:bidi w:val="0"/>
        <w:spacing w:before="0" w:after="0" w:line="501" w:lineRule="exact"/>
        <w:ind w:left="0" w:right="0" w:firstLine="440"/>
        <w:jc w:val="both"/>
      </w:pPr>
      <w:r>
        <w:rPr>
          <w:color w:val="000000"/>
          <w:spacing w:val="0"/>
          <w:w w:val="100"/>
          <w:position w:val="0"/>
        </w:rPr>
        <w:t>当租赁变更通过增加一项或多项租赁资产的使用权而扩大了租赁范围，且增加的对价与租赁范围扩大 部分的单独价格按该合同情况调整后的金额相当时，该租赁变更作为一项单独租赁进行会计处理。未作为 单独租赁进行会计处理的，分摊变更后合同的对价，重新确定租赁期，重新计量租赁负债。</w:t>
      </w:r>
    </w:p>
    <w:p>
      <w:pPr>
        <w:pStyle w:val="Style17"/>
        <w:keepNext w:val="0"/>
        <w:keepLines w:val="0"/>
        <w:widowControl w:val="0"/>
        <w:numPr>
          <w:ilvl w:val="0"/>
          <w:numId w:val="29"/>
        </w:numPr>
        <w:shd w:val="clear" w:color="auto" w:fill="auto"/>
        <w:tabs>
          <w:tab w:pos="777" w:val="left"/>
        </w:tabs>
        <w:bidi w:val="0"/>
        <w:spacing w:before="0" w:after="0" w:line="501" w:lineRule="exact"/>
        <w:ind w:left="0" w:right="0" w:firstLine="440"/>
        <w:jc w:val="both"/>
      </w:pPr>
      <w:bookmarkStart w:id="838" w:name="bookmark838"/>
      <w:bookmarkEnd w:id="838"/>
      <w:r>
        <w:rPr>
          <w:color w:val="000000"/>
          <w:spacing w:val="0"/>
          <w:w w:val="100"/>
          <w:position w:val="0"/>
        </w:rPr>
        <w:t>短期租赁和低价值资产租赁</w:t>
      </w:r>
    </w:p>
    <w:p>
      <w:pPr>
        <w:pStyle w:val="Style17"/>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本公司将在租赁期开始日租赁期不超过</w:t>
      </w:r>
      <w:r>
        <w:rPr>
          <w:b/>
          <w:bCs/>
          <w:color w:val="000000"/>
          <w:spacing w:val="0"/>
          <w:w w:val="100"/>
          <w:position w:val="0"/>
        </w:rPr>
        <w:t>12</w:t>
      </w:r>
      <w:r>
        <w:rPr>
          <w:color w:val="000000"/>
          <w:spacing w:val="0"/>
          <w:w w:val="100"/>
          <w:position w:val="0"/>
        </w:rPr>
        <w:t>个月，且不包含购买选择权的租赁认定为短期租赁；将单 项租赁资产为全新资产时价值不超过</w:t>
      </w:r>
      <w:r>
        <w:rPr>
          <w:b/>
          <w:bCs/>
          <w:color w:val="000000"/>
          <w:spacing w:val="0"/>
          <w:w w:val="100"/>
          <w:position w:val="0"/>
        </w:rPr>
        <w:t>40,000</w:t>
      </w:r>
      <w:r>
        <w:rPr>
          <w:color w:val="000000"/>
          <w:spacing w:val="0"/>
          <w:w w:val="100"/>
          <w:position w:val="0"/>
        </w:rPr>
        <w:t>元的租赁认定为低价值资产租赁。本公司转租或预期转租租赁 资产的，原租赁不认定为低价值资产租赁。本公司对短期租赁和低价值资产租赁选择不确认使用权资产和 租赁负债，将租赁付款额在租赁期内各个期间按照直线法或其他系统合理的方法计入相关的资产成本或当 期损益。</w:t>
      </w:r>
    </w:p>
    <w:p>
      <w:pPr>
        <w:pStyle w:val="Style17"/>
        <w:keepNext w:val="0"/>
        <w:keepLines w:val="0"/>
        <w:widowControl w:val="0"/>
        <w:numPr>
          <w:ilvl w:val="0"/>
          <w:numId w:val="29"/>
        </w:numPr>
        <w:shd w:val="clear" w:color="auto" w:fill="auto"/>
        <w:tabs>
          <w:tab w:pos="777" w:val="left"/>
        </w:tabs>
        <w:bidi w:val="0"/>
        <w:spacing w:before="0" w:after="0" w:line="504" w:lineRule="exact"/>
        <w:ind w:left="0" w:right="0" w:firstLine="440"/>
        <w:jc w:val="both"/>
      </w:pPr>
      <w:bookmarkStart w:id="839" w:name="bookmark839"/>
      <w:bookmarkEnd w:id="839"/>
      <w:r>
        <w:rPr>
          <w:color w:val="000000"/>
          <w:spacing w:val="0"/>
          <w:w w:val="100"/>
          <w:position w:val="0"/>
        </w:rPr>
        <w:t>售后租回交易</w:t>
      </w:r>
    </w:p>
    <w:p>
      <w:pPr>
        <w:pStyle w:val="Style17"/>
        <w:keepNext w:val="0"/>
        <w:keepLines w:val="0"/>
        <w:widowControl w:val="0"/>
        <w:shd w:val="clear" w:color="auto" w:fill="auto"/>
        <w:bidi w:val="0"/>
        <w:spacing w:before="0" w:after="0" w:line="504" w:lineRule="exact"/>
        <w:ind w:left="0" w:right="0" w:firstLine="440"/>
        <w:jc w:val="both"/>
      </w:pPr>
      <w:r>
        <w:rPr>
          <w:color w:val="000000"/>
          <w:spacing w:val="0"/>
          <w:w w:val="100"/>
          <w:position w:val="0"/>
        </w:rPr>
        <w:t>对于售后租回交易，本公司按照《企业会计准则第</w:t>
      </w:r>
      <w:r>
        <w:rPr>
          <w:b/>
          <w:bCs/>
          <w:color w:val="000000"/>
          <w:spacing w:val="0"/>
          <w:w w:val="100"/>
          <w:position w:val="0"/>
        </w:rPr>
        <w:t>14</w:t>
      </w:r>
      <w:r>
        <w:rPr>
          <w:color w:val="000000"/>
          <w:spacing w:val="0"/>
          <w:w w:val="100"/>
          <w:position w:val="0"/>
        </w:rPr>
        <w:t>号</w:t>
      </w:r>
      <w:r>
        <w:rPr>
          <w:color w:val="000000"/>
          <w:spacing w:val="0"/>
          <w:w w:val="100"/>
          <w:position w:val="0"/>
          <w:sz w:val="24"/>
          <w:szCs w:val="24"/>
        </w:rPr>
        <w:t>一一</w:t>
      </w:r>
      <w:r>
        <w:rPr>
          <w:color w:val="000000"/>
          <w:spacing w:val="0"/>
          <w:w w:val="100"/>
          <w:position w:val="0"/>
        </w:rPr>
        <w:t>收入》的规定，评估确定售后租回交易中 的资产转让是否属于销售，属于销售的，按原资产账面价值中与租回获得的使用权有关的部分，计量售后 租回所形成的使用权资产，并仅就转让至出租人的权利确认相关利得或损失；不属于销售的，继续确认被 转让资产，同时确认一项与转让收入等额的金融负债。</w:t>
      </w:r>
    </w:p>
    <w:p>
      <w:pPr>
        <w:pStyle w:val="Style17"/>
        <w:keepNext w:val="0"/>
        <w:keepLines w:val="0"/>
        <w:widowControl w:val="0"/>
        <w:shd w:val="clear" w:color="auto" w:fill="auto"/>
        <w:bidi w:val="0"/>
        <w:spacing w:before="0" w:after="0" w:line="504" w:lineRule="exact"/>
        <w:ind w:left="0" w:right="0" w:firstLine="440"/>
        <w:jc w:val="both"/>
      </w:pPr>
      <w:r>
        <w:rPr>
          <w:color w:val="000000"/>
          <w:spacing w:val="0"/>
          <w:w w:val="100"/>
          <w:position w:val="0"/>
        </w:rPr>
        <w:t>（</w:t>
      </w:r>
      <w:r>
        <w:rPr>
          <w:b/>
          <w:bCs/>
          <w:color w:val="000000"/>
          <w:spacing w:val="0"/>
          <w:w w:val="100"/>
          <w:position w:val="0"/>
        </w:rPr>
        <w:t>2</w:t>
      </w:r>
      <w:r>
        <w:rPr>
          <w:color w:val="000000"/>
          <w:spacing w:val="0"/>
          <w:w w:val="100"/>
          <w:position w:val="0"/>
        </w:rPr>
        <w:t>）本公司作为出租人</w:t>
      </w:r>
    </w:p>
    <w:p>
      <w:pPr>
        <w:pStyle w:val="Style17"/>
        <w:keepNext w:val="0"/>
        <w:keepLines w:val="0"/>
        <w:widowControl w:val="0"/>
        <w:shd w:val="clear" w:color="auto" w:fill="auto"/>
        <w:bidi w:val="0"/>
        <w:spacing w:before="0" w:after="0" w:line="504" w:lineRule="exact"/>
        <w:ind w:left="0" w:right="0" w:firstLine="440"/>
        <w:jc w:val="both"/>
      </w:pPr>
      <w:r>
        <w:rPr>
          <w:color w:val="000000"/>
          <w:spacing w:val="0"/>
          <w:w w:val="100"/>
          <w:position w:val="0"/>
        </w:rPr>
        <w:t xml:space="preserve">本公司在租赁开始日将租赁分为融资租赁和经营租赁，实质上转移了与租赁资产所有权有关的几乎全 部风险和报酬的租赁为融资租赁，此外为经营租赁。本公司作为转租出租人时，基于原租赁产生的使用权 </w:t>
      </w:r>
      <w:r>
        <w:rPr>
          <w:color w:val="000000"/>
          <w:spacing w:val="0"/>
          <w:w w:val="100"/>
          <w:position w:val="0"/>
        </w:rPr>
        <w:t>资产对转租赁进行分类。</w:t>
      </w:r>
    </w:p>
    <w:p>
      <w:pPr>
        <w:pStyle w:val="Style17"/>
        <w:keepNext w:val="0"/>
        <w:keepLines w:val="0"/>
        <w:widowControl w:val="0"/>
        <w:numPr>
          <w:ilvl w:val="0"/>
          <w:numId w:val="31"/>
        </w:numPr>
        <w:shd w:val="clear" w:color="auto" w:fill="auto"/>
        <w:tabs>
          <w:tab w:pos="784" w:val="left"/>
        </w:tabs>
        <w:bidi w:val="0"/>
        <w:spacing w:before="0" w:after="0" w:line="502" w:lineRule="exact"/>
        <w:ind w:left="0" w:right="0" w:firstLine="420"/>
        <w:jc w:val="both"/>
      </w:pPr>
      <w:bookmarkStart w:id="840" w:name="bookmark840"/>
      <w:bookmarkEnd w:id="840"/>
      <w:r>
        <w:rPr>
          <w:color w:val="000000"/>
          <w:spacing w:val="0"/>
          <w:w w:val="100"/>
          <w:position w:val="0"/>
        </w:rPr>
        <w:t>融资租赁</w:t>
      </w:r>
    </w:p>
    <w:p>
      <w:pPr>
        <w:pStyle w:val="Style17"/>
        <w:keepNext w:val="0"/>
        <w:keepLines w:val="0"/>
        <w:widowControl w:val="0"/>
        <w:shd w:val="clear" w:color="auto" w:fill="auto"/>
        <w:bidi w:val="0"/>
        <w:spacing w:before="0" w:after="0" w:line="502" w:lineRule="exact"/>
        <w:ind w:left="0" w:right="0" w:firstLine="420"/>
        <w:jc w:val="both"/>
      </w:pPr>
      <w:r>
        <w:rPr>
          <w:color w:val="000000"/>
          <w:spacing w:val="0"/>
          <w:w w:val="100"/>
          <w:position w:val="0"/>
        </w:rPr>
        <w:t>在租赁期开始日，本公司对融资租赁确认应收融资租赁款，并终止确认融资租赁资产。对应收融资租 赁款进行初始计量时，以租赁投资净额作为应收融资租赁款的入账价值。租赁投资净额为未担保余值和租 赁期开始日尚未收到的租赁收款额按照租赁内含利率折现的现值之和。</w:t>
      </w:r>
    </w:p>
    <w:p>
      <w:pPr>
        <w:pStyle w:val="Style17"/>
        <w:keepNext w:val="0"/>
        <w:keepLines w:val="0"/>
        <w:widowControl w:val="0"/>
        <w:shd w:val="clear" w:color="auto" w:fill="auto"/>
        <w:bidi w:val="0"/>
        <w:spacing w:before="0" w:after="0" w:line="502" w:lineRule="exact"/>
        <w:ind w:left="0" w:right="0" w:firstLine="420"/>
        <w:jc w:val="both"/>
      </w:pPr>
      <w:r>
        <w:rPr>
          <w:color w:val="000000"/>
          <w:spacing w:val="0"/>
          <w:w w:val="100"/>
          <w:position w:val="0"/>
        </w:rPr>
        <w:t>租赁收款额，是指本公司因让渡在租赁期内使用租赁资产的权利而应向承租人收取的款项，包括：</w:t>
      </w:r>
      <w:r>
        <w:rPr>
          <w:b/>
          <w:bCs/>
          <w:color w:val="000000"/>
          <w:spacing w:val="0"/>
          <w:w w:val="100"/>
          <w:position w:val="0"/>
        </w:rPr>
        <w:t xml:space="preserve">A. </w:t>
      </w:r>
      <w:r>
        <w:rPr>
          <w:color w:val="000000"/>
          <w:spacing w:val="0"/>
          <w:w w:val="100"/>
          <w:position w:val="0"/>
        </w:rPr>
        <w:t>承租人需支付的固定付款额及实质固定付款额，存在租赁激励的，扣除租赁激励相关金额；</w:t>
      </w:r>
      <w:r>
        <w:rPr>
          <w:b/>
          <w:bCs/>
          <w:color w:val="000000"/>
          <w:spacing w:val="0"/>
          <w:w w:val="100"/>
          <w:position w:val="0"/>
        </w:rPr>
        <w:t>B.</w:t>
      </w:r>
      <w:r>
        <w:rPr>
          <w:color w:val="000000"/>
          <w:spacing w:val="0"/>
          <w:w w:val="100"/>
          <w:position w:val="0"/>
        </w:rPr>
        <w:t>取决于指数 或比率的可变租赁付款额；</w:t>
      </w:r>
      <w:r>
        <w:rPr>
          <w:b/>
          <w:bCs/>
          <w:color w:val="000000"/>
          <w:spacing w:val="0"/>
          <w:w w:val="100"/>
          <w:position w:val="0"/>
        </w:rPr>
        <w:t>C.</w:t>
      </w:r>
      <w:r>
        <w:rPr>
          <w:color w:val="000000"/>
          <w:spacing w:val="0"/>
          <w:w w:val="100"/>
          <w:position w:val="0"/>
        </w:rPr>
        <w:t>购买选择权的行权价格，前提是合理确定承租人将行使该选择权；</w:t>
      </w:r>
      <w:r>
        <w:rPr>
          <w:b/>
          <w:bCs/>
          <w:color w:val="000000"/>
          <w:spacing w:val="0"/>
          <w:w w:val="100"/>
          <w:position w:val="0"/>
        </w:rPr>
        <w:t>D.</w:t>
      </w:r>
      <w:r>
        <w:rPr>
          <w:color w:val="000000"/>
          <w:spacing w:val="0"/>
          <w:w w:val="100"/>
          <w:position w:val="0"/>
        </w:rPr>
        <w:t>承租人 行使终止租赁选择权需支付的款项，前提是租赁期反映出承租人将行使终止租赁选择权；</w:t>
      </w:r>
      <w:r>
        <w:rPr>
          <w:b/>
          <w:bCs/>
          <w:color w:val="000000"/>
          <w:spacing w:val="0"/>
          <w:w w:val="100"/>
          <w:position w:val="0"/>
        </w:rPr>
        <w:t>E.</w:t>
      </w:r>
      <w:r>
        <w:rPr>
          <w:color w:val="000000"/>
          <w:spacing w:val="0"/>
          <w:w w:val="100"/>
          <w:position w:val="0"/>
        </w:rPr>
        <w:t>由承租人、与 承租人有关的一方以及有经济能力履行担保义务的独立第三方向本公司提供的担保余值。</w:t>
      </w:r>
    </w:p>
    <w:p>
      <w:pPr>
        <w:pStyle w:val="Style17"/>
        <w:keepNext w:val="0"/>
        <w:keepLines w:val="0"/>
        <w:widowControl w:val="0"/>
        <w:shd w:val="clear" w:color="auto" w:fill="auto"/>
        <w:bidi w:val="0"/>
        <w:spacing w:before="0" w:after="0" w:line="502" w:lineRule="exact"/>
        <w:ind w:left="0" w:right="0" w:firstLine="420"/>
        <w:jc w:val="both"/>
      </w:pPr>
      <w:r>
        <w:rPr>
          <w:color w:val="000000"/>
          <w:spacing w:val="0"/>
          <w:w w:val="100"/>
          <w:position w:val="0"/>
        </w:rPr>
        <w:t>本公司按照固定的周期性利率计算并确认租赁期内各个期间的利息收入。本公司取得的未纳入租赁投 资净额计量的可变租赁付款额在实际发生时计入当期损益。</w:t>
      </w:r>
    </w:p>
    <w:p>
      <w:pPr>
        <w:pStyle w:val="Style17"/>
        <w:keepNext w:val="0"/>
        <w:keepLines w:val="0"/>
        <w:widowControl w:val="0"/>
        <w:numPr>
          <w:ilvl w:val="0"/>
          <w:numId w:val="31"/>
        </w:numPr>
        <w:shd w:val="clear" w:color="auto" w:fill="auto"/>
        <w:tabs>
          <w:tab w:pos="744" w:val="left"/>
        </w:tabs>
        <w:bidi w:val="0"/>
        <w:spacing w:before="0" w:after="0" w:line="502" w:lineRule="exact"/>
        <w:ind w:left="0" w:right="0"/>
        <w:jc w:val="both"/>
      </w:pPr>
      <w:bookmarkStart w:id="841" w:name="bookmark841"/>
      <w:bookmarkEnd w:id="841"/>
      <w:r>
        <w:rPr>
          <w:color w:val="000000"/>
          <w:spacing w:val="0"/>
          <w:w w:val="100"/>
          <w:position w:val="0"/>
        </w:rPr>
        <w:t>经营租赁</w:t>
      </w:r>
    </w:p>
    <w:p>
      <w:pPr>
        <w:pStyle w:val="Style17"/>
        <w:keepNext w:val="0"/>
        <w:keepLines w:val="0"/>
        <w:widowControl w:val="0"/>
        <w:shd w:val="clear" w:color="auto" w:fill="auto"/>
        <w:bidi w:val="0"/>
        <w:spacing w:before="0" w:after="0" w:line="502" w:lineRule="exact"/>
        <w:ind w:left="0" w:right="0" w:firstLine="420"/>
        <w:jc w:val="both"/>
      </w:pPr>
      <w:r>
        <w:rPr>
          <w:color w:val="000000"/>
          <w:spacing w:val="0"/>
          <w:w w:val="100"/>
          <w:position w:val="0"/>
        </w:rPr>
        <w:t>租赁期内各个期间，本公司采用直线法（根据实际情况描述），将经营租赁的租赁收款额确认为租金 收入。未计入租赁收款额的可变租赁付款额在实际发生时计入当期损益。</w:t>
      </w:r>
    </w:p>
    <w:p>
      <w:pPr>
        <w:pStyle w:val="Style17"/>
        <w:keepNext w:val="0"/>
        <w:keepLines w:val="0"/>
        <w:widowControl w:val="0"/>
        <w:shd w:val="clear" w:color="auto" w:fill="auto"/>
        <w:bidi w:val="0"/>
        <w:spacing w:before="0" w:after="0" w:line="502" w:lineRule="exact"/>
        <w:ind w:left="0" w:right="0" w:firstLine="420"/>
        <w:jc w:val="both"/>
      </w:pPr>
      <w:r>
        <w:rPr>
          <w:color w:val="000000"/>
          <w:spacing w:val="0"/>
          <w:w w:val="100"/>
          <w:position w:val="0"/>
        </w:rPr>
        <w:t>经营租赁发生变更的，本公司自变更生效日起将其作为一项新租赁进行会计处理，与变更前租赁有关 的预收或应收租赁收款额视为新租赁的收款额。</w:t>
      </w:r>
    </w:p>
    <w:p>
      <w:pPr>
        <w:pStyle w:val="Style17"/>
        <w:keepNext w:val="0"/>
        <w:keepLines w:val="0"/>
        <w:widowControl w:val="0"/>
        <w:shd w:val="clear" w:color="auto" w:fill="auto"/>
        <w:bidi w:val="0"/>
        <w:spacing w:before="0" w:after="0" w:line="502" w:lineRule="exact"/>
        <w:ind w:left="0" w:right="0" w:firstLine="420"/>
        <w:jc w:val="both"/>
      </w:pPr>
      <w:bookmarkStart w:id="842" w:name="bookmark842"/>
      <w:r>
        <w:rPr>
          <w:color w:val="000000"/>
          <w:spacing w:val="0"/>
          <w:w w:val="100"/>
          <w:position w:val="0"/>
        </w:rPr>
        <w:t>（</w:t>
      </w:r>
      <w:bookmarkEnd w:id="842"/>
      <w:r>
        <w:rPr>
          <w:b/>
          <w:bCs/>
          <w:color w:val="000000"/>
          <w:spacing w:val="0"/>
          <w:w w:val="100"/>
          <w:position w:val="0"/>
        </w:rPr>
        <w:t>3</w:t>
      </w:r>
      <w:r>
        <w:rPr>
          <w:color w:val="000000"/>
          <w:spacing w:val="0"/>
          <w:w w:val="100"/>
          <w:position w:val="0"/>
        </w:rPr>
        <w:t>）售后租回交易</w:t>
      </w:r>
    </w:p>
    <w:p>
      <w:pPr>
        <w:pStyle w:val="Style17"/>
        <w:keepNext w:val="0"/>
        <w:keepLines w:val="0"/>
        <w:widowControl w:val="0"/>
        <w:shd w:val="clear" w:color="auto" w:fill="auto"/>
        <w:bidi w:val="0"/>
        <w:spacing w:before="0" w:after="280" w:line="502" w:lineRule="exact"/>
        <w:ind w:left="0" w:right="0" w:firstLine="420"/>
        <w:jc w:val="both"/>
      </w:pPr>
      <w:r>
        <w:rPr>
          <w:color w:val="000000"/>
          <w:spacing w:val="0"/>
          <w:w w:val="100"/>
          <w:position w:val="0"/>
        </w:rPr>
        <w:t>对于售后租回交易，本公司按照《企业会计准则第</w:t>
      </w:r>
      <w:r>
        <w:rPr>
          <w:b/>
          <w:bCs/>
          <w:color w:val="000000"/>
          <w:spacing w:val="0"/>
          <w:w w:val="100"/>
          <w:position w:val="0"/>
        </w:rPr>
        <w:t>14</w:t>
      </w:r>
      <w:r>
        <w:rPr>
          <w:color w:val="000000"/>
          <w:spacing w:val="0"/>
          <w:w w:val="100"/>
          <w:position w:val="0"/>
        </w:rPr>
        <w:t>号</w:t>
      </w:r>
      <w:r>
        <w:rPr>
          <w:color w:val="000000"/>
          <w:spacing w:val="0"/>
          <w:w w:val="100"/>
          <w:position w:val="0"/>
          <w:sz w:val="24"/>
          <w:szCs w:val="24"/>
        </w:rPr>
        <w:t>一一</w:t>
      </w:r>
      <w:r>
        <w:rPr>
          <w:color w:val="000000"/>
          <w:spacing w:val="0"/>
          <w:w w:val="100"/>
          <w:position w:val="0"/>
        </w:rPr>
        <w:t>收入》的规定，评估确定售后租回交易中 的资产转让是否属于销售，属于销售的，根据适用的会计准则对资产购买和资产处置进行会计处理；不属 于销售的，不确认被转让资产，但确认一项与转让收入等额的金融资产。</w:t>
      </w:r>
    </w:p>
    <w:p>
      <w:pPr>
        <w:pStyle w:val="Style20"/>
        <w:keepNext/>
        <w:keepLines/>
        <w:widowControl w:val="0"/>
        <w:shd w:val="clear" w:color="auto" w:fill="auto"/>
        <w:bidi w:val="0"/>
        <w:spacing w:before="0" w:after="0" w:line="526" w:lineRule="auto"/>
        <w:ind w:left="0" w:right="0" w:firstLine="380"/>
        <w:jc w:val="both"/>
        <w:rPr>
          <w:sz w:val="20"/>
          <w:szCs w:val="20"/>
        </w:rPr>
      </w:pPr>
      <w:bookmarkStart w:id="843" w:name="bookmark843"/>
      <w:bookmarkStart w:id="844" w:name="bookmark844"/>
      <w:bookmarkStart w:id="845" w:name="bookmark845"/>
      <w:r>
        <w:rPr>
          <w:rFonts w:ascii="Arial Narrow" w:eastAsia="Arial Narrow" w:hAnsi="Arial Narrow" w:cs="Arial Narrow"/>
          <w:color w:val="000000"/>
          <w:spacing w:val="0"/>
          <w:w w:val="100"/>
          <w:position w:val="0"/>
          <w:sz w:val="20"/>
          <w:szCs w:val="20"/>
        </w:rPr>
        <w:t>21</w:t>
      </w:r>
      <w:r>
        <w:rPr>
          <w:color w:val="000000"/>
          <w:spacing w:val="0"/>
          <w:w w:val="100"/>
          <w:position w:val="0"/>
          <w:sz w:val="20"/>
          <w:szCs w:val="20"/>
        </w:rPr>
        <w:t>、无形资产</w:t>
      </w:r>
      <w:bookmarkEnd w:id="843"/>
      <w:bookmarkEnd w:id="844"/>
      <w:bookmarkEnd w:id="845"/>
    </w:p>
    <w:p>
      <w:pPr>
        <w:pStyle w:val="Style27"/>
        <w:keepNext w:val="0"/>
        <w:keepLines w:val="0"/>
        <w:widowControl w:val="0"/>
        <w:shd w:val="clear" w:color="auto" w:fill="auto"/>
        <w:bidi w:val="0"/>
        <w:spacing w:before="0" w:after="0" w:line="502" w:lineRule="exact"/>
        <w:ind w:left="0" w:right="0" w:firstLine="420"/>
        <w:jc w:val="both"/>
        <w:rPr>
          <w:sz w:val="17"/>
          <w:szCs w:val="17"/>
        </w:rPr>
      </w:pPr>
      <w:r>
        <w:rPr>
          <w:color w:val="000000"/>
          <w:spacing w:val="0"/>
          <w:w w:val="100"/>
          <w:position w:val="0"/>
          <w:sz w:val="17"/>
          <w:szCs w:val="17"/>
        </w:rPr>
        <w:t>本公司无形资产按照成本进行初始计量，并于取得无形资产时分析判断其使用寿命。使用寿命为有限的，自无形资产可 供使用时起，采用能反映与该资产有关的经济利益的预期实现方式的摊销方法，在预计使用年限内摊销；无法可靠确定预期 实现方式的，采用直线法摊销；使用寿命不确定的无形资产，不作摊销。</w:t>
      </w:r>
    </w:p>
    <w:p>
      <w:pPr>
        <w:pStyle w:val="Style27"/>
        <w:keepNext w:val="0"/>
        <w:keepLines w:val="0"/>
        <w:widowControl w:val="0"/>
        <w:shd w:val="clear" w:color="auto" w:fill="auto"/>
        <w:bidi w:val="0"/>
        <w:spacing w:before="0" w:line="502" w:lineRule="exact"/>
        <w:ind w:left="0" w:right="0" w:firstLine="420"/>
        <w:jc w:val="both"/>
        <w:rPr>
          <w:sz w:val="17"/>
          <w:szCs w:val="17"/>
        </w:rPr>
      </w:pPr>
      <w:r>
        <w:rPr>
          <w:color w:val="000000"/>
          <w:spacing w:val="0"/>
          <w:w w:val="100"/>
          <w:position w:val="0"/>
          <w:sz w:val="17"/>
          <w:szCs w:val="17"/>
        </w:rPr>
        <w:t xml:space="preserve">本公司于每年年度终了，对使用寿命有限的无形资产的使用寿命及摊销方法进行复核，与以前估计不同的，调整原先估 </w:t>
      </w:r>
      <w:r>
        <w:rPr>
          <w:color w:val="000000"/>
          <w:spacing w:val="0"/>
          <w:w w:val="100"/>
          <w:position w:val="0"/>
          <w:sz w:val="17"/>
          <w:szCs w:val="17"/>
        </w:rPr>
        <w:t>计数，并按会计估计变更处理。</w:t>
      </w:r>
    </w:p>
    <w:p>
      <w:pPr>
        <w:pStyle w:val="Style27"/>
        <w:keepNext w:val="0"/>
        <w:keepLines w:val="0"/>
        <w:widowControl w:val="0"/>
        <w:shd w:val="clear" w:color="auto" w:fill="auto"/>
        <w:bidi w:val="0"/>
        <w:spacing w:before="0" w:after="280" w:line="501" w:lineRule="exact"/>
        <w:ind w:left="0" w:right="0" w:firstLine="380"/>
        <w:jc w:val="both"/>
        <w:rPr>
          <w:sz w:val="17"/>
          <w:szCs w:val="17"/>
        </w:rPr>
      </w:pPr>
      <w:r>
        <w:rPr>
          <w:color w:val="000000"/>
          <w:spacing w:val="0"/>
          <w:w w:val="100"/>
          <w:position w:val="0"/>
          <w:sz w:val="17"/>
          <w:szCs w:val="17"/>
        </w:rPr>
        <w:t>本公司期末预计某项无形资产已经不能给企业带来未来经济利益的，将该项无形资产的账面价值全部转入当期损益。</w:t>
      </w:r>
    </w:p>
    <w:p>
      <w:pPr>
        <w:pStyle w:val="Style20"/>
        <w:keepNext/>
        <w:keepLines/>
        <w:widowControl w:val="0"/>
        <w:shd w:val="clear" w:color="auto" w:fill="auto"/>
        <w:bidi w:val="0"/>
        <w:spacing w:before="0" w:after="0" w:line="240" w:lineRule="auto"/>
        <w:ind w:left="0" w:right="0" w:firstLine="380"/>
        <w:jc w:val="both"/>
        <w:rPr>
          <w:sz w:val="17"/>
          <w:szCs w:val="17"/>
        </w:rPr>
      </w:pPr>
      <w:bookmarkStart w:id="846" w:name="bookmark846"/>
      <w:bookmarkStart w:id="847" w:name="bookmark847"/>
      <w:bookmarkStart w:id="848" w:name="bookmark848"/>
      <w:r>
        <w:rPr>
          <w:rFonts w:ascii="Arial Narrow" w:eastAsia="Arial Narrow" w:hAnsi="Arial Narrow" w:cs="Arial Narrow"/>
          <w:color w:val="000000"/>
          <w:spacing w:val="0"/>
          <w:w w:val="100"/>
          <w:position w:val="0"/>
          <w:sz w:val="18"/>
          <w:szCs w:val="18"/>
        </w:rPr>
        <w:t>22</w:t>
      </w:r>
      <w:r>
        <w:rPr>
          <w:color w:val="000000"/>
          <w:spacing w:val="0"/>
          <w:w w:val="100"/>
          <w:position w:val="0"/>
          <w:sz w:val="17"/>
          <w:szCs w:val="17"/>
        </w:rPr>
        <w:t>、研究开发支出</w:t>
      </w:r>
      <w:bookmarkEnd w:id="846"/>
      <w:bookmarkEnd w:id="847"/>
      <w:bookmarkEnd w:id="848"/>
    </w:p>
    <w:p>
      <w:pPr>
        <w:pStyle w:val="Style27"/>
        <w:keepNext w:val="0"/>
        <w:keepLines w:val="0"/>
        <w:widowControl w:val="0"/>
        <w:shd w:val="clear" w:color="auto" w:fill="auto"/>
        <w:bidi w:val="0"/>
        <w:spacing w:before="0" w:after="0" w:line="496" w:lineRule="exact"/>
        <w:ind w:left="0" w:right="0" w:firstLine="380"/>
        <w:jc w:val="both"/>
        <w:rPr>
          <w:sz w:val="17"/>
          <w:szCs w:val="17"/>
        </w:rPr>
      </w:pPr>
      <w:r>
        <w:rPr>
          <w:color w:val="000000"/>
          <w:spacing w:val="0"/>
          <w:w w:val="100"/>
          <w:position w:val="0"/>
          <w:sz w:val="17"/>
          <w:szCs w:val="17"/>
        </w:rPr>
        <w:t>本公司将内部研究开发项目的支出，区分为研究阶段支出和开发阶段支出。</w:t>
      </w:r>
    </w:p>
    <w:p>
      <w:pPr>
        <w:pStyle w:val="Style27"/>
        <w:keepNext w:val="0"/>
        <w:keepLines w:val="0"/>
        <w:widowControl w:val="0"/>
        <w:shd w:val="clear" w:color="auto" w:fill="auto"/>
        <w:bidi w:val="0"/>
        <w:spacing w:before="0" w:after="0" w:line="496" w:lineRule="exact"/>
        <w:ind w:left="0" w:right="0" w:firstLine="380"/>
        <w:jc w:val="both"/>
        <w:rPr>
          <w:sz w:val="17"/>
          <w:szCs w:val="17"/>
        </w:rPr>
      </w:pPr>
      <w:r>
        <w:rPr>
          <w:color w:val="000000"/>
          <w:spacing w:val="0"/>
          <w:w w:val="100"/>
          <w:position w:val="0"/>
          <w:sz w:val="17"/>
          <w:szCs w:val="17"/>
        </w:rPr>
        <w:t>研究阶段的支出，于发生时计入当期损益。</w:t>
      </w:r>
    </w:p>
    <w:p>
      <w:pPr>
        <w:pStyle w:val="Style27"/>
        <w:keepNext w:val="0"/>
        <w:keepLines w:val="0"/>
        <w:widowControl w:val="0"/>
        <w:shd w:val="clear" w:color="auto" w:fill="auto"/>
        <w:bidi w:val="0"/>
        <w:spacing w:before="0" w:after="0" w:line="496" w:lineRule="exact"/>
        <w:ind w:left="0" w:right="0" w:firstLine="380"/>
        <w:jc w:val="both"/>
        <w:rPr>
          <w:sz w:val="17"/>
          <w:szCs w:val="17"/>
        </w:rPr>
      </w:pPr>
      <w:r>
        <w:rPr>
          <w:color w:val="000000"/>
          <w:spacing w:val="0"/>
          <w:w w:val="100"/>
          <w:position w:val="0"/>
          <w:sz w:val="17"/>
          <w:szCs w:val="17"/>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27"/>
        <w:keepNext w:val="0"/>
        <w:keepLines w:val="0"/>
        <w:widowControl w:val="0"/>
        <w:shd w:val="clear" w:color="auto" w:fill="auto"/>
        <w:bidi w:val="0"/>
        <w:spacing w:before="0" w:after="280" w:line="496" w:lineRule="exact"/>
        <w:ind w:left="0" w:right="0" w:firstLine="380"/>
        <w:jc w:val="both"/>
        <w:rPr>
          <w:sz w:val="17"/>
          <w:szCs w:val="17"/>
        </w:rPr>
      </w:pPr>
      <w:r>
        <w:rPr>
          <w:color w:val="000000"/>
          <w:spacing w:val="0"/>
          <w:w w:val="100"/>
          <w:position w:val="0"/>
          <w:sz w:val="17"/>
          <w:szCs w:val="17"/>
        </w:rPr>
        <w:t>本公司相应项目在满足上述条件，通过技术可行性及经济可行性研究，形成项目立项后，进入开发阶段。</w:t>
      </w:r>
    </w:p>
    <w:p>
      <w:pPr>
        <w:pStyle w:val="Style20"/>
        <w:keepNext/>
        <w:keepLines/>
        <w:widowControl w:val="0"/>
        <w:shd w:val="clear" w:color="auto" w:fill="auto"/>
        <w:bidi w:val="0"/>
        <w:spacing w:before="0" w:after="0" w:line="518" w:lineRule="auto"/>
        <w:ind w:left="0" w:right="0" w:firstLine="440"/>
        <w:jc w:val="left"/>
        <w:rPr>
          <w:sz w:val="20"/>
          <w:szCs w:val="20"/>
        </w:rPr>
      </w:pPr>
      <w:bookmarkStart w:id="849" w:name="bookmark849"/>
      <w:bookmarkStart w:id="850" w:name="bookmark850"/>
      <w:bookmarkStart w:id="851" w:name="bookmark851"/>
      <w:r>
        <w:rPr>
          <w:rFonts w:ascii="Arial Narrow" w:eastAsia="Arial Narrow" w:hAnsi="Arial Narrow" w:cs="Arial Narrow"/>
          <w:color w:val="000000"/>
          <w:spacing w:val="0"/>
          <w:w w:val="100"/>
          <w:position w:val="0"/>
          <w:sz w:val="20"/>
          <w:szCs w:val="20"/>
        </w:rPr>
        <w:t>23</w:t>
      </w:r>
      <w:r>
        <w:rPr>
          <w:color w:val="000000"/>
          <w:spacing w:val="0"/>
          <w:w w:val="100"/>
          <w:position w:val="0"/>
          <w:sz w:val="20"/>
          <w:szCs w:val="20"/>
        </w:rPr>
        <w:t>、长期待摊费用摊销方法</w:t>
      </w:r>
      <w:bookmarkEnd w:id="849"/>
      <w:bookmarkEnd w:id="850"/>
      <w:bookmarkEnd w:id="851"/>
    </w:p>
    <w:p>
      <w:pPr>
        <w:pStyle w:val="Style27"/>
        <w:keepNext w:val="0"/>
        <w:keepLines w:val="0"/>
        <w:widowControl w:val="0"/>
        <w:shd w:val="clear" w:color="auto" w:fill="auto"/>
        <w:bidi w:val="0"/>
        <w:spacing w:before="0" w:after="280" w:line="496" w:lineRule="exact"/>
        <w:ind w:left="0" w:right="0" w:firstLine="380"/>
        <w:jc w:val="both"/>
        <w:rPr>
          <w:sz w:val="17"/>
          <w:szCs w:val="17"/>
        </w:rPr>
      </w:pPr>
      <w:r>
        <w:rPr>
          <w:color w:val="000000"/>
          <w:spacing w:val="0"/>
          <w:w w:val="100"/>
          <w:position w:val="0"/>
          <w:sz w:val="17"/>
          <w:szCs w:val="17"/>
        </w:rPr>
        <w:t>本公司发生的长期待摊费用按实际成本计价，并按预计受益期限平均摊销。对不能使以后会计期间受益的长期待摊费用 项目，其摊余价值全部计入当期损益。</w:t>
      </w:r>
    </w:p>
    <w:p>
      <w:pPr>
        <w:pStyle w:val="Style20"/>
        <w:keepNext/>
        <w:keepLines/>
        <w:widowControl w:val="0"/>
        <w:shd w:val="clear" w:color="auto" w:fill="auto"/>
        <w:bidi w:val="0"/>
        <w:spacing w:before="0" w:after="0" w:line="240" w:lineRule="auto"/>
        <w:ind w:left="0" w:right="0" w:firstLine="380"/>
        <w:jc w:val="both"/>
        <w:rPr>
          <w:sz w:val="17"/>
          <w:szCs w:val="17"/>
        </w:rPr>
      </w:pPr>
      <w:bookmarkStart w:id="852" w:name="bookmark852"/>
      <w:bookmarkStart w:id="853" w:name="bookmark853"/>
      <w:bookmarkStart w:id="854" w:name="bookmark854"/>
      <w:r>
        <w:rPr>
          <w:rFonts w:ascii="Arial Narrow" w:eastAsia="Arial Narrow" w:hAnsi="Arial Narrow" w:cs="Arial Narrow"/>
          <w:color w:val="000000"/>
          <w:spacing w:val="0"/>
          <w:w w:val="100"/>
          <w:position w:val="0"/>
          <w:sz w:val="18"/>
          <w:szCs w:val="18"/>
        </w:rPr>
        <w:t>24</w:t>
      </w:r>
      <w:r>
        <w:rPr>
          <w:color w:val="000000"/>
          <w:spacing w:val="0"/>
          <w:w w:val="100"/>
          <w:position w:val="0"/>
          <w:sz w:val="17"/>
          <w:szCs w:val="17"/>
        </w:rPr>
        <w:t>、长期资产减值</w:t>
      </w:r>
      <w:bookmarkEnd w:id="852"/>
      <w:bookmarkEnd w:id="853"/>
      <w:bookmarkEnd w:id="854"/>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对于固定资产、在建工程、使用权资产、使用寿命有限的无形资产、以成本模式计量的投资性房地产及对子公司、合营 企业、联营企业的长期股权投资等非流动非金融资产，本公司于资产负债表日判断是否存在减值迹象。如存在减值迹象的， 则估计其可收回金额，进行减值测试。商誉、使用寿命不确定的无形资产和尚未达到可使用状态的无形资产，无论是否存在 减值迹象，每年均进行减值测试。</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 xml:space="preserve">在财务报表中单独列示的商誉，在进行减值测试时，将商誉的账面价值分摊至预期从企业合并的协同效应中受益的资产 </w:t>
      </w:r>
      <w:r>
        <w:rPr>
          <w:color w:val="000000"/>
          <w:spacing w:val="0"/>
          <w:w w:val="100"/>
          <w:position w:val="0"/>
          <w:sz w:val="17"/>
          <w:szCs w:val="17"/>
        </w:rPr>
        <w:t>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7"/>
        <w:keepNext w:val="0"/>
        <w:keepLines w:val="0"/>
        <w:widowControl w:val="0"/>
        <w:shd w:val="clear" w:color="auto" w:fill="auto"/>
        <w:bidi w:val="0"/>
        <w:spacing w:before="0" w:after="260" w:line="502" w:lineRule="exact"/>
        <w:ind w:left="0" w:right="0" w:firstLine="360"/>
        <w:jc w:val="left"/>
        <w:rPr>
          <w:sz w:val="17"/>
          <w:szCs w:val="17"/>
        </w:rPr>
      </w:pPr>
      <w:r>
        <w:rPr>
          <w:color w:val="000000"/>
          <w:spacing w:val="0"/>
          <w:w w:val="100"/>
          <w:position w:val="0"/>
          <w:sz w:val="17"/>
          <w:szCs w:val="17"/>
        </w:rPr>
        <w:t>上述资产减值损失一经确认，以后期间不予转回价值得以恢复的部分。</w:t>
      </w:r>
    </w:p>
    <w:p>
      <w:pPr>
        <w:pStyle w:val="Style20"/>
        <w:keepNext/>
        <w:keepLines/>
        <w:widowControl w:val="0"/>
        <w:shd w:val="clear" w:color="auto" w:fill="auto"/>
        <w:tabs>
          <w:tab w:pos="811" w:val="left"/>
        </w:tabs>
        <w:bidi w:val="0"/>
        <w:spacing w:before="0" w:after="0" w:line="528" w:lineRule="auto"/>
        <w:ind w:left="0" w:right="0" w:firstLine="360"/>
        <w:jc w:val="both"/>
        <w:rPr>
          <w:sz w:val="20"/>
          <w:szCs w:val="20"/>
        </w:rPr>
      </w:pPr>
      <w:bookmarkStart w:id="855" w:name="bookmark855"/>
      <w:bookmarkStart w:id="856" w:name="bookmark856"/>
      <w:bookmarkStart w:id="857" w:name="bookmark857"/>
      <w:bookmarkStart w:id="858" w:name="bookmark858"/>
      <w:r>
        <w:rPr>
          <w:rFonts w:ascii="Arial Narrow" w:eastAsia="Arial Narrow" w:hAnsi="Arial Narrow" w:cs="Arial Narrow"/>
          <w:color w:val="000000"/>
          <w:spacing w:val="0"/>
          <w:w w:val="100"/>
          <w:position w:val="0"/>
          <w:sz w:val="20"/>
          <w:szCs w:val="20"/>
        </w:rPr>
        <w:t>2</w:t>
      </w:r>
      <w:bookmarkEnd w:id="857"/>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职工薪酬</w:t>
      </w:r>
      <w:bookmarkEnd w:id="855"/>
      <w:bookmarkEnd w:id="856"/>
      <w:bookmarkEnd w:id="858"/>
    </w:p>
    <w:p>
      <w:pPr>
        <w:pStyle w:val="Style17"/>
        <w:keepNext w:val="0"/>
        <w:keepLines w:val="0"/>
        <w:widowControl w:val="0"/>
        <w:shd w:val="clear" w:color="auto" w:fill="auto"/>
        <w:bidi w:val="0"/>
        <w:spacing w:before="0" w:after="0" w:line="503" w:lineRule="exact"/>
        <w:ind w:left="0" w:right="0" w:firstLine="420"/>
        <w:jc w:val="both"/>
      </w:pPr>
      <w:r>
        <w:rPr>
          <w:color w:val="000000"/>
          <w:spacing w:val="0"/>
          <w:w w:val="100"/>
          <w:position w:val="0"/>
        </w:rPr>
        <w:t>职工薪酬，是指本公司为获得职工提供的服务或解除劳动关系而给予的各种形式的报酬或补偿。职工 薪酬包括短期薪酬、离职后福利、辞退福利和其他长期职工福利。本公司提供给职工配偶、子女、受赡养 人、已故员工遗属及其他受益人等的福利，也属于职工薪酬。</w:t>
      </w:r>
    </w:p>
    <w:p>
      <w:pPr>
        <w:pStyle w:val="Style17"/>
        <w:keepNext w:val="0"/>
        <w:keepLines w:val="0"/>
        <w:widowControl w:val="0"/>
        <w:shd w:val="clear" w:color="auto" w:fill="auto"/>
        <w:bidi w:val="0"/>
        <w:spacing w:before="0" w:after="0" w:line="503" w:lineRule="exact"/>
        <w:ind w:left="0" w:right="0" w:firstLine="420"/>
        <w:jc w:val="both"/>
      </w:pPr>
      <w:r>
        <w:rPr>
          <w:color w:val="000000"/>
          <w:spacing w:val="0"/>
          <w:w w:val="100"/>
          <w:position w:val="0"/>
        </w:rPr>
        <w:t>本公司将职工提供相关服务的年度报告期间结束后十二个月内需要全部予以支付的职工薪酬划分为 短期薪酬</w:t>
      </w:r>
      <w:r>
        <w:rPr>
          <w:b/>
          <w:bCs/>
          <w:color w:val="000000"/>
          <w:spacing w:val="0"/>
          <w:w w:val="100"/>
          <w:position w:val="0"/>
        </w:rPr>
        <w:t>,</w:t>
      </w:r>
      <w:r>
        <w:rPr>
          <w:color w:val="000000"/>
          <w:spacing w:val="0"/>
          <w:w w:val="100"/>
          <w:position w:val="0"/>
        </w:rPr>
        <w:t>，因解除与职工的劳动关系给予的补偿除外。短期薪酬具体包括：职工工资、奖金、津贴和补贴， 职工福利费，医疗保险费、工伤保险费和生育保险费等社会保险费、住房公积金、工会经费和职工教育经 费、短期带薪缺勤、短期利润分享计划、非货币性福利以及其他短期薪酬。本公司在职工为本公司提供服 务的会计期间将实际发生的短期职工薪酬确认为负债，并计入当期损益或相关资产成本。其中非货币性福 利按公允价值计量。</w:t>
      </w:r>
    </w:p>
    <w:p>
      <w:pPr>
        <w:pStyle w:val="Style17"/>
        <w:keepNext w:val="0"/>
        <w:keepLines w:val="0"/>
        <w:widowControl w:val="0"/>
        <w:shd w:val="clear" w:color="auto" w:fill="auto"/>
        <w:bidi w:val="0"/>
        <w:spacing w:before="0" w:after="0" w:line="503" w:lineRule="exact"/>
        <w:ind w:left="0" w:right="0" w:firstLine="420"/>
        <w:jc w:val="both"/>
      </w:pPr>
      <w:r>
        <w:rPr>
          <w:color w:val="000000"/>
          <w:spacing w:val="0"/>
          <w:w w:val="100"/>
          <w:position w:val="0"/>
        </w:rPr>
        <w:t>辞退福利：指企业在职工劳动合同到期之前解除与职工的劳动关系，或者为鼓励职工自愿接受裁减而 给予职工的补偿。</w:t>
      </w:r>
    </w:p>
    <w:p>
      <w:pPr>
        <w:pStyle w:val="Style17"/>
        <w:keepNext w:val="0"/>
        <w:keepLines w:val="0"/>
        <w:widowControl w:val="0"/>
        <w:shd w:val="clear" w:color="auto" w:fill="auto"/>
        <w:bidi w:val="0"/>
        <w:spacing w:before="0" w:after="0" w:line="503" w:lineRule="exact"/>
        <w:ind w:left="0" w:right="0" w:firstLine="420"/>
        <w:jc w:val="both"/>
      </w:pPr>
      <w:r>
        <w:rPr>
          <w:color w:val="000000"/>
          <w:spacing w:val="0"/>
          <w:w w:val="100"/>
          <w:position w:val="0"/>
        </w:rPr>
        <w:t>离职后福利主要包括设定提存计划。其中设定提存计划主要包括基本养老保险、失业保险等，相应的 应缴存金额于发生时计入相关资产成本或当期损益。</w:t>
      </w:r>
    </w:p>
    <w:p>
      <w:pPr>
        <w:pStyle w:val="Style17"/>
        <w:keepNext w:val="0"/>
        <w:keepLines w:val="0"/>
        <w:widowControl w:val="0"/>
        <w:shd w:val="clear" w:color="auto" w:fill="auto"/>
        <w:bidi w:val="0"/>
        <w:spacing w:before="0" w:after="260" w:line="503" w:lineRule="exact"/>
        <w:ind w:left="0" w:right="0" w:firstLine="420"/>
        <w:jc w:val="both"/>
      </w:pPr>
      <w:r>
        <w:rPr>
          <w:color w:val="000000"/>
          <w:spacing w:val="0"/>
          <w:w w:val="100"/>
          <w:position w:val="0"/>
        </w:rPr>
        <w:t>其他长期职工福利，是指除短期薪酬、离职后福利、辞退福利之外所有的职工薪酬，包括长期带薪缺 勤、长期残疾福利、长期利润分享计划等。符合设定提存计划的，按照设定提存计划进行会计处理，除此 之外按照设定受益计划进行会计处理。</w:t>
      </w:r>
    </w:p>
    <w:p>
      <w:pPr>
        <w:pStyle w:val="Style20"/>
        <w:keepNext/>
        <w:keepLines/>
        <w:widowControl w:val="0"/>
        <w:shd w:val="clear" w:color="auto" w:fill="auto"/>
        <w:tabs>
          <w:tab w:pos="811" w:val="left"/>
        </w:tabs>
        <w:bidi w:val="0"/>
        <w:spacing w:before="0" w:after="0" w:line="528" w:lineRule="auto"/>
        <w:ind w:left="0" w:right="0" w:firstLine="360"/>
        <w:jc w:val="left"/>
        <w:rPr>
          <w:sz w:val="20"/>
          <w:szCs w:val="20"/>
        </w:rPr>
      </w:pPr>
      <w:bookmarkStart w:id="859" w:name="bookmark859"/>
      <w:bookmarkStart w:id="860" w:name="bookmark860"/>
      <w:bookmarkStart w:id="861" w:name="bookmark861"/>
      <w:bookmarkStart w:id="862" w:name="bookmark862"/>
      <w:r>
        <w:rPr>
          <w:rFonts w:ascii="Arial Narrow" w:eastAsia="Arial Narrow" w:hAnsi="Arial Narrow" w:cs="Arial Narrow"/>
          <w:color w:val="000000"/>
          <w:spacing w:val="0"/>
          <w:w w:val="100"/>
          <w:position w:val="0"/>
          <w:sz w:val="20"/>
          <w:szCs w:val="20"/>
        </w:rPr>
        <w:t>2</w:t>
      </w:r>
      <w:bookmarkEnd w:id="861"/>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w:t>
        <w:tab/>
        <w:t>预计负债</w:t>
      </w:r>
      <w:bookmarkEnd w:id="859"/>
      <w:bookmarkEnd w:id="860"/>
      <w:bookmarkEnd w:id="862"/>
    </w:p>
    <w:p>
      <w:pPr>
        <w:pStyle w:val="Style17"/>
        <w:keepNext w:val="0"/>
        <w:keepLines w:val="0"/>
        <w:widowControl w:val="0"/>
        <w:shd w:val="clear" w:color="auto" w:fill="auto"/>
        <w:bidi w:val="0"/>
        <w:spacing w:before="0" w:after="0" w:line="503" w:lineRule="exact"/>
        <w:ind w:left="0" w:right="0" w:firstLine="360"/>
        <w:jc w:val="left"/>
      </w:pPr>
      <w:r>
        <w:rPr>
          <w:color w:val="000000"/>
          <w:spacing w:val="0"/>
          <w:w w:val="100"/>
          <w:position w:val="0"/>
        </w:rPr>
        <w:t>如果与或有事项相关的义务同时符合以下条件，本公司将其确认为预计负债：</w:t>
      </w:r>
    </w:p>
    <w:p>
      <w:pPr>
        <w:pStyle w:val="Style17"/>
        <w:keepNext w:val="0"/>
        <w:keepLines w:val="0"/>
        <w:widowControl w:val="0"/>
        <w:shd w:val="clear" w:color="auto" w:fill="auto"/>
        <w:tabs>
          <w:tab w:pos="739" w:val="left"/>
        </w:tabs>
        <w:bidi w:val="0"/>
        <w:spacing w:before="0" w:after="0" w:line="503" w:lineRule="exact"/>
        <w:ind w:left="0" w:right="0" w:firstLine="360"/>
        <w:jc w:val="left"/>
      </w:pPr>
      <w:bookmarkStart w:id="863" w:name="bookmark863"/>
      <w:r>
        <w:rPr>
          <w:b/>
          <w:bCs/>
          <w:color w:val="000000"/>
          <w:spacing w:val="0"/>
          <w:w w:val="100"/>
          <w:position w:val="0"/>
        </w:rPr>
        <w:t>A</w:t>
      </w:r>
      <w:bookmarkEnd w:id="863"/>
      <w:r>
        <w:rPr>
          <w:color w:val="000000"/>
          <w:spacing w:val="0"/>
          <w:w w:val="100"/>
          <w:position w:val="0"/>
        </w:rPr>
        <w:t>、</w:t>
        <w:tab/>
      </w:r>
      <w:r>
        <w:rPr>
          <w:color w:val="000000"/>
          <w:spacing w:val="0"/>
          <w:w w:val="100"/>
          <w:position w:val="0"/>
        </w:rPr>
        <w:t>该义务是本公司承担的现时义务；</w:t>
      </w:r>
    </w:p>
    <w:p>
      <w:pPr>
        <w:pStyle w:val="Style17"/>
        <w:keepNext w:val="0"/>
        <w:keepLines w:val="0"/>
        <w:widowControl w:val="0"/>
        <w:shd w:val="clear" w:color="auto" w:fill="auto"/>
        <w:tabs>
          <w:tab w:pos="739" w:val="left"/>
        </w:tabs>
        <w:bidi w:val="0"/>
        <w:spacing w:before="0" w:after="0" w:line="503" w:lineRule="exact"/>
        <w:ind w:left="0" w:right="0" w:firstLine="360"/>
        <w:jc w:val="left"/>
      </w:pPr>
      <w:bookmarkStart w:id="864" w:name="bookmark864"/>
      <w:r>
        <w:rPr>
          <w:b/>
          <w:bCs/>
          <w:color w:val="000000"/>
          <w:spacing w:val="0"/>
          <w:w w:val="100"/>
          <w:position w:val="0"/>
        </w:rPr>
        <w:t>B</w:t>
      </w:r>
      <w:bookmarkEnd w:id="864"/>
      <w:r>
        <w:rPr>
          <w:color w:val="000000"/>
          <w:spacing w:val="0"/>
          <w:w w:val="100"/>
          <w:position w:val="0"/>
        </w:rPr>
        <w:t>、</w:t>
        <w:tab/>
      </w:r>
      <w:r>
        <w:rPr>
          <w:color w:val="000000"/>
          <w:spacing w:val="0"/>
          <w:w w:val="100"/>
          <w:position w:val="0"/>
        </w:rPr>
        <w:t>该义务的履行很可能导致经济利益流出本公司；</w:t>
      </w:r>
    </w:p>
    <w:p>
      <w:pPr>
        <w:pStyle w:val="Style17"/>
        <w:keepNext w:val="0"/>
        <w:keepLines w:val="0"/>
        <w:widowControl w:val="0"/>
        <w:shd w:val="clear" w:color="auto" w:fill="auto"/>
        <w:tabs>
          <w:tab w:pos="744" w:val="left"/>
        </w:tabs>
        <w:bidi w:val="0"/>
        <w:spacing w:before="0" w:after="0" w:line="503" w:lineRule="exact"/>
        <w:ind w:left="0" w:right="0" w:firstLine="360"/>
        <w:jc w:val="left"/>
      </w:pPr>
      <w:bookmarkStart w:id="865" w:name="bookmark865"/>
      <w:r>
        <w:rPr>
          <w:b/>
          <w:bCs/>
          <w:color w:val="000000"/>
          <w:spacing w:val="0"/>
          <w:w w:val="100"/>
          <w:position w:val="0"/>
        </w:rPr>
        <w:t>C</w:t>
      </w:r>
      <w:bookmarkEnd w:id="865"/>
      <w:r>
        <w:rPr>
          <w:color w:val="000000"/>
          <w:spacing w:val="0"/>
          <w:w w:val="100"/>
          <w:position w:val="0"/>
        </w:rPr>
        <w:t>、</w:t>
        <w:tab/>
      </w:r>
      <w:r>
        <w:rPr>
          <w:color w:val="000000"/>
          <w:spacing w:val="0"/>
          <w:w w:val="100"/>
          <w:position w:val="0"/>
        </w:rPr>
        <w:t>该义务的金额能够可靠地计量。</w:t>
      </w:r>
    </w:p>
    <w:p>
      <w:pPr>
        <w:pStyle w:val="Style17"/>
        <w:keepNext w:val="0"/>
        <w:keepLines w:val="0"/>
        <w:widowControl w:val="0"/>
        <w:shd w:val="clear" w:color="auto" w:fill="auto"/>
        <w:bidi w:val="0"/>
        <w:spacing w:before="0" w:after="0" w:line="503" w:lineRule="exact"/>
        <w:ind w:left="0" w:right="0" w:firstLine="360"/>
        <w:jc w:val="left"/>
      </w:pPr>
      <w:r>
        <w:rPr>
          <w:color w:val="000000"/>
          <w:spacing w:val="0"/>
          <w:w w:val="100"/>
          <w:position w:val="0"/>
        </w:rPr>
        <w:t xml:space="preserve">预计负债按照履行相关现时义务所需支出的最佳估计数进行初始计量，综合考虑与或有事项有关的风 </w:t>
      </w:r>
      <w:r>
        <w:rPr>
          <w:color w:val="000000"/>
          <w:spacing w:val="0"/>
          <w:w w:val="100"/>
          <w:position w:val="0"/>
        </w:rPr>
        <w:t>险、不确定性和货币时间价值等因素。货币时间价值影响重大的，通过对相关未来现金流出进行折现后确 定最佳估计数。</w:t>
      </w:r>
    </w:p>
    <w:p>
      <w:pPr>
        <w:pStyle w:val="Style17"/>
        <w:keepNext w:val="0"/>
        <w:keepLines w:val="0"/>
        <w:widowControl w:val="0"/>
        <w:shd w:val="clear" w:color="auto" w:fill="auto"/>
        <w:bidi w:val="0"/>
        <w:spacing w:before="0" w:after="260" w:line="502" w:lineRule="exact"/>
        <w:ind w:left="0" w:right="0" w:firstLine="44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20"/>
        <w:keepNext/>
        <w:keepLines/>
        <w:widowControl w:val="0"/>
        <w:shd w:val="clear" w:color="auto" w:fill="auto"/>
        <w:bidi w:val="0"/>
        <w:spacing w:before="0" w:after="0" w:line="240" w:lineRule="auto"/>
        <w:ind w:left="0" w:right="0" w:firstLine="380"/>
        <w:jc w:val="both"/>
        <w:rPr>
          <w:sz w:val="17"/>
          <w:szCs w:val="17"/>
        </w:rPr>
      </w:pPr>
      <w:bookmarkStart w:id="866" w:name="bookmark866"/>
      <w:bookmarkStart w:id="867" w:name="bookmark867"/>
      <w:bookmarkStart w:id="868" w:name="bookmark868"/>
      <w:r>
        <w:rPr>
          <w:rFonts w:ascii="Arial Narrow" w:eastAsia="Arial Narrow" w:hAnsi="Arial Narrow" w:cs="Arial Narrow"/>
          <w:color w:val="000000"/>
          <w:spacing w:val="0"/>
          <w:w w:val="100"/>
          <w:position w:val="0"/>
          <w:sz w:val="18"/>
          <w:szCs w:val="18"/>
        </w:rPr>
        <w:t>27</w:t>
      </w:r>
      <w:r>
        <w:rPr>
          <w:color w:val="000000"/>
          <w:spacing w:val="0"/>
          <w:w w:val="100"/>
          <w:position w:val="0"/>
          <w:sz w:val="17"/>
          <w:szCs w:val="17"/>
        </w:rPr>
        <w:t>、股份支付</w:t>
      </w:r>
      <w:bookmarkEnd w:id="866"/>
      <w:bookmarkEnd w:id="867"/>
      <w:bookmarkEnd w:id="868"/>
    </w:p>
    <w:p>
      <w:pPr>
        <w:pStyle w:val="Style17"/>
        <w:keepNext w:val="0"/>
        <w:keepLines w:val="0"/>
        <w:widowControl w:val="0"/>
        <w:shd w:val="clear" w:color="auto" w:fill="auto"/>
        <w:tabs>
          <w:tab w:pos="947" w:val="left"/>
        </w:tabs>
        <w:bidi w:val="0"/>
        <w:spacing w:before="0" w:after="0" w:line="502" w:lineRule="exact"/>
        <w:ind w:left="0" w:right="0" w:firstLine="440"/>
        <w:jc w:val="both"/>
      </w:pPr>
      <w:bookmarkStart w:id="869" w:name="bookmark869"/>
      <w:r>
        <w:rPr>
          <w:color w:val="000000"/>
          <w:spacing w:val="0"/>
          <w:w w:val="100"/>
          <w:position w:val="0"/>
        </w:rPr>
        <w:t>（</w:t>
      </w:r>
      <w:bookmarkEnd w:id="869"/>
      <w:r>
        <w:rPr>
          <w:b/>
          <w:bCs/>
          <w:color w:val="000000"/>
          <w:spacing w:val="0"/>
          <w:w w:val="100"/>
          <w:position w:val="0"/>
        </w:rPr>
        <w:t>1</w:t>
      </w:r>
      <w:r>
        <w:rPr>
          <w:color w:val="000000"/>
          <w:spacing w:val="0"/>
          <w:w w:val="100"/>
          <w:position w:val="0"/>
        </w:rPr>
        <w:t>）</w:t>
        <w:tab/>
        <w:t>股份支付的种类</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本公司股份支付分为以权益结算的股份支付和以现金结算的股份支付。</w:t>
      </w:r>
    </w:p>
    <w:p>
      <w:pPr>
        <w:pStyle w:val="Style17"/>
        <w:keepNext w:val="0"/>
        <w:keepLines w:val="0"/>
        <w:widowControl w:val="0"/>
        <w:shd w:val="clear" w:color="auto" w:fill="auto"/>
        <w:tabs>
          <w:tab w:pos="947" w:val="left"/>
        </w:tabs>
        <w:bidi w:val="0"/>
        <w:spacing w:before="0" w:after="0" w:line="502" w:lineRule="exact"/>
        <w:ind w:left="0" w:right="0" w:firstLine="440"/>
        <w:jc w:val="both"/>
      </w:pPr>
      <w:bookmarkStart w:id="870" w:name="bookmark870"/>
      <w:r>
        <w:rPr>
          <w:color w:val="000000"/>
          <w:spacing w:val="0"/>
          <w:w w:val="100"/>
          <w:position w:val="0"/>
        </w:rPr>
        <w:t>（</w:t>
      </w:r>
      <w:bookmarkEnd w:id="870"/>
      <w:r>
        <w:rPr>
          <w:b/>
          <w:bCs/>
          <w:color w:val="000000"/>
          <w:spacing w:val="0"/>
          <w:w w:val="100"/>
          <w:position w:val="0"/>
        </w:rPr>
        <w:t>2</w:t>
      </w:r>
      <w:r>
        <w:rPr>
          <w:color w:val="000000"/>
          <w:spacing w:val="0"/>
          <w:w w:val="100"/>
          <w:position w:val="0"/>
        </w:rPr>
        <w:t>）</w:t>
        <w:tab/>
        <w:t>权益工具公允价值的确定方法</w:t>
      </w:r>
    </w:p>
    <w:p>
      <w:pPr>
        <w:pStyle w:val="Style17"/>
        <w:keepNext w:val="0"/>
        <w:keepLines w:val="0"/>
        <w:widowControl w:val="0"/>
        <w:shd w:val="clear" w:color="auto" w:fill="auto"/>
        <w:bidi w:val="0"/>
        <w:spacing w:before="0" w:after="0" w:line="494" w:lineRule="exact"/>
        <w:ind w:left="0" w:right="0" w:firstLine="440"/>
        <w:jc w:val="both"/>
      </w:pPr>
      <w:r>
        <w:rPr>
          <w:color w:val="000000"/>
          <w:spacing w:val="0"/>
          <w:w w:val="100"/>
          <w:position w:val="0"/>
        </w:rPr>
        <w:t>本公司对于授予的存在活跃市场的期权等权益工具，按照活跃市场中的报价确定其公允价值。对于授 予的不存在活跃市场的期权等权益工具，采用期权定价模型等确定其公允价值。</w:t>
      </w:r>
    </w:p>
    <w:p>
      <w:pPr>
        <w:pStyle w:val="Style17"/>
        <w:keepNext w:val="0"/>
        <w:keepLines w:val="0"/>
        <w:widowControl w:val="0"/>
        <w:shd w:val="clear" w:color="auto" w:fill="auto"/>
        <w:tabs>
          <w:tab w:pos="947" w:val="left"/>
        </w:tabs>
        <w:bidi w:val="0"/>
        <w:spacing w:before="0" w:after="0" w:line="494" w:lineRule="exact"/>
        <w:ind w:left="0" w:right="0" w:firstLine="440"/>
        <w:jc w:val="both"/>
      </w:pPr>
      <w:bookmarkStart w:id="871" w:name="bookmark871"/>
      <w:r>
        <w:rPr>
          <w:color w:val="000000"/>
          <w:spacing w:val="0"/>
          <w:w w:val="100"/>
          <w:position w:val="0"/>
        </w:rPr>
        <w:t>（</w:t>
      </w:r>
      <w:bookmarkEnd w:id="871"/>
      <w:r>
        <w:rPr>
          <w:b/>
          <w:bCs/>
          <w:color w:val="000000"/>
          <w:spacing w:val="0"/>
          <w:w w:val="100"/>
          <w:position w:val="0"/>
        </w:rPr>
        <w:t>3</w:t>
      </w:r>
      <w:r>
        <w:rPr>
          <w:color w:val="000000"/>
          <w:spacing w:val="0"/>
          <w:w w:val="100"/>
          <w:position w:val="0"/>
        </w:rPr>
        <w:t>）</w:t>
        <w:tab/>
        <w:t>确认可行权权益工具最佳估计的依据</w:t>
      </w:r>
    </w:p>
    <w:p>
      <w:pPr>
        <w:pStyle w:val="Style17"/>
        <w:keepNext w:val="0"/>
        <w:keepLines w:val="0"/>
        <w:widowControl w:val="0"/>
        <w:shd w:val="clear" w:color="auto" w:fill="auto"/>
        <w:bidi w:val="0"/>
        <w:spacing w:before="0" w:after="260" w:line="516" w:lineRule="exact"/>
        <w:ind w:left="0" w:right="0" w:firstLine="440"/>
        <w:jc w:val="both"/>
      </w:pPr>
      <w:r>
        <w:rPr>
          <w:color w:val="000000"/>
          <w:spacing w:val="0"/>
          <w:w w:val="100"/>
          <w:position w:val="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20"/>
        <w:keepNext/>
        <w:keepLines/>
        <w:widowControl w:val="0"/>
        <w:shd w:val="clear" w:color="auto" w:fill="auto"/>
        <w:bidi w:val="0"/>
        <w:spacing w:before="0" w:after="0" w:line="526" w:lineRule="auto"/>
        <w:ind w:left="0" w:right="0" w:firstLine="440"/>
        <w:jc w:val="both"/>
        <w:rPr>
          <w:sz w:val="20"/>
          <w:szCs w:val="20"/>
        </w:rPr>
      </w:pPr>
      <w:bookmarkStart w:id="872" w:name="bookmark872"/>
      <w:bookmarkStart w:id="873" w:name="bookmark873"/>
      <w:bookmarkStart w:id="874" w:name="bookmark874"/>
      <w:bookmarkStart w:id="875" w:name="bookmark875"/>
      <w:r>
        <w:rPr>
          <w:rFonts w:ascii="Arial Narrow" w:eastAsia="Arial Narrow" w:hAnsi="Arial Narrow" w:cs="Arial Narrow"/>
          <w:color w:val="000000"/>
          <w:spacing w:val="0"/>
          <w:w w:val="100"/>
          <w:position w:val="0"/>
          <w:sz w:val="20"/>
          <w:szCs w:val="20"/>
        </w:rPr>
        <w:t>2</w:t>
      </w:r>
      <w:bookmarkEnd w:id="874"/>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、收入确认</w:t>
      </w:r>
      <w:bookmarkEnd w:id="872"/>
      <w:bookmarkEnd w:id="873"/>
      <w:bookmarkEnd w:id="875"/>
    </w:p>
    <w:p>
      <w:pPr>
        <w:pStyle w:val="Style27"/>
        <w:keepNext w:val="0"/>
        <w:keepLines w:val="0"/>
        <w:widowControl w:val="0"/>
        <w:shd w:val="clear" w:color="auto" w:fill="auto"/>
        <w:bidi w:val="0"/>
        <w:spacing w:before="0" w:after="0" w:line="499" w:lineRule="exact"/>
        <w:ind w:left="0" w:right="0" w:firstLine="380"/>
        <w:jc w:val="both"/>
        <w:rPr>
          <w:sz w:val="17"/>
          <w:szCs w:val="17"/>
        </w:rPr>
      </w:pPr>
      <w:r>
        <w:rPr>
          <w:color w:val="000000"/>
          <w:spacing w:val="0"/>
          <w:w w:val="100"/>
          <w:position w:val="0"/>
          <w:sz w:val="17"/>
          <w:szCs w:val="17"/>
        </w:rPr>
        <w:t>收入是本公司在日常活动中形成的、会导致股东权益增加且与股东投入资本无关的经济利益的总流入。本公司在履行了 合同中的履约义务，即在客户取得相关商品或服务（简称商品）的控制权时确认收入。</w:t>
      </w:r>
    </w:p>
    <w:p>
      <w:pPr>
        <w:pStyle w:val="Style27"/>
        <w:keepNext w:val="0"/>
        <w:keepLines w:val="0"/>
        <w:widowControl w:val="0"/>
        <w:shd w:val="clear" w:color="auto" w:fill="auto"/>
        <w:bidi w:val="0"/>
        <w:spacing w:before="0" w:after="0" w:line="509" w:lineRule="exact"/>
        <w:ind w:left="0" w:right="0" w:firstLine="380"/>
        <w:jc w:val="both"/>
        <w:rPr>
          <w:sz w:val="17"/>
          <w:szCs w:val="17"/>
        </w:rPr>
      </w:pPr>
      <w:r>
        <w:rPr>
          <w:color w:val="000000"/>
          <w:spacing w:val="0"/>
          <w:w w:val="100"/>
          <w:position w:val="0"/>
          <w:sz w:val="17"/>
          <w:szCs w:val="17"/>
        </w:rPr>
        <w:t>合同中包含两项或多项履约义务的，本公司在合同开始日，按照各单项履约义务所承诺商品的单独售价的相对比例，将 交易价格分摊至各单项履约义务，按照分摊至各单项履约义务的交易价格计量收入。</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交易价格是本公司因向客户转让商品而预期有权收取的对价金额，不包括代第三方收取的款项。本公司确认的交易价格 不超过在相关不确定性消除时累计已确认收入极可能不会发生重大转回的金额。合同中存在重大融资成分的，本公司按照假 定客户在取得商品控制权时即以现金支付的应付金额确定交易价格，该交易价格与合同承诺的对价之间的差额，在合同期间 内采用实际利率法摊销。</w:t>
      </w:r>
    </w:p>
    <w:p>
      <w:pPr>
        <w:pStyle w:val="Style27"/>
        <w:keepNext w:val="0"/>
        <w:keepLines w:val="0"/>
        <w:widowControl w:val="0"/>
        <w:shd w:val="clear" w:color="auto" w:fill="auto"/>
        <w:bidi w:val="0"/>
        <w:spacing w:before="0" w:after="0" w:line="504" w:lineRule="exact"/>
        <w:ind w:left="0" w:right="0" w:firstLine="380"/>
        <w:jc w:val="both"/>
        <w:rPr>
          <w:sz w:val="17"/>
          <w:szCs w:val="17"/>
        </w:rPr>
      </w:pPr>
      <w:r>
        <w:rPr>
          <w:color w:val="000000"/>
          <w:spacing w:val="0"/>
          <w:w w:val="100"/>
          <w:position w:val="0"/>
          <w:sz w:val="17"/>
          <w:szCs w:val="17"/>
        </w:rPr>
        <w:t>满足下列条件之一时，属于在某一时段内履行履约义务，否则，属于在某一时点履行履约义务：①客户在本公司履约的 同时即取得并消耗本公司履约所带来的经济利益；②客户能够控制本公司履约过程中在建的商品；③本公司履约过程中所产 出的商品具有不可替代用途，且本公司在整个合同期间内有权就累计至今已完成的履约部分收取款项。</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 xml:space="preserve">对于在某一时段内履行的履约义务，本公司在该时段内按照履约进度确认收入。履约进度不能合理确定时，本公司已经 </w:t>
      </w:r>
      <w:r>
        <w:rPr>
          <w:color w:val="000000"/>
          <w:spacing w:val="0"/>
          <w:w w:val="100"/>
          <w:position w:val="0"/>
          <w:sz w:val="17"/>
          <w:szCs w:val="17"/>
        </w:rPr>
        <w:t>发生的成本预计能够得到补偿的，按照已经发生的成本金额确认收入，直至履约进度能够合理确定。对于在某一时点履行的 履约义务，本公司在客户取得相关商品控制权时点确认收入。</w:t>
      </w:r>
    </w:p>
    <w:p>
      <w:pPr>
        <w:pStyle w:val="Style27"/>
        <w:keepNext w:val="0"/>
        <w:keepLines w:val="0"/>
        <w:widowControl w:val="0"/>
        <w:shd w:val="clear" w:color="auto" w:fill="auto"/>
        <w:bidi w:val="0"/>
        <w:spacing w:before="0" w:after="0" w:line="504" w:lineRule="exact"/>
        <w:ind w:left="0" w:right="0" w:firstLine="380"/>
        <w:jc w:val="both"/>
        <w:rPr>
          <w:sz w:val="17"/>
          <w:szCs w:val="17"/>
        </w:rPr>
      </w:pPr>
      <w:r>
        <w:rPr>
          <w:color w:val="000000"/>
          <w:spacing w:val="0"/>
          <w:w w:val="100"/>
          <w:position w:val="0"/>
          <w:sz w:val="17"/>
          <w:szCs w:val="17"/>
        </w:rPr>
        <w:t>商品销售收入</w:t>
      </w:r>
    </w:p>
    <w:p>
      <w:pPr>
        <w:pStyle w:val="Style27"/>
        <w:keepNext w:val="0"/>
        <w:keepLines w:val="0"/>
        <w:widowControl w:val="0"/>
        <w:shd w:val="clear" w:color="auto" w:fill="auto"/>
        <w:bidi w:val="0"/>
        <w:spacing w:before="0" w:after="0" w:line="504" w:lineRule="exact"/>
        <w:ind w:left="0" w:right="0" w:firstLine="380"/>
        <w:jc w:val="both"/>
        <w:rPr>
          <w:sz w:val="17"/>
          <w:szCs w:val="17"/>
        </w:rPr>
      </w:pPr>
      <w:r>
        <w:rPr>
          <w:color w:val="000000"/>
          <w:spacing w:val="0"/>
          <w:w w:val="100"/>
          <w:position w:val="0"/>
          <w:sz w:val="17"/>
          <w:szCs w:val="17"/>
        </w:rPr>
        <w:t>本公司按照合同约定将商品运至约定交货地点，将购买方签收时点作为控制权转移时点，确认收入。本公司给予客户的 信用期，根据客户的信用风险特征确定，不存在重大融资成分。</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提供劳务收入</w:t>
      </w:r>
    </w:p>
    <w:p>
      <w:pPr>
        <w:pStyle w:val="Style27"/>
        <w:keepNext w:val="0"/>
        <w:keepLines w:val="0"/>
        <w:widowControl w:val="0"/>
        <w:shd w:val="clear" w:color="auto" w:fill="auto"/>
        <w:bidi w:val="0"/>
        <w:spacing w:before="0" w:after="0" w:line="504" w:lineRule="exact"/>
        <w:ind w:left="0" w:right="0" w:firstLine="380"/>
        <w:jc w:val="both"/>
        <w:rPr>
          <w:sz w:val="17"/>
          <w:szCs w:val="17"/>
        </w:rPr>
      </w:pPr>
      <w:r>
        <w:rPr>
          <w:color w:val="000000"/>
          <w:spacing w:val="0"/>
          <w:w w:val="100"/>
          <w:position w:val="0"/>
          <w:sz w:val="17"/>
          <w:szCs w:val="17"/>
        </w:rPr>
        <w:t>本公司对外提供的劳务，根据已完成劳务的进度在一段时间内确认收入，已完成劳务的进度按照已发生的成本占预计总 成本的比例确定。资产负债表日，本公司对已完成劳务的进度进行重新估计，以使其能够反映履约情况的变化。</w:t>
      </w:r>
    </w:p>
    <w:p>
      <w:pPr>
        <w:pStyle w:val="Style27"/>
        <w:keepNext w:val="0"/>
        <w:keepLines w:val="0"/>
        <w:widowControl w:val="0"/>
        <w:shd w:val="clear" w:color="auto" w:fill="auto"/>
        <w:bidi w:val="0"/>
        <w:spacing w:before="0" w:after="0" w:line="499" w:lineRule="exact"/>
        <w:ind w:left="0" w:right="0" w:firstLine="380"/>
        <w:jc w:val="both"/>
        <w:rPr>
          <w:sz w:val="17"/>
          <w:szCs w:val="17"/>
        </w:rPr>
      </w:pPr>
      <w:r>
        <w:rPr>
          <w:color w:val="000000"/>
          <w:spacing w:val="0"/>
          <w:w w:val="100"/>
          <w:position w:val="0"/>
          <w:sz w:val="17"/>
          <w:szCs w:val="17"/>
        </w:rPr>
        <w:t>本公司按照已完成劳务的进度确认收入时，对于已经取得无条件收款权的部分，确认为应收账款，其余部分确认为合同 资产，并对应收账款、合同资产以预期信用损失为基础确认损失准备；如果本公司已收或应收合同价款超过已完成的劳务进 度，则将超过部分确认为合同负债。本公司对于同一合同下的合同资产和合同负债以净额列示。</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工程建造收入</w:t>
      </w:r>
    </w:p>
    <w:p>
      <w:pPr>
        <w:pStyle w:val="Style27"/>
        <w:keepNext w:val="0"/>
        <w:keepLines w:val="0"/>
        <w:widowControl w:val="0"/>
        <w:shd w:val="clear" w:color="auto" w:fill="auto"/>
        <w:bidi w:val="0"/>
        <w:spacing w:before="0" w:after="0" w:line="504" w:lineRule="exact"/>
        <w:ind w:left="0" w:right="0" w:firstLine="380"/>
        <w:jc w:val="both"/>
        <w:rPr>
          <w:sz w:val="17"/>
          <w:szCs w:val="17"/>
        </w:rPr>
      </w:pPr>
      <w:r>
        <w:rPr>
          <w:color w:val="000000"/>
          <w:spacing w:val="0"/>
          <w:w w:val="100"/>
          <w:position w:val="0"/>
          <w:sz w:val="17"/>
          <w:szCs w:val="17"/>
        </w:rPr>
        <w:t>本公司对外提供工程建造劳务，根据已完成劳务的进度在一段时间内确认收入，履约进度按照已发生的成本占预计总成 本的比例确定。资产负债表日，本公司对履约进度进行重新估计，以使其能够反映履约情况的变化。</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本公司按照履约进度确认收入时，对于已经取得无条件收款权的部分，确认为应收账款，其余部分确认为合同资产，并 对应收账款、合同资产以预期信用损失为基础确认损失准备；如果本公司已收或应收合同价款超出实际履约进度，则将超出 部分确认为合同负债。本公司对于同一合同下的合同资产和合同负债以净额列示。</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合同成本包括合同履约成本和合同取得成本。本公司为提供工程建造劳务而发生的成本，确认为合同履约成本，在确认 收入时按照履约进度结转主营业务成本。本公司将为获取工程劳务合同而发生的增量成本，确认为合同取得成本，对于摊销 期限不超过一年的合同取得成本，在其发生时计入当期损益；对于摊销期限在一年以上的合同取得成本，在确认收入时按照 履约进度摊销计入损益。</w:t>
      </w:r>
    </w:p>
    <w:p>
      <w:pPr>
        <w:pStyle w:val="Style27"/>
        <w:keepNext w:val="0"/>
        <w:keepLines w:val="0"/>
        <w:widowControl w:val="0"/>
        <w:shd w:val="clear" w:color="auto" w:fill="auto"/>
        <w:bidi w:val="0"/>
        <w:spacing w:before="0" w:after="300" w:line="501" w:lineRule="exact"/>
        <w:ind w:left="0" w:right="0" w:firstLine="380"/>
        <w:jc w:val="both"/>
        <w:rPr>
          <w:sz w:val="17"/>
          <w:szCs w:val="17"/>
        </w:rPr>
      </w:pPr>
      <w:r>
        <w:rPr>
          <w:color w:val="000000"/>
          <w:spacing w:val="0"/>
          <w:w w:val="100"/>
          <w:position w:val="0"/>
          <w:sz w:val="17"/>
          <w:szCs w:val="17"/>
        </w:rPr>
        <w:t>如果合同成本的账面价值高于因提供该劳务预期能够取得的剩余对价减去估计将要发生的成本，本公司对超出的部分计 提减值准备，确认为资产减值损失。资产负债表日，根据合同履约成本初始确认时摊销期限是否超过一年，以减去相关减值 准备后的净额，列示为存货或其他非流动资产；对于初始确认时摊销期限超过一年的合同取得成本，以减去相关减值准备后 的净额，列示为其他非流动资产。</w:t>
      </w:r>
    </w:p>
    <w:p>
      <w:pPr>
        <w:pStyle w:val="Style20"/>
        <w:keepNext/>
        <w:keepLines/>
        <w:widowControl w:val="0"/>
        <w:shd w:val="clear" w:color="auto" w:fill="auto"/>
        <w:bidi w:val="0"/>
        <w:spacing w:before="0" w:after="0" w:line="240" w:lineRule="auto"/>
        <w:ind w:left="0" w:right="0" w:firstLine="440"/>
        <w:jc w:val="both"/>
        <w:rPr>
          <w:sz w:val="20"/>
          <w:szCs w:val="20"/>
        </w:rPr>
      </w:pPr>
      <w:bookmarkStart w:id="876" w:name="bookmark876"/>
      <w:bookmarkStart w:id="877" w:name="bookmark877"/>
      <w:bookmarkStart w:id="878" w:name="bookmark878"/>
      <w:bookmarkStart w:id="879" w:name="bookmark879"/>
      <w:r>
        <w:rPr>
          <w:rFonts w:ascii="Arial Narrow" w:eastAsia="Arial Narrow" w:hAnsi="Arial Narrow" w:cs="Arial Narrow"/>
          <w:color w:val="000000"/>
          <w:spacing w:val="0"/>
          <w:w w:val="100"/>
          <w:position w:val="0"/>
          <w:sz w:val="20"/>
          <w:szCs w:val="20"/>
        </w:rPr>
        <w:t>2</w:t>
      </w:r>
      <w:bookmarkEnd w:id="878"/>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、政府补助</w:t>
      </w:r>
      <w:bookmarkEnd w:id="876"/>
      <w:bookmarkEnd w:id="877"/>
      <w:bookmarkEnd w:id="879"/>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政府补助是指本公司从政府无偿取得货币性资产或非货币性资产，不包括政府以投资者身份并享有相应所有者权益而投 入的资本。政府补助分为与资产相关的政府补助和与收益相关的政府补助。政府补助为货币性资产的，按照收到或应收的金 额计量。政府补助为非货币性资产的，应当按照公允价值计量；公允价值不能可靠取得的，按照名义金额计量。按照名义金 额计量的政府补助，直接计入当期损益。</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当本公司能够满足政府补助所附条件，且能够收到政府补助时，才能确认政府补助。</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政府补助分为与资产相关的政府补助和与收益相关的政府补助。与资产相关的政府补助，是指公司取得的、用于购建或 以其他方式形成长期资产的政府补助。与收益相关的政府补助，是指除与资产相关的政府补助之外的政府补助。</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与资产相关的政府补助，采用总额法，确认为递延收益，在相关资产使用寿命内按照合理、系统的方法分期计入损益， 相关资产在使用寿命结束前被出售、转让、报废或发生毁损的，将尚未分配的相关递延收益余额转入资产处置当期的损益， 已确认的政府补助需要退回的，冲减相关递延收益账面余额，超出部分计入当期损益</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与收益相关的政府补助，采用总额法，用于补偿公司已发生的相关成本费用或损失时，直接计入当期损益；用于补偿 以后期间的相关成本费用或损失时，确认为递延收益，并在确认相关成本费用或损失的期间，计入当期损益。</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对于同时包含与资产相关部分和与收益相关部分的政府补助，区分不同部分分别进行会计处理；难以区分的，整体归类 为与收益相关的政府补助。</w:t>
      </w:r>
    </w:p>
    <w:p>
      <w:pPr>
        <w:pStyle w:val="Style27"/>
        <w:keepNext w:val="0"/>
        <w:keepLines w:val="0"/>
        <w:widowControl w:val="0"/>
        <w:shd w:val="clear" w:color="auto" w:fill="auto"/>
        <w:bidi w:val="0"/>
        <w:spacing w:before="0" w:after="280" w:line="501" w:lineRule="exact"/>
        <w:ind w:left="0" w:right="0" w:firstLine="380"/>
        <w:jc w:val="both"/>
        <w:rPr>
          <w:sz w:val="17"/>
          <w:szCs w:val="17"/>
        </w:rPr>
      </w:pPr>
      <w:r>
        <w:rPr>
          <w:color w:val="000000"/>
          <w:spacing w:val="0"/>
          <w:w w:val="100"/>
          <w:position w:val="0"/>
          <w:sz w:val="17"/>
          <w:szCs w:val="17"/>
        </w:rPr>
        <w:t>与公司日常活动相关的政府补助，按照经济业务实质，计入其他收益或冲减相关成本费用。与公司日常活动无关的政府 补助，计入营业外收支。</w:t>
      </w:r>
    </w:p>
    <w:p>
      <w:pPr>
        <w:pStyle w:val="Style20"/>
        <w:keepNext/>
        <w:keepLines/>
        <w:widowControl w:val="0"/>
        <w:shd w:val="clear" w:color="auto" w:fill="auto"/>
        <w:bidi w:val="0"/>
        <w:spacing w:before="0" w:after="0" w:line="526" w:lineRule="auto"/>
        <w:ind w:left="0" w:right="0" w:firstLine="380"/>
        <w:jc w:val="both"/>
        <w:rPr>
          <w:sz w:val="20"/>
          <w:szCs w:val="20"/>
        </w:rPr>
      </w:pPr>
      <w:bookmarkStart w:id="880" w:name="bookmark880"/>
      <w:bookmarkStart w:id="881" w:name="bookmark881"/>
      <w:bookmarkStart w:id="882" w:name="bookmark882"/>
      <w:bookmarkStart w:id="883" w:name="bookmark883"/>
      <w:r>
        <w:rPr>
          <w:rFonts w:ascii="Arial Narrow" w:eastAsia="Arial Narrow" w:hAnsi="Arial Narrow" w:cs="Arial Narrow"/>
          <w:color w:val="000000"/>
          <w:spacing w:val="0"/>
          <w:w w:val="100"/>
          <w:position w:val="0"/>
          <w:sz w:val="20"/>
          <w:szCs w:val="20"/>
        </w:rPr>
        <w:t>3</w:t>
      </w:r>
      <w:bookmarkEnd w:id="882"/>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、递延所得税资产和递延所得税负债</w:t>
      </w:r>
      <w:bookmarkEnd w:id="880"/>
      <w:bookmarkEnd w:id="881"/>
      <w:bookmarkEnd w:id="883"/>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7"/>
        <w:keepNext w:val="0"/>
        <w:keepLines w:val="0"/>
        <w:widowControl w:val="0"/>
        <w:shd w:val="clear" w:color="auto" w:fill="auto"/>
        <w:bidi w:val="0"/>
        <w:spacing w:before="0" w:after="0" w:line="501" w:lineRule="exact"/>
        <w:ind w:left="0" w:right="0" w:firstLine="380"/>
        <w:jc w:val="both"/>
        <w:rPr>
          <w:sz w:val="17"/>
          <w:szCs w:val="17"/>
        </w:rPr>
      </w:pPr>
      <w:r>
        <w:rPr>
          <w:color w:val="000000"/>
          <w:spacing w:val="0"/>
          <w:w w:val="100"/>
          <w:position w:val="0"/>
          <w:sz w:val="17"/>
          <w:szCs w:val="17"/>
        </w:rPr>
        <w:t xml:space="preserve">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w:t>
      </w:r>
      <w:r>
        <w:rPr>
          <w:color w:val="000000"/>
          <w:spacing w:val="0"/>
          <w:w w:val="100"/>
          <w:position w:val="0"/>
          <w:sz w:val="17"/>
          <w:szCs w:val="17"/>
        </w:rPr>
        <w:t>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7"/>
        <w:keepNext w:val="0"/>
        <w:keepLines w:val="0"/>
        <w:widowControl w:val="0"/>
        <w:shd w:val="clear" w:color="auto" w:fill="auto"/>
        <w:bidi w:val="0"/>
        <w:spacing w:before="0" w:after="0" w:line="500" w:lineRule="exact"/>
        <w:ind w:left="0" w:right="0" w:firstLine="380"/>
        <w:jc w:val="both"/>
        <w:rPr>
          <w:sz w:val="17"/>
          <w:szCs w:val="17"/>
        </w:rPr>
      </w:pPr>
      <w:r>
        <w:rPr>
          <w:color w:val="000000"/>
          <w:spacing w:val="0"/>
          <w:w w:val="100"/>
          <w:position w:val="0"/>
          <w:sz w:val="17"/>
          <w:szCs w:val="17"/>
        </w:rPr>
        <w:t>对于能够结转以后年度的可抵扣亏损和税款抵减，以很可能获得用来抵扣可抵扣亏损和税款抵减的未来应纳税所得额为 限，确认相应的递延所得税资产。</w:t>
      </w:r>
    </w:p>
    <w:p>
      <w:pPr>
        <w:pStyle w:val="Style27"/>
        <w:keepNext w:val="0"/>
        <w:keepLines w:val="0"/>
        <w:widowControl w:val="0"/>
        <w:shd w:val="clear" w:color="auto" w:fill="auto"/>
        <w:bidi w:val="0"/>
        <w:spacing w:before="0" w:after="0" w:line="500" w:lineRule="exact"/>
        <w:ind w:left="0" w:right="0" w:firstLine="380"/>
        <w:jc w:val="both"/>
        <w:rPr>
          <w:sz w:val="17"/>
          <w:szCs w:val="17"/>
        </w:rPr>
      </w:pPr>
      <w:r>
        <w:rPr>
          <w:color w:val="000000"/>
          <w:spacing w:val="0"/>
          <w:w w:val="100"/>
          <w:position w:val="0"/>
          <w:sz w:val="17"/>
          <w:szCs w:val="17"/>
        </w:rPr>
        <w:t>资产负债表日，对于递延所得税资产和递延所得税负债，根据税法规定，按照预期收回相关资产或清偿相关负债期间的 适用税率计量。</w:t>
      </w:r>
    </w:p>
    <w:p>
      <w:pPr>
        <w:pStyle w:val="Style27"/>
        <w:keepNext w:val="0"/>
        <w:keepLines w:val="0"/>
        <w:widowControl w:val="0"/>
        <w:shd w:val="clear" w:color="auto" w:fill="auto"/>
        <w:bidi w:val="0"/>
        <w:spacing w:before="0" w:after="280" w:line="500" w:lineRule="exact"/>
        <w:ind w:left="0" w:right="0" w:firstLine="380"/>
        <w:jc w:val="both"/>
        <w:rPr>
          <w:sz w:val="17"/>
          <w:szCs w:val="17"/>
        </w:rPr>
      </w:pPr>
      <w:r>
        <w:rPr>
          <w:color w:val="000000"/>
          <w:spacing w:val="0"/>
          <w:w w:val="100"/>
          <w:position w:val="0"/>
          <w:sz w:val="17"/>
          <w:szCs w:val="17"/>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0"/>
        <w:keepNext/>
        <w:keepLines/>
        <w:widowControl w:val="0"/>
        <w:shd w:val="clear" w:color="auto" w:fill="auto"/>
        <w:bidi w:val="0"/>
        <w:spacing w:before="0" w:after="0" w:line="523" w:lineRule="auto"/>
        <w:ind w:left="0" w:right="0" w:firstLine="440"/>
        <w:jc w:val="left"/>
        <w:rPr>
          <w:sz w:val="20"/>
          <w:szCs w:val="20"/>
        </w:rPr>
      </w:pPr>
      <w:bookmarkStart w:id="884" w:name="bookmark884"/>
      <w:bookmarkStart w:id="885" w:name="bookmark885"/>
      <w:bookmarkStart w:id="886" w:name="bookmark886"/>
      <w:bookmarkStart w:id="887" w:name="bookmark887"/>
      <w:r>
        <w:rPr>
          <w:rFonts w:ascii="Arial Narrow" w:eastAsia="Arial Narrow" w:hAnsi="Arial Narrow" w:cs="Arial Narrow"/>
          <w:color w:val="000000"/>
          <w:spacing w:val="0"/>
          <w:w w:val="100"/>
          <w:position w:val="0"/>
          <w:sz w:val="20"/>
          <w:szCs w:val="20"/>
        </w:rPr>
        <w:t>3</w:t>
      </w:r>
      <w:bookmarkEnd w:id="886"/>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、所得税</w:t>
      </w:r>
      <w:bookmarkEnd w:id="884"/>
      <w:bookmarkEnd w:id="885"/>
      <w:bookmarkEnd w:id="887"/>
    </w:p>
    <w:p>
      <w:pPr>
        <w:pStyle w:val="Style27"/>
        <w:keepNext w:val="0"/>
        <w:keepLines w:val="0"/>
        <w:widowControl w:val="0"/>
        <w:shd w:val="clear" w:color="auto" w:fill="auto"/>
        <w:bidi w:val="0"/>
        <w:spacing w:before="0" w:after="0" w:line="500" w:lineRule="exact"/>
        <w:ind w:left="0" w:right="0" w:firstLine="380"/>
        <w:jc w:val="left"/>
        <w:rPr>
          <w:sz w:val="17"/>
          <w:szCs w:val="17"/>
        </w:rPr>
      </w:pPr>
      <w:r>
        <w:rPr>
          <w:color w:val="000000"/>
          <w:spacing w:val="0"/>
          <w:w w:val="100"/>
          <w:position w:val="0"/>
          <w:sz w:val="17"/>
          <w:szCs w:val="17"/>
        </w:rPr>
        <w:t>所得税包括当期所得税和递延所得税。除由于企业合并产生的调整商誉，或与直接计入所有者权益的交易或者事项相关 的递延所得税计入所有者权益外，均作为所得税费用计入当期损益。</w:t>
      </w:r>
    </w:p>
    <w:p>
      <w:pPr>
        <w:pStyle w:val="Style27"/>
        <w:keepNext w:val="0"/>
        <w:keepLines w:val="0"/>
        <w:widowControl w:val="0"/>
        <w:shd w:val="clear" w:color="auto" w:fill="auto"/>
        <w:bidi w:val="0"/>
        <w:spacing w:before="0" w:after="0" w:line="500" w:lineRule="exact"/>
        <w:ind w:left="0" w:right="0" w:firstLine="380"/>
        <w:jc w:val="left"/>
        <w:rPr>
          <w:sz w:val="17"/>
          <w:szCs w:val="17"/>
        </w:rPr>
      </w:pPr>
      <w:r>
        <w:rPr>
          <w:color w:val="000000"/>
          <w:spacing w:val="0"/>
          <w:w w:val="100"/>
          <w:position w:val="0"/>
          <w:sz w:val="17"/>
          <w:szCs w:val="17"/>
        </w:rPr>
        <w:t>当期所得税是按照当期应纳税所得额计算的当期应交所得税金额。应纳税所得额系根据有关税法规定对本年度税前会计 利润作相应调整后得出。</w:t>
      </w:r>
    </w:p>
    <w:p>
      <w:pPr>
        <w:pStyle w:val="Style27"/>
        <w:keepNext w:val="0"/>
        <w:keepLines w:val="0"/>
        <w:widowControl w:val="0"/>
        <w:shd w:val="clear" w:color="auto" w:fill="auto"/>
        <w:bidi w:val="0"/>
        <w:spacing w:before="0" w:after="0" w:line="500" w:lineRule="exact"/>
        <w:ind w:left="0" w:right="0" w:firstLine="380"/>
        <w:jc w:val="left"/>
        <w:rPr>
          <w:sz w:val="17"/>
          <w:szCs w:val="17"/>
        </w:rPr>
      </w:pPr>
      <w:r>
        <w:rPr>
          <w:color w:val="000000"/>
          <w:spacing w:val="0"/>
          <w:w w:val="100"/>
          <w:position w:val="0"/>
          <w:sz w:val="17"/>
          <w:szCs w:val="17"/>
        </w:rPr>
        <w:t>本公司根据资产、负债于资产负债表日的账面价值与计税基础之间的暂时性差异，采用资产负债表债务法确认递延所得 税。</w:t>
      </w:r>
    </w:p>
    <w:p>
      <w:pPr>
        <w:pStyle w:val="Style27"/>
        <w:keepNext w:val="0"/>
        <w:keepLines w:val="0"/>
        <w:widowControl w:val="0"/>
        <w:shd w:val="clear" w:color="auto" w:fill="auto"/>
        <w:bidi w:val="0"/>
        <w:spacing w:before="0" w:after="0" w:line="500" w:lineRule="exact"/>
        <w:ind w:left="0" w:right="0" w:firstLine="380"/>
        <w:jc w:val="left"/>
        <w:rPr>
          <w:sz w:val="17"/>
          <w:szCs w:val="17"/>
        </w:rPr>
      </w:pPr>
      <w:r>
        <w:rPr>
          <w:color w:val="000000"/>
          <w:spacing w:val="0"/>
          <w:w w:val="100"/>
          <w:position w:val="0"/>
          <w:sz w:val="17"/>
          <w:szCs w:val="17"/>
        </w:rPr>
        <w:t>各项应纳税暂时性差异均确认相关的递延所得税负债，除非该应纳税暂时性差异是在以下交易中产生的：</w:t>
      </w:r>
    </w:p>
    <w:p>
      <w:pPr>
        <w:pStyle w:val="Style27"/>
        <w:keepNext w:val="0"/>
        <w:keepLines w:val="0"/>
        <w:widowControl w:val="0"/>
        <w:shd w:val="clear" w:color="auto" w:fill="auto"/>
        <w:tabs>
          <w:tab w:pos="682" w:val="left"/>
        </w:tabs>
        <w:bidi w:val="0"/>
        <w:spacing w:before="0" w:after="0" w:line="500" w:lineRule="exact"/>
        <w:ind w:left="0" w:right="0" w:firstLine="380"/>
        <w:jc w:val="left"/>
        <w:rPr>
          <w:sz w:val="17"/>
          <w:szCs w:val="17"/>
        </w:rPr>
      </w:pPr>
      <w:bookmarkStart w:id="888" w:name="bookmark888"/>
      <w:r>
        <w:rPr>
          <w:rFonts w:ascii="Arial Narrow" w:eastAsia="Arial Narrow" w:hAnsi="Arial Narrow" w:cs="Arial Narrow"/>
          <w:color w:val="000000"/>
          <w:spacing w:val="0"/>
          <w:w w:val="100"/>
          <w:position w:val="0"/>
          <w:sz w:val="18"/>
          <w:szCs w:val="18"/>
        </w:rPr>
        <w:t>A</w:t>
      </w:r>
      <w:bookmarkEnd w:id="888"/>
      <w:r>
        <w:rPr>
          <w:color w:val="000000"/>
          <w:spacing w:val="0"/>
          <w:w w:val="100"/>
          <w:position w:val="0"/>
          <w:sz w:val="17"/>
          <w:szCs w:val="17"/>
        </w:rPr>
        <w:t>、</w:t>
        <w:tab/>
      </w:r>
      <w:r>
        <w:rPr>
          <w:color w:val="000000"/>
          <w:spacing w:val="0"/>
          <w:w w:val="100"/>
          <w:position w:val="0"/>
          <w:sz w:val="17"/>
          <w:szCs w:val="17"/>
        </w:rPr>
        <w:t>商誉的初始确认，或者具有以下特征的交易中产生的资产或负债的初始确认：该交易不是企业合并，并且交易发生 时既不影响会计利润也不影响应纳税所得额；</w:t>
      </w:r>
    </w:p>
    <w:p>
      <w:pPr>
        <w:pStyle w:val="Style27"/>
        <w:keepNext w:val="0"/>
        <w:keepLines w:val="0"/>
        <w:widowControl w:val="0"/>
        <w:shd w:val="clear" w:color="auto" w:fill="auto"/>
        <w:tabs>
          <w:tab w:pos="706" w:val="left"/>
        </w:tabs>
        <w:bidi w:val="0"/>
        <w:spacing w:before="0" w:after="0" w:line="500" w:lineRule="exact"/>
        <w:ind w:left="0" w:right="0" w:firstLine="380"/>
        <w:jc w:val="left"/>
        <w:rPr>
          <w:sz w:val="17"/>
          <w:szCs w:val="17"/>
        </w:rPr>
      </w:pPr>
      <w:bookmarkStart w:id="889" w:name="bookmark889"/>
      <w:r>
        <w:rPr>
          <w:rFonts w:ascii="Arial Narrow" w:eastAsia="Arial Narrow" w:hAnsi="Arial Narrow" w:cs="Arial Narrow"/>
          <w:color w:val="000000"/>
          <w:spacing w:val="0"/>
          <w:w w:val="100"/>
          <w:position w:val="0"/>
          <w:sz w:val="18"/>
          <w:szCs w:val="18"/>
        </w:rPr>
        <w:t>B</w:t>
      </w:r>
      <w:bookmarkEnd w:id="889"/>
      <w:r>
        <w:rPr>
          <w:color w:val="000000"/>
          <w:spacing w:val="0"/>
          <w:w w:val="100"/>
          <w:position w:val="0"/>
          <w:sz w:val="17"/>
          <w:szCs w:val="17"/>
        </w:rPr>
        <w:t>、</w:t>
        <w:tab/>
      </w:r>
      <w:r>
        <w:rPr>
          <w:color w:val="000000"/>
          <w:spacing w:val="0"/>
          <w:w w:val="100"/>
          <w:position w:val="0"/>
          <w:sz w:val="17"/>
          <w:szCs w:val="17"/>
        </w:rPr>
        <w:t>对于与子公司、合营企业及联营企业投资相关的应纳税暂时性差异，该暂时性差异转回的时间能够控制并且该暂时 性差异在可预见的未来很可能不会转回。</w:t>
      </w:r>
    </w:p>
    <w:p>
      <w:pPr>
        <w:pStyle w:val="Style27"/>
        <w:keepNext w:val="0"/>
        <w:keepLines w:val="0"/>
        <w:widowControl w:val="0"/>
        <w:shd w:val="clear" w:color="auto" w:fill="auto"/>
        <w:bidi w:val="0"/>
        <w:spacing w:before="0" w:after="280" w:line="500" w:lineRule="exact"/>
        <w:ind w:left="0" w:right="0" w:firstLine="380"/>
        <w:jc w:val="left"/>
        <w:rPr>
          <w:sz w:val="17"/>
          <w:szCs w:val="17"/>
        </w:rPr>
      </w:pPr>
      <w:r>
        <w:rPr>
          <w:color w:val="000000"/>
          <w:spacing w:val="0"/>
          <w:w w:val="100"/>
          <w:position w:val="0"/>
          <w:sz w:val="17"/>
          <w:szCs w:val="17"/>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w:t>
      </w:r>
    </w:p>
    <w:p>
      <w:pPr>
        <w:pStyle w:val="Style27"/>
        <w:keepNext w:val="0"/>
        <w:keepLines w:val="0"/>
        <w:widowControl w:val="0"/>
        <w:shd w:val="clear" w:color="auto" w:fill="auto"/>
        <w:tabs>
          <w:tab w:pos="726" w:val="left"/>
        </w:tabs>
        <w:bidi w:val="0"/>
        <w:spacing w:before="0" w:after="0" w:line="583" w:lineRule="auto"/>
        <w:ind w:left="0" w:right="0" w:firstLine="380"/>
        <w:jc w:val="both"/>
        <w:rPr>
          <w:sz w:val="17"/>
          <w:szCs w:val="17"/>
        </w:rPr>
      </w:pPr>
      <w:bookmarkStart w:id="890" w:name="bookmark890"/>
      <w:r>
        <w:rPr>
          <w:rFonts w:ascii="Arial Narrow" w:eastAsia="Arial Narrow" w:hAnsi="Arial Narrow" w:cs="Arial Narrow"/>
          <w:color w:val="000000"/>
          <w:spacing w:val="0"/>
          <w:w w:val="100"/>
          <w:position w:val="0"/>
          <w:sz w:val="18"/>
          <w:szCs w:val="18"/>
        </w:rPr>
        <w:t>A</w:t>
      </w:r>
      <w:bookmarkEnd w:id="890"/>
      <w:r>
        <w:rPr>
          <w:color w:val="000000"/>
          <w:spacing w:val="0"/>
          <w:w w:val="100"/>
          <w:position w:val="0"/>
          <w:sz w:val="17"/>
          <w:szCs w:val="17"/>
        </w:rPr>
        <w:t>、</w:t>
        <w:tab/>
      </w:r>
      <w:r>
        <w:rPr>
          <w:color w:val="000000"/>
          <w:spacing w:val="0"/>
          <w:w w:val="100"/>
          <w:position w:val="0"/>
          <w:sz w:val="17"/>
          <w:szCs w:val="17"/>
        </w:rPr>
        <w:t>该交易不是企业合并，并且交易发生时既不影响会计利润也不影响应纳税所得额；</w:t>
      </w:r>
    </w:p>
    <w:p>
      <w:pPr>
        <w:pStyle w:val="Style27"/>
        <w:keepNext w:val="0"/>
        <w:keepLines w:val="0"/>
        <w:widowControl w:val="0"/>
        <w:shd w:val="clear" w:color="auto" w:fill="auto"/>
        <w:tabs>
          <w:tab w:pos="346" w:val="left"/>
        </w:tabs>
        <w:bidi w:val="0"/>
        <w:spacing w:before="0" w:after="0" w:line="583" w:lineRule="auto"/>
        <w:ind w:left="0" w:right="0" w:firstLine="380"/>
        <w:jc w:val="both"/>
        <w:rPr>
          <w:sz w:val="17"/>
          <w:szCs w:val="17"/>
        </w:rPr>
      </w:pPr>
      <w:bookmarkStart w:id="891" w:name="bookmark891"/>
      <w:r>
        <w:rPr>
          <w:rFonts w:ascii="Arial Narrow" w:eastAsia="Arial Narrow" w:hAnsi="Arial Narrow" w:cs="Arial Narrow"/>
          <w:color w:val="000000"/>
          <w:spacing w:val="0"/>
          <w:w w:val="100"/>
          <w:position w:val="0"/>
          <w:sz w:val="18"/>
          <w:szCs w:val="18"/>
        </w:rPr>
        <w:t>B</w:t>
      </w:r>
      <w:bookmarkEnd w:id="891"/>
      <w:r>
        <w:rPr>
          <w:color w:val="000000"/>
          <w:spacing w:val="0"/>
          <w:w w:val="100"/>
          <w:position w:val="0"/>
          <w:sz w:val="17"/>
          <w:szCs w:val="17"/>
        </w:rPr>
        <w:t>、</w:t>
        <w:tab/>
      </w:r>
      <w:r>
        <w:rPr>
          <w:color w:val="000000"/>
          <w:spacing w:val="0"/>
          <w:w w:val="100"/>
          <w:position w:val="0"/>
          <w:sz w:val="17"/>
          <w:szCs w:val="17"/>
        </w:rPr>
        <w:t xml:space="preserve">对于与子公司、合营企业及联营企业投资相关的可抵扣暂时性差异，同时满足下列条件的，确认相应的递延所得税 </w:t>
      </w:r>
      <w:r>
        <w:rPr>
          <w:color w:val="000000"/>
          <w:spacing w:val="0"/>
          <w:w w:val="100"/>
          <w:position w:val="0"/>
          <w:sz w:val="17"/>
          <w:szCs w:val="17"/>
        </w:rPr>
        <w:t>资产：暂时性差异在可预见的未来很可能转回，且未来很可能获得用来抵扣可抵扣暂时性差异的应纳税所得额。</w:t>
      </w:r>
    </w:p>
    <w:p>
      <w:pPr>
        <w:pStyle w:val="Style27"/>
        <w:keepNext w:val="0"/>
        <w:keepLines w:val="0"/>
        <w:widowControl w:val="0"/>
        <w:shd w:val="clear" w:color="auto" w:fill="auto"/>
        <w:bidi w:val="0"/>
        <w:spacing w:before="0" w:after="0" w:line="499" w:lineRule="exact"/>
        <w:ind w:left="0" w:right="0" w:firstLine="380"/>
        <w:jc w:val="both"/>
        <w:rPr>
          <w:sz w:val="17"/>
          <w:szCs w:val="17"/>
        </w:rPr>
      </w:pPr>
      <w:r>
        <w:rPr>
          <w:color w:val="000000"/>
          <w:spacing w:val="0"/>
          <w:w w:val="100"/>
          <w:position w:val="0"/>
          <w:sz w:val="17"/>
          <w:szCs w:val="17"/>
        </w:rPr>
        <w:t>于资产负债表日，本公司对递延所得税资产和递延所得税负债，按照预期收回该资产或清偿该负债期间的适用税率计量， 并反映资产负债表日预期收回资产或清偿负债方式的所得税影响。</w:t>
      </w:r>
    </w:p>
    <w:p>
      <w:pPr>
        <w:pStyle w:val="Style27"/>
        <w:keepNext w:val="0"/>
        <w:keepLines w:val="0"/>
        <w:widowControl w:val="0"/>
        <w:shd w:val="clear" w:color="auto" w:fill="auto"/>
        <w:bidi w:val="0"/>
        <w:spacing w:before="0" w:after="280" w:line="499" w:lineRule="exact"/>
        <w:ind w:left="0" w:right="0" w:firstLine="380"/>
        <w:jc w:val="both"/>
        <w:rPr>
          <w:sz w:val="17"/>
          <w:szCs w:val="17"/>
        </w:rPr>
      </w:pPr>
      <w:r>
        <w:rPr>
          <w:color w:val="000000"/>
          <w:spacing w:val="0"/>
          <w:w w:val="100"/>
          <w:position w:val="0"/>
          <w:sz w:val="17"/>
          <w:szCs w:val="17"/>
        </w:rPr>
        <w:t>于资产负债表日，本公司对递延所得税资产的账面价值进行复核。如果未来期间很可能无法获得足够的应纳税所得额用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20"/>
        <w:keepNext/>
        <w:keepLines/>
        <w:widowControl w:val="0"/>
        <w:shd w:val="clear" w:color="auto" w:fill="auto"/>
        <w:tabs>
          <w:tab w:pos="890" w:val="left"/>
        </w:tabs>
        <w:bidi w:val="0"/>
        <w:spacing w:before="0" w:after="0" w:line="523" w:lineRule="auto"/>
        <w:ind w:left="0" w:right="0" w:firstLine="440"/>
        <w:jc w:val="left"/>
        <w:rPr>
          <w:sz w:val="20"/>
          <w:szCs w:val="20"/>
        </w:rPr>
      </w:pPr>
      <w:bookmarkStart w:id="892" w:name="bookmark892"/>
      <w:bookmarkStart w:id="893" w:name="bookmark893"/>
      <w:bookmarkStart w:id="894" w:name="bookmark894"/>
      <w:bookmarkStart w:id="895" w:name="bookmark895"/>
      <w:r>
        <w:rPr>
          <w:rFonts w:ascii="Arial Narrow" w:eastAsia="Arial Narrow" w:hAnsi="Arial Narrow" w:cs="Arial Narrow"/>
          <w:color w:val="000000"/>
          <w:spacing w:val="0"/>
          <w:w w:val="100"/>
          <w:position w:val="0"/>
          <w:sz w:val="20"/>
          <w:szCs w:val="20"/>
        </w:rPr>
        <w:t>3</w:t>
      </w:r>
      <w:bookmarkEnd w:id="894"/>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其他重要的会计政策和会计估计</w:t>
      </w:r>
      <w:bookmarkEnd w:id="892"/>
      <w:bookmarkEnd w:id="893"/>
      <w:bookmarkEnd w:id="895"/>
    </w:p>
    <w:p>
      <w:pPr>
        <w:pStyle w:val="Style27"/>
        <w:keepNext w:val="0"/>
        <w:keepLines w:val="0"/>
        <w:widowControl w:val="0"/>
        <w:shd w:val="clear" w:color="auto" w:fill="auto"/>
        <w:bidi w:val="0"/>
        <w:spacing w:before="0" w:after="0" w:line="502" w:lineRule="exact"/>
        <w:ind w:left="0" w:right="0" w:firstLine="440"/>
        <w:jc w:val="both"/>
        <w:rPr>
          <w:sz w:val="17"/>
          <w:szCs w:val="17"/>
        </w:rPr>
      </w:pPr>
      <w:bookmarkStart w:id="896" w:name="bookmark896"/>
      <w:r>
        <w:rPr>
          <w:color w:val="000000"/>
          <w:spacing w:val="0"/>
          <w:w w:val="100"/>
          <w:position w:val="0"/>
          <w:sz w:val="17"/>
          <w:szCs w:val="17"/>
        </w:rPr>
        <w:t>（</w:t>
      </w:r>
      <w:bookmarkEnd w:id="896"/>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）终止经营</w:t>
      </w:r>
    </w:p>
    <w:p>
      <w:pPr>
        <w:pStyle w:val="Style27"/>
        <w:keepNext w:val="0"/>
        <w:keepLines w:val="0"/>
        <w:widowControl w:val="0"/>
        <w:shd w:val="clear" w:color="auto" w:fill="auto"/>
        <w:bidi w:val="0"/>
        <w:spacing w:before="0" w:after="0" w:line="502" w:lineRule="exact"/>
        <w:ind w:left="0" w:right="0" w:firstLine="380"/>
        <w:jc w:val="both"/>
        <w:rPr>
          <w:sz w:val="17"/>
          <w:szCs w:val="17"/>
        </w:rPr>
      </w:pPr>
      <w:r>
        <w:rPr>
          <w:color w:val="000000"/>
          <w:spacing w:val="0"/>
          <w:w w:val="100"/>
          <w:position w:val="0"/>
          <w:sz w:val="17"/>
          <w:szCs w:val="17"/>
        </w:rPr>
        <w:t>终止经营，是指企业满足下列条件之一的、能够单独区分的组成部分，且该组成部分已经处置或划分为持有待售类别：</w:t>
      </w:r>
    </w:p>
    <w:p>
      <w:pPr>
        <w:pStyle w:val="Style27"/>
        <w:keepNext w:val="0"/>
        <w:keepLines w:val="0"/>
        <w:widowControl w:val="0"/>
        <w:numPr>
          <w:ilvl w:val="0"/>
          <w:numId w:val="33"/>
        </w:numPr>
        <w:shd w:val="clear" w:color="auto" w:fill="auto"/>
        <w:tabs>
          <w:tab w:pos="753" w:val="left"/>
        </w:tabs>
        <w:bidi w:val="0"/>
        <w:spacing w:before="0" w:after="0" w:line="502" w:lineRule="exact"/>
        <w:ind w:left="0" w:right="0" w:firstLine="380"/>
        <w:jc w:val="both"/>
        <w:rPr>
          <w:sz w:val="17"/>
          <w:szCs w:val="17"/>
        </w:rPr>
      </w:pPr>
      <w:bookmarkStart w:id="897" w:name="bookmark897"/>
      <w:bookmarkEnd w:id="897"/>
      <w:r>
        <w:rPr>
          <w:color w:val="000000"/>
          <w:spacing w:val="0"/>
          <w:w w:val="100"/>
          <w:position w:val="0"/>
          <w:sz w:val="17"/>
          <w:szCs w:val="17"/>
        </w:rPr>
        <w:t>该组成部分代表一项独立的主要业务或一个单独的主要经营地区；</w:t>
      </w:r>
    </w:p>
    <w:p>
      <w:pPr>
        <w:pStyle w:val="Style27"/>
        <w:keepNext w:val="0"/>
        <w:keepLines w:val="0"/>
        <w:widowControl w:val="0"/>
        <w:numPr>
          <w:ilvl w:val="0"/>
          <w:numId w:val="33"/>
        </w:numPr>
        <w:shd w:val="clear" w:color="auto" w:fill="auto"/>
        <w:tabs>
          <w:tab w:pos="753" w:val="left"/>
        </w:tabs>
        <w:bidi w:val="0"/>
        <w:spacing w:before="0" w:after="0" w:line="502" w:lineRule="exact"/>
        <w:ind w:left="0" w:right="0" w:firstLine="380"/>
        <w:jc w:val="both"/>
        <w:rPr>
          <w:sz w:val="17"/>
          <w:szCs w:val="17"/>
        </w:rPr>
      </w:pPr>
      <w:bookmarkStart w:id="898" w:name="bookmark898"/>
      <w:bookmarkEnd w:id="898"/>
      <w:r>
        <w:rPr>
          <w:color w:val="000000"/>
          <w:spacing w:val="0"/>
          <w:w w:val="100"/>
          <w:position w:val="0"/>
          <w:sz w:val="17"/>
          <w:szCs w:val="17"/>
        </w:rPr>
        <w:t>该组成部分是拟对一项独立的主要业务或一个单独的主要经营地区进行处置的一项相关联计划的一部分；</w:t>
      </w:r>
    </w:p>
    <w:p>
      <w:pPr>
        <w:pStyle w:val="Style27"/>
        <w:keepNext w:val="0"/>
        <w:keepLines w:val="0"/>
        <w:widowControl w:val="0"/>
        <w:numPr>
          <w:ilvl w:val="0"/>
          <w:numId w:val="33"/>
        </w:numPr>
        <w:shd w:val="clear" w:color="auto" w:fill="auto"/>
        <w:tabs>
          <w:tab w:pos="753" w:val="left"/>
        </w:tabs>
        <w:bidi w:val="0"/>
        <w:spacing w:before="0" w:after="0" w:line="502" w:lineRule="exact"/>
        <w:ind w:left="0" w:right="0" w:firstLine="380"/>
        <w:jc w:val="both"/>
        <w:rPr>
          <w:sz w:val="17"/>
          <w:szCs w:val="17"/>
        </w:rPr>
      </w:pPr>
      <w:bookmarkStart w:id="899" w:name="bookmark899"/>
      <w:bookmarkEnd w:id="899"/>
      <w:r>
        <w:rPr>
          <w:color w:val="000000"/>
          <w:spacing w:val="0"/>
          <w:w w:val="100"/>
          <w:position w:val="0"/>
          <w:sz w:val="17"/>
          <w:szCs w:val="17"/>
        </w:rPr>
        <w:t>该组成部分是专为转售而取得的子公司。</w:t>
      </w:r>
    </w:p>
    <w:p>
      <w:pPr>
        <w:pStyle w:val="Style27"/>
        <w:keepNext w:val="0"/>
        <w:keepLines w:val="0"/>
        <w:widowControl w:val="0"/>
        <w:shd w:val="clear" w:color="auto" w:fill="auto"/>
        <w:bidi w:val="0"/>
        <w:spacing w:before="0" w:after="280" w:line="502" w:lineRule="exact"/>
        <w:ind w:left="0" w:right="0" w:firstLine="380"/>
        <w:jc w:val="both"/>
        <w:rPr>
          <w:sz w:val="17"/>
          <w:szCs w:val="17"/>
        </w:rPr>
      </w:pPr>
      <w:r>
        <w:rPr>
          <w:color w:val="000000"/>
          <w:spacing w:val="0"/>
          <w:w w:val="100"/>
          <w:position w:val="0"/>
          <w:sz w:val="17"/>
          <w:szCs w:val="17"/>
        </w:rPr>
        <w:t>终止经营的会计处理方法参见本附注三、</w:t>
      </w:r>
      <w:r>
        <w:rPr>
          <w:rFonts w:ascii="Arial Narrow" w:eastAsia="Arial Narrow" w:hAnsi="Arial Narrow" w:cs="Arial Narrow"/>
          <w:color w:val="000000"/>
          <w:spacing w:val="0"/>
          <w:w w:val="100"/>
          <w:position w:val="0"/>
          <w:sz w:val="18"/>
          <w:szCs w:val="18"/>
        </w:rPr>
        <w:t xml:space="preserve">13 </w:t>
      </w:r>
      <w:r>
        <w:rPr>
          <w:color w:val="000000"/>
          <w:spacing w:val="0"/>
          <w:w w:val="100"/>
          <w:position w:val="0"/>
          <w:sz w:val="17"/>
          <w:szCs w:val="17"/>
        </w:rPr>
        <w:t>“持有待售资产”相关描述。</w:t>
      </w:r>
    </w:p>
    <w:p>
      <w:pPr>
        <w:pStyle w:val="Style20"/>
        <w:keepNext/>
        <w:keepLines/>
        <w:widowControl w:val="0"/>
        <w:shd w:val="clear" w:color="auto" w:fill="auto"/>
        <w:tabs>
          <w:tab w:pos="890" w:val="left"/>
        </w:tabs>
        <w:bidi w:val="0"/>
        <w:spacing w:before="0" w:after="0" w:line="523" w:lineRule="auto"/>
        <w:ind w:left="0" w:right="0" w:firstLine="440"/>
        <w:jc w:val="left"/>
        <w:rPr>
          <w:sz w:val="20"/>
          <w:szCs w:val="20"/>
        </w:rPr>
      </w:pPr>
      <w:bookmarkStart w:id="900" w:name="bookmark900"/>
      <w:bookmarkStart w:id="901" w:name="bookmark901"/>
      <w:bookmarkStart w:id="902" w:name="bookmark902"/>
      <w:bookmarkStart w:id="903" w:name="bookmark903"/>
      <w:r>
        <w:rPr>
          <w:rFonts w:ascii="Arial Narrow" w:eastAsia="Arial Narrow" w:hAnsi="Arial Narrow" w:cs="Arial Narrow"/>
          <w:color w:val="000000"/>
          <w:spacing w:val="0"/>
          <w:w w:val="100"/>
          <w:position w:val="0"/>
          <w:sz w:val="20"/>
          <w:szCs w:val="20"/>
        </w:rPr>
        <w:t>3</w:t>
      </w:r>
      <w:bookmarkEnd w:id="902"/>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重要会计政策和会计估计变更</w:t>
      </w:r>
      <w:bookmarkEnd w:id="900"/>
      <w:bookmarkEnd w:id="901"/>
      <w:bookmarkEnd w:id="903"/>
    </w:p>
    <w:p>
      <w:pPr>
        <w:pStyle w:val="Style27"/>
        <w:keepNext w:val="0"/>
        <w:keepLines w:val="0"/>
        <w:widowControl w:val="0"/>
        <w:shd w:val="clear" w:color="auto" w:fill="auto"/>
        <w:bidi w:val="0"/>
        <w:spacing w:before="0" w:after="0" w:line="502" w:lineRule="exact"/>
        <w:ind w:left="0" w:right="0" w:firstLine="38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）会计政策变更</w:t>
      </w:r>
    </w:p>
    <w:p>
      <w:pPr>
        <w:pStyle w:val="Style27"/>
        <w:keepNext w:val="0"/>
        <w:keepLines w:val="0"/>
        <w:widowControl w:val="0"/>
        <w:shd w:val="clear" w:color="auto" w:fill="auto"/>
        <w:bidi w:val="0"/>
        <w:spacing w:before="0" w:after="0" w:line="502" w:lineRule="exact"/>
        <w:ind w:left="0" w:right="0" w:firstLine="380"/>
        <w:jc w:val="left"/>
        <w:rPr>
          <w:sz w:val="17"/>
          <w:szCs w:val="17"/>
        </w:rPr>
      </w:pPr>
      <w:r>
        <w:rPr>
          <w:color w:val="000000"/>
          <w:spacing w:val="0"/>
          <w:w w:val="100"/>
          <w:position w:val="0"/>
          <w:sz w:val="17"/>
          <w:szCs w:val="17"/>
        </w:rPr>
        <w:t>新租赁准则</w:t>
      </w:r>
    </w:p>
    <w:p>
      <w:pPr>
        <w:pStyle w:val="Style27"/>
        <w:keepNext w:val="0"/>
        <w:keepLines w:val="0"/>
        <w:widowControl w:val="0"/>
        <w:shd w:val="clear" w:color="auto" w:fill="auto"/>
        <w:bidi w:val="0"/>
        <w:spacing w:before="0" w:after="40" w:line="504" w:lineRule="exact"/>
        <w:ind w:left="0" w:right="0" w:firstLine="380"/>
        <w:jc w:val="left"/>
        <w:rPr>
          <w:sz w:val="17"/>
          <w:szCs w:val="17"/>
        </w:rPr>
      </w:pPr>
      <w:r>
        <w:rPr>
          <w:color w:val="000000"/>
          <w:spacing w:val="0"/>
          <w:w w:val="100"/>
          <w:position w:val="0"/>
          <w:sz w:val="17"/>
          <w:szCs w:val="17"/>
        </w:rPr>
        <w:t>财政部</w:t>
      </w:r>
      <w:r>
        <w:rPr>
          <w:rFonts w:ascii="Arial Narrow" w:eastAsia="Arial Narrow" w:hAnsi="Arial Narrow" w:cs="Arial Narrow"/>
          <w:color w:val="000000"/>
          <w:spacing w:val="0"/>
          <w:w w:val="100"/>
          <w:position w:val="0"/>
          <w:sz w:val="18"/>
          <w:szCs w:val="18"/>
        </w:rPr>
        <w:t>2018</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7</w:t>
      </w:r>
      <w:r>
        <w:rPr>
          <w:color w:val="000000"/>
          <w:spacing w:val="0"/>
          <w:w w:val="100"/>
          <w:position w:val="0"/>
          <w:sz w:val="17"/>
          <w:szCs w:val="17"/>
        </w:rPr>
        <w:t>日发布了修订后的《企业会计准则第</w:t>
      </w:r>
      <w:r>
        <w:rPr>
          <w:rFonts w:ascii="Arial Narrow" w:eastAsia="Arial Narrow" w:hAnsi="Arial Narrow" w:cs="Arial Narrow"/>
          <w:color w:val="000000"/>
          <w:spacing w:val="0"/>
          <w:w w:val="100"/>
          <w:position w:val="0"/>
          <w:sz w:val="18"/>
          <w:szCs w:val="18"/>
        </w:rPr>
        <w:t>21</w:t>
      </w:r>
      <w:r>
        <w:rPr>
          <w:color w:val="000000"/>
          <w:spacing w:val="0"/>
          <w:w w:val="100"/>
          <w:position w:val="0"/>
          <w:sz w:val="17"/>
          <w:szCs w:val="17"/>
        </w:rPr>
        <w:t>号</w:t>
      </w:r>
      <w:r>
        <w:rPr>
          <w:color w:val="000000"/>
          <w:spacing w:val="0"/>
          <w:w w:val="100"/>
          <w:position w:val="0"/>
          <w:sz w:val="22"/>
          <w:szCs w:val="22"/>
        </w:rPr>
        <w:t>一</w:t>
      </w:r>
      <w:r>
        <w:rPr>
          <w:color w:val="000000"/>
          <w:spacing w:val="0"/>
          <w:w w:val="100"/>
          <w:position w:val="0"/>
          <w:sz w:val="17"/>
          <w:szCs w:val="17"/>
        </w:rPr>
        <w:t>租赁》（财会</w:t>
      </w:r>
      <w:r>
        <w:rPr>
          <w:rFonts w:ascii="Arial Narrow" w:eastAsia="Arial Narrow" w:hAnsi="Arial Narrow" w:cs="Arial Narrow"/>
          <w:color w:val="000000"/>
          <w:spacing w:val="0"/>
          <w:w w:val="100"/>
          <w:position w:val="0"/>
          <w:sz w:val="18"/>
          <w:szCs w:val="18"/>
        </w:rPr>
        <w:t>[2018]35</w:t>
      </w:r>
      <w:r>
        <w:rPr>
          <w:color w:val="000000"/>
          <w:spacing w:val="0"/>
          <w:w w:val="100"/>
          <w:position w:val="0"/>
          <w:sz w:val="17"/>
          <w:szCs w:val="17"/>
        </w:rPr>
        <w:t>号）（以下简称“新租赁准则”）， 本公司</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日起执行新租赁准则。根据新租赁准则的相关规定，本公司对于首次执行本准则的累积影响数，调整 首次执行本准则当年年初留存收益及财务报表其他相关项目金额，不调整可比期间信息。执行新租赁准则对</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年期初报 表项目影响如下：</w:t>
      </w:r>
    </w:p>
    <w:tbl>
      <w:tblPr>
        <w:tblOverlap w:val="never"/>
        <w:jc w:val="center"/>
        <w:tblLayout w:type="fixed"/>
      </w:tblPr>
      <w:tblGrid>
        <w:gridCol w:w="3504"/>
        <w:gridCol w:w="3110"/>
        <w:gridCol w:w="2741"/>
      </w:tblGrid>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2021</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20"/>
                <w:szCs w:val="20"/>
              </w:rPr>
              <w:t>日</w:t>
            </w:r>
          </w:p>
        </w:tc>
      </w:tr>
      <w:tr>
        <w:trPr>
          <w:trHeight w:val="44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365,324,708.57</w:t>
            </w:r>
          </w:p>
        </w:tc>
      </w:tr>
      <w:tr>
        <w:trPr>
          <w:trHeight w:val="44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368,565,269.48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264,342,256.11</w:t>
            </w:r>
          </w:p>
        </w:tc>
      </w:tr>
      <w:tr>
        <w:trPr>
          <w:trHeight w:val="44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3,822,173,629.38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3,778,881,253.48</w:t>
            </w:r>
          </w:p>
        </w:tc>
      </w:tr>
      <w:tr>
        <w:trPr>
          <w:trHeight w:val="44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3,455,378,111.14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3,477,475,566.78</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222,754,514.80</w:t>
            </w:r>
          </w:p>
        </w:tc>
      </w:tr>
      <w:tr>
        <w:trPr>
          <w:trHeight w:val="4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3,125,872,550.73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3,098,829,899.59</w:t>
            </w:r>
          </w:p>
        </w:tc>
      </w:tr>
    </w:tbl>
    <w:p>
      <w:pPr>
        <w:pStyle w:val="Style25"/>
        <w:keepNext w:val="0"/>
        <w:keepLines w:val="0"/>
        <w:widowControl w:val="0"/>
        <w:shd w:val="clear" w:color="auto" w:fill="auto"/>
        <w:bidi w:val="0"/>
        <w:spacing w:before="0" w:after="0" w:line="240" w:lineRule="auto"/>
        <w:ind w:left="221"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）本报告期内无会计估计的变更。</w:t>
      </w:r>
    </w:p>
    <w:p>
      <w:pPr>
        <w:widowControl w:val="0"/>
        <w:spacing w:after="359" w:line="1" w:lineRule="exact"/>
      </w:pPr>
    </w:p>
    <w:p>
      <w:pPr>
        <w:pStyle w:val="Style8"/>
        <w:keepNext/>
        <w:keepLines/>
        <w:widowControl w:val="0"/>
        <w:shd w:val="clear" w:color="auto" w:fill="auto"/>
        <w:bidi w:val="0"/>
        <w:spacing w:before="0" w:after="160" w:line="240" w:lineRule="auto"/>
        <w:ind w:left="0" w:right="0" w:firstLine="440"/>
        <w:jc w:val="left"/>
        <w:rPr>
          <w:sz w:val="20"/>
          <w:szCs w:val="20"/>
        </w:rPr>
      </w:pPr>
      <w:bookmarkStart w:id="904" w:name="bookmark904"/>
      <w:bookmarkStart w:id="905" w:name="bookmark905"/>
      <w:bookmarkStart w:id="906" w:name="bookmark906"/>
      <w:bookmarkStart w:id="907" w:name="bookmark907"/>
      <w:r>
        <w:rPr>
          <w:color w:val="000000"/>
          <w:spacing w:val="0"/>
          <w:w w:val="100"/>
          <w:position w:val="0"/>
          <w:sz w:val="20"/>
          <w:szCs w:val="20"/>
        </w:rPr>
        <w:t>四</w:t>
      </w:r>
      <w:bookmarkEnd w:id="906"/>
      <w:r>
        <w:rPr>
          <w:color w:val="000000"/>
          <w:spacing w:val="0"/>
          <w:w w:val="100"/>
          <w:position w:val="0"/>
          <w:sz w:val="20"/>
          <w:szCs w:val="20"/>
        </w:rPr>
        <w:t>、税项</w:t>
      </w:r>
      <w:bookmarkEnd w:id="904"/>
      <w:bookmarkEnd w:id="905"/>
      <w:bookmarkEnd w:id="907"/>
      <w:r>
        <w:br w:type="page"/>
      </w:r>
    </w:p>
    <w:p>
      <w:pPr>
        <w:pStyle w:val="Style25"/>
        <w:keepNext w:val="0"/>
        <w:keepLines w:val="0"/>
        <w:widowControl w:val="0"/>
        <w:shd w:val="clear" w:color="auto" w:fill="auto"/>
        <w:bidi w:val="0"/>
        <w:spacing w:before="0" w:after="0" w:line="240" w:lineRule="auto"/>
        <w:ind w:left="389" w:right="0" w:firstLine="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、主要税种及税率</w:t>
      </w:r>
    </w:p>
    <w:tbl>
      <w:tblPr>
        <w:tblOverlap w:val="never"/>
        <w:jc w:val="center"/>
        <w:tblLayout w:type="fixed"/>
      </w:tblPr>
      <w:tblGrid>
        <w:gridCol w:w="2184"/>
        <w:gridCol w:w="4526"/>
        <w:gridCol w:w="2582"/>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税种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具体税率情况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税率</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 xml:space="preserve">应税收入按 </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9%</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13%</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16%</w:t>
            </w:r>
            <w:r>
              <w:rPr>
                <w:color w:val="000000"/>
                <w:spacing w:val="0"/>
                <w:w w:val="100"/>
                <w:position w:val="0"/>
                <w:sz w:val="17"/>
                <w:szCs w:val="17"/>
              </w:rPr>
              <w:t xml:space="preserve">、 </w:t>
            </w:r>
            <w:r>
              <w:rPr>
                <w:rFonts w:ascii="Arial Narrow" w:eastAsia="Arial Narrow" w:hAnsi="Arial Narrow" w:cs="Arial Narrow"/>
                <w:color w:val="000000"/>
                <w:spacing w:val="0"/>
                <w:w w:val="100"/>
                <w:position w:val="0"/>
                <w:sz w:val="18"/>
                <w:szCs w:val="18"/>
              </w:rPr>
              <w:t>17%</w:t>
            </w:r>
            <w:r>
              <w:rPr>
                <w:color w:val="000000"/>
                <w:spacing w:val="0"/>
                <w:w w:val="100"/>
                <w:position w:val="0"/>
                <w:sz w:val="17"/>
                <w:szCs w:val="17"/>
              </w:rPr>
              <w:t>的税率计算销项税，并按扣除当期允许抵扣的进项 税额后的差额计缴增值税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9%</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16%</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17%</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按实际缴纳的流转税及公司所在地政策计缴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7%</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按应纳税所得额的</w:t>
            </w:r>
            <w:r>
              <w:rPr>
                <w:rFonts w:ascii="Arial Narrow" w:eastAsia="Arial Narrow" w:hAnsi="Arial Narrow" w:cs="Arial Narrow"/>
                <w:color w:val="000000"/>
                <w:spacing w:val="0"/>
                <w:w w:val="100"/>
                <w:position w:val="0"/>
                <w:sz w:val="18"/>
                <w:szCs w:val="18"/>
              </w:rPr>
              <w:t>25%</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计缴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25%</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15%</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自用房产计税房产余额</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、从租房产租金收入计征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12%</w:t>
            </w:r>
          </w:p>
        </w:tc>
      </w:tr>
      <w:tr>
        <w:trPr>
          <w:trHeight w:val="66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耕地占用税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按占用耕地从事其他非农业建设或建房按土地所在地 政策计缴</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17"/>
        <w:keepNext w:val="0"/>
        <w:keepLines w:val="0"/>
        <w:widowControl w:val="0"/>
        <w:shd w:val="clear" w:color="auto" w:fill="auto"/>
        <w:bidi w:val="0"/>
        <w:spacing w:before="0" w:after="40" w:line="240" w:lineRule="auto"/>
        <w:ind w:left="0" w:right="0" w:firstLine="440"/>
        <w:jc w:val="left"/>
      </w:pPr>
      <w:r>
        <w:rPr>
          <w:color w:val="000000"/>
          <w:spacing w:val="0"/>
          <w:w w:val="100"/>
          <w:position w:val="0"/>
        </w:rPr>
        <w:t>不同所得税税率的纳税主体所得税税率披露情况说明</w:t>
      </w:r>
    </w:p>
    <w:tbl>
      <w:tblPr>
        <w:tblOverlap w:val="never"/>
        <w:jc w:val="center"/>
        <w:tblLayout w:type="fixed"/>
      </w:tblPr>
      <w:tblGrid>
        <w:gridCol w:w="4526"/>
        <w:gridCol w:w="2467"/>
        <w:gridCol w:w="2270"/>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纳税主体名称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级次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所得税率</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西藏东旭电力工程有限公司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四川东旭电力工程有限公司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宁夏盛唐太阳能科技有限公司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内蒙古昊庆新能源科技有限公司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会理弘吉新能源科技有限公司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宁夏菲斯克旭元新能源科技有限公司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星景生态环保科技（苏州）有限公司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东旭新能源投资有限公司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上海安轩自动化科技有限公司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安徽东旭大别山农业科技有限公司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7]</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北京中环鑫融科技有限公司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6]</w:t>
            </w:r>
          </w:p>
        </w:tc>
      </w:tr>
      <w:tr>
        <w:trPr>
          <w:trHeight w:val="42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安徽旭禾农业科技有限公司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延边旭农农业科技有限公司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天津旭红供应链管理有限公司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高密旭蓝新能源有限公司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山东东旭国山泰泉新能源科技有限公司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440"/>
        <w:jc w:val="left"/>
      </w:pPr>
      <w:r>
        <w:rPr>
          <w:b/>
          <w:bCs/>
          <w:color w:val="000000"/>
          <w:spacing w:val="0"/>
          <w:w w:val="100"/>
          <w:position w:val="0"/>
        </w:rPr>
        <w:t>［</w:t>
      </w:r>
      <w:r>
        <w:rPr>
          <w:color w:val="000000"/>
          <w:spacing w:val="0"/>
          <w:w w:val="100"/>
          <w:position w:val="0"/>
        </w:rPr>
        <w:t>注</w:t>
      </w:r>
      <w:r>
        <w:rPr>
          <w:b/>
          <w:bCs/>
          <w:color w:val="000000"/>
          <w:spacing w:val="0"/>
          <w:w w:val="100"/>
          <w:position w:val="0"/>
        </w:rPr>
        <w:t>1</w:t>
      </w:r>
      <w:r>
        <w:rPr>
          <w:color w:val="000000"/>
          <w:spacing w:val="0"/>
          <w:w w:val="100"/>
          <w:position w:val="0"/>
        </w:rPr>
        <w:t>、注</w:t>
      </w:r>
      <w:r>
        <w:rPr>
          <w:b/>
          <w:bCs/>
          <w:color w:val="000000"/>
          <w:spacing w:val="0"/>
          <w:w w:val="100"/>
          <w:position w:val="0"/>
        </w:rPr>
        <w:t>2</w:t>
      </w:r>
      <w:r>
        <w:rPr>
          <w:color w:val="000000"/>
          <w:spacing w:val="0"/>
          <w:w w:val="100"/>
          <w:position w:val="0"/>
        </w:rPr>
        <w:t>、注</w:t>
      </w:r>
      <w:r>
        <w:rPr>
          <w:b/>
          <w:bCs/>
          <w:color w:val="000000"/>
          <w:spacing w:val="0"/>
          <w:w w:val="100"/>
          <w:position w:val="0"/>
        </w:rPr>
        <w:t>3</w:t>
      </w:r>
      <w:r>
        <w:rPr>
          <w:color w:val="000000"/>
          <w:spacing w:val="0"/>
          <w:w w:val="100"/>
          <w:position w:val="0"/>
        </w:rPr>
        <w:t>、注</w:t>
      </w:r>
      <w:r>
        <w:rPr>
          <w:b/>
          <w:bCs/>
          <w:color w:val="000000"/>
          <w:spacing w:val="0"/>
          <w:w w:val="100"/>
          <w:position w:val="0"/>
        </w:rPr>
        <w:t>4</w:t>
      </w:r>
      <w:r>
        <w:rPr>
          <w:color w:val="000000"/>
          <w:spacing w:val="0"/>
          <w:w w:val="100"/>
          <w:position w:val="0"/>
        </w:rPr>
        <w:t>、注</w:t>
      </w:r>
      <w:r>
        <w:rPr>
          <w:b/>
          <w:bCs/>
          <w:color w:val="000000"/>
          <w:spacing w:val="0"/>
          <w:w w:val="100"/>
          <w:position w:val="0"/>
        </w:rPr>
        <w:t>5</w:t>
      </w:r>
      <w:r>
        <w:rPr>
          <w:color w:val="000000"/>
          <w:spacing w:val="0"/>
          <w:w w:val="100"/>
          <w:position w:val="0"/>
        </w:rPr>
        <w:t>、注</w:t>
      </w:r>
      <w:r>
        <w:rPr>
          <w:b/>
          <w:bCs/>
          <w:color w:val="000000"/>
          <w:spacing w:val="0"/>
          <w:w w:val="100"/>
          <w:position w:val="0"/>
        </w:rPr>
        <w:t>6</w:t>
      </w:r>
      <w:r>
        <w:rPr>
          <w:color w:val="000000"/>
          <w:spacing w:val="0"/>
          <w:w w:val="100"/>
          <w:position w:val="0"/>
        </w:rPr>
        <w:t>、注</w:t>
      </w:r>
      <w:r>
        <w:rPr>
          <w:b/>
          <w:bCs/>
          <w:color w:val="000000"/>
          <w:spacing w:val="0"/>
          <w:w w:val="100"/>
          <w:position w:val="0"/>
        </w:rPr>
        <w:t>7］</w:t>
      </w:r>
      <w:r>
        <w:rPr>
          <w:color w:val="000000"/>
          <w:spacing w:val="0"/>
          <w:w w:val="100"/>
          <w:position w:val="0"/>
        </w:rPr>
        <w:t>详见本附注四、</w:t>
      </w:r>
      <w:r>
        <w:rPr>
          <w:b/>
          <w:bCs/>
          <w:color w:val="000000"/>
          <w:spacing w:val="0"/>
          <w:w w:val="100"/>
          <w:position w:val="0"/>
        </w:rPr>
        <w:t>2</w:t>
      </w:r>
      <w:r>
        <w:rPr>
          <w:color w:val="000000"/>
          <w:spacing w:val="0"/>
          <w:w w:val="100"/>
          <w:position w:val="0"/>
        </w:rPr>
        <w:t>税项之税收优惠。</w:t>
      </w:r>
    </w:p>
    <w:p>
      <w:pPr>
        <w:pStyle w:val="Style17"/>
        <w:keepNext w:val="0"/>
        <w:keepLines w:val="0"/>
        <w:widowControl w:val="0"/>
        <w:shd w:val="clear" w:color="auto" w:fill="auto"/>
        <w:bidi w:val="0"/>
        <w:spacing w:before="0" w:after="120" w:line="240" w:lineRule="auto"/>
        <w:ind w:left="0" w:right="0" w:firstLine="440"/>
        <w:jc w:val="left"/>
      </w:pPr>
      <w:r>
        <w:rPr>
          <w:b/>
          <w:bCs/>
          <w:color w:val="000000"/>
          <w:spacing w:val="0"/>
          <w:w w:val="100"/>
          <w:position w:val="0"/>
        </w:rPr>
        <w:t>2</w:t>
      </w:r>
      <w:r>
        <w:rPr>
          <w:color w:val="000000"/>
          <w:spacing w:val="0"/>
          <w:w w:val="100"/>
          <w:position w:val="0"/>
        </w:rPr>
        <w:t>、税收优惠</w:t>
      </w:r>
    </w:p>
    <w:p>
      <w:pPr>
        <w:pStyle w:val="Style27"/>
        <w:keepNext w:val="0"/>
        <w:keepLines w:val="0"/>
        <w:widowControl w:val="0"/>
        <w:shd w:val="clear" w:color="auto" w:fill="auto"/>
        <w:bidi w:val="0"/>
        <w:spacing w:before="0" w:after="0" w:line="504" w:lineRule="exact"/>
        <w:ind w:left="0" w:right="0" w:firstLine="36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7"/>
          <w:szCs w:val="17"/>
        </w:rPr>
        <w:t>根据藏政发</w:t>
      </w:r>
      <w:r>
        <w:rPr>
          <w:rFonts w:ascii="Arial Narrow" w:eastAsia="Arial Narrow" w:hAnsi="Arial Narrow" w:cs="Arial Narrow"/>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021]9</w:t>
      </w:r>
      <w:r>
        <w:rPr>
          <w:color w:val="000000"/>
          <w:spacing w:val="0"/>
          <w:w w:val="100"/>
          <w:position w:val="0"/>
          <w:sz w:val="17"/>
          <w:szCs w:val="17"/>
        </w:rPr>
        <w:t>号《西藏自治区人民政府关于印发西藏自治区招商引资优惠政策若干规定的通知》规定，自</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日至</w:t>
      </w:r>
      <w:r>
        <w:rPr>
          <w:rFonts w:ascii="Arial Narrow" w:eastAsia="Arial Narrow" w:hAnsi="Arial Narrow" w:cs="Arial Narrow"/>
          <w:color w:val="000000"/>
          <w:spacing w:val="0"/>
          <w:w w:val="100"/>
          <w:position w:val="0"/>
          <w:sz w:val="18"/>
          <w:szCs w:val="18"/>
        </w:rPr>
        <w:t>2030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日，从事《西部地区鼓励类产业目录》产业且主营业务收入占企业收入总额</w:t>
      </w:r>
      <w:r>
        <w:rPr>
          <w:rFonts w:ascii="Arial Narrow" w:eastAsia="Arial Narrow" w:hAnsi="Arial Narrow" w:cs="Arial Narrow"/>
          <w:color w:val="000000"/>
          <w:spacing w:val="0"/>
          <w:w w:val="100"/>
          <w:position w:val="0"/>
          <w:sz w:val="18"/>
          <w:szCs w:val="18"/>
        </w:rPr>
        <w:t>60%（</w:t>
      </w:r>
      <w:r>
        <w:rPr>
          <w:color w:val="000000"/>
          <w:spacing w:val="0"/>
          <w:w w:val="100"/>
          <w:position w:val="0"/>
          <w:sz w:val="17"/>
          <w:szCs w:val="17"/>
        </w:rPr>
        <w:t>含本数</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以上的，执行 西部大开发</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的企业所得税税率。本公司全资子公司西藏东旭电力工程有限公司符合该政策，按</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税率缴纳企业所得税。</w:t>
      </w:r>
    </w:p>
    <w:p>
      <w:pPr>
        <w:pStyle w:val="Style27"/>
        <w:keepNext w:val="0"/>
        <w:keepLines w:val="0"/>
        <w:widowControl w:val="0"/>
        <w:shd w:val="clear" w:color="auto" w:fill="auto"/>
        <w:bidi w:val="0"/>
        <w:spacing w:before="0" w:after="0" w:line="504" w:lineRule="exact"/>
        <w:ind w:left="0" w:right="0" w:firstLine="36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7"/>
          <w:szCs w:val="17"/>
        </w:rPr>
        <w:t>根据财税</w:t>
      </w:r>
      <w:r>
        <w:rPr>
          <w:rFonts w:ascii="Arial Narrow" w:eastAsia="Arial Narrow" w:hAnsi="Arial Narrow" w:cs="Arial Narrow"/>
          <w:color w:val="000000"/>
          <w:spacing w:val="0"/>
          <w:w w:val="100"/>
          <w:position w:val="0"/>
          <w:sz w:val="18"/>
          <w:szCs w:val="18"/>
        </w:rPr>
        <w:t>[2011]58</w:t>
      </w:r>
      <w:r>
        <w:rPr>
          <w:color w:val="000000"/>
          <w:spacing w:val="0"/>
          <w:w w:val="100"/>
          <w:position w:val="0"/>
          <w:sz w:val="17"/>
          <w:szCs w:val="17"/>
        </w:rPr>
        <w:t>号、国家税务总局</w:t>
      </w:r>
      <w:r>
        <w:rPr>
          <w:rFonts w:ascii="Arial Narrow" w:eastAsia="Arial Narrow" w:hAnsi="Arial Narrow" w:cs="Arial Narrow"/>
          <w:color w:val="000000"/>
          <w:spacing w:val="0"/>
          <w:w w:val="100"/>
          <w:position w:val="0"/>
          <w:sz w:val="18"/>
          <w:szCs w:val="18"/>
        </w:rPr>
        <w:t>2012</w:t>
      </w:r>
      <w:r>
        <w:rPr>
          <w:color w:val="000000"/>
          <w:spacing w:val="0"/>
          <w:w w:val="100"/>
          <w:position w:val="0"/>
          <w:sz w:val="17"/>
          <w:szCs w:val="17"/>
        </w:rPr>
        <w:t>年第</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号公告规定，自</w:t>
      </w:r>
      <w:r>
        <w:rPr>
          <w:rFonts w:ascii="Arial Narrow" w:eastAsia="Arial Narrow" w:hAnsi="Arial Narrow" w:cs="Arial Narrow"/>
          <w:color w:val="000000"/>
          <w:spacing w:val="0"/>
          <w:w w:val="100"/>
          <w:position w:val="0"/>
          <w:sz w:val="18"/>
          <w:szCs w:val="18"/>
        </w:rPr>
        <w:t>2011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日至</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日，对设在 西部地区以《西部地区鼓励类产业目录》中规定的产业项目为主营业务，且其当年度主营业务收入占企业收入总额</w:t>
      </w:r>
      <w:r>
        <w:rPr>
          <w:rFonts w:ascii="Arial Narrow" w:eastAsia="Arial Narrow" w:hAnsi="Arial Narrow" w:cs="Arial Narrow"/>
          <w:color w:val="000000"/>
          <w:spacing w:val="0"/>
          <w:w w:val="100"/>
          <w:position w:val="0"/>
          <w:sz w:val="18"/>
          <w:szCs w:val="18"/>
        </w:rPr>
        <w:t>70</w:t>
      </w:r>
      <w:r>
        <w:rPr>
          <w:color w:val="000000"/>
          <w:spacing w:val="0"/>
          <w:w w:val="100"/>
          <w:position w:val="0"/>
          <w:sz w:val="17"/>
          <w:szCs w:val="17"/>
        </w:rPr>
        <w:t>%以 上的企业，可减按</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%税率缴纳企业所得税。根据《关于延续西部大开发企业所得税政策的公告》（财政部税务总局国家 发展改革委公告</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年第</w:t>
      </w:r>
      <w:r>
        <w:rPr>
          <w:rFonts w:ascii="Arial Narrow" w:eastAsia="Arial Narrow" w:hAnsi="Arial Narrow" w:cs="Arial Narrow"/>
          <w:color w:val="000000"/>
          <w:spacing w:val="0"/>
          <w:w w:val="100"/>
          <w:position w:val="0"/>
          <w:sz w:val="18"/>
          <w:szCs w:val="18"/>
        </w:rPr>
        <w:t>23</w:t>
      </w:r>
      <w:r>
        <w:rPr>
          <w:color w:val="000000"/>
          <w:spacing w:val="0"/>
          <w:w w:val="100"/>
          <w:position w:val="0"/>
          <w:sz w:val="17"/>
          <w:szCs w:val="17"/>
        </w:rPr>
        <w:t>号）规定，自</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日至</w:t>
      </w:r>
      <w:r>
        <w:rPr>
          <w:rFonts w:ascii="Arial Narrow" w:eastAsia="Arial Narrow" w:hAnsi="Arial Narrow" w:cs="Arial Narrow"/>
          <w:color w:val="000000"/>
          <w:spacing w:val="0"/>
          <w:w w:val="100"/>
          <w:position w:val="0"/>
          <w:sz w:val="18"/>
          <w:szCs w:val="18"/>
        </w:rPr>
        <w:t>2030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 xml:space="preserve">日，对设在西部地区的鼓励类产业企业减按 </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的税率征收企业所得税。本条所称鼓励类产业企业是指以《西部地区鼓励类产业目录》中规定的产业项目为主营业务， 且其主营业务收入占企业收入总额</w:t>
      </w:r>
      <w:r>
        <w:rPr>
          <w:rFonts w:ascii="Arial Narrow" w:eastAsia="Arial Narrow" w:hAnsi="Arial Narrow" w:cs="Arial Narrow"/>
          <w:color w:val="000000"/>
          <w:spacing w:val="0"/>
          <w:w w:val="100"/>
          <w:position w:val="0"/>
          <w:sz w:val="18"/>
          <w:szCs w:val="18"/>
        </w:rPr>
        <w:t>60%</w:t>
      </w:r>
      <w:r>
        <w:rPr>
          <w:color w:val="000000"/>
          <w:spacing w:val="0"/>
          <w:w w:val="100"/>
          <w:position w:val="0"/>
          <w:sz w:val="17"/>
          <w:szCs w:val="17"/>
        </w:rPr>
        <w:t>以上的企业。本公司全资子公司四川东旭电力工程有限公司、宁夏盛唐太阳能科技有 限公司、内蒙古昊庆新能源科技有限公司、会理弘吉新能源科技有限公司、宁夏菲斯克旭元新能源科技有限公司符合西部地 区税收优惠政策条件，按</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的税率缴纳企业所得税。</w:t>
      </w:r>
    </w:p>
    <w:p>
      <w:pPr>
        <w:pStyle w:val="Style27"/>
        <w:keepNext w:val="0"/>
        <w:keepLines w:val="0"/>
        <w:widowControl w:val="0"/>
        <w:shd w:val="clear" w:color="auto" w:fill="auto"/>
        <w:bidi w:val="0"/>
        <w:spacing w:before="0" w:after="0" w:line="504" w:lineRule="exact"/>
        <w:ind w:left="0" w:right="0" w:firstLine="36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r>
        <w:rPr>
          <w:color w:val="000000"/>
          <w:spacing w:val="0"/>
          <w:w w:val="100"/>
          <w:position w:val="0"/>
          <w:sz w:val="16"/>
          <w:szCs w:val="16"/>
        </w:rPr>
        <w:t>：</w:t>
      </w:r>
      <w:r>
        <w:rPr>
          <w:color w:val="000000"/>
          <w:spacing w:val="0"/>
          <w:w w:val="100"/>
          <w:position w:val="0"/>
          <w:sz w:val="17"/>
          <w:szCs w:val="17"/>
        </w:rPr>
        <w:t>根据《中华人民共和国企业所得税法》第二十八条，国家需要重点扶持的高新技术企业，减按</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的税率征收企 业所得税。</w:t>
      </w:r>
    </w:p>
    <w:p>
      <w:pPr>
        <w:pStyle w:val="Style27"/>
        <w:keepNext w:val="0"/>
        <w:keepLines w:val="0"/>
        <w:widowControl w:val="0"/>
        <w:shd w:val="clear" w:color="auto" w:fill="auto"/>
        <w:bidi w:val="0"/>
        <w:spacing w:before="0" w:after="0" w:line="504" w:lineRule="exact"/>
        <w:ind w:left="0" w:right="0" w:firstLine="360"/>
        <w:jc w:val="both"/>
        <w:rPr>
          <w:sz w:val="17"/>
          <w:szCs w:val="17"/>
        </w:rPr>
      </w:pPr>
      <w:r>
        <w:rPr>
          <w:color w:val="000000"/>
          <w:spacing w:val="0"/>
          <w:w w:val="100"/>
          <w:position w:val="0"/>
          <w:sz w:val="17"/>
          <w:szCs w:val="17"/>
        </w:rPr>
        <w:t>本公司全资子公司星景生态环保科技</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苏州</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有限公司于</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日取得了江苏省科学技术厅、江苏省财政厅、江 苏省国家税务局、江苏省地方税务局联合下发的</w:t>
      </w:r>
      <w:r>
        <w:rPr>
          <w:rFonts w:ascii="Arial Narrow" w:eastAsia="Arial Narrow" w:hAnsi="Arial Narrow" w:cs="Arial Narrow"/>
          <w:color w:val="000000"/>
          <w:spacing w:val="0"/>
          <w:w w:val="100"/>
          <w:position w:val="0"/>
          <w:sz w:val="18"/>
          <w:szCs w:val="18"/>
        </w:rPr>
        <w:t>GR202032005542</w:t>
      </w:r>
      <w:r>
        <w:rPr>
          <w:color w:val="000000"/>
          <w:spacing w:val="0"/>
          <w:w w:val="100"/>
          <w:position w:val="0"/>
          <w:sz w:val="17"/>
          <w:szCs w:val="17"/>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，自 发证之日起，有效期三年。</w:t>
      </w:r>
    </w:p>
    <w:p>
      <w:pPr>
        <w:pStyle w:val="Style27"/>
        <w:keepNext w:val="0"/>
        <w:keepLines w:val="0"/>
        <w:widowControl w:val="0"/>
        <w:shd w:val="clear" w:color="auto" w:fill="auto"/>
        <w:bidi w:val="0"/>
        <w:spacing w:before="0" w:after="0" w:line="504" w:lineRule="exact"/>
        <w:ind w:left="0" w:right="0" w:firstLine="360"/>
        <w:jc w:val="both"/>
        <w:rPr>
          <w:sz w:val="17"/>
          <w:szCs w:val="17"/>
        </w:rPr>
      </w:pPr>
      <w:r>
        <w:rPr>
          <w:color w:val="000000"/>
          <w:spacing w:val="0"/>
          <w:w w:val="100"/>
          <w:position w:val="0"/>
          <w:sz w:val="17"/>
          <w:szCs w:val="17"/>
        </w:rPr>
        <w:t>本公司全资子公司东旭新能源投资有限公司于</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24</w:t>
      </w:r>
      <w:r>
        <w:rPr>
          <w:color w:val="000000"/>
          <w:spacing w:val="0"/>
          <w:w w:val="100"/>
          <w:position w:val="0"/>
          <w:sz w:val="17"/>
          <w:szCs w:val="17"/>
        </w:rPr>
        <w:t>日取得了北京市科学技术委员会、北京市财政局、国家税 务总局北京市税务局联合下发的</w:t>
      </w:r>
      <w:r>
        <w:rPr>
          <w:rFonts w:ascii="Arial Narrow" w:eastAsia="Arial Narrow" w:hAnsi="Arial Narrow" w:cs="Arial Narrow"/>
          <w:color w:val="000000"/>
          <w:spacing w:val="0"/>
          <w:w w:val="100"/>
          <w:position w:val="0"/>
          <w:sz w:val="18"/>
          <w:szCs w:val="18"/>
        </w:rPr>
        <w:t>20212020093707</w:t>
      </w:r>
      <w:r>
        <w:rPr>
          <w:color w:val="000000"/>
          <w:spacing w:val="0"/>
          <w:w w:val="100"/>
          <w:position w:val="0"/>
          <w:sz w:val="17"/>
          <w:szCs w:val="17"/>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,自发证之日起，有 效期三年。</w:t>
      </w:r>
    </w:p>
    <w:p>
      <w:pPr>
        <w:pStyle w:val="Style27"/>
        <w:keepNext w:val="0"/>
        <w:keepLines w:val="0"/>
        <w:widowControl w:val="0"/>
        <w:shd w:val="clear" w:color="auto" w:fill="auto"/>
        <w:bidi w:val="0"/>
        <w:spacing w:before="0" w:after="0" w:line="504" w:lineRule="exact"/>
        <w:ind w:left="0" w:right="0" w:firstLine="360"/>
        <w:jc w:val="both"/>
        <w:rPr>
          <w:sz w:val="17"/>
          <w:szCs w:val="17"/>
        </w:rPr>
      </w:pPr>
      <w:r>
        <w:rPr>
          <w:color w:val="000000"/>
          <w:spacing w:val="0"/>
          <w:w w:val="100"/>
          <w:position w:val="0"/>
          <w:sz w:val="17"/>
          <w:szCs w:val="17"/>
        </w:rPr>
        <w:t>本公司持股</w:t>
      </w:r>
      <w:r>
        <w:rPr>
          <w:rFonts w:ascii="Arial Narrow" w:eastAsia="Arial Narrow" w:hAnsi="Arial Narrow" w:cs="Arial Narrow"/>
          <w:color w:val="000000"/>
          <w:spacing w:val="0"/>
          <w:w w:val="100"/>
          <w:position w:val="0"/>
          <w:sz w:val="18"/>
          <w:szCs w:val="18"/>
        </w:rPr>
        <w:t>51%</w:t>
      </w:r>
      <w:r>
        <w:rPr>
          <w:color w:val="000000"/>
          <w:spacing w:val="0"/>
          <w:w w:val="100"/>
          <w:position w:val="0"/>
          <w:sz w:val="17"/>
          <w:szCs w:val="17"/>
        </w:rPr>
        <w:t>子公司上海安轩自动化科技有限公司于</w:t>
      </w:r>
      <w:r>
        <w:rPr>
          <w:rFonts w:ascii="Arial Narrow" w:eastAsia="Arial Narrow" w:hAnsi="Arial Narrow" w:cs="Arial Narrow"/>
          <w:color w:val="000000"/>
          <w:spacing w:val="0"/>
          <w:w w:val="100"/>
          <w:position w:val="0"/>
          <w:sz w:val="18"/>
          <w:szCs w:val="18"/>
        </w:rPr>
        <w:t>2019</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日取得了上海市科学技术委员会、上海市财政局、 国家税务总局上海市税务局联合下发的</w:t>
      </w:r>
      <w:r>
        <w:rPr>
          <w:rFonts w:ascii="Arial Narrow" w:eastAsia="Arial Narrow" w:hAnsi="Arial Narrow" w:cs="Arial Narrow"/>
          <w:color w:val="000000"/>
          <w:spacing w:val="0"/>
          <w:w w:val="100"/>
          <w:position w:val="0"/>
          <w:sz w:val="18"/>
          <w:szCs w:val="18"/>
        </w:rPr>
        <w:t>GR201931004536</w:t>
      </w:r>
      <w:r>
        <w:rPr>
          <w:color w:val="000000"/>
          <w:spacing w:val="0"/>
          <w:w w:val="100"/>
          <w:position w:val="0"/>
          <w:sz w:val="17"/>
          <w:szCs w:val="17"/>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,自发证之日 起，有效期三年。</w:t>
      </w:r>
    </w:p>
    <w:p>
      <w:pPr>
        <w:pStyle w:val="Style27"/>
        <w:keepNext w:val="0"/>
        <w:keepLines w:val="0"/>
        <w:widowControl w:val="0"/>
        <w:shd w:val="clear" w:color="auto" w:fill="auto"/>
        <w:bidi w:val="0"/>
        <w:spacing w:before="0" w:after="0" w:line="504" w:lineRule="exact"/>
        <w:ind w:left="0" w:right="0" w:firstLine="360"/>
        <w:jc w:val="both"/>
        <w:rPr>
          <w:sz w:val="17"/>
          <w:szCs w:val="17"/>
        </w:rPr>
      </w:pPr>
      <w:r>
        <w:rPr>
          <w:color w:val="000000"/>
          <w:spacing w:val="0"/>
          <w:w w:val="100"/>
          <w:position w:val="0"/>
          <w:sz w:val="17"/>
          <w:szCs w:val="17"/>
        </w:rPr>
        <w:t>本公司全资子公司安徽东旭大别山农业科技有限公司</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8</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17</w:t>
      </w:r>
      <w:r>
        <w:rPr>
          <w:color w:val="000000"/>
          <w:spacing w:val="0"/>
          <w:w w:val="100"/>
          <w:position w:val="0"/>
          <w:sz w:val="17"/>
          <w:szCs w:val="17"/>
        </w:rPr>
        <w:t>日取得了安徽省科学技术厅、安徽省财政厅、国家 税务总局安徽省税务局联合下发的</w:t>
      </w:r>
      <w:r>
        <w:rPr>
          <w:rFonts w:ascii="Arial Narrow" w:eastAsia="Arial Narrow" w:hAnsi="Arial Narrow" w:cs="Arial Narrow"/>
          <w:color w:val="000000"/>
          <w:spacing w:val="0"/>
          <w:w w:val="100"/>
          <w:position w:val="0"/>
          <w:sz w:val="18"/>
          <w:szCs w:val="18"/>
        </w:rPr>
        <w:t>GR202034001360</w:t>
      </w:r>
      <w:r>
        <w:rPr>
          <w:color w:val="000000"/>
          <w:spacing w:val="0"/>
          <w:w w:val="100"/>
          <w:position w:val="0"/>
          <w:sz w:val="17"/>
          <w:szCs w:val="17"/>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,自发证之日起， 有效期三年。</w:t>
      </w:r>
    </w:p>
    <w:p>
      <w:pPr>
        <w:pStyle w:val="Style27"/>
        <w:keepNext w:val="0"/>
        <w:keepLines w:val="0"/>
        <w:widowControl w:val="0"/>
        <w:shd w:val="clear" w:color="auto" w:fill="auto"/>
        <w:bidi w:val="0"/>
        <w:spacing w:before="0" w:line="504" w:lineRule="exact"/>
        <w:ind w:left="0" w:right="0" w:firstLine="360"/>
        <w:jc w:val="both"/>
        <w:rPr>
          <w:sz w:val="17"/>
          <w:szCs w:val="17"/>
        </w:rPr>
      </w:pPr>
      <w:r>
        <w:rPr>
          <w:color w:val="000000"/>
          <w:spacing w:val="0"/>
          <w:w w:val="100"/>
          <w:position w:val="0"/>
          <w:sz w:val="17"/>
          <w:szCs w:val="17"/>
        </w:rPr>
        <w:t>本公司全资子公司于</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 xml:space="preserve">日取得了北京市科学技术委员会、北京市财政局、国家税务总局北京市税务局联 </w:t>
      </w:r>
      <w:r>
        <w:rPr>
          <w:color w:val="000000"/>
          <w:spacing w:val="0"/>
          <w:w w:val="100"/>
          <w:position w:val="0"/>
          <w:sz w:val="17"/>
          <w:szCs w:val="17"/>
        </w:rPr>
        <w:t>合下发的</w:t>
      </w:r>
      <w:r>
        <w:rPr>
          <w:rFonts w:ascii="Arial Narrow" w:eastAsia="Arial Narrow" w:hAnsi="Arial Narrow" w:cs="Arial Narrow"/>
          <w:color w:val="000000"/>
          <w:spacing w:val="0"/>
          <w:w w:val="100"/>
          <w:position w:val="0"/>
          <w:sz w:val="18"/>
          <w:szCs w:val="18"/>
        </w:rPr>
        <w:t>GR202011004082</w:t>
      </w:r>
      <w:r>
        <w:rPr>
          <w:color w:val="000000"/>
          <w:spacing w:val="0"/>
          <w:w w:val="100"/>
          <w:position w:val="0"/>
          <w:sz w:val="17"/>
          <w:szCs w:val="17"/>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,自发证之日起，有效期三年。</w:t>
      </w:r>
    </w:p>
    <w:p>
      <w:pPr>
        <w:pStyle w:val="Style27"/>
        <w:keepNext w:val="0"/>
        <w:keepLines w:val="0"/>
        <w:widowControl w:val="0"/>
        <w:shd w:val="clear" w:color="auto" w:fill="auto"/>
        <w:bidi w:val="0"/>
        <w:spacing w:before="0" w:after="0" w:line="503" w:lineRule="exact"/>
        <w:ind w:left="140" w:right="0" w:firstLine="38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r>
        <w:rPr>
          <w:color w:val="000000"/>
          <w:spacing w:val="0"/>
          <w:w w:val="100"/>
          <w:position w:val="0"/>
          <w:sz w:val="16"/>
          <w:szCs w:val="16"/>
        </w:rPr>
        <w:t>：</w:t>
      </w:r>
      <w:r>
        <w:rPr>
          <w:color w:val="000000"/>
          <w:spacing w:val="0"/>
          <w:w w:val="100"/>
          <w:position w:val="0"/>
          <w:sz w:val="17"/>
          <w:szCs w:val="17"/>
        </w:rPr>
        <w:t>根据财税</w:t>
      </w:r>
      <w:r>
        <w:rPr>
          <w:rFonts w:ascii="Arial Narrow" w:eastAsia="Arial Narrow" w:hAnsi="Arial Narrow" w:cs="Arial Narrow"/>
          <w:color w:val="000000"/>
          <w:spacing w:val="0"/>
          <w:w w:val="100"/>
          <w:position w:val="0"/>
          <w:sz w:val="18"/>
          <w:szCs w:val="18"/>
        </w:rPr>
        <w:t xml:space="preserve">[2008] </w:t>
      </w:r>
      <w:r>
        <w:rPr>
          <w:rFonts w:ascii="Arial Narrow" w:eastAsia="Arial Narrow" w:hAnsi="Arial Narrow" w:cs="Arial Narrow"/>
          <w:color w:val="000000"/>
          <w:spacing w:val="0"/>
          <w:w w:val="100"/>
          <w:position w:val="0"/>
          <w:sz w:val="18"/>
          <w:szCs w:val="18"/>
        </w:rPr>
        <w:t>116</w:t>
      </w:r>
      <w:r>
        <w:rPr>
          <w:color w:val="000000"/>
          <w:spacing w:val="0"/>
          <w:w w:val="100"/>
          <w:position w:val="0"/>
          <w:sz w:val="17"/>
          <w:szCs w:val="17"/>
        </w:rPr>
        <w:t>号、国税发</w:t>
      </w:r>
      <w:r>
        <w:rPr>
          <w:rFonts w:ascii="Arial Narrow" w:eastAsia="Arial Narrow" w:hAnsi="Arial Narrow" w:cs="Arial Narrow"/>
          <w:color w:val="000000"/>
          <w:spacing w:val="0"/>
          <w:w w:val="100"/>
          <w:position w:val="0"/>
          <w:sz w:val="18"/>
          <w:szCs w:val="18"/>
        </w:rPr>
        <w:t xml:space="preserve">[2009] </w:t>
      </w:r>
      <w:r>
        <w:rPr>
          <w:rFonts w:ascii="Arial Narrow" w:eastAsia="Arial Narrow" w:hAnsi="Arial Narrow" w:cs="Arial Narrow"/>
          <w:color w:val="000000"/>
          <w:spacing w:val="0"/>
          <w:w w:val="100"/>
          <w:position w:val="0"/>
          <w:sz w:val="18"/>
          <w:szCs w:val="18"/>
        </w:rPr>
        <w:t>80</w:t>
      </w:r>
      <w:r>
        <w:rPr>
          <w:color w:val="000000"/>
          <w:spacing w:val="0"/>
          <w:w w:val="100"/>
          <w:position w:val="0"/>
          <w:sz w:val="17"/>
          <w:szCs w:val="17"/>
        </w:rPr>
        <w:t>号文件规定，从事符合《公共基础设施项目企业所得税优惠目录》规定 范围、条件和标准的公共基础设施项目的投资经营所得，自该项目取得第一笔生产经营收入所属纳税年度起，第一年至第三 年免征企业所得税，第四年至第六年减半征收企业所得税。本公司电站系经政府投资主管部门核准的太阳能发电项目</w:t>
      </w:r>
      <w:r>
        <w:rPr>
          <w:color w:val="000000"/>
          <w:spacing w:val="0"/>
          <w:w w:val="100"/>
          <w:position w:val="0"/>
          <w:sz w:val="22"/>
          <w:szCs w:val="22"/>
        </w:rPr>
        <w:t>，</w:t>
      </w:r>
      <w:r>
        <w:rPr>
          <w:color w:val="000000"/>
          <w:spacing w:val="0"/>
          <w:w w:val="100"/>
          <w:position w:val="0"/>
          <w:sz w:val="17"/>
          <w:szCs w:val="17"/>
        </w:rPr>
        <w:t>属于 公共基础设施项目，项目公司可以享受光伏电站所得税“三免三减半”的税收优惠政策。本公司电站系经政府投资主管部门 核准的太阳能发电项目</w:t>
      </w:r>
      <w:r>
        <w:rPr>
          <w:color w:val="000000"/>
          <w:spacing w:val="0"/>
          <w:w w:val="100"/>
          <w:position w:val="0"/>
          <w:sz w:val="22"/>
          <w:szCs w:val="22"/>
        </w:rPr>
        <w:t>，</w:t>
      </w:r>
      <w:r>
        <w:rPr>
          <w:color w:val="000000"/>
          <w:spacing w:val="0"/>
          <w:w w:val="100"/>
          <w:position w:val="0"/>
          <w:sz w:val="17"/>
          <w:szCs w:val="17"/>
        </w:rPr>
        <w:t>属于公共基础设施项目，项目公司可以享受光伏电站所得税“三免三减半”的税收优惠政策。</w:t>
      </w:r>
    </w:p>
    <w:p>
      <w:pPr>
        <w:pStyle w:val="Style27"/>
        <w:keepNext w:val="0"/>
        <w:keepLines w:val="0"/>
        <w:widowControl w:val="0"/>
        <w:shd w:val="clear" w:color="auto" w:fill="auto"/>
        <w:bidi w:val="0"/>
        <w:spacing w:before="0" w:after="0" w:line="503" w:lineRule="exact"/>
        <w:ind w:left="140" w:right="0" w:firstLine="38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r>
        <w:rPr>
          <w:color w:val="000000"/>
          <w:spacing w:val="0"/>
          <w:w w:val="100"/>
          <w:position w:val="0"/>
          <w:sz w:val="16"/>
          <w:szCs w:val="16"/>
        </w:rPr>
        <w:t>：</w:t>
      </w:r>
      <w:r>
        <w:rPr>
          <w:color w:val="000000"/>
          <w:spacing w:val="0"/>
          <w:w w:val="100"/>
          <w:position w:val="0"/>
          <w:sz w:val="17"/>
          <w:szCs w:val="17"/>
        </w:rPr>
        <w:t>根据《关于落实支持小型微利企业和个体工商户发展所得税优惠政策有关事项的公告》（国家税务总局公告</w:t>
      </w: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年第</w:t>
      </w:r>
      <w:r>
        <w:rPr>
          <w:rFonts w:ascii="Arial Narrow" w:eastAsia="Arial Narrow" w:hAnsi="Arial Narrow" w:cs="Arial Narrow"/>
          <w:color w:val="000000"/>
          <w:spacing w:val="0"/>
          <w:w w:val="100"/>
          <w:position w:val="0"/>
          <w:sz w:val="18"/>
          <w:szCs w:val="18"/>
        </w:rPr>
        <w:t>8</w:t>
      </w:r>
      <w:r>
        <w:rPr>
          <w:color w:val="000000"/>
          <w:spacing w:val="0"/>
          <w:w w:val="100"/>
          <w:position w:val="0"/>
          <w:sz w:val="17"/>
          <w:szCs w:val="17"/>
        </w:rPr>
        <w:t>号），自</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日至</w:t>
      </w:r>
      <w:r>
        <w:rPr>
          <w:rFonts w:ascii="Arial Narrow" w:eastAsia="Arial Narrow" w:hAnsi="Arial Narrow" w:cs="Arial Narrow"/>
          <w:color w:val="000000"/>
          <w:spacing w:val="0"/>
          <w:w w:val="100"/>
          <w:position w:val="0"/>
          <w:sz w:val="18"/>
          <w:szCs w:val="18"/>
        </w:rPr>
        <w:t>2022</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日，对小型微利企业年应纳税所得额不超过</w:t>
      </w:r>
      <w:r>
        <w:rPr>
          <w:rFonts w:ascii="Arial Narrow" w:eastAsia="Arial Narrow" w:hAnsi="Arial Narrow" w:cs="Arial Narrow"/>
          <w:color w:val="000000"/>
          <w:spacing w:val="0"/>
          <w:w w:val="100"/>
          <w:position w:val="0"/>
          <w:sz w:val="18"/>
          <w:szCs w:val="18"/>
        </w:rPr>
        <w:t>100</w:t>
      </w:r>
      <w:r>
        <w:rPr>
          <w:color w:val="000000"/>
          <w:spacing w:val="0"/>
          <w:w w:val="100"/>
          <w:position w:val="0"/>
          <w:sz w:val="17"/>
          <w:szCs w:val="17"/>
        </w:rPr>
        <w:t>万元的部分，减按</w:t>
      </w:r>
      <w:r>
        <w:rPr>
          <w:rFonts w:ascii="Arial Narrow" w:eastAsia="Arial Narrow" w:hAnsi="Arial Narrow" w:cs="Arial Narrow"/>
          <w:color w:val="000000"/>
          <w:spacing w:val="0"/>
          <w:w w:val="100"/>
          <w:position w:val="0"/>
          <w:sz w:val="18"/>
          <w:szCs w:val="18"/>
        </w:rPr>
        <w:t xml:space="preserve">12.5% </w:t>
      </w:r>
      <w:r>
        <w:rPr>
          <w:color w:val="000000"/>
          <w:spacing w:val="0"/>
          <w:w w:val="100"/>
          <w:position w:val="0"/>
          <w:sz w:val="17"/>
          <w:szCs w:val="17"/>
        </w:rPr>
        <w:t>计入应纳税所得额，按</w:t>
      </w:r>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的税率缴纳企业所得税。根据财政部、税务总局《关于实施小微企业普惠性税收减免政策的通知》 （财税〔</w:t>
      </w:r>
      <w:r>
        <w:rPr>
          <w:rFonts w:ascii="Arial Narrow" w:eastAsia="Arial Narrow" w:hAnsi="Arial Narrow" w:cs="Arial Narrow"/>
          <w:color w:val="000000"/>
          <w:spacing w:val="0"/>
          <w:w w:val="100"/>
          <w:position w:val="0"/>
          <w:sz w:val="18"/>
          <w:szCs w:val="18"/>
        </w:rPr>
        <w:t>2019</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13</w:t>
      </w:r>
      <w:r>
        <w:rPr>
          <w:color w:val="000000"/>
          <w:spacing w:val="0"/>
          <w:w w:val="100"/>
          <w:position w:val="0"/>
          <w:sz w:val="17"/>
          <w:szCs w:val="17"/>
        </w:rPr>
        <w:t>号），自</w:t>
      </w:r>
      <w:r>
        <w:rPr>
          <w:rFonts w:ascii="Arial Narrow" w:eastAsia="Arial Narrow" w:hAnsi="Arial Narrow" w:cs="Arial Narrow"/>
          <w:color w:val="000000"/>
          <w:spacing w:val="0"/>
          <w:w w:val="100"/>
          <w:position w:val="0"/>
          <w:sz w:val="18"/>
          <w:szCs w:val="18"/>
        </w:rPr>
        <w:t>2019</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日至</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日，对小型微利企业年应纳税所得额超过</w:t>
      </w:r>
      <w:r>
        <w:rPr>
          <w:rFonts w:ascii="Arial Narrow" w:eastAsia="Arial Narrow" w:hAnsi="Arial Narrow" w:cs="Arial Narrow"/>
          <w:color w:val="000000"/>
          <w:spacing w:val="0"/>
          <w:w w:val="100"/>
          <w:position w:val="0"/>
          <w:sz w:val="18"/>
          <w:szCs w:val="18"/>
        </w:rPr>
        <w:t>100</w:t>
      </w:r>
      <w:r>
        <w:rPr>
          <w:color w:val="000000"/>
          <w:spacing w:val="0"/>
          <w:w w:val="100"/>
          <w:position w:val="0"/>
          <w:sz w:val="17"/>
          <w:szCs w:val="17"/>
        </w:rPr>
        <w:t>万元但不超过</w:t>
      </w:r>
      <w:r>
        <w:rPr>
          <w:rFonts w:ascii="Arial Narrow" w:eastAsia="Arial Narrow" w:hAnsi="Arial Narrow" w:cs="Arial Narrow"/>
          <w:color w:val="000000"/>
          <w:spacing w:val="0"/>
          <w:w w:val="100"/>
          <w:position w:val="0"/>
          <w:sz w:val="18"/>
          <w:szCs w:val="18"/>
        </w:rPr>
        <w:t xml:space="preserve">300 </w:t>
      </w:r>
      <w:r>
        <w:rPr>
          <w:color w:val="000000"/>
          <w:spacing w:val="0"/>
          <w:w w:val="100"/>
          <w:position w:val="0"/>
          <w:sz w:val="17"/>
          <w:szCs w:val="17"/>
        </w:rPr>
        <w:t>万元的部分，减按</w:t>
      </w:r>
      <w:r>
        <w:rPr>
          <w:rFonts w:ascii="Arial Narrow" w:eastAsia="Arial Narrow" w:hAnsi="Arial Narrow" w:cs="Arial Narrow"/>
          <w:color w:val="000000"/>
          <w:spacing w:val="0"/>
          <w:w w:val="100"/>
          <w:position w:val="0"/>
          <w:sz w:val="18"/>
          <w:szCs w:val="18"/>
        </w:rPr>
        <w:t>50%</w:t>
      </w:r>
      <w:r>
        <w:rPr>
          <w:color w:val="000000"/>
          <w:spacing w:val="0"/>
          <w:w w:val="100"/>
          <w:position w:val="0"/>
          <w:sz w:val="17"/>
          <w:szCs w:val="17"/>
        </w:rPr>
        <w:t>计入应纳税所得额，按</w:t>
      </w:r>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的税率缴纳企业所得税。安徽旭禾农业科技有限公司、延边旭农农业科技 有限公司、天津旭红供应链管理有限公司、高密旭蓝新能源有限公司等可享受该优惠政策。</w:t>
      </w:r>
    </w:p>
    <w:p>
      <w:pPr>
        <w:pStyle w:val="Style27"/>
        <w:keepNext w:val="0"/>
        <w:keepLines w:val="0"/>
        <w:widowControl w:val="0"/>
        <w:shd w:val="clear" w:color="auto" w:fill="auto"/>
        <w:bidi w:val="0"/>
        <w:spacing w:before="0" w:after="0" w:line="503" w:lineRule="exact"/>
        <w:ind w:left="140" w:right="0" w:firstLine="38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6</w:t>
      </w:r>
      <w:r>
        <w:rPr>
          <w:color w:val="000000"/>
          <w:spacing w:val="0"/>
          <w:w w:val="100"/>
          <w:position w:val="0"/>
          <w:sz w:val="16"/>
          <w:szCs w:val="16"/>
        </w:rPr>
        <w:t>：</w:t>
      </w:r>
      <w:r>
        <w:rPr>
          <w:color w:val="000000"/>
          <w:spacing w:val="0"/>
          <w:w w:val="100"/>
          <w:position w:val="0"/>
          <w:sz w:val="17"/>
          <w:szCs w:val="17"/>
        </w:rPr>
        <w:t>根据《财政部税务总局海关总署关于深化增值税改革有关政策的公告》（财政部税务总局海关总署公告</w:t>
      </w: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sz w:val="17"/>
          <w:szCs w:val="17"/>
        </w:rPr>
        <w:t>年第</w:t>
      </w:r>
      <w:r>
        <w:rPr>
          <w:rFonts w:ascii="Arial Narrow" w:eastAsia="Arial Narrow" w:hAnsi="Arial Narrow" w:cs="Arial Narrow"/>
          <w:color w:val="000000"/>
          <w:spacing w:val="0"/>
          <w:w w:val="100"/>
          <w:position w:val="0"/>
          <w:sz w:val="18"/>
          <w:szCs w:val="18"/>
        </w:rPr>
        <w:t>39</w:t>
      </w:r>
      <w:r>
        <w:rPr>
          <w:color w:val="000000"/>
          <w:spacing w:val="0"/>
          <w:w w:val="100"/>
          <w:position w:val="0"/>
          <w:sz w:val="17"/>
          <w:szCs w:val="17"/>
        </w:rPr>
        <w:t>号）规定，自</w:t>
      </w:r>
      <w:r>
        <w:rPr>
          <w:rFonts w:ascii="Arial Narrow" w:eastAsia="Arial Narrow" w:hAnsi="Arial Narrow" w:cs="Arial Narrow"/>
          <w:color w:val="000000"/>
          <w:spacing w:val="0"/>
          <w:w w:val="100"/>
          <w:position w:val="0"/>
          <w:sz w:val="18"/>
          <w:szCs w:val="18"/>
        </w:rPr>
        <w:t>2019</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日至</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日，生产、生活性服务业纳税人按照当期可抵扣进项税额加计</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 抵减应纳税额。本公司全资子公司东旭新能源投资有限公司、北京中环鑫融科技有限公司、东旭蓝天智慧能源科技有限公司 享受上述税收优惠政策。</w:t>
      </w:r>
    </w:p>
    <w:p>
      <w:pPr>
        <w:pStyle w:val="Style27"/>
        <w:keepNext w:val="0"/>
        <w:keepLines w:val="0"/>
        <w:widowControl w:val="0"/>
        <w:shd w:val="clear" w:color="auto" w:fill="auto"/>
        <w:bidi w:val="0"/>
        <w:spacing w:before="0" w:after="0" w:line="503" w:lineRule="exact"/>
        <w:ind w:left="140" w:right="0" w:firstLine="38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7</w:t>
      </w:r>
      <w:r>
        <w:rPr>
          <w:color w:val="000000"/>
          <w:spacing w:val="0"/>
          <w:w w:val="100"/>
          <w:position w:val="0"/>
          <w:sz w:val="17"/>
          <w:szCs w:val="17"/>
        </w:rPr>
        <w:t>：根据《财政部税务总局海关总署关于深化增值税改革有关政策的公告》（财政部税务总局海关总署公告</w:t>
      </w: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sz w:val="17"/>
          <w:szCs w:val="17"/>
        </w:rPr>
        <w:t>年第</w:t>
      </w:r>
      <w:r>
        <w:rPr>
          <w:rFonts w:ascii="Arial Narrow" w:eastAsia="Arial Narrow" w:hAnsi="Arial Narrow" w:cs="Arial Narrow"/>
          <w:color w:val="000000"/>
          <w:spacing w:val="0"/>
          <w:w w:val="100"/>
          <w:position w:val="0"/>
          <w:sz w:val="18"/>
          <w:szCs w:val="18"/>
        </w:rPr>
        <w:t>39</w:t>
      </w:r>
      <w:r>
        <w:rPr>
          <w:color w:val="000000"/>
          <w:spacing w:val="0"/>
          <w:w w:val="100"/>
          <w:position w:val="0"/>
          <w:sz w:val="17"/>
          <w:szCs w:val="17"/>
        </w:rPr>
        <w:t>号）规定，自</w:t>
      </w:r>
      <w:r>
        <w:rPr>
          <w:rFonts w:ascii="Arial Narrow" w:eastAsia="Arial Narrow" w:hAnsi="Arial Narrow" w:cs="Arial Narrow"/>
          <w:color w:val="000000"/>
          <w:spacing w:val="0"/>
          <w:w w:val="100"/>
          <w:position w:val="0"/>
          <w:sz w:val="18"/>
          <w:szCs w:val="18"/>
        </w:rPr>
        <w:t>2019</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日起，试行增值税期末留抵税额退税制度。本公司全资子公司安徽东旭大别山农业科技 有限公司、团风旭通新能源有限公司、湖北东旭泰泉新能源科技有限公司享受该优惠政策。</w:t>
      </w:r>
    </w:p>
    <w:p>
      <w:pPr>
        <w:pStyle w:val="Style8"/>
        <w:keepNext/>
        <w:keepLines/>
        <w:widowControl w:val="0"/>
        <w:shd w:val="clear" w:color="auto" w:fill="auto"/>
        <w:bidi w:val="0"/>
        <w:spacing w:before="0" w:after="0" w:line="503" w:lineRule="exact"/>
        <w:ind w:left="0" w:right="0" w:firstLine="500"/>
        <w:jc w:val="both"/>
        <w:rPr>
          <w:sz w:val="20"/>
          <w:szCs w:val="20"/>
        </w:rPr>
      </w:pPr>
      <w:bookmarkStart w:id="908" w:name="bookmark908"/>
      <w:bookmarkStart w:id="909" w:name="bookmark909"/>
      <w:bookmarkStart w:id="910" w:name="bookmark910"/>
      <w:bookmarkStart w:id="911" w:name="bookmark911"/>
      <w:r>
        <w:rPr>
          <w:color w:val="000000"/>
          <w:spacing w:val="0"/>
          <w:w w:val="100"/>
          <w:position w:val="0"/>
          <w:sz w:val="20"/>
          <w:szCs w:val="20"/>
        </w:rPr>
        <w:t>五</w:t>
      </w:r>
      <w:bookmarkEnd w:id="910"/>
      <w:r>
        <w:rPr>
          <w:color w:val="000000"/>
          <w:spacing w:val="0"/>
          <w:w w:val="100"/>
          <w:position w:val="0"/>
          <w:sz w:val="20"/>
          <w:szCs w:val="20"/>
        </w:rPr>
        <w:t>、合并财务报表项目注释</w:t>
      </w:r>
      <w:bookmarkEnd w:id="908"/>
      <w:bookmarkEnd w:id="909"/>
      <w:bookmarkEnd w:id="911"/>
    </w:p>
    <w:p>
      <w:pPr>
        <w:pStyle w:val="Style27"/>
        <w:keepNext w:val="0"/>
        <w:keepLines w:val="0"/>
        <w:widowControl w:val="0"/>
        <w:shd w:val="clear" w:color="auto" w:fill="auto"/>
        <w:bidi w:val="0"/>
        <w:spacing w:before="0" w:after="0" w:line="503" w:lineRule="exact"/>
        <w:ind w:left="0" w:right="0" w:firstLine="500"/>
        <w:jc w:val="both"/>
        <w:rPr>
          <w:sz w:val="17"/>
          <w:szCs w:val="17"/>
        </w:rPr>
      </w:pPr>
      <w:r>
        <w:rPr>
          <w:color w:val="000000"/>
          <w:spacing w:val="0"/>
          <w:w w:val="100"/>
          <w:position w:val="0"/>
          <w:sz w:val="17"/>
          <w:szCs w:val="17"/>
        </w:rPr>
        <w:t>以下注释项目除非特别指出，期初指</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日，期末指</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日，本期指</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年度，上期指</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年度。</w:t>
      </w:r>
    </w:p>
    <w:p>
      <w:pPr>
        <w:pStyle w:val="Style20"/>
        <w:keepNext/>
        <w:keepLines/>
        <w:widowControl w:val="0"/>
        <w:shd w:val="clear" w:color="auto" w:fill="auto"/>
        <w:bidi w:val="0"/>
        <w:spacing w:before="0" w:after="0" w:line="503" w:lineRule="exact"/>
        <w:ind w:left="0" w:right="0" w:firstLine="500"/>
        <w:jc w:val="both"/>
        <w:rPr>
          <w:sz w:val="20"/>
          <w:szCs w:val="20"/>
        </w:rPr>
      </w:pPr>
      <w:bookmarkStart w:id="912" w:name="bookmark912"/>
      <w:bookmarkStart w:id="913" w:name="bookmark913"/>
      <w:bookmarkStart w:id="914" w:name="bookmark914"/>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、货币资金</w:t>
      </w:r>
      <w:bookmarkEnd w:id="912"/>
      <w:bookmarkEnd w:id="913"/>
      <w:bookmarkEnd w:id="914"/>
    </w:p>
    <w:tbl>
      <w:tblPr>
        <w:tblOverlap w:val="never"/>
        <w:jc w:val="center"/>
        <w:tblLayout w:type="fixed"/>
      </w:tblPr>
      <w:tblGrid>
        <w:gridCol w:w="3840"/>
        <w:gridCol w:w="2842"/>
        <w:gridCol w:w="2688"/>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217,773.39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40,223.13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488,856,713.97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466,608,424.20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5,032,932.99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11,405,195.57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定期存款的应收利息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27,078,085.43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存放财务公司款项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2,891,989,954.35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2,864,911,868.92</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3,386,097,374.70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3,370,043,797.25</w:t>
            </w:r>
          </w:p>
        </w:tc>
      </w:tr>
    </w:tbl>
    <w:p>
      <w:pPr>
        <w:spacing w:lineRule="exact" w:line="1"/>
        <w:rPr>
          <w:sz w:val="2"/>
          <w:szCs w:val="2"/>
        </w:rPr>
      </w:pPr>
      <w:r>
        <w:br w:type="page"/>
      </w:r>
    </w:p>
    <w:p>
      <w:pPr>
        <w:pStyle w:val="Style82"/>
        <w:keepNext w:val="0"/>
        <w:keepLines w:val="0"/>
        <w:widowControl w:val="0"/>
        <w:shd w:val="clear" w:color="auto" w:fill="auto"/>
        <w:bidi w:val="0"/>
        <w:spacing w:before="0" w:after="280" w:line="499" w:lineRule="exact"/>
        <w:ind w:right="0" w:firstLine="36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1</w:t>
      </w:r>
      <w:r>
        <w:rPr>
          <w:rFonts w:ascii="SimSun" w:eastAsia="SimSun" w:hAnsi="SimSun" w:cs="SimSun"/>
          <w:color w:val="000000"/>
          <w:spacing w:val="0"/>
          <w:w w:val="100"/>
          <w:position w:val="0"/>
          <w:sz w:val="17"/>
          <w:szCs w:val="17"/>
        </w:rPr>
        <w:t>:期末使用受限的货币资金共</w:t>
      </w:r>
      <w:r>
        <w:rPr>
          <w:color w:val="000000"/>
          <w:spacing w:val="0"/>
          <w:w w:val="100"/>
          <w:position w:val="0"/>
          <w:sz w:val="18"/>
          <w:szCs w:val="18"/>
        </w:rPr>
        <w:t>2,986,603,118.79</w:t>
      </w:r>
      <w:r>
        <w:rPr>
          <w:rFonts w:ascii="SimSun" w:eastAsia="SimSun" w:hAnsi="SimSun" w:cs="SimSun"/>
          <w:color w:val="000000"/>
          <w:spacing w:val="0"/>
          <w:w w:val="100"/>
          <w:position w:val="0"/>
          <w:sz w:val="17"/>
          <w:szCs w:val="17"/>
        </w:rPr>
        <w:t>元。其中：</w:t>
      </w:r>
      <w:r>
        <w:rPr>
          <w:color w:val="000000"/>
          <w:spacing w:val="0"/>
          <w:w w:val="100"/>
          <w:position w:val="0"/>
          <w:sz w:val="18"/>
          <w:szCs w:val="18"/>
        </w:rPr>
        <w:t>2,891,989,954.35</w:t>
      </w:r>
      <w:r>
        <w:rPr>
          <w:rFonts w:ascii="SimSun" w:eastAsia="SimSun" w:hAnsi="SimSun" w:cs="SimSun"/>
          <w:color w:val="000000"/>
          <w:spacing w:val="0"/>
          <w:w w:val="100"/>
          <w:position w:val="0"/>
          <w:sz w:val="17"/>
          <w:szCs w:val="17"/>
        </w:rPr>
        <w:t xml:space="preserve">元为存放于东旭集团财务有限公司的款项； </w:t>
      </w:r>
      <w:r>
        <w:rPr>
          <w:color w:val="000000"/>
          <w:spacing w:val="0"/>
          <w:w w:val="100"/>
          <w:position w:val="0"/>
          <w:sz w:val="18"/>
          <w:szCs w:val="18"/>
        </w:rPr>
        <w:t>90,095,169.60</w:t>
      </w:r>
      <w:r>
        <w:rPr>
          <w:rFonts w:ascii="SimSun" w:eastAsia="SimSun" w:hAnsi="SimSun" w:cs="SimSun"/>
          <w:color w:val="000000"/>
          <w:spacing w:val="0"/>
          <w:w w:val="100"/>
          <w:position w:val="0"/>
          <w:sz w:val="17"/>
          <w:szCs w:val="17"/>
        </w:rPr>
        <w:t>元为银行冻结存款；</w:t>
      </w:r>
      <w:r>
        <w:rPr>
          <w:color w:val="000000"/>
          <w:spacing w:val="0"/>
          <w:w w:val="100"/>
          <w:position w:val="0"/>
          <w:sz w:val="18"/>
          <w:szCs w:val="18"/>
        </w:rPr>
        <w:t>1,030,225.00</w:t>
      </w:r>
      <w:r>
        <w:rPr>
          <w:rFonts w:ascii="SimSun" w:eastAsia="SimSun" w:hAnsi="SimSun" w:cs="SimSun"/>
          <w:color w:val="000000"/>
          <w:spacing w:val="0"/>
          <w:w w:val="100"/>
          <w:position w:val="0"/>
          <w:sz w:val="17"/>
          <w:szCs w:val="17"/>
        </w:rPr>
        <w:t>元为农民工保障金；</w:t>
      </w:r>
      <w:r>
        <w:rPr>
          <w:color w:val="000000"/>
          <w:spacing w:val="0"/>
          <w:w w:val="100"/>
          <w:position w:val="0"/>
          <w:sz w:val="18"/>
          <w:szCs w:val="18"/>
        </w:rPr>
        <w:t>3,180,895.00</w:t>
      </w:r>
      <w:r>
        <w:rPr>
          <w:rFonts w:ascii="SimSun" w:eastAsia="SimSun" w:hAnsi="SimSun" w:cs="SimSun"/>
          <w:color w:val="000000"/>
          <w:spacing w:val="0"/>
          <w:w w:val="100"/>
          <w:position w:val="0"/>
          <w:sz w:val="17"/>
          <w:szCs w:val="17"/>
        </w:rPr>
        <w:t>元为保函及贷款保证金；</w:t>
      </w:r>
      <w:r>
        <w:rPr>
          <w:color w:val="000000"/>
          <w:spacing w:val="0"/>
          <w:w w:val="100"/>
          <w:position w:val="0"/>
          <w:sz w:val="18"/>
          <w:szCs w:val="18"/>
        </w:rPr>
        <w:t>304,976.09</w:t>
      </w:r>
      <w:r>
        <w:rPr>
          <w:rFonts w:ascii="SimSun" w:eastAsia="SimSun" w:hAnsi="SimSun" w:cs="SimSun"/>
          <w:color w:val="000000"/>
          <w:spacing w:val="0"/>
          <w:w w:val="100"/>
          <w:position w:val="0"/>
          <w:sz w:val="17"/>
          <w:szCs w:val="17"/>
        </w:rPr>
        <w:t>元为存出投 资款；</w:t>
      </w:r>
      <w:r>
        <w:rPr>
          <w:color w:val="000000"/>
          <w:spacing w:val="0"/>
          <w:w w:val="100"/>
          <w:position w:val="0"/>
          <w:sz w:val="18"/>
          <w:szCs w:val="18"/>
        </w:rPr>
        <w:t>1,898.75</w:t>
      </w:r>
      <w:r>
        <w:rPr>
          <w:rFonts w:ascii="SimSun" w:eastAsia="SimSun" w:hAnsi="SimSun" w:cs="SimSun"/>
          <w:color w:val="000000"/>
          <w:spacing w:val="0"/>
          <w:w w:val="100"/>
          <w:position w:val="0"/>
          <w:sz w:val="17"/>
          <w:szCs w:val="17"/>
        </w:rPr>
        <w:t>元为共管账户资金。</w:t>
      </w:r>
    </w:p>
    <w:p>
      <w:pPr>
        <w:pStyle w:val="Style20"/>
        <w:keepNext/>
        <w:keepLines/>
        <w:widowControl w:val="0"/>
        <w:shd w:val="clear" w:color="auto" w:fill="auto"/>
        <w:bidi w:val="0"/>
        <w:spacing w:before="0" w:after="220" w:line="240" w:lineRule="auto"/>
        <w:ind w:left="0" w:right="0" w:firstLine="660"/>
        <w:jc w:val="both"/>
        <w:rPr>
          <w:sz w:val="20"/>
          <w:szCs w:val="20"/>
        </w:rPr>
      </w:pPr>
      <w:bookmarkStart w:id="915" w:name="bookmark915"/>
      <w:bookmarkStart w:id="916" w:name="bookmark916"/>
      <w:bookmarkStart w:id="917" w:name="bookmark917"/>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、应收票据</w:t>
      </w:r>
      <w:bookmarkEnd w:id="915"/>
      <w:bookmarkEnd w:id="916"/>
      <w:bookmarkEnd w:id="917"/>
    </w:p>
    <w:p>
      <w:pPr>
        <w:pStyle w:val="Style25"/>
        <w:keepNext w:val="0"/>
        <w:keepLines w:val="0"/>
        <w:widowControl w:val="0"/>
        <w:shd w:val="clear" w:color="auto" w:fill="auto"/>
        <w:bidi w:val="0"/>
        <w:spacing w:before="0" w:after="0" w:line="240" w:lineRule="auto"/>
        <w:ind w:left="61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）应收票据分类列示</w:t>
      </w:r>
    </w:p>
    <w:tbl>
      <w:tblPr>
        <w:tblOverlap w:val="never"/>
        <w:jc w:val="center"/>
        <w:tblLayout w:type="fixed"/>
      </w:tblPr>
      <w:tblGrid>
        <w:gridCol w:w="3250"/>
        <w:gridCol w:w="2266"/>
        <w:gridCol w:w="1790"/>
        <w:gridCol w:w="2194"/>
      </w:tblGrid>
      <w:tr>
        <w:trPr>
          <w:trHeight w:val="46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19,714,713.96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19,714,713.96</w:t>
            </w:r>
          </w:p>
        </w:tc>
      </w:tr>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22,321,820.97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72,024.62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22,249,796.35</w:t>
            </w:r>
          </w:p>
        </w:tc>
      </w:tr>
      <w:tr>
        <w:trPr>
          <w:trHeight w:val="49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42,036,534.93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72,024.62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41,964,510.31</w:t>
            </w:r>
          </w:p>
        </w:tc>
      </w:tr>
    </w:tbl>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394" w:right="0" w:firstLine="0"/>
        <w:jc w:val="left"/>
        <w:rPr>
          <w:sz w:val="17"/>
          <w:szCs w:val="17"/>
        </w:rPr>
      </w:pPr>
      <w:r>
        <w:rPr>
          <w:color w:val="000000"/>
          <w:spacing w:val="0"/>
          <w:w w:val="100"/>
          <w:position w:val="0"/>
          <w:sz w:val="17"/>
          <w:szCs w:val="17"/>
        </w:rPr>
        <w:t>续前表:</w:t>
      </w:r>
    </w:p>
    <w:tbl>
      <w:tblPr>
        <w:tblOverlap w:val="never"/>
        <w:jc w:val="center"/>
        <w:tblLayout w:type="fixed"/>
      </w:tblPr>
      <w:tblGrid>
        <w:gridCol w:w="3187"/>
        <w:gridCol w:w="2222"/>
        <w:gridCol w:w="1862"/>
        <w:gridCol w:w="2059"/>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10,760,000.00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58,002,250.00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336,413.05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57,665,836.95</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68,762,250.00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336,413.05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b/>
                <w:bCs/>
                <w:color w:val="000000"/>
                <w:spacing w:val="0"/>
                <w:w w:val="100"/>
                <w:position w:val="0"/>
                <w:sz w:val="18"/>
                <w:szCs w:val="18"/>
              </w:rPr>
              <w:t>68,425,836.95</w:t>
            </w:r>
          </w:p>
        </w:tc>
      </w:tr>
    </w:tbl>
    <w:p>
      <w:pPr>
        <w:widowControl w:val="0"/>
        <w:spacing w:after="219" w:line="1" w:lineRule="exact"/>
      </w:pPr>
    </w:p>
    <w:p>
      <w:pPr>
        <w:pStyle w:val="Style27"/>
        <w:keepNext w:val="0"/>
        <w:keepLines w:val="0"/>
        <w:widowControl w:val="0"/>
        <w:shd w:val="clear" w:color="auto" w:fill="auto"/>
        <w:bidi w:val="0"/>
        <w:spacing w:before="0" w:after="280" w:line="240" w:lineRule="auto"/>
        <w:ind w:left="0" w:right="0" w:firstLine="600"/>
        <w:jc w:val="left"/>
        <w:rPr>
          <w:sz w:val="17"/>
          <w:szCs w:val="17"/>
        </w:rPr>
      </w:pPr>
      <w:r>
        <w:rPr>
          <w:color w:val="000000"/>
          <w:spacing w:val="0"/>
          <w:w w:val="100"/>
          <w:position w:val="0"/>
          <w:sz w:val="17"/>
          <w:szCs w:val="17"/>
        </w:rPr>
        <w:t>注：期末无质押的应收票据。</w:t>
      </w:r>
    </w:p>
    <w:p>
      <w:pPr>
        <w:pStyle w:val="Style27"/>
        <w:keepNext w:val="0"/>
        <w:keepLines w:val="0"/>
        <w:widowControl w:val="0"/>
        <w:shd w:val="clear" w:color="auto" w:fill="auto"/>
        <w:bidi w:val="0"/>
        <w:spacing w:before="0" w:after="280" w:line="240" w:lineRule="auto"/>
        <w:ind w:left="0" w:right="0" w:firstLine="600"/>
        <w:jc w:val="left"/>
        <w:rPr>
          <w:sz w:val="17"/>
          <w:szCs w:val="17"/>
        </w:rPr>
      </w:pPr>
      <w:bookmarkStart w:id="918" w:name="bookmark918"/>
      <w:r>
        <w:rPr>
          <w:color w:val="000000"/>
          <w:spacing w:val="0"/>
          <w:w w:val="100"/>
          <w:position w:val="0"/>
          <w:sz w:val="17"/>
          <w:szCs w:val="17"/>
        </w:rPr>
        <w:t>（</w:t>
      </w:r>
      <w:bookmarkEnd w:id="918"/>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）坏账准备</w:t>
      </w:r>
    </w:p>
    <w:p>
      <w:pPr>
        <w:pStyle w:val="Style27"/>
        <w:keepNext w:val="0"/>
        <w:keepLines w:val="0"/>
        <w:widowControl w:val="0"/>
        <w:shd w:val="clear" w:color="auto" w:fill="auto"/>
        <w:bidi w:val="0"/>
        <w:spacing w:before="0" w:after="280" w:line="240" w:lineRule="auto"/>
        <w:ind w:left="0" w:right="0" w:firstLine="600"/>
        <w:jc w:val="left"/>
        <w:rPr>
          <w:sz w:val="17"/>
          <w:szCs w:val="17"/>
        </w:rPr>
      </w:pPr>
      <w:r>
        <w:rPr>
          <w:color w:val="000000"/>
          <w:spacing w:val="0"/>
          <w:w w:val="100"/>
          <w:position w:val="0"/>
          <w:sz w:val="17"/>
          <w:szCs w:val="17"/>
        </w:rPr>
        <w:t>本公司对应收票据，无论是否存在重大融资成分，均按照整个存续期的预期信用损失计量损失准备。</w:t>
      </w:r>
    </w:p>
    <w:p>
      <w:pPr>
        <w:pStyle w:val="Style2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①银行承兑汇票</w:t>
      </w:r>
    </w:p>
    <w:p>
      <w:pPr>
        <w:pStyle w:val="Style27"/>
        <w:keepNext w:val="0"/>
        <w:keepLines w:val="0"/>
        <w:widowControl w:val="0"/>
        <w:shd w:val="clear" w:color="auto" w:fill="auto"/>
        <w:bidi w:val="0"/>
        <w:spacing w:before="0" w:after="280" w:line="509" w:lineRule="exact"/>
        <w:ind w:left="240" w:right="0" w:firstLine="360"/>
        <w:jc w:val="left"/>
        <w:rPr>
          <w:sz w:val="17"/>
          <w:szCs w:val="17"/>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日，本公司按照整个存续期预期信用损失计量银行承兑汇票坏账准备，本公司所持有的银行承兑汇票不 存在重大信用风险，不会因银行或其他出票人违约而产生重大损失。</w:t>
      </w:r>
    </w:p>
    <w:p>
      <w:pPr>
        <w:pStyle w:val="Style27"/>
        <w:keepNext w:val="0"/>
        <w:keepLines w:val="0"/>
        <w:widowControl w:val="0"/>
        <w:shd w:val="clear" w:color="auto" w:fill="auto"/>
        <w:bidi w:val="0"/>
        <w:spacing w:before="0" w:after="280" w:line="240" w:lineRule="auto"/>
        <w:ind w:left="0" w:right="0" w:firstLine="660"/>
        <w:jc w:val="both"/>
        <w:rPr>
          <w:sz w:val="17"/>
          <w:szCs w:val="17"/>
        </w:rPr>
      </w:pPr>
      <w:r>
        <w:rPr>
          <w:color w:val="000000"/>
          <w:spacing w:val="0"/>
          <w:w w:val="100"/>
          <w:position w:val="0"/>
          <w:sz w:val="17"/>
          <w:szCs w:val="17"/>
        </w:rPr>
        <w:t>②商业承兑汇票</w:t>
      </w:r>
    </w:p>
    <w:p>
      <w:pPr>
        <w:widowControl w:val="0"/>
        <w:spacing w:line="1" w:lineRule="exact"/>
      </w:pPr>
      <w:r>
        <mc:AlternateContent>
          <mc:Choice Requires="wps">
            <w:drawing>
              <wp:anchor distT="38100" distB="6350" distL="0" distR="0" simplePos="0" relativeHeight="125829382" behindDoc="0" locked="0" layoutInCell="1" allowOverlap="1">
                <wp:simplePos x="0" y="0"/>
                <wp:positionH relativeFrom="page">
                  <wp:posOffset>1480820</wp:posOffset>
                </wp:positionH>
                <wp:positionV relativeFrom="paragraph">
                  <wp:posOffset>38100</wp:posOffset>
                </wp:positionV>
                <wp:extent cx="2691130" cy="179705"/>
                <wp:wrapTopAndBottom/>
                <wp:docPr id="8" name="Shape 8"/>
                <a:graphic xmlns:a="http://schemas.openxmlformats.org/drawingml/2006/main">
                  <a:graphicData uri="http://schemas.microsoft.com/office/word/2010/wordprocessingShape">
                    <wps:wsp>
                      <wps:cNvSpPr txBox="1"/>
                      <wps:spPr>
                        <a:xfrm>
                          <a:ext cx="2691130" cy="179705"/>
                        </a:xfrm>
                        <a:prstGeom prst="rect"/>
                        <a:noFill/>
                      </wps:spPr>
                      <wps:txbx>
                        <w:txbxContent>
                          <w:p>
                            <w:pPr>
                              <w:pStyle w:val="Style82"/>
                              <w:keepNext w:val="0"/>
                              <w:keepLines w:val="0"/>
                              <w:widowControl w:val="0"/>
                              <w:shd w:val="clear" w:color="auto" w:fill="auto"/>
                              <w:tabs>
                                <w:tab w:pos="1723" w:val="left"/>
                                <w:tab w:pos="3432" w:val="left"/>
                              </w:tabs>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tab/>
                            </w:r>
                            <w:r>
                              <w:rPr>
                                <w:b/>
                                <w:bCs/>
                                <w:color w:val="000000"/>
                                <w:spacing w:val="0"/>
                                <w:w w:val="100"/>
                                <w:position w:val="0"/>
                                <w:sz w:val="18"/>
                                <w:szCs w:val="18"/>
                              </w:rPr>
                              <w:t>2020.12.31</w:t>
                              <w:tab/>
                            </w:r>
                            <w:r>
                              <w:rPr>
                                <w:rFonts w:ascii="SimSun" w:eastAsia="SimSun" w:hAnsi="SimSun" w:cs="SimSun"/>
                                <w:b/>
                                <w:bCs/>
                                <w:color w:val="000000"/>
                                <w:spacing w:val="0"/>
                                <w:w w:val="100"/>
                                <w:position w:val="0"/>
                                <w:sz w:val="17"/>
                                <w:szCs w:val="17"/>
                              </w:rPr>
                              <w:t>本期增加</w:t>
                            </w:r>
                          </w:p>
                        </w:txbxContent>
                      </wps:txbx>
                      <wps:bodyPr wrap="none" lIns="0" tIns="0" rIns="0" bIns="0">
                        <a:noAutoFit/>
                      </wps:bodyPr>
                    </wps:wsp>
                  </a:graphicData>
                </a:graphic>
              </wp:anchor>
            </w:drawing>
          </mc:Choice>
          <mc:Fallback>
            <w:pict>
              <v:shape id="_x0000_s1034" type="#_x0000_t202" style="position:absolute;margin-left:116.60000000000001pt;margin-top:3.pt;width:211.90000000000001pt;height:14.15pt;z-index:-125829371;mso-wrap-distance-left:0;mso-wrap-distance-top:3.pt;mso-wrap-distance-right:0;mso-wrap-distance-bottom:0.5pt;mso-position-horizontal-relative:page" filled="f" stroked="f">
                <v:textbox inset="0,0,0,0">
                  <w:txbxContent>
                    <w:p>
                      <w:pPr>
                        <w:pStyle w:val="Style82"/>
                        <w:keepNext w:val="0"/>
                        <w:keepLines w:val="0"/>
                        <w:widowControl w:val="0"/>
                        <w:shd w:val="clear" w:color="auto" w:fill="auto"/>
                        <w:tabs>
                          <w:tab w:pos="1723" w:val="left"/>
                          <w:tab w:pos="3432" w:val="left"/>
                        </w:tabs>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tab/>
                      </w:r>
                      <w:r>
                        <w:rPr>
                          <w:b/>
                          <w:bCs/>
                          <w:color w:val="000000"/>
                          <w:spacing w:val="0"/>
                          <w:w w:val="100"/>
                          <w:position w:val="0"/>
                          <w:sz w:val="18"/>
                          <w:szCs w:val="18"/>
                        </w:rPr>
                        <w:t>2020.12.31</w:t>
                        <w:tab/>
                      </w:r>
                      <w:r>
                        <w:rPr>
                          <w:rFonts w:ascii="SimSun" w:eastAsia="SimSun" w:hAnsi="SimSun" w:cs="SimSun"/>
                          <w:b/>
                          <w:bCs/>
                          <w:color w:val="000000"/>
                          <w:spacing w:val="0"/>
                          <w:w w:val="100"/>
                          <w:position w:val="0"/>
                          <w:sz w:val="17"/>
                          <w:szCs w:val="17"/>
                        </w:rPr>
                        <w:t>本期增加</w:t>
                      </w:r>
                    </w:p>
                  </w:txbxContent>
                </v:textbox>
                <w10:wrap type="topAndBottom" anchorx="page"/>
              </v:shape>
            </w:pict>
          </mc:Fallback>
        </mc:AlternateContent>
      </w:r>
      <w:r>
        <mc:AlternateContent>
          <mc:Choice Requires="wps">
            <w:drawing>
              <wp:anchor distT="65405" distB="0" distL="0" distR="0" simplePos="0" relativeHeight="125829384" behindDoc="0" locked="0" layoutInCell="1" allowOverlap="1">
                <wp:simplePos x="0" y="0"/>
                <wp:positionH relativeFrom="page">
                  <wp:posOffset>4955540</wp:posOffset>
                </wp:positionH>
                <wp:positionV relativeFrom="paragraph">
                  <wp:posOffset>65405</wp:posOffset>
                </wp:positionV>
                <wp:extent cx="490855" cy="158750"/>
                <wp:wrapTopAndBottom/>
                <wp:docPr id="10" name="Shape 10"/>
                <a:graphic xmlns:a="http://schemas.openxmlformats.org/drawingml/2006/main">
                  <a:graphicData uri="http://schemas.microsoft.com/office/word/2010/wordprocessingShape">
                    <wps:wsp>
                      <wps:cNvSpPr txBox="1"/>
                      <wps:spPr>
                        <a:xfrm>
                          <a:ext cx="490855" cy="1587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本期减少</w:t>
                            </w:r>
                          </w:p>
                        </w:txbxContent>
                      </wps:txbx>
                      <wps:bodyPr wrap="none" lIns="0" tIns="0" rIns="0" bIns="0">
                        <a:noAutoFit/>
                      </wps:bodyPr>
                    </wps:wsp>
                  </a:graphicData>
                </a:graphic>
              </wp:anchor>
            </w:drawing>
          </mc:Choice>
          <mc:Fallback>
            <w:pict>
              <v:shape id="_x0000_s1036" type="#_x0000_t202" style="position:absolute;margin-left:390.19999999999999pt;margin-top:5.1500000000000004pt;width:38.649999999999999pt;height:12.5pt;z-index:-125829369;mso-wrap-distance-left:0;mso-wrap-distance-top:5.1500000000000004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本期减少</w:t>
                      </w:r>
                    </w:p>
                  </w:txbxContent>
                </v:textbox>
                <w10:wrap type="topAndBottom" anchorx="page"/>
              </v:shape>
            </w:pict>
          </mc:Fallback>
        </mc:AlternateContent>
      </w:r>
      <w:r>
        <mc:AlternateContent>
          <mc:Choice Requires="wps">
            <w:drawing>
              <wp:anchor distT="74930" distB="5715" distL="0" distR="0" simplePos="0" relativeHeight="125829386" behindDoc="0" locked="0" layoutInCell="1" allowOverlap="1">
                <wp:simplePos x="0" y="0"/>
                <wp:positionH relativeFrom="page">
                  <wp:posOffset>6061710</wp:posOffset>
                </wp:positionH>
                <wp:positionV relativeFrom="paragraph">
                  <wp:posOffset>74930</wp:posOffset>
                </wp:positionV>
                <wp:extent cx="496570" cy="143510"/>
                <wp:wrapTopAndBottom/>
                <wp:docPr id="12" name="Shape 12"/>
                <a:graphic xmlns:a="http://schemas.openxmlformats.org/drawingml/2006/main">
                  <a:graphicData uri="http://schemas.microsoft.com/office/word/2010/wordprocessingShape">
                    <wps:wsp>
                      <wps:cNvSpPr txBox="1"/>
                      <wps:spPr>
                        <a:xfrm>
                          <a:ext cx="496570" cy="14351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2021.12.31</w:t>
                            </w:r>
                          </w:p>
                        </w:txbxContent>
                      </wps:txbx>
                      <wps:bodyPr wrap="none" lIns="0" tIns="0" rIns="0" bIns="0">
                        <a:noAutoFit/>
                      </wps:bodyPr>
                    </wps:wsp>
                  </a:graphicData>
                </a:graphic>
              </wp:anchor>
            </w:drawing>
          </mc:Choice>
          <mc:Fallback>
            <w:pict>
              <v:shape id="_x0000_s1038" type="#_x0000_t202" style="position:absolute;margin-left:477.30000000000001pt;margin-top:5.9000000000000004pt;width:39.100000000000001pt;height:11.300000000000001pt;z-index:-125829367;mso-wrap-distance-left:0;mso-wrap-distance-top:5.9000000000000004pt;mso-wrap-distance-right:0;mso-wrap-distance-bottom:0.45000000000000001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2021.12.31</w:t>
                      </w:r>
                    </w:p>
                  </w:txbxContent>
                </v:textbox>
                <w10:wrap type="topAndBottom" anchorx="page"/>
              </v:shape>
            </w:pict>
          </mc:Fallback>
        </mc:AlternateContent>
      </w:r>
    </w:p>
    <w:p>
      <w:pPr>
        <w:pStyle w:val="Style25"/>
        <w:keepNext w:val="0"/>
        <w:keepLines w:val="0"/>
        <w:widowControl w:val="0"/>
        <w:shd w:val="clear" w:color="auto" w:fill="auto"/>
        <w:bidi w:val="0"/>
        <w:spacing w:before="0" w:after="0" w:line="240" w:lineRule="auto"/>
        <w:ind w:left="197" w:right="0" w:firstLine="0"/>
        <w:jc w:val="left"/>
        <w:rPr>
          <w:sz w:val="17"/>
          <w:szCs w:val="17"/>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日，组合计提坏账准备:</w:t>
      </w:r>
    </w:p>
    <w:tbl>
      <w:tblPr>
        <w:tblOverlap w:val="never"/>
        <w:jc w:val="center"/>
        <w:tblLayout w:type="fixed"/>
      </w:tblPr>
      <w:tblGrid>
        <w:gridCol w:w="2717"/>
        <w:gridCol w:w="1680"/>
        <w:gridCol w:w="3163"/>
        <w:gridCol w:w="1790"/>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17"/>
                <w:szCs w:val="17"/>
              </w:rPr>
              <w:t>整个存续期预期信用损失率</w:t>
            </w:r>
            <w:r>
              <w:rPr>
                <w:b/>
                <w:bCs/>
                <w:color w:val="000000"/>
                <w:spacing w:val="0"/>
                <w:w w:val="100"/>
                <w:position w:val="0"/>
                <w:sz w:val="22"/>
                <w:szCs w:val="22"/>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22,321,820.97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72,024.62</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22,321,820.97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b/>
                <w:bCs/>
                <w:color w:val="000000"/>
                <w:spacing w:val="0"/>
                <w:w w:val="100"/>
                <w:position w:val="0"/>
                <w:sz w:val="18"/>
                <w:szCs w:val="18"/>
              </w:rPr>
              <w:t>72,024.62</w:t>
            </w:r>
          </w:p>
        </w:tc>
      </w:tr>
    </w:tbl>
    <w:p>
      <w:pPr>
        <w:pStyle w:val="Style25"/>
        <w:keepNext w:val="0"/>
        <w:keepLines w:val="0"/>
        <w:widowControl w:val="0"/>
        <w:shd w:val="clear" w:color="auto" w:fill="auto"/>
        <w:bidi w:val="0"/>
        <w:spacing w:before="0" w:after="0" w:line="240" w:lineRule="auto"/>
        <w:ind w:left="274" w:right="0" w:firstLine="0"/>
        <w:jc w:val="left"/>
        <w:rPr>
          <w:sz w:val="17"/>
          <w:szCs w:val="17"/>
        </w:rPr>
      </w:pPr>
      <w:r>
        <w:rPr>
          <w:color w:val="000000"/>
          <w:spacing w:val="0"/>
          <w:w w:val="100"/>
          <w:position w:val="0"/>
          <w:sz w:val="17"/>
          <w:szCs w:val="17"/>
        </w:rPr>
        <w:t>③坏账准备的变动</w:t>
      </w:r>
    </w:p>
    <w:p>
      <w:pPr>
        <w:widowControl w:val="0"/>
        <w:spacing w:line="1" w:lineRule="exact"/>
      </w:pPr>
      <w:r>
        <w:br w:type="page"/>
      </w:r>
    </w:p>
    <w:tbl>
      <w:tblPr>
        <w:tblOverlap w:val="never"/>
        <w:jc w:val="center"/>
        <w:tblLayout w:type="fixed"/>
      </w:tblPr>
      <w:tblGrid>
        <w:gridCol w:w="854"/>
        <w:gridCol w:w="1531"/>
        <w:gridCol w:w="346"/>
        <w:gridCol w:w="413"/>
        <w:gridCol w:w="696"/>
        <w:gridCol w:w="288"/>
        <w:gridCol w:w="1128"/>
        <w:gridCol w:w="250"/>
        <w:gridCol w:w="720"/>
        <w:gridCol w:w="408"/>
        <w:gridCol w:w="778"/>
        <w:gridCol w:w="619"/>
        <w:gridCol w:w="163"/>
        <w:gridCol w:w="1517"/>
      </w:tblGrid>
      <w:tr>
        <w:trPr>
          <w:trHeight w:val="451" w:hRule="exact"/>
        </w:trPr>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转回</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处置</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商业承兑汇票坏账准备</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336,413.05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72,024.62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336,413.05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72,024.62</w:t>
            </w:r>
          </w:p>
        </w:tc>
      </w:tr>
      <w:tr>
        <w:trPr>
          <w:trHeight w:val="566" w:hRule="exact"/>
        </w:trPr>
        <w:tc>
          <w:tcPr>
            <w:gridSpan w:val="1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）期末公司已背书或贴现且在资产负债表日尚未到期的应收票据</w:t>
            </w:r>
          </w:p>
        </w:tc>
      </w:tr>
      <w:tr>
        <w:trPr>
          <w:trHeight w:val="418"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期末终止确认金额</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期末未终止确认金额</w:t>
            </w:r>
          </w:p>
        </w:tc>
      </w:tr>
      <w:tr>
        <w:trPr>
          <w:trHeight w:val="422"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商业承兑汇票</w:t>
            </w:r>
          </w:p>
        </w:tc>
        <w:tc>
          <w:tcPr>
            <w:gridSpan w:val="5"/>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Arial Narrow" w:eastAsia="Arial Narrow" w:hAnsi="Arial Narrow" w:cs="Arial Narrow"/>
                <w:color w:val="000000"/>
                <w:spacing w:val="0"/>
                <w:w w:val="100"/>
                <w:position w:val="0"/>
                <w:sz w:val="18"/>
                <w:szCs w:val="18"/>
              </w:rPr>
              <w:t>20,464,345.80</w:t>
            </w:r>
          </w:p>
        </w:tc>
      </w:tr>
      <w:tr>
        <w:trPr>
          <w:trHeight w:val="437"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5"/>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Arial Narrow" w:eastAsia="Arial Narrow" w:hAnsi="Arial Narrow" w:cs="Arial Narrow"/>
                <w:b/>
                <w:bCs/>
                <w:color w:val="000000"/>
                <w:spacing w:val="0"/>
                <w:w w:val="100"/>
                <w:position w:val="0"/>
                <w:sz w:val="18"/>
                <w:szCs w:val="18"/>
              </w:rPr>
              <w:t>20,464,345.80</w:t>
            </w:r>
          </w:p>
        </w:tc>
      </w:tr>
      <w:tr>
        <w:trPr>
          <w:trHeight w:val="566" w:hRule="exact"/>
        </w:trPr>
        <w:tc>
          <w:tcPr>
            <w:gridSpan w:val="1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）期末因出票人未履约而将其转应收账款的票据</w:t>
            </w:r>
          </w:p>
        </w:tc>
      </w:tr>
      <w:tr>
        <w:trPr>
          <w:trHeight w:val="418" w:hRule="exact"/>
        </w:trPr>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期末转应收账款的金额</w:t>
            </w:r>
          </w:p>
        </w:tc>
      </w:tr>
      <w:tr>
        <w:trPr>
          <w:trHeight w:val="422" w:hRule="exact"/>
        </w:trPr>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40,000.00</w:t>
            </w:r>
          </w:p>
        </w:tc>
      </w:tr>
      <w:tr>
        <w:trPr>
          <w:trHeight w:val="437" w:hRule="exact"/>
        </w:trPr>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40,000.00</w:t>
            </w:r>
          </w:p>
        </w:tc>
      </w:tr>
      <w:tr>
        <w:trPr>
          <w:trHeight w:val="1070" w:hRule="exact"/>
        </w:trPr>
        <w:tc>
          <w:tcPr>
            <w:gridSpan w:val="1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280" w:line="240" w:lineRule="auto"/>
              <w:ind w:left="0" w:right="0" w:firstLine="600"/>
              <w:jc w:val="left"/>
              <w:rPr>
                <w:sz w:val="20"/>
                <w:szCs w:val="20"/>
              </w:rPr>
            </w:pPr>
            <w:bookmarkStart w:id="919" w:name="bookmark919"/>
            <w:r>
              <w:rPr>
                <w:rFonts w:ascii="Arial Narrow" w:eastAsia="Arial Narrow" w:hAnsi="Arial Narrow" w:cs="Arial Narrow"/>
                <w:b/>
                <w:bCs/>
                <w:color w:val="000000"/>
                <w:spacing w:val="0"/>
                <w:w w:val="100"/>
                <w:position w:val="0"/>
                <w:sz w:val="20"/>
                <w:szCs w:val="20"/>
              </w:rPr>
              <w:t>3</w:t>
            </w:r>
            <w:r>
              <w:rPr>
                <w:b/>
                <w:bCs/>
                <w:color w:val="000000"/>
                <w:spacing w:val="0"/>
                <w:w w:val="100"/>
                <w:position w:val="0"/>
                <w:sz w:val="20"/>
                <w:szCs w:val="20"/>
              </w:rPr>
              <w:t>、应收账款</w:t>
            </w:r>
            <w:bookmarkEnd w:id="919"/>
          </w:p>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）以摊余成本计量的应收账款：</w:t>
            </w:r>
          </w:p>
        </w:tc>
      </w:tr>
      <w:tr>
        <w:trPr>
          <w:trHeight w:val="41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7"/>
                <w:szCs w:val="17"/>
              </w:rPr>
            </w:pPr>
            <w:r>
              <w:rPr>
                <w:b/>
                <w:bCs/>
                <w:color w:val="000000"/>
                <w:spacing w:val="0"/>
                <w:w w:val="100"/>
                <w:position w:val="0"/>
                <w:sz w:val="17"/>
                <w:szCs w:val="17"/>
              </w:rPr>
              <w:t>项目</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7"/>
                <w:szCs w:val="17"/>
              </w:rPr>
            </w:pPr>
            <w:r>
              <w:rPr>
                <w:b/>
                <w:bCs/>
                <w:color w:val="000000"/>
                <w:spacing w:val="0"/>
                <w:w w:val="100"/>
                <w:position w:val="0"/>
                <w:sz w:val="17"/>
                <w:szCs w:val="17"/>
              </w:rPr>
              <w:t>账面价值</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应收账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3,611,947,975.76</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328,879,419.57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3,283,068,556.19</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3,193,953,571.43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290,250,968.12</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2,903,702,603.31</w:t>
            </w:r>
          </w:p>
        </w:tc>
      </w:tr>
      <w:tr>
        <w:trPr>
          <w:trHeight w:val="5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b/>
                <w:bCs/>
                <w:color w:val="000000"/>
                <w:spacing w:val="0"/>
                <w:w w:val="100"/>
                <w:position w:val="0"/>
                <w:sz w:val="18"/>
                <w:szCs w:val="18"/>
              </w:rPr>
              <w:t>3,611,947,975.76</w:t>
            </w: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328,879,419.57</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3,283,068,556.19</w:t>
            </w: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3,193,953,571.43</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290,250,968.12</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2,903,702,603.31</w:t>
            </w:r>
          </w:p>
        </w:tc>
      </w:tr>
    </w:tbl>
    <w:p>
      <w:pPr>
        <w:widowControl w:val="0"/>
        <w:spacing w:after="259" w:line="1" w:lineRule="exact"/>
      </w:pPr>
    </w:p>
    <w:p>
      <w:pPr>
        <w:pStyle w:val="Style27"/>
        <w:keepNext w:val="0"/>
        <w:keepLines w:val="0"/>
        <w:widowControl w:val="0"/>
        <w:shd w:val="clear" w:color="auto" w:fill="auto"/>
        <w:bidi w:val="0"/>
        <w:spacing w:before="0" w:after="340" w:line="240" w:lineRule="auto"/>
        <w:ind w:left="0" w:right="0" w:firstLine="5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）坏账准备：</w:t>
      </w:r>
    </w:p>
    <w:p>
      <w:pPr>
        <w:pStyle w:val="Style27"/>
        <w:keepNext w:val="0"/>
        <w:keepLines w:val="0"/>
        <w:widowControl w:val="0"/>
        <w:shd w:val="clear" w:color="auto" w:fill="auto"/>
        <w:bidi w:val="0"/>
        <w:spacing w:before="0" w:after="340" w:line="240" w:lineRule="auto"/>
        <w:ind w:left="0" w:right="0" w:firstLine="540"/>
        <w:jc w:val="left"/>
        <w:rPr>
          <w:sz w:val="17"/>
          <w:szCs w:val="17"/>
        </w:rPr>
      </w:pPr>
      <w:r>
        <w:rPr>
          <w:color w:val="000000"/>
          <w:spacing w:val="0"/>
          <w:w w:val="100"/>
          <w:position w:val="0"/>
          <w:sz w:val="17"/>
          <w:szCs w:val="17"/>
        </w:rPr>
        <w:t>本公司对应收账款，无论是否存在重大融资成分，均按照整个存续期的预期信用损失计量损失准备。</w:t>
      </w:r>
    </w:p>
    <w:p>
      <w:pPr>
        <w:pStyle w:val="Style27"/>
        <w:keepNext w:val="0"/>
        <w:keepLines w:val="0"/>
        <w:widowControl w:val="0"/>
        <w:shd w:val="clear" w:color="auto" w:fill="auto"/>
        <w:bidi w:val="0"/>
        <w:spacing w:before="0" w:after="80" w:line="240" w:lineRule="auto"/>
        <w:ind w:left="0" w:right="0" w:firstLine="540"/>
        <w:jc w:val="left"/>
        <w:rPr>
          <w:sz w:val="17"/>
          <w:szCs w:val="17"/>
        </w:rPr>
      </w:pPr>
      <w:r>
        <w:rPr>
          <w:color w:val="000000"/>
          <w:spacing w:val="0"/>
          <w:w w:val="100"/>
          <w:position w:val="0"/>
          <w:sz w:val="17"/>
          <w:szCs w:val="17"/>
        </w:rPr>
        <w:t>①</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日，单项计提坏账准备：</w:t>
      </w:r>
    </w:p>
    <w:tbl>
      <w:tblPr>
        <w:tblOverlap w:val="never"/>
        <w:jc w:val="center"/>
        <w:tblLayout w:type="fixed"/>
      </w:tblPr>
      <w:tblGrid>
        <w:gridCol w:w="2909"/>
        <w:gridCol w:w="1541"/>
        <w:gridCol w:w="1829"/>
        <w:gridCol w:w="1435"/>
        <w:gridCol w:w="1594"/>
      </w:tblGrid>
      <w:tr>
        <w:trPr>
          <w:trHeight w:val="72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22"/>
                <w:szCs w:val="22"/>
              </w:rPr>
            </w:pPr>
            <w:r>
              <w:rPr>
                <w:b/>
                <w:bCs/>
                <w:color w:val="000000"/>
                <w:spacing w:val="0"/>
                <w:w w:val="100"/>
                <w:position w:val="0"/>
                <w:sz w:val="17"/>
                <w:szCs w:val="17"/>
              </w:rPr>
              <w:t>整个存续期预期信用 损失率</w:t>
            </w:r>
            <w:r>
              <w:rPr>
                <w:b/>
                <w:bCs/>
                <w:color w:val="000000"/>
                <w:spacing w:val="0"/>
                <w:w w:val="100"/>
                <w:position w:val="0"/>
                <w:sz w:val="22"/>
                <w:szCs w:val="22"/>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理由</w:t>
            </w:r>
          </w:p>
        </w:tc>
      </w:tr>
      <w:tr>
        <w:trPr>
          <w:trHeight w:val="49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上海曼高涅公司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113,590.23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113,590.23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w:t>
            </w:r>
          </w:p>
        </w:tc>
      </w:tr>
      <w:tr>
        <w:trPr>
          <w:trHeight w:val="52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113,590.23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113,590.23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30" w:right="0" w:firstLine="0"/>
        <w:jc w:val="left"/>
        <w:rPr>
          <w:sz w:val="17"/>
          <w:szCs w:val="17"/>
        </w:rPr>
      </w:pPr>
      <w:r>
        <w:rPr>
          <w:color w:val="000000"/>
          <w:spacing w:val="0"/>
          <w:w w:val="100"/>
          <w:position w:val="0"/>
          <w:sz w:val="17"/>
          <w:szCs w:val="17"/>
        </w:rPr>
        <w:t>②</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日，组合计提坏账准备:</w:t>
      </w:r>
    </w:p>
    <w:tbl>
      <w:tblPr>
        <w:tblOverlap w:val="never"/>
        <w:jc w:val="center"/>
        <w:tblLayout w:type="fixed"/>
      </w:tblPr>
      <w:tblGrid>
        <w:gridCol w:w="3677"/>
        <w:gridCol w:w="2126"/>
        <w:gridCol w:w="1886"/>
        <w:gridCol w:w="1670"/>
      </w:tblGrid>
      <w:tr>
        <w:trPr>
          <w:trHeight w:val="42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名称</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计提比例（</w:t>
            </w:r>
            <w:r>
              <w:rPr>
                <w:b/>
                <w:bCs/>
                <w:color w:val="000000"/>
                <w:spacing w:val="0"/>
                <w:w w:val="100"/>
                <w:position w:val="0"/>
                <w:sz w:val="22"/>
                <w:szCs w:val="22"/>
              </w:rPr>
              <w:t>％</w:t>
            </w:r>
            <w:r>
              <w:rPr>
                <w:b/>
                <w:bCs/>
                <w:color w:val="000000"/>
                <w:spacing w:val="0"/>
                <w:w w:val="100"/>
                <w:position w:val="0"/>
                <w:sz w:val="17"/>
                <w:szCs w:val="17"/>
              </w:rPr>
              <w:t>）</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2,090,103,884.25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328,765,829.34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15.73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应收国家电网电费及补贴款组合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1,521,730,501.28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3,611,834,385.53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328,765,829.34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9.10</w:t>
            </w:r>
          </w:p>
        </w:tc>
      </w:tr>
    </w:tbl>
    <w:p>
      <w:pPr>
        <w:widowControl w:val="0"/>
        <w:spacing w:line="1" w:lineRule="exact"/>
      </w:pPr>
      <w:r>
        <w:br w:type="page"/>
      </w:r>
    </w:p>
    <w:tbl>
      <w:tblPr>
        <w:tblOverlap w:val="never"/>
        <w:jc w:val="center"/>
        <w:tblLayout w:type="fixed"/>
      </w:tblPr>
      <w:tblGrid>
        <w:gridCol w:w="2198"/>
        <w:gridCol w:w="2069"/>
        <w:gridCol w:w="3384"/>
        <w:gridCol w:w="1709"/>
      </w:tblGrid>
      <w:tr>
        <w:trPr>
          <w:trHeight w:val="293" w:hRule="exact"/>
        </w:trPr>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其中：账龄分析法组合列式如下</w:t>
            </w:r>
          </w:p>
        </w:tc>
      </w:tr>
      <w:tr>
        <w:trPr>
          <w:trHeight w:val="418"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整个存续期预期信用损失率（</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483,370,983.30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3,903,023.39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696,370,836.47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35,863,098.09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1 </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420,351,757.18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43,296,230.99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114,289,698.55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35,315,516.87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293,858,042.64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151,336,891.96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81,761,641.89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58,950,143.82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100,924.22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100,924.22</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2,090,103,884.25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15.73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b/>
                <w:bCs/>
                <w:color w:val="000000"/>
                <w:spacing w:val="0"/>
                <w:w w:val="100"/>
                <w:position w:val="0"/>
                <w:sz w:val="18"/>
                <w:szCs w:val="18"/>
              </w:rPr>
              <w:t>328,765,829.34</w:t>
            </w:r>
          </w:p>
        </w:tc>
      </w:tr>
    </w:tbl>
    <w:p>
      <w:pPr>
        <w:widowControl w:val="0"/>
        <w:spacing w:after="2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202" w:right="0" w:firstLine="0"/>
        <w:jc w:val="left"/>
        <w:rPr>
          <w:sz w:val="17"/>
          <w:szCs w:val="17"/>
        </w:rPr>
      </w:pPr>
      <w:r>
        <w:rPr>
          <w:color w:val="000000"/>
          <w:spacing w:val="0"/>
          <w:w w:val="100"/>
          <w:position w:val="0"/>
          <w:sz w:val="17"/>
          <w:szCs w:val="17"/>
        </w:rPr>
        <w:t>③坏账准备的变动</w:t>
      </w:r>
    </w:p>
    <w:tbl>
      <w:tblPr>
        <w:tblOverlap w:val="never"/>
        <w:jc w:val="center"/>
        <w:tblLayout w:type="fixed"/>
      </w:tblPr>
      <w:tblGrid>
        <w:gridCol w:w="1171"/>
        <w:gridCol w:w="1502"/>
        <w:gridCol w:w="1483"/>
        <w:gridCol w:w="994"/>
        <w:gridCol w:w="1594"/>
        <w:gridCol w:w="1286"/>
        <w:gridCol w:w="1474"/>
      </w:tblGrid>
      <w:tr>
        <w:trPr>
          <w:trHeight w:val="42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处置</w:t>
            </w:r>
          </w:p>
        </w:tc>
        <w:tc>
          <w:tcPr>
            <w:vMerge/>
            <w:tcBorders>
              <w:left w:val="single" w:sz="4"/>
            </w:tcBorders>
            <w:shd w:val="clear" w:color="auto" w:fill="FFFFFF"/>
            <w:vAlign w:val="center"/>
          </w:tcPr>
          <w:p>
            <w:pPr/>
          </w:p>
        </w:tc>
      </w:tr>
      <w:tr>
        <w:trPr>
          <w:trHeight w:val="80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应收账款坏 账准备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290,250,968.12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132,951,984.44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94,231,546.62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91,986.37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18"/>
                <w:szCs w:val="18"/>
              </w:rPr>
            </w:pPr>
            <w:r>
              <w:rPr>
                <w:rFonts w:ascii="Arial Narrow" w:eastAsia="Arial Narrow" w:hAnsi="Arial Narrow" w:cs="Arial Narrow"/>
                <w:color w:val="000000"/>
                <w:spacing w:val="0"/>
                <w:w w:val="100"/>
                <w:position w:val="0"/>
                <w:sz w:val="18"/>
                <w:szCs w:val="18"/>
              </w:rPr>
              <w:t>328,879,419.57</w:t>
            </w:r>
          </w:p>
        </w:tc>
      </w:tr>
    </w:tbl>
    <w:p>
      <w:pPr>
        <w:widowControl w:val="0"/>
        <w:spacing w:after="159" w:line="1" w:lineRule="exact"/>
      </w:pPr>
    </w:p>
    <w:p>
      <w:pPr>
        <w:pStyle w:val="Style27"/>
        <w:keepNext w:val="0"/>
        <w:keepLines w:val="0"/>
        <w:widowControl w:val="0"/>
        <w:shd w:val="clear" w:color="auto" w:fill="auto"/>
        <w:bidi w:val="0"/>
        <w:spacing w:before="0" w:after="240" w:line="240" w:lineRule="auto"/>
        <w:ind w:left="0" w:right="0" w:firstLine="500"/>
        <w:jc w:val="left"/>
        <w:rPr>
          <w:sz w:val="17"/>
          <w:szCs w:val="17"/>
        </w:rPr>
      </w:pPr>
      <w:bookmarkStart w:id="920" w:name="bookmark920"/>
      <w:r>
        <w:rPr>
          <w:color w:val="000000"/>
          <w:spacing w:val="0"/>
          <w:w w:val="100"/>
          <w:position w:val="0"/>
          <w:sz w:val="17"/>
          <w:szCs w:val="17"/>
        </w:rPr>
        <w:t>（</w:t>
      </w:r>
      <w:bookmarkEnd w:id="920"/>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）按欠款方归集的期末余额前五名的应收账款情况：</w:t>
      </w:r>
    </w:p>
    <w:p>
      <w:pPr>
        <w:pStyle w:val="Style27"/>
        <w:keepNext w:val="0"/>
        <w:keepLines w:val="0"/>
        <w:widowControl w:val="0"/>
        <w:shd w:val="clear" w:color="auto" w:fill="auto"/>
        <w:bidi w:val="0"/>
        <w:spacing w:before="0" w:after="240" w:line="240" w:lineRule="auto"/>
        <w:ind w:left="0" w:right="0" w:firstLine="680"/>
        <w:jc w:val="left"/>
        <w:rPr>
          <w:sz w:val="17"/>
          <w:szCs w:val="17"/>
        </w:rPr>
      </w:pPr>
      <w:r>
        <w:rPr>
          <w:color w:val="000000"/>
          <w:spacing w:val="0"/>
          <w:w w:val="100"/>
          <w:position w:val="0"/>
          <w:sz w:val="17"/>
          <w:szCs w:val="17"/>
        </w:rPr>
        <w:t>按欠款方归集的期末余额前五名应收账款汇总金额</w:t>
      </w:r>
      <w:r>
        <w:rPr>
          <w:rFonts w:ascii="Arial Narrow" w:eastAsia="Arial Narrow" w:hAnsi="Arial Narrow" w:cs="Arial Narrow"/>
          <w:color w:val="000000"/>
          <w:spacing w:val="0"/>
          <w:w w:val="100"/>
          <w:position w:val="0"/>
          <w:sz w:val="18"/>
          <w:szCs w:val="18"/>
        </w:rPr>
        <w:t>922,012,345.62</w:t>
      </w:r>
      <w:r>
        <w:rPr>
          <w:color w:val="000000"/>
          <w:spacing w:val="0"/>
          <w:w w:val="100"/>
          <w:position w:val="0"/>
          <w:sz w:val="17"/>
          <w:szCs w:val="17"/>
        </w:rPr>
        <w:t>元，占应收账款期末余额合计数的比例为</w:t>
      </w:r>
      <w:r>
        <w:rPr>
          <w:rFonts w:ascii="Arial Narrow" w:eastAsia="Arial Narrow" w:hAnsi="Arial Narrow" w:cs="Arial Narrow"/>
          <w:color w:val="000000"/>
          <w:spacing w:val="0"/>
          <w:w w:val="100"/>
          <w:position w:val="0"/>
          <w:sz w:val="18"/>
          <w:szCs w:val="18"/>
        </w:rPr>
        <w:t>25.53%</w:t>
      </w:r>
      <w:r>
        <w:rPr>
          <w:color w:val="000000"/>
          <w:spacing w:val="0"/>
          <w:w w:val="100"/>
          <w:position w:val="0"/>
          <w:sz w:val="17"/>
          <w:szCs w:val="17"/>
        </w:rPr>
        <w:t>，</w:t>
      </w:r>
    </w:p>
    <w:p>
      <w:pPr>
        <w:pStyle w:val="Style27"/>
        <w:keepNext w:val="0"/>
        <w:keepLines w:val="0"/>
        <w:widowControl w:val="0"/>
        <w:shd w:val="clear" w:color="auto" w:fill="auto"/>
        <w:bidi w:val="0"/>
        <w:spacing w:before="0" w:after="240" w:line="240" w:lineRule="auto"/>
        <w:ind w:left="0" w:right="0" w:firstLine="140"/>
        <w:jc w:val="left"/>
        <w:rPr>
          <w:sz w:val="17"/>
          <w:szCs w:val="17"/>
        </w:rPr>
      </w:pPr>
      <w:r>
        <w:rPr>
          <w:color w:val="000000"/>
          <w:spacing w:val="0"/>
          <w:w w:val="100"/>
          <w:position w:val="0"/>
          <w:sz w:val="17"/>
          <w:szCs w:val="17"/>
        </w:rPr>
        <w:t>相应计提的坏账准备期末余额汇总金额</w:t>
      </w:r>
      <w:r>
        <w:rPr>
          <w:rFonts w:ascii="Arial Narrow" w:eastAsia="Arial Narrow" w:hAnsi="Arial Narrow" w:cs="Arial Narrow"/>
          <w:color w:val="000000"/>
          <w:spacing w:val="0"/>
          <w:w w:val="100"/>
          <w:position w:val="0"/>
          <w:sz w:val="18"/>
          <w:szCs w:val="18"/>
        </w:rPr>
        <w:t>52,214,202.37</w:t>
      </w:r>
      <w:r>
        <w:rPr>
          <w:color w:val="000000"/>
          <w:spacing w:val="0"/>
          <w:w w:val="100"/>
          <w:position w:val="0"/>
          <w:sz w:val="17"/>
          <w:szCs w:val="17"/>
        </w:rPr>
        <w:t>元。</w:t>
      </w:r>
    </w:p>
    <w:tbl>
      <w:tblPr>
        <w:tblOverlap w:val="never"/>
        <w:jc w:val="center"/>
        <w:tblLayout w:type="fixed"/>
      </w:tblPr>
      <w:tblGrid>
        <w:gridCol w:w="3586"/>
        <w:gridCol w:w="2990"/>
        <w:gridCol w:w="2818"/>
      </w:tblGrid>
      <w:tr>
        <w:trPr>
          <w:trHeight w:val="322"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921" w:name="bookmark921"/>
            <w:r>
              <w:rPr>
                <w:rFonts w:ascii="Arial Narrow" w:eastAsia="Arial Narrow" w:hAnsi="Arial Narrow" w:cs="Arial Narrow"/>
                <w:b/>
                <w:bCs/>
                <w:color w:val="000000"/>
                <w:spacing w:val="0"/>
                <w:w w:val="100"/>
                <w:position w:val="0"/>
                <w:sz w:val="20"/>
                <w:szCs w:val="20"/>
              </w:rPr>
              <w:t>4</w:t>
            </w:r>
            <w:r>
              <w:rPr>
                <w:b/>
                <w:bCs/>
                <w:color w:val="000000"/>
                <w:spacing w:val="0"/>
                <w:w w:val="100"/>
                <w:position w:val="0"/>
                <w:sz w:val="20"/>
                <w:szCs w:val="20"/>
              </w:rPr>
              <w:t>、应收款项融资</w:t>
            </w:r>
            <w:bookmarkEnd w:id="921"/>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84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以公允价值计量且其变动计入其他综合收 益的应收票据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10,927,998.57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14,664,194.04</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10,927,998.57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14,664,194.04</w:t>
            </w:r>
          </w:p>
        </w:tc>
      </w:tr>
    </w:tbl>
    <w:p>
      <w:pPr>
        <w:widowControl w:val="0"/>
        <w:spacing w:after="239" w:line="1" w:lineRule="exact"/>
      </w:pPr>
    </w:p>
    <w:p>
      <w:pPr>
        <w:widowControl w:val="0"/>
        <w:spacing w:line="1" w:lineRule="exact"/>
      </w:pPr>
    </w:p>
    <w:tbl>
      <w:tblPr>
        <w:tblOverlap w:val="never"/>
        <w:jc w:val="center"/>
        <w:tblLayout w:type="fixed"/>
      </w:tblPr>
      <w:tblGrid>
        <w:gridCol w:w="3110"/>
        <w:gridCol w:w="3115"/>
        <w:gridCol w:w="3134"/>
      </w:tblGrid>
      <w:tr>
        <w:trPr>
          <w:trHeight w:val="288"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期末公司已背书或贴现且在资产负债表日尚未到期的应收票据</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期末终止确认金额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期末未终止确认金额</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155,454,659.02</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155,454,659.02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0"/>
        <w:keepNext/>
        <w:keepLines/>
        <w:widowControl w:val="0"/>
        <w:shd w:val="clear" w:color="auto" w:fill="auto"/>
        <w:bidi w:val="0"/>
        <w:spacing w:before="0" w:after="160" w:line="240" w:lineRule="auto"/>
        <w:ind w:left="0" w:right="0" w:firstLine="560"/>
        <w:jc w:val="left"/>
        <w:rPr>
          <w:sz w:val="20"/>
          <w:szCs w:val="20"/>
        </w:rPr>
      </w:pPr>
      <w:bookmarkStart w:id="922" w:name="bookmark922"/>
      <w:bookmarkStart w:id="923" w:name="bookmark923"/>
      <w:bookmarkStart w:id="924" w:name="bookmark924"/>
      <w:bookmarkStart w:id="925" w:name="bookmark925"/>
      <w:r>
        <w:rPr>
          <w:rFonts w:ascii="Arial Narrow" w:eastAsia="Arial Narrow" w:hAnsi="Arial Narrow" w:cs="Arial Narrow"/>
          <w:color w:val="000000"/>
          <w:spacing w:val="0"/>
          <w:w w:val="100"/>
          <w:position w:val="0"/>
          <w:sz w:val="20"/>
          <w:szCs w:val="20"/>
        </w:rPr>
        <w:t>5</w:t>
      </w:r>
      <w:bookmarkEnd w:id="924"/>
      <w:r>
        <w:rPr>
          <w:color w:val="000000"/>
          <w:spacing w:val="0"/>
          <w:w w:val="100"/>
          <w:position w:val="0"/>
          <w:sz w:val="20"/>
          <w:szCs w:val="20"/>
        </w:rPr>
        <w:t>、预付款项</w:t>
      </w:r>
      <w:bookmarkEnd w:id="922"/>
      <w:bookmarkEnd w:id="923"/>
      <w:bookmarkEnd w:id="925"/>
    </w:p>
    <w:p>
      <w:pPr>
        <w:pStyle w:val="Style27"/>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）预付款项按账龄列示</w:t>
      </w:r>
    </w:p>
    <w:p>
      <w:pPr>
        <w:pStyle w:val="Style82"/>
        <w:keepNext w:val="0"/>
        <w:keepLines w:val="0"/>
        <w:widowControl w:val="0"/>
        <w:shd w:val="clear" w:color="auto" w:fill="auto"/>
        <w:tabs>
          <w:tab w:pos="3735" w:val="left"/>
          <w:tab w:pos="7254" w:val="left"/>
        </w:tabs>
        <w:bidi w:val="0"/>
        <w:spacing w:before="0" w:after="240" w:line="240" w:lineRule="auto"/>
        <w:ind w:left="0" w:right="0" w:firstLine="980"/>
        <w:jc w:val="left"/>
      </w:pPr>
      <w:r>
        <w:rPr>
          <w:rFonts w:ascii="SimSun" w:eastAsia="SimSun" w:hAnsi="SimSun" w:cs="SimSun"/>
          <w:b/>
          <w:bCs/>
          <w:color w:val="000000"/>
          <w:spacing w:val="0"/>
          <w:w w:val="100"/>
          <w:position w:val="0"/>
          <w:sz w:val="17"/>
          <w:szCs w:val="17"/>
        </w:rPr>
        <w:t>账龄</w:t>
        <w:tab/>
      </w:r>
      <w:r>
        <w:rPr>
          <w:b/>
          <w:bCs/>
          <w:color w:val="000000"/>
          <w:spacing w:val="0"/>
          <w:w w:val="100"/>
          <w:position w:val="0"/>
        </w:rPr>
        <w:t>2021.12.31</w:t>
        <w:tab/>
        <w:t>2020.12.31</w:t>
      </w:r>
      <w:r>
        <w:br w:type="page"/>
      </w:r>
    </w:p>
    <w:tbl>
      <w:tblPr>
        <w:tblOverlap w:val="never"/>
        <w:jc w:val="center"/>
        <w:tblLayout w:type="fixed"/>
      </w:tblPr>
      <w:tblGrid>
        <w:gridCol w:w="2309"/>
        <w:gridCol w:w="2242"/>
        <w:gridCol w:w="1387"/>
        <w:gridCol w:w="1824"/>
        <w:gridCol w:w="1608"/>
      </w:tblGrid>
      <w:tr>
        <w:trPr>
          <w:trHeight w:val="43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比例（</w:t>
            </w:r>
            <w:r>
              <w:rPr>
                <w:b/>
                <w:bCs/>
                <w:color w:val="000000"/>
                <w:spacing w:val="0"/>
                <w:w w:val="100"/>
                <w:position w:val="0"/>
                <w:sz w:val="22"/>
                <w:szCs w:val="22"/>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比例（</w:t>
            </w:r>
            <w:r>
              <w:rPr>
                <w:b/>
                <w:bCs/>
                <w:color w:val="000000"/>
                <w:spacing w:val="0"/>
                <w:w w:val="100"/>
                <w:position w:val="0"/>
                <w:sz w:val="22"/>
                <w:szCs w:val="22"/>
              </w:rPr>
              <w:t>％</w:t>
            </w:r>
            <w:r>
              <w:rPr>
                <w:b/>
                <w:bCs/>
                <w:color w:val="000000"/>
                <w:spacing w:val="0"/>
                <w:w w:val="100"/>
                <w:position w:val="0"/>
                <w:sz w:val="17"/>
                <w:szCs w:val="17"/>
              </w:rPr>
              <w:t>）</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121,830,173.15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737,919,847.46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19.01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577,701,709.63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1,813,792,710.02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46.73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1,746,927,991.09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1,174,579,472.46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30.26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1,307,829,636.83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155,413,723.42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3,754,289,510.70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3,881,705,753.36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100.00</w:t>
            </w:r>
          </w:p>
        </w:tc>
      </w:tr>
    </w:tbl>
    <w:p>
      <w:pPr>
        <w:pStyle w:val="Style27"/>
        <w:keepNext w:val="0"/>
        <w:keepLines w:val="0"/>
        <w:widowControl w:val="0"/>
        <w:shd w:val="clear" w:color="auto" w:fill="auto"/>
        <w:bidi w:val="0"/>
        <w:spacing w:before="0" w:after="0" w:line="509" w:lineRule="exact"/>
        <w:ind w:left="140" w:right="0" w:firstLine="340"/>
        <w:jc w:val="left"/>
        <w:rPr>
          <w:sz w:val="17"/>
          <w:szCs w:val="17"/>
        </w:rPr>
      </w:pPr>
      <w:r>
        <w:rPr>
          <w:color w:val="000000"/>
          <w:spacing w:val="0"/>
          <w:w w:val="100"/>
          <w:position w:val="0"/>
          <w:sz w:val="17"/>
          <w:szCs w:val="17"/>
        </w:rPr>
        <w:t>注：账龄超过</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年的重要预付款项主要为预付的工程设备款，工程结算周期超过</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年，由于业务尚未完成，故暂未办理 结算。</w:t>
      </w:r>
    </w:p>
    <w:p>
      <w:pPr>
        <w:pStyle w:val="Style27"/>
        <w:keepNext w:val="0"/>
        <w:keepLines w:val="0"/>
        <w:widowControl w:val="0"/>
        <w:shd w:val="clear" w:color="auto" w:fill="auto"/>
        <w:bidi w:val="0"/>
        <w:spacing w:before="0" w:after="280" w:line="509" w:lineRule="exact"/>
        <w:ind w:left="0" w:right="0" w:firstLine="4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）按预付对象归集的年末余额前五名的预付款情况：</w:t>
      </w:r>
    </w:p>
    <w:p>
      <w:pPr>
        <w:pStyle w:val="Style17"/>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日按预付对象归集的期末余额前五名预付款项汇总金额</w:t>
      </w:r>
      <w:r>
        <w:rPr>
          <w:b/>
          <w:bCs/>
          <w:color w:val="000000"/>
          <w:spacing w:val="0"/>
          <w:w w:val="100"/>
          <w:position w:val="0"/>
        </w:rPr>
        <w:t>2,065,936,351.00</w:t>
      </w:r>
      <w:r>
        <w:rPr>
          <w:color w:val="000000"/>
          <w:spacing w:val="0"/>
          <w:w w:val="100"/>
          <w:position w:val="0"/>
        </w:rPr>
        <w:t>元，占预</w:t>
      </w:r>
    </w:p>
    <w:p>
      <w:pPr>
        <w:pStyle w:val="Style17"/>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付款项期末余额合计数的比例</w:t>
      </w:r>
      <w:r>
        <w:rPr>
          <w:b/>
          <w:bCs/>
          <w:color w:val="000000"/>
          <w:spacing w:val="0"/>
          <w:w w:val="100"/>
          <w:position w:val="0"/>
        </w:rPr>
        <w:t>55.03%</w:t>
      </w:r>
      <w:r>
        <w:rPr>
          <w:color w:val="000000"/>
          <w:spacing w:val="0"/>
          <w:w w:val="100"/>
          <w:position w:val="0"/>
        </w:rPr>
        <w:t>。</w:t>
      </w:r>
    </w:p>
    <w:p>
      <w:pPr>
        <w:pStyle w:val="Style20"/>
        <w:keepNext/>
        <w:keepLines/>
        <w:widowControl w:val="0"/>
        <w:shd w:val="clear" w:color="auto" w:fill="auto"/>
        <w:bidi w:val="0"/>
        <w:spacing w:before="0" w:after="0" w:line="240" w:lineRule="auto"/>
        <w:ind w:left="0" w:right="0" w:firstLine="560"/>
        <w:jc w:val="left"/>
        <w:rPr>
          <w:sz w:val="20"/>
          <w:szCs w:val="20"/>
        </w:rPr>
      </w:pPr>
      <w:bookmarkStart w:id="926" w:name="bookmark926"/>
      <w:bookmarkStart w:id="927" w:name="bookmark927"/>
      <w:bookmarkStart w:id="928" w:name="bookmark928"/>
      <w:bookmarkStart w:id="929" w:name="bookmark929"/>
      <w:r>
        <w:rPr>
          <w:rFonts w:ascii="Arial Narrow" w:eastAsia="Arial Narrow" w:hAnsi="Arial Narrow" w:cs="Arial Narrow"/>
          <w:color w:val="000000"/>
          <w:spacing w:val="0"/>
          <w:w w:val="100"/>
          <w:position w:val="0"/>
          <w:sz w:val="20"/>
          <w:szCs w:val="20"/>
        </w:rPr>
        <w:t>6</w:t>
      </w:r>
      <w:bookmarkEnd w:id="928"/>
      <w:r>
        <w:rPr>
          <w:color w:val="000000"/>
          <w:spacing w:val="0"/>
          <w:w w:val="100"/>
          <w:position w:val="0"/>
          <w:sz w:val="20"/>
          <w:szCs w:val="20"/>
        </w:rPr>
        <w:t>、其他应收款</w:t>
      </w:r>
      <w:bookmarkEnd w:id="926"/>
      <w:bookmarkEnd w:id="927"/>
      <w:bookmarkEnd w:id="929"/>
    </w:p>
    <w:tbl>
      <w:tblPr>
        <w:tblOverlap w:val="never"/>
        <w:jc w:val="center"/>
        <w:tblLayout w:type="fixed"/>
      </w:tblPr>
      <w:tblGrid>
        <w:gridCol w:w="3187"/>
        <w:gridCol w:w="3206"/>
        <w:gridCol w:w="2851"/>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5,509,320.13</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545,390,181.26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634,214,523.01</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550,899,501.39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634,214,523.01</w:t>
            </w:r>
          </w:p>
        </w:tc>
      </w:tr>
    </w:tbl>
    <w:p>
      <w:pPr>
        <w:widowControl w:val="0"/>
        <w:spacing w:after="279" w:line="1" w:lineRule="exact"/>
      </w:pPr>
    </w:p>
    <w:p>
      <w:pPr>
        <w:pStyle w:val="Style27"/>
        <w:keepNext w:val="0"/>
        <w:keepLines w:val="0"/>
        <w:widowControl w:val="0"/>
        <w:shd w:val="clear" w:color="auto" w:fill="auto"/>
        <w:bidi w:val="0"/>
        <w:spacing w:before="0" w:after="320" w:line="240" w:lineRule="auto"/>
        <w:ind w:left="0" w:right="0" w:firstLine="4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）应收股利情况</w:t>
      </w:r>
    </w:p>
    <w:p>
      <w:pPr>
        <w:pStyle w:val="Style25"/>
        <w:keepNext w:val="0"/>
        <w:keepLines w:val="0"/>
        <w:widowControl w:val="0"/>
        <w:shd w:val="clear" w:color="auto" w:fill="auto"/>
        <w:bidi w:val="0"/>
        <w:spacing w:before="0" w:after="0" w:line="240" w:lineRule="auto"/>
        <w:ind w:left="187" w:right="0" w:firstLine="0"/>
        <w:jc w:val="left"/>
        <w:rPr>
          <w:sz w:val="17"/>
          <w:szCs w:val="17"/>
        </w:rPr>
      </w:pPr>
      <w:r>
        <w:rPr>
          <w:color w:val="000000"/>
          <w:spacing w:val="0"/>
          <w:w w:val="100"/>
          <w:position w:val="0"/>
          <w:sz w:val="17"/>
          <w:szCs w:val="17"/>
        </w:rPr>
        <w:t>①应收股利分类列示</w:t>
      </w:r>
    </w:p>
    <w:tbl>
      <w:tblPr>
        <w:tblOverlap w:val="never"/>
        <w:jc w:val="center"/>
        <w:tblLayout w:type="fixed"/>
      </w:tblPr>
      <w:tblGrid>
        <w:gridCol w:w="1862"/>
        <w:gridCol w:w="1282"/>
        <w:gridCol w:w="1426"/>
        <w:gridCol w:w="1286"/>
        <w:gridCol w:w="1205"/>
        <w:gridCol w:w="1099"/>
        <w:gridCol w:w="1253"/>
      </w:tblGrid>
      <w:tr>
        <w:trPr>
          <w:trHeight w:val="49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7,972,966.91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2,463,646.78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5,509,320.13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7,972,966.91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2,463,646.78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5,509,320.13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211" w:right="0" w:firstLine="0"/>
        <w:jc w:val="left"/>
        <w:rPr>
          <w:sz w:val="17"/>
          <w:szCs w:val="17"/>
        </w:rPr>
      </w:pPr>
      <w:r>
        <w:rPr>
          <w:color w:val="000000"/>
          <w:spacing w:val="0"/>
          <w:w w:val="100"/>
          <w:position w:val="0"/>
          <w:sz w:val="17"/>
          <w:szCs w:val="17"/>
        </w:rPr>
        <w:t>②坏账准备</w:t>
      </w:r>
    </w:p>
    <w:tbl>
      <w:tblPr>
        <w:tblOverlap w:val="never"/>
        <w:jc w:val="center"/>
        <w:tblLayout w:type="fixed"/>
      </w:tblPr>
      <w:tblGrid>
        <w:gridCol w:w="2357"/>
        <w:gridCol w:w="1618"/>
        <w:gridCol w:w="1944"/>
        <w:gridCol w:w="1786"/>
        <w:gridCol w:w="1646"/>
      </w:tblGrid>
      <w:tr>
        <w:trPr>
          <w:trHeight w:val="38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第三阶段</w:t>
            </w:r>
          </w:p>
        </w:tc>
        <w:tc>
          <w:tcPr>
            <w:tcBorders>
              <w:top w:val="single" w:sz="4"/>
              <w:left w:val="single" w:sz="4"/>
            </w:tcBorders>
            <w:shd w:val="clear" w:color="auto" w:fill="FFFFFF"/>
            <w:vAlign w:val="top"/>
          </w:tcPr>
          <w:p>
            <w:pPr>
              <w:widowControl w:val="0"/>
              <w:rPr>
                <w:sz w:val="10"/>
                <w:szCs w:val="10"/>
              </w:rPr>
            </w:pPr>
          </w:p>
        </w:tc>
      </w:tr>
      <w:tr>
        <w:trPr>
          <w:trHeight w:val="984" w:hRule="exact"/>
        </w:trPr>
        <w:tc>
          <w:tcPr>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17"/>
                <w:szCs w:val="17"/>
              </w:rPr>
              <w:t>个月内预 期信用损失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整个存续期预期信用 损失（未发生信用减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整个存续期预期信 用损失（已发生信用 减值）</w:t>
            </w:r>
          </w:p>
        </w:tc>
        <w:tc>
          <w:tcPr>
            <w:tcBorders>
              <w:lef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0"/>
              <w:jc w:val="center"/>
              <w:rPr>
                <w:sz w:val="17"/>
                <w:szCs w:val="17"/>
              </w:rPr>
            </w:pPr>
            <w:r>
              <w:rPr>
                <w:b/>
                <w:bCs/>
                <w:color w:val="000000"/>
                <w:spacing w:val="0"/>
                <w:w w:val="100"/>
                <w:position w:val="0"/>
                <w:sz w:val="17"/>
                <w:szCs w:val="17"/>
              </w:rPr>
              <w:t>合计</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转入第一阶段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57"/>
        <w:gridCol w:w="1618"/>
        <w:gridCol w:w="1944"/>
        <w:gridCol w:w="1786"/>
        <w:gridCol w:w="1646"/>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2,463,646.78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2,463,646.78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2,463,646.78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b/>
                <w:bCs/>
                <w:color w:val="000000"/>
                <w:spacing w:val="0"/>
                <w:w w:val="100"/>
                <w:position w:val="0"/>
                <w:sz w:val="18"/>
                <w:szCs w:val="18"/>
              </w:rPr>
              <w:t>2,463,646.78</w:t>
            </w:r>
          </w:p>
        </w:tc>
      </w:tr>
    </w:tbl>
    <w:p>
      <w:pPr>
        <w:widowControl w:val="0"/>
        <w:spacing w:after="279" w:line="1" w:lineRule="exact"/>
      </w:pPr>
    </w:p>
    <w:p>
      <w:pPr>
        <w:pStyle w:val="Style27"/>
        <w:keepNext w:val="0"/>
        <w:keepLines w:val="0"/>
        <w:widowControl w:val="0"/>
        <w:shd w:val="clear" w:color="auto" w:fill="auto"/>
        <w:bidi w:val="0"/>
        <w:spacing w:before="0" w:after="280" w:line="240" w:lineRule="auto"/>
        <w:ind w:left="0" w:right="0" w:firstLine="4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）其他应收款情况</w:t>
      </w:r>
    </w:p>
    <w:p>
      <w:pPr>
        <w:pStyle w:val="Style27"/>
        <w:keepNext w:val="0"/>
        <w:keepLines w:val="0"/>
        <w:widowControl w:val="0"/>
        <w:shd w:val="clear" w:color="auto" w:fill="auto"/>
        <w:bidi w:val="0"/>
        <w:spacing w:before="0" w:after="280" w:line="240" w:lineRule="auto"/>
        <w:ind w:left="0" w:right="0" w:firstLine="500"/>
        <w:jc w:val="left"/>
        <w:rPr>
          <w:sz w:val="17"/>
          <w:szCs w:val="17"/>
        </w:rPr>
      </w:pPr>
      <w:r>
        <w:rPr>
          <w:color w:val="000000"/>
          <w:spacing w:val="0"/>
          <w:w w:val="100"/>
          <w:position w:val="0"/>
          <w:sz w:val="17"/>
          <w:szCs w:val="17"/>
        </w:rPr>
        <w:t>①坏账准备</w:t>
      </w:r>
    </w:p>
    <w:p>
      <w:pPr>
        <w:pStyle w:val="Style25"/>
        <w:keepNext w:val="0"/>
        <w:keepLines w:val="0"/>
        <w:widowControl w:val="0"/>
        <w:shd w:val="clear" w:color="auto" w:fill="auto"/>
        <w:bidi w:val="0"/>
        <w:spacing w:before="0" w:after="0" w:line="240" w:lineRule="auto"/>
        <w:ind w:left="456" w:right="0" w:firstLine="0"/>
        <w:jc w:val="left"/>
        <w:rPr>
          <w:sz w:val="17"/>
          <w:szCs w:val="17"/>
        </w:rPr>
      </w:pPr>
      <w:r>
        <w:rPr>
          <w:rFonts w:ascii="Arial Narrow" w:eastAsia="Arial Narrow" w:hAnsi="Arial Narrow" w:cs="Arial Narrow"/>
          <w:color w:val="000000"/>
          <w:spacing w:val="0"/>
          <w:w w:val="100"/>
          <w:position w:val="0"/>
          <w:sz w:val="18"/>
          <w:szCs w:val="18"/>
        </w:rPr>
        <w:t xml:space="preserve">A. </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日，处于第一阶段的其他应收款坏账准备如下:</w:t>
      </w:r>
    </w:p>
    <w:tbl>
      <w:tblPr>
        <w:tblOverlap w:val="never"/>
        <w:jc w:val="center"/>
        <w:tblLayout w:type="fixed"/>
      </w:tblPr>
      <w:tblGrid>
        <w:gridCol w:w="3293"/>
        <w:gridCol w:w="1848"/>
        <w:gridCol w:w="1742"/>
        <w:gridCol w:w="1358"/>
        <w:gridCol w:w="998"/>
      </w:tblGrid>
      <w:tr>
        <w:trPr>
          <w:trHeight w:val="4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7"/>
                <w:szCs w:val="17"/>
              </w:rPr>
            </w:pPr>
            <w:r>
              <w:rPr>
                <w:b/>
                <w:bCs/>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66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未来</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20"/>
                <w:szCs w:val="20"/>
              </w:rPr>
              <w:t>个月预期 信用损失率（</w:t>
            </w:r>
            <w:r>
              <w:rPr>
                <w:b/>
                <w:bCs/>
                <w:color w:val="000000"/>
                <w:spacing w:val="0"/>
                <w:w w:val="100"/>
                <w:position w:val="0"/>
                <w:sz w:val="24"/>
                <w:szCs w:val="24"/>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理由</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按预期信用风险特征组合计提坏账准 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396,582,602.95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75,698,092.91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回收可能 性</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224,505,671.22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621,088,274.17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12.19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75,698,092.91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27"/>
        <w:keepNext w:val="0"/>
        <w:keepLines w:val="0"/>
        <w:widowControl w:val="0"/>
        <w:numPr>
          <w:ilvl w:val="0"/>
          <w:numId w:val="35"/>
        </w:numPr>
        <w:shd w:val="clear" w:color="auto" w:fill="auto"/>
        <w:tabs>
          <w:tab w:pos="820" w:val="left"/>
        </w:tabs>
        <w:bidi w:val="0"/>
        <w:spacing w:before="0" w:after="320" w:line="240" w:lineRule="auto"/>
        <w:ind w:left="0" w:right="0" w:firstLine="500"/>
        <w:jc w:val="left"/>
        <w:rPr>
          <w:sz w:val="17"/>
          <w:szCs w:val="17"/>
        </w:rPr>
      </w:pPr>
      <w:bookmarkStart w:id="930" w:name="bookmark930"/>
      <w:bookmarkEnd w:id="930"/>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日，处于第二阶段的其他应收款坏账准备：无;</w:t>
      </w:r>
    </w:p>
    <w:p>
      <w:pPr>
        <w:pStyle w:val="Style27"/>
        <w:keepNext w:val="0"/>
        <w:keepLines w:val="0"/>
        <w:widowControl w:val="0"/>
        <w:numPr>
          <w:ilvl w:val="0"/>
          <w:numId w:val="35"/>
        </w:numPr>
        <w:shd w:val="clear" w:color="auto" w:fill="auto"/>
        <w:tabs>
          <w:tab w:pos="830" w:val="left"/>
        </w:tabs>
        <w:bidi w:val="0"/>
        <w:spacing w:before="0" w:after="80" w:line="240" w:lineRule="auto"/>
        <w:ind w:left="0" w:right="0" w:firstLine="500"/>
        <w:jc w:val="left"/>
        <w:rPr>
          <w:sz w:val="17"/>
          <w:szCs w:val="17"/>
        </w:rPr>
      </w:pPr>
      <w:bookmarkStart w:id="931" w:name="bookmark931"/>
      <w:bookmarkEnd w:id="931"/>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日，处于第三阶段的其他应收款坏账准备：</w:t>
      </w:r>
    </w:p>
    <w:tbl>
      <w:tblPr>
        <w:tblOverlap w:val="never"/>
        <w:jc w:val="center"/>
        <w:tblLayout w:type="fixed"/>
      </w:tblPr>
      <w:tblGrid>
        <w:gridCol w:w="3494"/>
        <w:gridCol w:w="1560"/>
        <w:gridCol w:w="1056"/>
        <w:gridCol w:w="1704"/>
        <w:gridCol w:w="1565"/>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146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整个存 续期预 期信用 损失率 （</w:t>
            </w:r>
            <w:r>
              <w:rPr>
                <w:rFonts w:ascii="Arial Narrow" w:eastAsia="Arial Narrow" w:hAnsi="Arial Narrow" w:cs="Arial Narrow"/>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理由</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北京华信智嘉科技有限责任公司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内蒙古顺达新能源实业有限公司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深圳市海龙王房地产开发有限公司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深圳业丰工贸发展公司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42,074,024.66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42,074,024.66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bl>
    <w:p>
      <w:pPr>
        <w:widowControl w:val="0"/>
        <w:spacing w:line="1" w:lineRule="exact"/>
      </w:pPr>
      <w:r>
        <w:br w:type="page"/>
      </w:r>
    </w:p>
    <w:tbl>
      <w:tblPr>
        <w:tblOverlap w:val="never"/>
        <w:jc w:val="center"/>
        <w:tblLayout w:type="fixed"/>
      </w:tblPr>
      <w:tblGrid>
        <w:gridCol w:w="3494"/>
        <w:gridCol w:w="1560"/>
        <w:gridCol w:w="1056"/>
        <w:gridCol w:w="1704"/>
        <w:gridCol w:w="1565"/>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中天蓝瑞环保科技集团有限公司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33,003,080.86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33,003,080.86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广州金宇房地产开发公司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深圳桂兴贸易发展公司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深圳发中公司代持股款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深圳丰华电子公司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深圳发中实业有限公司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南山综合楼消防工程款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正中置业集团有限公司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深圳市竣雄投资有限公司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龙岗五联村将军帽自然村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珠海市鑫大生物工程有限公司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黄立业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106,345.00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106,345.00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深圳市韬涛投资发展有限公司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玉溪灵照福田服务有限公司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北京广电美讯网络科技有限公司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天津鸿运东方国际贸易有限公司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394,580,095.80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394,580,095.80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南京京九思新能源有限公司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15,499,620.00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15,499,620.00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平顶山市公共资产交易中心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天勤工程咨询有限公司淄博分公司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1,009,597,820.53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1,009,597,820.53</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按预期信用风险特征组合计提坏账准备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211" w:right="0" w:firstLine="0"/>
        <w:jc w:val="left"/>
        <w:rPr>
          <w:sz w:val="17"/>
          <w:szCs w:val="17"/>
        </w:rPr>
      </w:pPr>
      <w:r>
        <w:rPr>
          <w:color w:val="000000"/>
          <w:spacing w:val="0"/>
          <w:w w:val="100"/>
          <w:position w:val="0"/>
          <w:sz w:val="17"/>
          <w:szCs w:val="17"/>
        </w:rPr>
        <w:t>②坏账准备的变动</w:t>
      </w:r>
    </w:p>
    <w:tbl>
      <w:tblPr>
        <w:tblOverlap w:val="never"/>
        <w:jc w:val="center"/>
        <w:tblLayout w:type="fixed"/>
      </w:tblPr>
      <w:tblGrid>
        <w:gridCol w:w="2357"/>
        <w:gridCol w:w="1618"/>
        <w:gridCol w:w="1944"/>
        <w:gridCol w:w="1786"/>
        <w:gridCol w:w="1646"/>
      </w:tblGrid>
      <w:tr>
        <w:trPr>
          <w:trHeight w:val="38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第三阶段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9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17"/>
                <w:szCs w:val="17"/>
              </w:rPr>
              <w:t>个月内预 期信用损失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整个存续期预期信用 损失（未发生信用减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整个存续期预期信 用损失（已发生信用 减值）</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33,143,180.83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992,598,200.53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1,025,741,381.36</w:t>
            </w:r>
          </w:p>
        </w:tc>
      </w:tr>
      <w:tr>
        <w:trPr>
          <w:trHeight w:val="43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期初余额在本期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57"/>
        <w:gridCol w:w="1618"/>
        <w:gridCol w:w="1939"/>
        <w:gridCol w:w="1786"/>
        <w:gridCol w:w="1651"/>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转入第一阶段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42,666,204.66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16,999,620.00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59,665,824.66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111,292.58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111,292.58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75,698,092.91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1,009,597,820.53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b/>
                <w:bCs/>
                <w:color w:val="000000"/>
                <w:spacing w:val="0"/>
                <w:w w:val="100"/>
                <w:position w:val="0"/>
                <w:sz w:val="18"/>
                <w:szCs w:val="18"/>
              </w:rPr>
              <w:t>1,085,295,913.44</w:t>
            </w:r>
          </w:p>
        </w:tc>
      </w:tr>
    </w:tbl>
    <w:p>
      <w:pPr>
        <w:widowControl w:val="0"/>
        <w:spacing w:after="1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22" w:right="0" w:firstLine="0"/>
        <w:jc w:val="left"/>
        <w:rPr>
          <w:sz w:val="17"/>
          <w:szCs w:val="17"/>
        </w:rPr>
      </w:pPr>
      <w:r>
        <w:rPr>
          <w:color w:val="000000"/>
          <w:spacing w:val="0"/>
          <w:w w:val="100"/>
          <w:position w:val="0"/>
          <w:sz w:val="17"/>
          <w:szCs w:val="17"/>
        </w:rPr>
        <w:t>③其他应收款按款项性质分类情况</w:t>
      </w:r>
    </w:p>
    <w:tbl>
      <w:tblPr>
        <w:tblOverlap w:val="never"/>
        <w:jc w:val="center"/>
        <w:tblLayout w:type="fixed"/>
      </w:tblPr>
      <w:tblGrid>
        <w:gridCol w:w="3086"/>
        <w:gridCol w:w="3048"/>
        <w:gridCol w:w="3072"/>
      </w:tblGrid>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224,173,129.53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211,227,146.12</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待收回货款、代垫款等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1,286,070,614.11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1,264,284,088.49</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776,468.13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447,314.99</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23,535,509.37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116,035,509.37</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1,056,073.56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454,183.81</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95,074,300.00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67,400,000.00</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107,661.59</w:t>
            </w:r>
          </w:p>
        </w:tc>
      </w:tr>
      <w:tr>
        <w:trPr>
          <w:trHeight w:val="46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1,630,686,094.70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1,659,955,904.37</w:t>
            </w:r>
          </w:p>
        </w:tc>
      </w:tr>
    </w:tbl>
    <w:p>
      <w:pPr>
        <w:pStyle w:val="Style27"/>
        <w:keepNext w:val="0"/>
        <w:keepLines w:val="0"/>
        <w:widowControl w:val="0"/>
        <w:shd w:val="clear" w:color="auto" w:fill="auto"/>
        <w:bidi w:val="0"/>
        <w:spacing w:before="0" w:after="0" w:line="503" w:lineRule="exact"/>
        <w:ind w:left="0" w:right="0" w:firstLine="42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 xml:space="preserve">: </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月本公司子公司东旭新能源投资有限公司与吉林吉电新能源有限公司签订《合作协议》，将持有汪清县 振发投资有限公司</w:t>
      </w:r>
      <w:r>
        <w:rPr>
          <w:rFonts w:ascii="Arial Narrow" w:eastAsia="Arial Narrow" w:hAnsi="Arial Narrow" w:cs="Arial Narrow"/>
          <w:color w:val="000000"/>
          <w:spacing w:val="0"/>
          <w:w w:val="100"/>
          <w:position w:val="0"/>
          <w:sz w:val="18"/>
          <w:szCs w:val="18"/>
        </w:rPr>
        <w:t>70%</w:t>
      </w:r>
      <w:r>
        <w:rPr>
          <w:color w:val="000000"/>
          <w:spacing w:val="0"/>
          <w:w w:val="100"/>
          <w:position w:val="0"/>
          <w:sz w:val="17"/>
          <w:szCs w:val="17"/>
        </w:rPr>
        <w:t>股权转让给吉林吉电新能源有限公司，股权转让款为</w:t>
      </w:r>
      <w:r>
        <w:rPr>
          <w:rFonts w:ascii="Arial Narrow" w:eastAsia="Arial Narrow" w:hAnsi="Arial Narrow" w:cs="Arial Narrow"/>
          <w:color w:val="000000"/>
          <w:spacing w:val="0"/>
          <w:w w:val="100"/>
          <w:position w:val="0"/>
          <w:sz w:val="18"/>
          <w:szCs w:val="18"/>
        </w:rPr>
        <w:t>12,740</w:t>
      </w:r>
      <w:r>
        <w:rPr>
          <w:color w:val="000000"/>
          <w:spacing w:val="0"/>
          <w:w w:val="100"/>
          <w:position w:val="0"/>
          <w:sz w:val="17"/>
          <w:szCs w:val="17"/>
        </w:rPr>
        <w:t>万元，截至期末应收股权转让款</w:t>
      </w:r>
      <w:r>
        <w:rPr>
          <w:rFonts w:ascii="Arial Narrow" w:eastAsia="Arial Narrow" w:hAnsi="Arial Narrow" w:cs="Arial Narrow"/>
          <w:color w:val="000000"/>
          <w:spacing w:val="0"/>
          <w:w w:val="100"/>
          <w:position w:val="0"/>
          <w:sz w:val="18"/>
          <w:szCs w:val="18"/>
        </w:rPr>
        <w:t>3,000</w:t>
      </w:r>
      <w:r>
        <w:rPr>
          <w:color w:val="000000"/>
          <w:spacing w:val="0"/>
          <w:w w:val="100"/>
          <w:position w:val="0"/>
          <w:sz w:val="17"/>
          <w:szCs w:val="17"/>
        </w:rPr>
        <w:t>万 元。</w:t>
      </w:r>
    </w:p>
    <w:p>
      <w:pPr>
        <w:pStyle w:val="Style27"/>
        <w:keepNext w:val="0"/>
        <w:keepLines w:val="0"/>
        <w:widowControl w:val="0"/>
        <w:shd w:val="clear" w:color="auto" w:fill="auto"/>
        <w:bidi w:val="0"/>
        <w:spacing w:before="0" w:after="0" w:line="503" w:lineRule="exact"/>
        <w:ind w:left="0" w:right="0" w:firstLine="420"/>
        <w:jc w:val="left"/>
        <w:rPr>
          <w:sz w:val="17"/>
          <w:szCs w:val="17"/>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29</w:t>
      </w:r>
      <w:r>
        <w:rPr>
          <w:color w:val="000000"/>
          <w:spacing w:val="0"/>
          <w:w w:val="100"/>
          <w:position w:val="0"/>
          <w:sz w:val="17"/>
          <w:szCs w:val="17"/>
        </w:rPr>
        <w:t>日本公司子公司东旭新能源投资有限公司与安平县罗森金属丝网制品有限公司签订《股权转让协议》，将 持有华融金属表面处理（安平）科技有限公司</w:t>
      </w:r>
      <w:r>
        <w:rPr>
          <w:rFonts w:ascii="Arial Narrow" w:eastAsia="Arial Narrow" w:hAnsi="Arial Narrow" w:cs="Arial Narrow"/>
          <w:color w:val="000000"/>
          <w:spacing w:val="0"/>
          <w:w w:val="100"/>
          <w:position w:val="0"/>
          <w:sz w:val="18"/>
          <w:szCs w:val="18"/>
        </w:rPr>
        <w:t>85%</w:t>
      </w:r>
      <w:r>
        <w:rPr>
          <w:color w:val="000000"/>
          <w:spacing w:val="0"/>
          <w:w w:val="100"/>
          <w:position w:val="0"/>
          <w:sz w:val="17"/>
          <w:szCs w:val="17"/>
        </w:rPr>
        <w:t>股权转让给安平县罗森金属丝网制品有限公司，股权转让款为</w:t>
      </w:r>
      <w:r>
        <w:rPr>
          <w:rFonts w:ascii="Arial Narrow" w:eastAsia="Arial Narrow" w:hAnsi="Arial Narrow" w:cs="Arial Narrow"/>
          <w:color w:val="000000"/>
          <w:spacing w:val="0"/>
          <w:w w:val="100"/>
          <w:position w:val="0"/>
          <w:sz w:val="18"/>
          <w:szCs w:val="18"/>
        </w:rPr>
        <w:t>8,500</w:t>
      </w:r>
      <w:r>
        <w:rPr>
          <w:color w:val="000000"/>
          <w:spacing w:val="0"/>
          <w:w w:val="100"/>
          <w:position w:val="0"/>
          <w:sz w:val="17"/>
          <w:szCs w:val="17"/>
        </w:rPr>
        <w:t>万元， 截至期末应收股权转让款</w:t>
      </w:r>
      <w:r>
        <w:rPr>
          <w:rFonts w:ascii="Arial Narrow" w:eastAsia="Arial Narrow" w:hAnsi="Arial Narrow" w:cs="Arial Narrow"/>
          <w:color w:val="000000"/>
          <w:spacing w:val="0"/>
          <w:w w:val="100"/>
          <w:position w:val="0"/>
          <w:sz w:val="18"/>
          <w:szCs w:val="18"/>
        </w:rPr>
        <w:t>6,500</w:t>
      </w:r>
      <w:r>
        <w:rPr>
          <w:color w:val="000000"/>
          <w:spacing w:val="0"/>
          <w:w w:val="100"/>
          <w:position w:val="0"/>
          <w:sz w:val="17"/>
          <w:szCs w:val="17"/>
        </w:rPr>
        <w:t>万元，此笔应收股权转让款已取得安平县罗森金属丝网制品有限公司持有华融金属表面处理 （安平）科技有限公司的</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股权质押以及张东红个人连带责任担保。</w:t>
      </w:r>
    </w:p>
    <w:p>
      <w:pPr>
        <w:pStyle w:val="Style27"/>
        <w:keepNext w:val="0"/>
        <w:keepLines w:val="0"/>
        <w:widowControl w:val="0"/>
        <w:shd w:val="clear" w:color="auto" w:fill="auto"/>
        <w:bidi w:val="0"/>
        <w:spacing w:before="0" w:after="0" w:line="503" w:lineRule="exact"/>
        <w:ind w:left="0" w:right="0" w:firstLine="420"/>
        <w:jc w:val="left"/>
        <w:rPr>
          <w:sz w:val="17"/>
          <w:szCs w:val="17"/>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8</w:t>
      </w:r>
      <w:r>
        <w:rPr>
          <w:color w:val="000000"/>
          <w:spacing w:val="0"/>
          <w:w w:val="100"/>
          <w:position w:val="0"/>
          <w:sz w:val="17"/>
          <w:szCs w:val="17"/>
        </w:rPr>
        <w:t>日本公司子公司天津旭红供应链管理有限公司与北京京能清洁能源电力股份有限公司签订《股权转让协 议》，将持有鄂托克前旗晟日新能源科技有限公司</w:t>
      </w:r>
      <w:r>
        <w:rPr>
          <w:rFonts w:ascii="Arial Narrow" w:eastAsia="Arial Narrow" w:hAnsi="Arial Narrow" w:cs="Arial Narrow"/>
          <w:color w:val="000000"/>
          <w:spacing w:val="0"/>
          <w:w w:val="100"/>
          <w:position w:val="0"/>
          <w:sz w:val="18"/>
          <w:szCs w:val="18"/>
        </w:rPr>
        <w:t>100%</w:t>
      </w:r>
      <w:r>
        <w:rPr>
          <w:color w:val="000000"/>
          <w:spacing w:val="0"/>
          <w:w w:val="100"/>
          <w:position w:val="0"/>
          <w:sz w:val="17"/>
          <w:szCs w:val="17"/>
        </w:rPr>
        <w:t>股权转让给北京京能清洁能源电力股份有限公司，股权转让款为</w:t>
      </w:r>
      <w:r>
        <w:rPr>
          <w:rFonts w:ascii="Arial Narrow" w:eastAsia="Arial Narrow" w:hAnsi="Arial Narrow" w:cs="Arial Narrow"/>
          <w:color w:val="000000"/>
          <w:spacing w:val="0"/>
          <w:w w:val="100"/>
          <w:position w:val="0"/>
          <w:sz w:val="18"/>
          <w:szCs w:val="18"/>
        </w:rPr>
        <w:t xml:space="preserve">37.15 </w:t>
      </w:r>
      <w:r>
        <w:rPr>
          <w:color w:val="000000"/>
          <w:spacing w:val="0"/>
          <w:w w:val="100"/>
          <w:position w:val="0"/>
          <w:sz w:val="17"/>
          <w:szCs w:val="17"/>
        </w:rPr>
        <w:t>万元，截至期末应收股权转让款</w:t>
      </w:r>
      <w:r>
        <w:rPr>
          <w:rFonts w:ascii="Arial Narrow" w:eastAsia="Arial Narrow" w:hAnsi="Arial Narrow" w:cs="Arial Narrow"/>
          <w:color w:val="000000"/>
          <w:spacing w:val="0"/>
          <w:w w:val="100"/>
          <w:position w:val="0"/>
          <w:sz w:val="18"/>
          <w:szCs w:val="18"/>
        </w:rPr>
        <w:t>7.43</w:t>
      </w:r>
      <w:r>
        <w:rPr>
          <w:color w:val="000000"/>
          <w:spacing w:val="0"/>
          <w:w w:val="100"/>
          <w:position w:val="0"/>
          <w:sz w:val="17"/>
          <w:szCs w:val="17"/>
        </w:rPr>
        <w:t>万元。</w:t>
      </w:r>
    </w:p>
    <w:p>
      <w:pPr>
        <w:pStyle w:val="Style27"/>
        <w:keepNext w:val="0"/>
        <w:keepLines w:val="0"/>
        <w:widowControl w:val="0"/>
        <w:shd w:val="clear" w:color="auto" w:fill="auto"/>
        <w:bidi w:val="0"/>
        <w:spacing w:before="0" w:after="0" w:line="503" w:lineRule="exact"/>
        <w:ind w:left="0" w:right="0" w:firstLine="420"/>
        <w:jc w:val="left"/>
        <w:rPr>
          <w:sz w:val="17"/>
          <w:szCs w:val="17"/>
        </w:rPr>
      </w:pPr>
      <w:r>
        <w:rPr>
          <w:color w:val="000000"/>
          <w:spacing w:val="0"/>
          <w:w w:val="100"/>
          <w:position w:val="0"/>
          <w:sz w:val="17"/>
          <w:szCs w:val="17"/>
        </w:rPr>
        <w:t>④期末按欠款方归集的期末余额前五名的其他应收款情况：</w:t>
      </w:r>
      <w:r>
        <w:br w:type="page"/>
      </w:r>
    </w:p>
    <w:tbl>
      <w:tblPr>
        <w:tblOverlap w:val="never"/>
        <w:jc w:val="center"/>
        <w:tblLayout w:type="fixed"/>
      </w:tblPr>
      <w:tblGrid>
        <w:gridCol w:w="1997"/>
        <w:gridCol w:w="1267"/>
        <w:gridCol w:w="859"/>
        <w:gridCol w:w="1416"/>
        <w:gridCol w:w="1282"/>
        <w:gridCol w:w="994"/>
        <w:gridCol w:w="1555"/>
      </w:tblGrid>
      <w:tr>
        <w:trPr>
          <w:trHeight w:val="12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款项</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是否 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占其他应 收款总额 的比例 （</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坏账准备余额</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天津鸿运东方国际贸 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待收回货款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非关联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394,580,095.80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394,580,095.80</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北京华信智嘉科技有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待收回货款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非关联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220,000,000.00</w:t>
            </w:r>
          </w:p>
        </w:tc>
      </w:tr>
      <w:tr>
        <w:trPr>
          <w:trHeight w:val="8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内蒙古顺达新能源实</w:t>
            </w:r>
          </w:p>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待收回货款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非关联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180,000,000.00</w:t>
            </w:r>
          </w:p>
        </w:tc>
      </w:tr>
      <w:tr>
        <w:trPr>
          <w:trHeight w:val="77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安平县罗森金属丝网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非关联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 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3,347,500.00</w:t>
            </w:r>
          </w:p>
        </w:tc>
      </w:tr>
      <w:tr>
        <w:trPr>
          <w:trHeight w:val="21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华融金属表面处理（安 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非关联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58,795,230.13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 以内：</w:t>
            </w:r>
          </w:p>
          <w:p>
            <w:pPr>
              <w:pStyle w:val="Style22"/>
              <w:keepNext w:val="0"/>
              <w:keepLines w:val="0"/>
              <w:widowControl w:val="0"/>
              <w:shd w:val="clear" w:color="auto" w:fill="auto"/>
              <w:bidi w:val="0"/>
              <w:spacing w:before="0" w:after="0" w:line="36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10,000,000.00</w:t>
            </w:r>
            <w:r>
              <w:rPr>
                <w:color w:val="000000"/>
                <w:spacing w:val="0"/>
                <w:w w:val="100"/>
                <w:position w:val="0"/>
                <w:sz w:val="17"/>
                <w:szCs w:val="17"/>
              </w:rPr>
              <w:t>；</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年</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530,000.00</w:t>
            </w:r>
            <w:r>
              <w:rPr>
                <w:color w:val="000000"/>
                <w:spacing w:val="0"/>
                <w:w w:val="100"/>
                <w:position w:val="0"/>
                <w:sz w:val="17"/>
                <w:szCs w:val="17"/>
              </w:rPr>
              <w:t>；</w:t>
            </w:r>
          </w:p>
          <w:p>
            <w:pPr>
              <w:pStyle w:val="Style22"/>
              <w:keepNext w:val="0"/>
              <w:keepLines w:val="0"/>
              <w:widowControl w:val="0"/>
              <w:shd w:val="clear" w:color="auto" w:fill="auto"/>
              <w:bidi w:val="0"/>
              <w:spacing w:before="0" w:after="100" w:line="312"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2-3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36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48,265,230.13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15,487,839.11</w:t>
            </w:r>
          </w:p>
        </w:tc>
      </w:tr>
      <w:tr>
        <w:trPr>
          <w:trHeight w:val="48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918,375,325.93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56.33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b/>
                <w:bCs/>
                <w:color w:val="000000"/>
                <w:spacing w:val="0"/>
                <w:w w:val="100"/>
                <w:position w:val="0"/>
                <w:sz w:val="18"/>
                <w:szCs w:val="18"/>
              </w:rPr>
              <w:t>813,415,434.91</w:t>
            </w:r>
          </w:p>
        </w:tc>
      </w:tr>
    </w:tbl>
    <w:p>
      <w:pPr>
        <w:widowControl w:val="0"/>
        <w:spacing w:after="159" w:line="1" w:lineRule="exact"/>
      </w:pPr>
    </w:p>
    <w:p>
      <w:pPr>
        <w:pStyle w:val="Style20"/>
        <w:keepNext/>
        <w:keepLines/>
        <w:widowControl w:val="0"/>
        <w:shd w:val="clear" w:color="auto" w:fill="auto"/>
        <w:bidi w:val="0"/>
        <w:spacing w:before="0" w:after="260" w:line="240" w:lineRule="auto"/>
        <w:ind w:left="0" w:right="0" w:firstLine="560"/>
        <w:jc w:val="left"/>
        <w:rPr>
          <w:sz w:val="20"/>
          <w:szCs w:val="20"/>
        </w:rPr>
      </w:pPr>
      <w:bookmarkStart w:id="932" w:name="bookmark932"/>
      <w:bookmarkStart w:id="933" w:name="bookmark933"/>
      <w:bookmarkStart w:id="934" w:name="bookmark934"/>
      <w:bookmarkStart w:id="935" w:name="bookmark935"/>
      <w:r>
        <w:rPr>
          <w:rFonts w:ascii="Arial Narrow" w:eastAsia="Arial Narrow" w:hAnsi="Arial Narrow" w:cs="Arial Narrow"/>
          <w:color w:val="000000"/>
          <w:spacing w:val="0"/>
          <w:w w:val="100"/>
          <w:position w:val="0"/>
          <w:sz w:val="20"/>
          <w:szCs w:val="20"/>
        </w:rPr>
        <w:t>7</w:t>
      </w:r>
      <w:bookmarkEnd w:id="934"/>
      <w:r>
        <w:rPr>
          <w:color w:val="000000"/>
          <w:spacing w:val="0"/>
          <w:w w:val="100"/>
          <w:position w:val="0"/>
          <w:sz w:val="20"/>
          <w:szCs w:val="20"/>
        </w:rPr>
        <w:t>、存货</w:t>
      </w:r>
      <w:bookmarkEnd w:id="932"/>
      <w:bookmarkEnd w:id="933"/>
      <w:bookmarkEnd w:id="935"/>
    </w:p>
    <w:p>
      <w:pPr>
        <w:pStyle w:val="Style25"/>
        <w:keepNext w:val="0"/>
        <w:keepLines w:val="0"/>
        <w:widowControl w:val="0"/>
        <w:shd w:val="clear" w:color="auto" w:fill="auto"/>
        <w:bidi w:val="0"/>
        <w:spacing w:before="0" w:after="0" w:line="240" w:lineRule="auto"/>
        <w:ind w:left="51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）存货分类</w:t>
      </w:r>
    </w:p>
    <w:tbl>
      <w:tblPr>
        <w:tblOverlap w:val="never"/>
        <w:jc w:val="center"/>
        <w:tblLayout w:type="fixed"/>
      </w:tblPr>
      <w:tblGrid>
        <w:gridCol w:w="2410"/>
        <w:gridCol w:w="1906"/>
        <w:gridCol w:w="1867"/>
        <w:gridCol w:w="1478"/>
        <w:gridCol w:w="1709"/>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其中：借款费用 资本化金额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69,314,176.75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8,792,362.89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60,521,813.86</w:t>
            </w: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周转材料及低值易耗品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3,008,933.73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11,275.86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2,997,657.87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半成品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186,196.57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186,196.57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4,642,656.77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885,873.17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3,756,783.60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消耗性生物资产</w:t>
            </w:r>
            <w:r>
              <w:rPr>
                <w:color w:val="000000"/>
                <w:spacing w:val="0"/>
                <w:w w:val="100"/>
                <w:position w:val="0"/>
              </w:rPr>
              <w:t>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1,516,374.91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1,516,374.91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5,329,968.95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448,121.69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4,881,847.26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19,427,842.31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13,818,999.60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5,608,842.71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14,383,149.97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7,978,357.57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6,404,792.40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117,809,299.96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31,934,990.78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b/>
                <w:bCs/>
                <w:color w:val="000000"/>
                <w:spacing w:val="0"/>
                <w:w w:val="100"/>
                <w:position w:val="0"/>
                <w:sz w:val="18"/>
                <w:szCs w:val="18"/>
              </w:rPr>
              <w:t>85,874,309.18</w:t>
            </w:r>
          </w:p>
        </w:tc>
      </w:tr>
    </w:tbl>
    <w:p>
      <w:pPr>
        <w:pStyle w:val="Style25"/>
        <w:keepNext w:val="0"/>
        <w:keepLines w:val="0"/>
        <w:widowControl w:val="0"/>
        <w:shd w:val="clear" w:color="auto" w:fill="auto"/>
        <w:bidi w:val="0"/>
        <w:spacing w:before="0" w:after="0" w:line="240" w:lineRule="auto"/>
        <w:ind w:left="499" w:right="0" w:firstLine="0"/>
        <w:jc w:val="left"/>
        <w:rPr>
          <w:sz w:val="17"/>
          <w:szCs w:val="17"/>
        </w:rPr>
      </w:pPr>
      <w:r>
        <w:rPr>
          <w:color w:val="000000"/>
          <w:spacing w:val="0"/>
          <w:w w:val="100"/>
          <w:position w:val="0"/>
          <w:sz w:val="17"/>
          <w:szCs w:val="17"/>
        </w:rPr>
        <w:t>续前表:</w:t>
      </w:r>
      <w:r>
        <w:br w:type="page"/>
      </w:r>
    </w:p>
    <w:p>
      <w:pPr>
        <w:pStyle w:val="Style82"/>
        <w:keepNext w:val="0"/>
        <w:keepLines w:val="0"/>
        <w:widowControl w:val="0"/>
        <w:shd w:val="clear" w:color="auto" w:fill="auto"/>
        <w:bidi w:val="0"/>
        <w:spacing w:before="0" w:after="100" w:line="240" w:lineRule="auto"/>
        <w:ind w:left="5500" w:right="0" w:firstLine="0"/>
        <w:jc w:val="left"/>
      </w:pPr>
      <w:r>
        <w:rPr>
          <w:b/>
          <w:bCs/>
          <w:color w:val="000000"/>
          <w:spacing w:val="0"/>
          <w:w w:val="100"/>
          <w:position w:val="0"/>
        </w:rPr>
        <w:t>2020.12.31</w:t>
      </w:r>
    </w:p>
    <w:tbl>
      <w:tblPr>
        <w:tblOverlap w:val="never"/>
        <w:jc w:val="center"/>
        <w:tblLayout w:type="fixed"/>
      </w:tblPr>
      <w:tblGrid>
        <w:gridCol w:w="2410"/>
        <w:gridCol w:w="1906"/>
        <w:gridCol w:w="1867"/>
        <w:gridCol w:w="1478"/>
        <w:gridCol w:w="1709"/>
      </w:tblGrid>
      <w:tr>
        <w:trPr>
          <w:trHeight w:val="63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其中：借款费用 资本化金额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53,724,321.84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53,724,321.84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周转材料及低值易耗品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3,269,008.38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11,275.86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3,257,732.52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半成品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1,610,482.67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1,610,482.67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11,162,051.58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11,162,051.58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消耗性生物资产</w:t>
            </w:r>
            <w:r>
              <w:rPr>
                <w:color w:val="000000"/>
                <w:spacing w:val="0"/>
                <w:w w:val="100"/>
                <w:position w:val="0"/>
              </w:rPr>
              <w:t>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2,908,985.06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2,908,985.06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在途物资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841,979.36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841,979.36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1,513,052.70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424,138.77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1,088,913.93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18,803,684.02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10,615,924.67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8,187,759.35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21,635,597.92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7,978,357.57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13,657,240.35</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115,469,163.53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19,029,696.87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b/>
                <w:bCs/>
                <w:color w:val="000000"/>
                <w:spacing w:val="0"/>
                <w:w w:val="100"/>
                <w:position w:val="0"/>
                <w:sz w:val="18"/>
                <w:szCs w:val="18"/>
              </w:rPr>
              <w:t>96,439,466.66</w:t>
            </w:r>
          </w:p>
        </w:tc>
      </w:tr>
    </w:tbl>
    <w:p>
      <w:pPr>
        <w:pStyle w:val="Style25"/>
        <w:keepNext w:val="0"/>
        <w:keepLines w:val="0"/>
        <w:widowControl w:val="0"/>
        <w:shd w:val="clear" w:color="auto" w:fill="auto"/>
        <w:bidi w:val="0"/>
        <w:spacing w:before="0" w:after="0" w:line="240" w:lineRule="auto"/>
        <w:ind w:left="490" w:right="0" w:firstLine="0"/>
        <w:jc w:val="left"/>
        <w:rPr>
          <w:sz w:val="17"/>
          <w:szCs w:val="17"/>
        </w:rPr>
      </w:pPr>
      <w:r>
        <w:rPr>
          <w:color w:val="000000"/>
          <w:spacing w:val="0"/>
          <w:w w:val="100"/>
          <w:position w:val="0"/>
          <w:sz w:val="16"/>
          <w:szCs w:val="16"/>
        </w:rPr>
        <w:t>①</w:t>
      </w:r>
      <w:r>
        <w:rPr>
          <w:color w:val="000000"/>
          <w:spacing w:val="0"/>
          <w:w w:val="100"/>
          <w:position w:val="0"/>
          <w:sz w:val="17"/>
          <w:szCs w:val="17"/>
        </w:rPr>
        <w:t>消耗性生物资产明细:</w:t>
      </w:r>
    </w:p>
    <w:p>
      <w:pPr>
        <w:widowControl w:val="0"/>
        <w:spacing w:after="39" w:line="1" w:lineRule="exact"/>
      </w:pPr>
    </w:p>
    <w:p>
      <w:pPr>
        <w:widowControl w:val="0"/>
        <w:spacing w:line="1" w:lineRule="exact"/>
      </w:pPr>
    </w:p>
    <w:tbl>
      <w:tblPr>
        <w:tblOverlap w:val="never"/>
        <w:jc w:val="center"/>
        <w:tblLayout w:type="fixed"/>
      </w:tblPr>
      <w:tblGrid>
        <w:gridCol w:w="1858"/>
        <w:gridCol w:w="1814"/>
        <w:gridCol w:w="1814"/>
        <w:gridCol w:w="1819"/>
        <w:gridCol w:w="1987"/>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种植业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2,908,985.06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1,737,854.43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3,130,464.58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1,516,374.91</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2,908,985.06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1,737,854.43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3,130,464.58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b/>
                <w:bCs/>
                <w:color w:val="000000"/>
                <w:spacing w:val="0"/>
                <w:w w:val="100"/>
                <w:position w:val="0"/>
                <w:sz w:val="18"/>
                <w:szCs w:val="18"/>
              </w:rPr>
              <w:t>1,516,374.91</w:t>
            </w:r>
          </w:p>
        </w:tc>
      </w:tr>
    </w:tbl>
    <w:p>
      <w:pPr>
        <w:pStyle w:val="Style25"/>
        <w:keepNext w:val="0"/>
        <w:keepLines w:val="0"/>
        <w:widowControl w:val="0"/>
        <w:shd w:val="clear" w:color="auto" w:fill="auto"/>
        <w:bidi w:val="0"/>
        <w:spacing w:before="0" w:after="0" w:line="240" w:lineRule="auto"/>
        <w:ind w:left="173" w:right="0" w:firstLine="0"/>
        <w:jc w:val="left"/>
        <w:rPr>
          <w:sz w:val="17"/>
          <w:szCs w:val="17"/>
        </w:rPr>
      </w:pPr>
      <w:r>
        <w:rPr>
          <w:color w:val="000000"/>
          <w:spacing w:val="0"/>
          <w:w w:val="100"/>
          <w:position w:val="0"/>
          <w:sz w:val="17"/>
          <w:szCs w:val="17"/>
        </w:rPr>
        <w:t>注：截止到</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日消耗性生物资产为油茶容器苗、油茶裸根苗、黄金种苗等，共计</w:t>
      </w:r>
      <w:r>
        <w:rPr>
          <w:rFonts w:ascii="Arial Narrow" w:eastAsia="Arial Narrow" w:hAnsi="Arial Narrow" w:cs="Arial Narrow"/>
          <w:color w:val="000000"/>
          <w:spacing w:val="0"/>
          <w:w w:val="100"/>
          <w:position w:val="0"/>
          <w:sz w:val="18"/>
          <w:szCs w:val="18"/>
        </w:rPr>
        <w:t>1,308,615.00</w:t>
      </w:r>
      <w:r>
        <w:rPr>
          <w:color w:val="000000"/>
          <w:spacing w:val="0"/>
          <w:w w:val="100"/>
          <w:position w:val="0"/>
          <w:sz w:val="17"/>
          <w:szCs w:val="17"/>
        </w:rPr>
        <w:t>株。</w:t>
      </w:r>
    </w:p>
    <w:p>
      <w:pPr>
        <w:widowControl w:val="0"/>
        <w:spacing w:after="2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32"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)存货跌价准备</w:t>
      </w:r>
    </w:p>
    <w:tbl>
      <w:tblPr>
        <w:tblOverlap w:val="never"/>
        <w:jc w:val="center"/>
        <w:tblLayout w:type="fixed"/>
      </w:tblPr>
      <w:tblGrid>
        <w:gridCol w:w="2342"/>
        <w:gridCol w:w="1315"/>
        <w:gridCol w:w="1378"/>
        <w:gridCol w:w="662"/>
        <w:gridCol w:w="1186"/>
        <w:gridCol w:w="917"/>
        <w:gridCol w:w="1531"/>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转回或转销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8,792,362.89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8,792,362.89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周转材料及低值易耗品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11,275.86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11,275.86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885,873.17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885,873.17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424,138.77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23,982.92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448,121.69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10,615,924.67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3,203,074.93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13,818,999.60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7,978,357.57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7,978,357.57</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19,029,696.87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12,905,293.91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b/>
                <w:bCs/>
                <w:color w:val="000000"/>
                <w:spacing w:val="0"/>
                <w:w w:val="100"/>
                <w:position w:val="0"/>
                <w:sz w:val="18"/>
                <w:szCs w:val="18"/>
              </w:rPr>
              <w:t>31,934,990.78</w:t>
            </w:r>
          </w:p>
        </w:tc>
      </w:tr>
    </w:tbl>
    <w:p>
      <w:pPr>
        <w:pStyle w:val="Style25"/>
        <w:keepNext w:val="0"/>
        <w:keepLines w:val="0"/>
        <w:widowControl w:val="0"/>
        <w:shd w:val="clear" w:color="auto" w:fill="auto"/>
        <w:bidi w:val="0"/>
        <w:spacing w:before="0" w:after="0" w:line="240" w:lineRule="auto"/>
        <w:ind w:left="475"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)存货期末使用受限情况详见本附注五、</w:t>
      </w:r>
      <w:r>
        <w:rPr>
          <w:rFonts w:ascii="Arial Narrow" w:eastAsia="Arial Narrow" w:hAnsi="Arial Narrow" w:cs="Arial Narrow"/>
          <w:color w:val="000000"/>
          <w:spacing w:val="0"/>
          <w:w w:val="100"/>
          <w:position w:val="0"/>
          <w:sz w:val="18"/>
          <w:szCs w:val="18"/>
        </w:rPr>
        <w:t>59</w:t>
      </w:r>
      <w:r>
        <w:rPr>
          <w:color w:val="000000"/>
          <w:spacing w:val="0"/>
          <w:w w:val="100"/>
          <w:position w:val="0"/>
          <w:sz w:val="17"/>
          <w:szCs w:val="17"/>
        </w:rPr>
        <w:t>。</w:t>
      </w:r>
    </w:p>
    <w:p>
      <w:pPr>
        <w:widowControl w:val="0"/>
        <w:spacing w:after="299" w:line="1" w:lineRule="exact"/>
      </w:pPr>
    </w:p>
    <w:p>
      <w:pPr>
        <w:pStyle w:val="Style20"/>
        <w:keepNext/>
        <w:keepLines/>
        <w:widowControl w:val="0"/>
        <w:shd w:val="clear" w:color="auto" w:fill="auto"/>
        <w:bidi w:val="0"/>
        <w:spacing w:before="0" w:after="140" w:line="240" w:lineRule="auto"/>
        <w:ind w:left="0" w:right="0" w:firstLine="560"/>
        <w:jc w:val="left"/>
        <w:rPr>
          <w:sz w:val="20"/>
          <w:szCs w:val="20"/>
        </w:rPr>
      </w:pPr>
      <w:bookmarkStart w:id="936" w:name="bookmark936"/>
      <w:bookmarkStart w:id="937" w:name="bookmark937"/>
      <w:bookmarkStart w:id="938" w:name="bookmark938"/>
      <w:bookmarkStart w:id="939" w:name="bookmark939"/>
      <w:r>
        <w:rPr>
          <w:rFonts w:ascii="Arial Narrow" w:eastAsia="Arial Narrow" w:hAnsi="Arial Narrow" w:cs="Arial Narrow"/>
          <w:color w:val="000000"/>
          <w:spacing w:val="0"/>
          <w:w w:val="100"/>
          <w:position w:val="0"/>
          <w:sz w:val="20"/>
          <w:szCs w:val="20"/>
        </w:rPr>
        <w:t>8</w:t>
      </w:r>
      <w:bookmarkEnd w:id="938"/>
      <w:r>
        <w:rPr>
          <w:color w:val="000000"/>
          <w:spacing w:val="0"/>
          <w:w w:val="100"/>
          <w:position w:val="0"/>
          <w:sz w:val="20"/>
          <w:szCs w:val="20"/>
        </w:rPr>
        <w:t>、合同资产</w:t>
      </w:r>
      <w:bookmarkEnd w:id="936"/>
      <w:bookmarkEnd w:id="937"/>
      <w:bookmarkEnd w:id="939"/>
    </w:p>
    <w:p>
      <w:pPr>
        <w:pStyle w:val="Style82"/>
        <w:keepNext w:val="0"/>
        <w:keepLines w:val="0"/>
        <w:widowControl w:val="0"/>
        <w:shd w:val="clear" w:color="auto" w:fill="auto"/>
        <w:tabs>
          <w:tab w:pos="5111" w:val="left"/>
          <w:tab w:pos="7876" w:val="left"/>
        </w:tabs>
        <w:bidi w:val="0"/>
        <w:spacing w:before="0" w:after="140" w:line="240" w:lineRule="auto"/>
        <w:ind w:left="2020" w:right="0" w:firstLine="0"/>
        <w:jc w:val="left"/>
      </w:pPr>
      <w:r>
        <w:rPr>
          <w:rFonts w:ascii="SimSun" w:eastAsia="SimSun" w:hAnsi="SimSun" w:cs="SimSun"/>
          <w:b/>
          <w:bCs/>
          <w:color w:val="000000"/>
          <w:spacing w:val="0"/>
          <w:w w:val="100"/>
          <w:position w:val="0"/>
          <w:sz w:val="17"/>
          <w:szCs w:val="17"/>
        </w:rPr>
        <w:t>项目</w:t>
        <w:tab/>
      </w:r>
      <w:r>
        <w:rPr>
          <w:b/>
          <w:bCs/>
          <w:color w:val="000000"/>
          <w:spacing w:val="0"/>
          <w:w w:val="100"/>
          <w:position w:val="0"/>
        </w:rPr>
        <w:t>2021.12.31</w:t>
        <w:tab/>
        <w:t>2020.12.31</w:t>
      </w:r>
      <w:r>
        <w:br w:type="page"/>
      </w:r>
    </w:p>
    <w:tbl>
      <w:tblPr>
        <w:tblOverlap w:val="never"/>
        <w:jc w:val="center"/>
        <w:tblLayout w:type="fixed"/>
      </w:tblPr>
      <w:tblGrid>
        <w:gridCol w:w="3874"/>
        <w:gridCol w:w="2736"/>
        <w:gridCol w:w="2827"/>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1,369,767,736.25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1,329,360,426.92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减：合同资产减值准备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406,194,033.52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287,499,431.93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963,573,702.73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1,041,860,994.99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减：列示于其他非流动资产的部分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963,573,702.73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1,041,860,994.99</w:t>
            </w:r>
          </w:p>
        </w:tc>
      </w:tr>
    </w:tbl>
    <w:p>
      <w:pPr>
        <w:pStyle w:val="Style25"/>
        <w:keepNext w:val="0"/>
        <w:keepLines w:val="0"/>
        <w:widowControl w:val="0"/>
        <w:shd w:val="clear" w:color="auto" w:fill="auto"/>
        <w:bidi w:val="0"/>
        <w:spacing w:before="0" w:after="0" w:line="240" w:lineRule="auto"/>
        <w:ind w:left="245" w:right="0" w:firstLine="0"/>
        <w:jc w:val="left"/>
        <w:rPr>
          <w:sz w:val="17"/>
          <w:szCs w:val="17"/>
        </w:rPr>
      </w:pPr>
      <w:r>
        <w:rPr>
          <w:color w:val="000000"/>
          <w:spacing w:val="0"/>
          <w:w w:val="100"/>
          <w:position w:val="0"/>
          <w:sz w:val="17"/>
          <w:szCs w:val="17"/>
        </w:rPr>
        <w:t>合同资产无论是否存在重大融资成分，本公司均按照整个存续期的预期信用损失计量损失准备。</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日，计</w:t>
      </w:r>
    </w:p>
    <w:p>
      <w:pPr>
        <w:widowControl w:val="0"/>
        <w:spacing w:after="279" w:line="1" w:lineRule="exact"/>
      </w:pPr>
    </w:p>
    <w:p>
      <w:pPr>
        <w:pStyle w:val="Style27"/>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提减值准备的合同资产如下：</w:t>
      </w:r>
    </w:p>
    <w:p>
      <w:pPr>
        <w:pStyle w:val="Style25"/>
        <w:keepNext w:val="0"/>
        <w:keepLines w:val="0"/>
        <w:widowControl w:val="0"/>
        <w:shd w:val="clear" w:color="auto" w:fill="auto"/>
        <w:bidi w:val="0"/>
        <w:spacing w:before="0" w:after="0" w:line="240" w:lineRule="auto"/>
        <w:ind w:left="2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）组合计提减值准备的合同资产:</w:t>
      </w:r>
    </w:p>
    <w:tbl>
      <w:tblPr>
        <w:tblOverlap w:val="never"/>
        <w:jc w:val="center"/>
        <w:tblLayout w:type="fixed"/>
      </w:tblPr>
      <w:tblGrid>
        <w:gridCol w:w="2314"/>
        <w:gridCol w:w="1838"/>
        <w:gridCol w:w="1709"/>
        <w:gridCol w:w="1512"/>
        <w:gridCol w:w="1776"/>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22"/>
                <w:szCs w:val="22"/>
              </w:rPr>
            </w:pPr>
            <w:r>
              <w:rPr>
                <w:b/>
                <w:bCs/>
                <w:color w:val="000000"/>
                <w:spacing w:val="0"/>
                <w:w w:val="100"/>
                <w:position w:val="0"/>
                <w:sz w:val="17"/>
                <w:szCs w:val="17"/>
              </w:rPr>
              <w:t>整个存续期预期信 用损失率</w:t>
            </w:r>
            <w:r>
              <w:rPr>
                <w:b/>
                <w:bCs/>
                <w:color w:val="000000"/>
                <w:spacing w:val="0"/>
                <w:w w:val="100"/>
                <w:position w:val="0"/>
                <w:sz w:val="22"/>
                <w:szCs w:val="22"/>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理由</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1,369,767,736.25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406,194,033.52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预期信用损失</w:t>
            </w:r>
          </w:p>
        </w:tc>
      </w:tr>
      <w:tr>
        <w:trPr>
          <w:trHeight w:val="45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1,369,767,736.25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29.65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406,194,033.52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0"/>
        <w:keepNext/>
        <w:keepLines/>
        <w:widowControl w:val="0"/>
        <w:shd w:val="clear" w:color="auto" w:fill="auto"/>
        <w:bidi w:val="0"/>
        <w:spacing w:before="0" w:after="0" w:line="240" w:lineRule="auto"/>
        <w:ind w:left="0" w:right="0" w:firstLine="560"/>
        <w:jc w:val="left"/>
        <w:rPr>
          <w:sz w:val="20"/>
          <w:szCs w:val="20"/>
        </w:rPr>
      </w:pPr>
      <w:bookmarkStart w:id="940" w:name="bookmark940"/>
      <w:bookmarkStart w:id="941" w:name="bookmark941"/>
      <w:bookmarkStart w:id="942" w:name="bookmark942"/>
      <w:bookmarkStart w:id="943" w:name="bookmark943"/>
      <w:r>
        <w:rPr>
          <w:rFonts w:ascii="Arial Narrow" w:eastAsia="Arial Narrow" w:hAnsi="Arial Narrow" w:cs="Arial Narrow"/>
          <w:color w:val="000000"/>
          <w:spacing w:val="0"/>
          <w:w w:val="100"/>
          <w:position w:val="0"/>
          <w:sz w:val="20"/>
          <w:szCs w:val="20"/>
        </w:rPr>
        <w:t>9</w:t>
      </w:r>
      <w:bookmarkEnd w:id="942"/>
      <w:r>
        <w:rPr>
          <w:color w:val="000000"/>
          <w:spacing w:val="0"/>
          <w:w w:val="100"/>
          <w:position w:val="0"/>
          <w:sz w:val="20"/>
          <w:szCs w:val="20"/>
        </w:rPr>
        <w:t>、其他流动资产</w:t>
      </w:r>
      <w:bookmarkEnd w:id="940"/>
      <w:bookmarkEnd w:id="941"/>
      <w:bookmarkEnd w:id="943"/>
    </w:p>
    <w:tbl>
      <w:tblPr>
        <w:tblOverlap w:val="never"/>
        <w:jc w:val="center"/>
        <w:tblLayout w:type="fixed"/>
      </w:tblPr>
      <w:tblGrid>
        <w:gridCol w:w="3048"/>
        <w:gridCol w:w="3274"/>
        <w:gridCol w:w="3048"/>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预缴、待抵扣、留抵的税费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725,796,846.22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862,826,386.68</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725,796,846.22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862,826,386.68</w:t>
            </w:r>
          </w:p>
        </w:tc>
      </w:tr>
    </w:tbl>
    <w:p>
      <w:pPr>
        <w:widowControl w:val="0"/>
        <w:spacing w:after="199" w:line="1" w:lineRule="exact"/>
      </w:pPr>
    </w:p>
    <w:p>
      <w:pPr>
        <w:pStyle w:val="Style20"/>
        <w:keepNext/>
        <w:keepLines/>
        <w:widowControl w:val="0"/>
        <w:shd w:val="clear" w:color="auto" w:fill="auto"/>
        <w:bidi w:val="0"/>
        <w:spacing w:before="0" w:after="0" w:line="240" w:lineRule="auto"/>
        <w:ind w:left="0" w:right="0" w:firstLine="560"/>
        <w:jc w:val="left"/>
        <w:rPr>
          <w:sz w:val="20"/>
          <w:szCs w:val="20"/>
        </w:rPr>
      </w:pPr>
      <w:bookmarkStart w:id="944" w:name="bookmark944"/>
      <w:bookmarkStart w:id="945" w:name="bookmark945"/>
      <w:bookmarkStart w:id="946" w:name="bookmark946"/>
      <w:bookmarkStart w:id="947" w:name="bookmark947"/>
      <w:r>
        <w:rPr>
          <w:rFonts w:ascii="Arial Narrow" w:eastAsia="Arial Narrow" w:hAnsi="Arial Narrow" w:cs="Arial Narrow"/>
          <w:color w:val="000000"/>
          <w:spacing w:val="0"/>
          <w:w w:val="100"/>
          <w:position w:val="0"/>
          <w:sz w:val="20"/>
          <w:szCs w:val="20"/>
        </w:rPr>
        <w:t>1</w:t>
      </w:r>
      <w:bookmarkEnd w:id="946"/>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、债权投资</w:t>
      </w:r>
      <w:bookmarkEnd w:id="944"/>
      <w:bookmarkEnd w:id="945"/>
      <w:bookmarkEnd w:id="947"/>
    </w:p>
    <w:tbl>
      <w:tblPr>
        <w:tblOverlap w:val="never"/>
        <w:jc w:val="center"/>
        <w:tblLayout w:type="fixed"/>
      </w:tblPr>
      <w:tblGrid>
        <w:gridCol w:w="2482"/>
        <w:gridCol w:w="1502"/>
        <w:gridCol w:w="706"/>
        <w:gridCol w:w="1339"/>
        <w:gridCol w:w="1373"/>
        <w:gridCol w:w="691"/>
        <w:gridCol w:w="1363"/>
      </w:tblGrid>
      <w:tr>
        <w:trPr>
          <w:trHeight w:val="461"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5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减值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减值</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r>
              <w:rPr>
                <w:color w:val="000000"/>
                <w:spacing w:val="0"/>
                <w:w w:val="100"/>
                <w:position w:val="0"/>
                <w:sz w:val="22"/>
                <w:szCs w:val="22"/>
              </w:rPr>
              <w:t>一</w:t>
            </w:r>
            <w:r>
              <w:rPr>
                <w:color w:val="000000"/>
                <w:spacing w:val="0"/>
                <w:w w:val="100"/>
                <w:position w:val="0"/>
                <w:sz w:val="17"/>
                <w:szCs w:val="17"/>
              </w:rPr>
              <w:t>保障基金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10,000,000.00</w:t>
            </w:r>
          </w:p>
        </w:tc>
      </w:tr>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10,000,000.00</w:t>
            </w:r>
          </w:p>
        </w:tc>
      </w:tr>
      <w:tr>
        <w:trPr>
          <w:trHeight w:val="51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减：列示于一年内到期的非 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减：列示于其他流动资产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b/>
                <w:bCs/>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b/>
                <w:bCs/>
                <w:color w:val="000000"/>
                <w:spacing w:val="0"/>
                <w:w w:val="100"/>
                <w:position w:val="0"/>
                <w:sz w:val="18"/>
                <w:szCs w:val="18"/>
              </w:rPr>
              <w:t>10,000,000.00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b/>
                <w:bCs/>
                <w:color w:val="000000"/>
                <w:spacing w:val="0"/>
                <w:w w:val="100"/>
                <w:position w:val="0"/>
                <w:sz w:val="18"/>
                <w:szCs w:val="18"/>
              </w:rPr>
              <w:t>10,000,000.00</w:t>
            </w:r>
          </w:p>
        </w:tc>
      </w:tr>
    </w:tbl>
    <w:p>
      <w:pPr>
        <w:pStyle w:val="Style25"/>
        <w:keepNext w:val="0"/>
        <w:keepLines w:val="0"/>
        <w:widowControl w:val="0"/>
        <w:shd w:val="clear" w:color="auto" w:fill="auto"/>
        <w:bidi w:val="0"/>
        <w:spacing w:before="0" w:after="0" w:line="240" w:lineRule="auto"/>
        <w:ind w:left="254" w:right="0" w:firstLine="0"/>
        <w:jc w:val="left"/>
        <w:rPr>
          <w:sz w:val="17"/>
          <w:szCs w:val="17"/>
        </w:rPr>
      </w:pPr>
      <w:r>
        <w:rPr>
          <w:color w:val="000000"/>
          <w:spacing w:val="0"/>
          <w:w w:val="100"/>
          <w:position w:val="0"/>
          <w:sz w:val="17"/>
          <w:szCs w:val="17"/>
        </w:rPr>
        <w:t>注：“其他</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保障基金”为本公司按信托计划的</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认缴的信托公司保障基金，作为“债权投资”并按成本法进行后续计</w:t>
      </w:r>
    </w:p>
    <w:p>
      <w:pPr>
        <w:widowControl w:val="0"/>
        <w:spacing w:after="279" w:line="1" w:lineRule="exact"/>
      </w:pPr>
    </w:p>
    <w:p>
      <w:pPr>
        <w:pStyle w:val="Style27"/>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量。</w:t>
      </w:r>
      <w:r>
        <w:br w:type="page"/>
      </w:r>
    </w:p>
    <w:p>
      <w:pPr>
        <w:pStyle w:val="Style20"/>
        <w:keepNext/>
        <w:keepLines/>
        <w:widowControl w:val="0"/>
        <w:shd w:val="clear" w:color="auto" w:fill="auto"/>
        <w:bidi w:val="0"/>
        <w:spacing w:before="0" w:after="320" w:line="240" w:lineRule="auto"/>
        <w:ind w:left="0" w:right="0" w:firstLine="480"/>
        <w:jc w:val="left"/>
        <w:rPr>
          <w:sz w:val="20"/>
          <w:szCs w:val="20"/>
        </w:rPr>
      </w:pPr>
      <w:bookmarkStart w:id="948" w:name="bookmark948"/>
      <w:bookmarkStart w:id="949" w:name="bookmark949"/>
      <w:bookmarkStart w:id="950" w:name="bookmark950"/>
      <w:bookmarkStart w:id="951" w:name="bookmark951"/>
      <w:r>
        <w:rPr>
          <w:rFonts w:ascii="Arial Narrow" w:eastAsia="Arial Narrow" w:hAnsi="Arial Narrow" w:cs="Arial Narrow"/>
          <w:color w:val="000000"/>
          <w:spacing w:val="0"/>
          <w:w w:val="100"/>
          <w:position w:val="0"/>
          <w:sz w:val="20"/>
          <w:szCs w:val="20"/>
        </w:rPr>
        <w:t>1</w:t>
      </w:r>
      <w:bookmarkEnd w:id="950"/>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、长期股权投资</w:t>
      </w:r>
      <w:bookmarkEnd w:id="948"/>
      <w:bookmarkEnd w:id="949"/>
      <w:bookmarkEnd w:id="951"/>
    </w:p>
    <w:p>
      <w:pPr>
        <w:pStyle w:val="Style25"/>
        <w:keepNext w:val="0"/>
        <w:keepLines w:val="0"/>
        <w:widowControl w:val="0"/>
        <w:shd w:val="clear" w:color="auto" w:fill="auto"/>
        <w:bidi w:val="0"/>
        <w:spacing w:before="0" w:after="0" w:line="240" w:lineRule="auto"/>
        <w:ind w:left="418"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sz w:val="17"/>
          <w:szCs w:val="17"/>
        </w:rPr>
        <w:t>）长期股权投资</w:t>
      </w:r>
    </w:p>
    <w:tbl>
      <w:tblPr>
        <w:tblOverlap w:val="never"/>
        <w:jc w:val="center"/>
        <w:tblLayout w:type="fixed"/>
      </w:tblPr>
      <w:tblGrid>
        <w:gridCol w:w="2539"/>
        <w:gridCol w:w="1339"/>
        <w:gridCol w:w="590"/>
        <w:gridCol w:w="658"/>
        <w:gridCol w:w="672"/>
        <w:gridCol w:w="1416"/>
        <w:gridCol w:w="1032"/>
        <w:gridCol w:w="1042"/>
      </w:tblGrid>
      <w:tr>
        <w:trPr>
          <w:trHeight w:val="46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本期增减变动</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新增</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追加投</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减少投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权益法下确认的 投资损益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其他综合收 益调整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其他权益 变动</w:t>
            </w:r>
          </w:p>
        </w:tc>
      </w:tr>
      <w:tr>
        <w:trPr>
          <w:trHeight w:val="4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深圳市深威驳运有限公司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2,160,356.00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398,095.23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中环联融（北京）投资管理有限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北京融链科技有限公司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7,378,293.27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150,206.60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b/>
                <w:bCs/>
                <w:color w:val="000000"/>
                <w:spacing w:val="0"/>
                <w:w w:val="100"/>
                <w:position w:val="0"/>
                <w:sz w:val="18"/>
                <w:szCs w:val="18"/>
              </w:rPr>
              <w:t>9,538,649.27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548,301.83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18" w:right="0" w:firstLine="0"/>
        <w:jc w:val="left"/>
        <w:rPr>
          <w:sz w:val="17"/>
          <w:szCs w:val="17"/>
        </w:rPr>
      </w:pPr>
      <w:r>
        <w:rPr>
          <w:color w:val="000000"/>
          <w:spacing w:val="0"/>
          <w:w w:val="100"/>
          <w:position w:val="0"/>
          <w:sz w:val="17"/>
          <w:szCs w:val="17"/>
        </w:rPr>
        <w:t>续前表:</w:t>
      </w:r>
    </w:p>
    <w:tbl>
      <w:tblPr>
        <w:tblOverlap w:val="never"/>
        <w:jc w:val="center"/>
        <w:tblLayout w:type="fixed"/>
      </w:tblPr>
      <w:tblGrid>
        <w:gridCol w:w="2909"/>
        <w:gridCol w:w="1416"/>
        <w:gridCol w:w="1133"/>
        <w:gridCol w:w="1037"/>
        <w:gridCol w:w="1214"/>
        <w:gridCol w:w="1498"/>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被投资单位</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减值准备期末余 额</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宣告发放现金股 利或利润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计提减值准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转入持有待 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深圳市深威驳运有限公司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2,558,451.23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中环联融（北京）投资管理有限公司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北京融链科技有限公司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7,528,499.87</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10,086,951.10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tabs>
          <w:tab w:pos="966" w:val="left"/>
        </w:tabs>
        <w:bidi w:val="0"/>
        <w:spacing w:before="0" w:after="0" w:line="504" w:lineRule="exact"/>
        <w:ind w:left="0" w:right="0" w:firstLine="42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w:t>
        <w:tab/>
      </w:r>
      <w:r>
        <w:rPr>
          <w:rFonts w:ascii="Arial Narrow" w:eastAsia="Arial Narrow" w:hAnsi="Arial Narrow" w:cs="Arial Narrow"/>
          <w:color w:val="000000"/>
          <w:spacing w:val="0"/>
          <w:w w:val="100"/>
          <w:position w:val="0"/>
          <w:sz w:val="18"/>
          <w:szCs w:val="18"/>
        </w:rPr>
        <w:t>2017</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月东旭蓝天新能源股份有限公司协议增资</w:t>
      </w:r>
      <w:r>
        <w:rPr>
          <w:rFonts w:ascii="Arial Narrow" w:eastAsia="Arial Narrow" w:hAnsi="Arial Narrow" w:cs="Arial Narrow"/>
          <w:color w:val="000000"/>
          <w:spacing w:val="0"/>
          <w:w w:val="100"/>
          <w:position w:val="0"/>
          <w:sz w:val="18"/>
          <w:szCs w:val="18"/>
        </w:rPr>
        <w:t>300</w:t>
      </w:r>
      <w:r>
        <w:rPr>
          <w:color w:val="000000"/>
          <w:spacing w:val="0"/>
          <w:w w:val="100"/>
          <w:position w:val="0"/>
          <w:sz w:val="17"/>
          <w:szCs w:val="17"/>
        </w:rPr>
        <w:t>万元收购中环联融（北京）投资管理有限公司</w:t>
      </w:r>
      <w:r>
        <w:rPr>
          <w:rFonts w:ascii="Arial Narrow" w:eastAsia="Arial Narrow" w:hAnsi="Arial Narrow" w:cs="Arial Narrow"/>
          <w:color w:val="000000"/>
          <w:spacing w:val="0"/>
          <w:w w:val="100"/>
          <w:position w:val="0"/>
          <w:sz w:val="18"/>
          <w:szCs w:val="18"/>
        </w:rPr>
        <w:t>30%</w:t>
      </w:r>
      <w:r>
        <w:rPr>
          <w:color w:val="000000"/>
          <w:spacing w:val="0"/>
          <w:w w:val="100"/>
          <w:position w:val="0"/>
          <w:sz w:val="17"/>
          <w:szCs w:val="17"/>
        </w:rPr>
        <w:t>股权，</w:t>
      </w:r>
    </w:p>
    <w:p>
      <w:pPr>
        <w:pStyle w:val="Style27"/>
        <w:keepNext w:val="0"/>
        <w:keepLines w:val="0"/>
        <w:widowControl w:val="0"/>
        <w:shd w:val="clear" w:color="auto" w:fill="auto"/>
        <w:bidi w:val="0"/>
        <w:spacing w:before="0" w:after="0" w:line="504" w:lineRule="exact"/>
        <w:ind w:left="0" w:right="0" w:firstLine="0"/>
        <w:jc w:val="left"/>
        <w:rPr>
          <w:sz w:val="17"/>
          <w:szCs w:val="17"/>
        </w:rPr>
      </w:pPr>
      <w:r>
        <w:rPr>
          <w:rFonts w:ascii="Arial Narrow" w:eastAsia="Arial Narrow" w:hAnsi="Arial Narrow" w:cs="Arial Narrow"/>
          <w:color w:val="000000"/>
          <w:spacing w:val="0"/>
          <w:w w:val="100"/>
          <w:position w:val="0"/>
          <w:sz w:val="18"/>
          <w:szCs w:val="18"/>
        </w:rPr>
        <w:t>2017</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日已完成工商变更登记，截至</w:t>
      </w:r>
      <w:r>
        <w:rPr>
          <w:rFonts w:ascii="Arial Narrow" w:eastAsia="Arial Narrow" w:hAnsi="Arial Narrow" w:cs="Arial Narrow"/>
          <w:color w:val="000000"/>
          <w:spacing w:val="0"/>
          <w:w w:val="100"/>
          <w:position w:val="0"/>
          <w:sz w:val="18"/>
          <w:szCs w:val="18"/>
        </w:rPr>
        <w:t>2018</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30</w:t>
      </w:r>
      <w:r>
        <w:rPr>
          <w:color w:val="000000"/>
          <w:spacing w:val="0"/>
          <w:w w:val="100"/>
          <w:position w:val="0"/>
          <w:sz w:val="17"/>
          <w:szCs w:val="17"/>
        </w:rPr>
        <w:t>日实缴首期增资款</w:t>
      </w:r>
      <w:r>
        <w:rPr>
          <w:rFonts w:ascii="Arial Narrow" w:eastAsia="Arial Narrow" w:hAnsi="Arial Narrow" w:cs="Arial Narrow"/>
          <w:color w:val="000000"/>
          <w:spacing w:val="0"/>
          <w:w w:val="100"/>
          <w:position w:val="0"/>
          <w:sz w:val="18"/>
          <w:szCs w:val="18"/>
        </w:rPr>
        <w:t>90</w:t>
      </w:r>
      <w:r>
        <w:rPr>
          <w:color w:val="000000"/>
          <w:spacing w:val="0"/>
          <w:w w:val="100"/>
          <w:position w:val="0"/>
          <w:sz w:val="17"/>
          <w:szCs w:val="17"/>
        </w:rPr>
        <w:t>万元。</w:t>
      </w:r>
    </w:p>
    <w:p>
      <w:pPr>
        <w:pStyle w:val="Style27"/>
        <w:keepNext w:val="0"/>
        <w:keepLines w:val="0"/>
        <w:widowControl w:val="0"/>
        <w:shd w:val="clear" w:color="auto" w:fill="auto"/>
        <w:tabs>
          <w:tab w:pos="966" w:val="left"/>
        </w:tabs>
        <w:bidi w:val="0"/>
        <w:spacing w:before="0" w:after="0" w:line="504" w:lineRule="exact"/>
        <w:ind w:left="0" w:right="0" w:firstLine="42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w:t>
        <w:tab/>
      </w:r>
      <w:r>
        <w:rPr>
          <w:rFonts w:ascii="Arial Narrow" w:eastAsia="Arial Narrow" w:hAnsi="Arial Narrow" w:cs="Arial Narrow"/>
          <w:color w:val="000000"/>
          <w:spacing w:val="0"/>
          <w:w w:val="100"/>
          <w:position w:val="0"/>
          <w:sz w:val="18"/>
          <w:szCs w:val="18"/>
        </w:rPr>
        <w:t>2018</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月东旭蓝天新能源股份有限公司与北京融链科技有限公司签订《投资合作协议》，协议增资</w:t>
      </w:r>
      <w:r>
        <w:rPr>
          <w:rFonts w:ascii="Arial Narrow" w:eastAsia="Arial Narrow" w:hAnsi="Arial Narrow" w:cs="Arial Narrow"/>
          <w:color w:val="000000"/>
          <w:spacing w:val="0"/>
          <w:w w:val="100"/>
          <w:position w:val="0"/>
          <w:sz w:val="18"/>
          <w:szCs w:val="18"/>
        </w:rPr>
        <w:t>1500</w:t>
      </w:r>
      <w:r>
        <w:rPr>
          <w:color w:val="000000"/>
          <w:spacing w:val="0"/>
          <w:w w:val="100"/>
          <w:position w:val="0"/>
          <w:sz w:val="17"/>
          <w:szCs w:val="17"/>
        </w:rPr>
        <w:t>万元收</w:t>
      </w:r>
    </w:p>
    <w:p>
      <w:pPr>
        <w:pStyle w:val="Style27"/>
        <w:keepNext w:val="0"/>
        <w:keepLines w:val="0"/>
        <w:widowControl w:val="0"/>
        <w:shd w:val="clear" w:color="auto" w:fill="auto"/>
        <w:bidi w:val="0"/>
        <w:spacing w:before="0" w:after="360" w:line="504" w:lineRule="exact"/>
        <w:ind w:left="0" w:right="0" w:firstLine="0"/>
        <w:jc w:val="left"/>
        <w:rPr>
          <w:sz w:val="17"/>
          <w:szCs w:val="17"/>
        </w:rPr>
      </w:pPr>
      <w:r>
        <w:rPr>
          <w:color w:val="000000"/>
          <w:spacing w:val="0"/>
          <w:w w:val="100"/>
          <w:position w:val="0"/>
          <w:sz w:val="17"/>
          <w:szCs w:val="17"/>
        </w:rPr>
        <w:t>购融链科技</w:t>
      </w:r>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股权，截至</w:t>
      </w:r>
      <w:r>
        <w:rPr>
          <w:rFonts w:ascii="Arial Narrow" w:eastAsia="Arial Narrow" w:hAnsi="Arial Narrow" w:cs="Arial Narrow"/>
          <w:color w:val="000000"/>
          <w:spacing w:val="0"/>
          <w:w w:val="100"/>
          <w:position w:val="0"/>
          <w:sz w:val="18"/>
          <w:szCs w:val="18"/>
        </w:rPr>
        <w:t>2018</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30</w:t>
      </w:r>
      <w:r>
        <w:rPr>
          <w:color w:val="000000"/>
          <w:spacing w:val="0"/>
          <w:w w:val="100"/>
          <w:position w:val="0"/>
          <w:sz w:val="17"/>
          <w:szCs w:val="17"/>
        </w:rPr>
        <w:t>日实缴首期增资款</w:t>
      </w:r>
      <w:r>
        <w:rPr>
          <w:rFonts w:ascii="Arial Narrow" w:eastAsia="Arial Narrow" w:hAnsi="Arial Narrow" w:cs="Arial Narrow"/>
          <w:color w:val="000000"/>
          <w:spacing w:val="0"/>
          <w:w w:val="100"/>
          <w:position w:val="0"/>
          <w:sz w:val="18"/>
          <w:szCs w:val="18"/>
        </w:rPr>
        <w:t>900</w:t>
      </w:r>
      <w:r>
        <w:rPr>
          <w:color w:val="000000"/>
          <w:spacing w:val="0"/>
          <w:w w:val="100"/>
          <w:position w:val="0"/>
          <w:sz w:val="17"/>
          <w:szCs w:val="17"/>
        </w:rPr>
        <w:t>万元，</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月根据《投资合作协议补充协议》根据补 充协议东旭蓝天新能源股份有限公司减资至</w:t>
      </w:r>
      <w:r>
        <w:rPr>
          <w:rFonts w:ascii="Arial Narrow" w:eastAsia="Arial Narrow" w:hAnsi="Arial Narrow" w:cs="Arial Narrow"/>
          <w:color w:val="000000"/>
          <w:spacing w:val="0"/>
          <w:w w:val="100"/>
          <w:position w:val="0"/>
          <w:sz w:val="18"/>
          <w:szCs w:val="18"/>
        </w:rPr>
        <w:t>900</w:t>
      </w:r>
      <w:r>
        <w:rPr>
          <w:color w:val="000000"/>
          <w:spacing w:val="0"/>
          <w:w w:val="100"/>
          <w:position w:val="0"/>
          <w:sz w:val="17"/>
          <w:szCs w:val="17"/>
        </w:rPr>
        <w:t>万元，变更股权比例为</w:t>
      </w:r>
      <w:r>
        <w:rPr>
          <w:rFonts w:ascii="Arial Narrow" w:eastAsia="Arial Narrow" w:hAnsi="Arial Narrow" w:cs="Arial Narrow"/>
          <w:color w:val="000000"/>
          <w:spacing w:val="0"/>
          <w:w w:val="100"/>
          <w:position w:val="0"/>
          <w:sz w:val="18"/>
          <w:szCs w:val="18"/>
        </w:rPr>
        <w:t>13.04%</w:t>
      </w:r>
      <w:r>
        <w:rPr>
          <w:color w:val="000000"/>
          <w:spacing w:val="0"/>
          <w:w w:val="100"/>
          <w:position w:val="0"/>
          <w:sz w:val="17"/>
          <w:szCs w:val="17"/>
        </w:rPr>
        <w:t>，截止目前增资款已全部实缴。</w:t>
      </w:r>
    </w:p>
    <w:p>
      <w:pPr>
        <w:pStyle w:val="Style27"/>
        <w:keepNext w:val="0"/>
        <w:keepLines w:val="0"/>
        <w:widowControl w:val="0"/>
        <w:shd w:val="clear" w:color="auto" w:fill="auto"/>
        <w:bidi w:val="0"/>
        <w:spacing w:before="0" w:after="320" w:line="240" w:lineRule="auto"/>
        <w:ind w:left="0" w:right="0" w:firstLine="48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）长期股权投资减值准备:</w:t>
      </w:r>
    </w:p>
    <w:p>
      <w:pPr>
        <w:pStyle w:val="Style27"/>
        <w:keepNext w:val="0"/>
        <w:keepLines w:val="0"/>
        <w:widowControl w:val="0"/>
        <w:shd w:val="clear" w:color="auto" w:fill="auto"/>
        <w:bidi w:val="0"/>
        <w:spacing w:before="0" w:after="260" w:line="240" w:lineRule="auto"/>
        <w:ind w:left="0" w:right="0" w:firstLine="420"/>
        <w:jc w:val="left"/>
        <w:rPr>
          <w:sz w:val="17"/>
          <w:szCs w:val="17"/>
        </w:rPr>
      </w:pPr>
      <w:r>
        <w:rPr>
          <w:color w:val="000000"/>
          <w:spacing w:val="0"/>
          <w:w w:val="100"/>
          <w:position w:val="0"/>
          <w:sz w:val="17"/>
          <w:szCs w:val="17"/>
        </w:rPr>
        <w:t>本期长期股权投资未发生减值。</w:t>
      </w:r>
    </w:p>
    <w:p>
      <w:pPr>
        <w:pStyle w:val="Style20"/>
        <w:keepNext/>
        <w:keepLines/>
        <w:widowControl w:val="0"/>
        <w:pBdr>
          <w:bottom w:val="single" w:sz="4" w:space="0" w:color="auto"/>
        </w:pBdr>
        <w:shd w:val="clear" w:color="auto" w:fill="auto"/>
        <w:bidi w:val="0"/>
        <w:spacing w:before="0" w:after="300" w:line="240" w:lineRule="auto"/>
        <w:ind w:left="0" w:right="0" w:firstLine="480"/>
        <w:jc w:val="left"/>
        <w:rPr>
          <w:sz w:val="20"/>
          <w:szCs w:val="20"/>
        </w:rPr>
      </w:pPr>
      <w:bookmarkStart w:id="952" w:name="bookmark952"/>
      <w:bookmarkStart w:id="953" w:name="bookmark953"/>
      <w:bookmarkStart w:id="954" w:name="bookmark954"/>
      <w:bookmarkStart w:id="955" w:name="bookmark955"/>
      <w:r>
        <w:rPr>
          <w:rFonts w:ascii="Arial Narrow" w:eastAsia="Arial Narrow" w:hAnsi="Arial Narrow" w:cs="Arial Narrow"/>
          <w:color w:val="000000"/>
          <w:spacing w:val="0"/>
          <w:w w:val="100"/>
          <w:position w:val="0"/>
          <w:sz w:val="20"/>
          <w:szCs w:val="20"/>
        </w:rPr>
        <w:t>1</w:t>
      </w:r>
      <w:bookmarkEnd w:id="954"/>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、其他权益工具投资</w:t>
      </w:r>
      <w:bookmarkEnd w:id="952"/>
      <w:bookmarkEnd w:id="953"/>
      <w:bookmarkEnd w:id="955"/>
    </w:p>
    <w:p>
      <w:pPr>
        <w:widowControl w:val="0"/>
        <w:spacing w:line="1" w:lineRule="exact"/>
      </w:pPr>
      <w:r>
        <mc:AlternateContent>
          <mc:Choice Requires="wps">
            <w:drawing>
              <wp:anchor distT="173990" distB="94615" distL="0" distR="0" simplePos="0" relativeHeight="125829388" behindDoc="0" locked="0" layoutInCell="1" allowOverlap="1">
                <wp:simplePos x="0" y="0"/>
                <wp:positionH relativeFrom="page">
                  <wp:posOffset>1062990</wp:posOffset>
                </wp:positionH>
                <wp:positionV relativeFrom="paragraph">
                  <wp:posOffset>173990</wp:posOffset>
                </wp:positionV>
                <wp:extent cx="255905" cy="149225"/>
                <wp:wrapTopAndBottom/>
                <wp:docPr id="14" name="Shape 14"/>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xbxContent>
                      </wps:txbx>
                      <wps:bodyPr wrap="none" lIns="0" tIns="0" rIns="0" bIns="0">
                        <a:noAutoFit/>
                      </wps:bodyPr>
                    </wps:wsp>
                  </a:graphicData>
                </a:graphic>
              </wp:anchor>
            </w:drawing>
          </mc:Choice>
          <mc:Fallback>
            <w:pict>
              <v:shape id="_x0000_s1040" type="#_x0000_t202" style="position:absolute;margin-left:83.700000000000003pt;margin-top:13.700000000000001pt;width:20.150000000000002pt;height:11.75pt;z-index:-125829365;mso-wrap-distance-left:0;mso-wrap-distance-top:13.700000000000001pt;mso-wrap-distance-right:0;mso-wrap-distance-bottom:7.4500000000000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项目</w:t>
                      </w:r>
                    </w:p>
                  </w:txbxContent>
                </v:textbox>
                <w10:wrap type="topAndBottom" anchorx="page"/>
              </v:shape>
            </w:pict>
          </mc:Fallback>
        </mc:AlternateContent>
      </w:r>
      <w:r>
        <mc:AlternateContent>
          <mc:Choice Requires="wps">
            <w:drawing>
              <wp:anchor distT="165100" distB="93980" distL="0" distR="0" simplePos="0" relativeHeight="125829390" behindDoc="0" locked="0" layoutInCell="1" allowOverlap="1">
                <wp:simplePos x="0" y="0"/>
                <wp:positionH relativeFrom="page">
                  <wp:posOffset>2016760</wp:posOffset>
                </wp:positionH>
                <wp:positionV relativeFrom="paragraph">
                  <wp:posOffset>165100</wp:posOffset>
                </wp:positionV>
                <wp:extent cx="259080" cy="158750"/>
                <wp:wrapTopAndBottom/>
                <wp:docPr id="16" name="Shape 16"/>
                <a:graphic xmlns:a="http://schemas.openxmlformats.org/drawingml/2006/main">
                  <a:graphicData uri="http://schemas.microsoft.com/office/word/2010/wordprocessingShape">
                    <wps:wsp>
                      <wps:cNvSpPr txBox="1"/>
                      <wps:spPr>
                        <a:xfrm>
                          <a:ext cx="259080" cy="1587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成本</w:t>
                            </w:r>
                          </w:p>
                        </w:txbxContent>
                      </wps:txbx>
                      <wps:bodyPr wrap="none" lIns="0" tIns="0" rIns="0" bIns="0">
                        <a:noAutoFit/>
                      </wps:bodyPr>
                    </wps:wsp>
                  </a:graphicData>
                </a:graphic>
              </wp:anchor>
            </w:drawing>
          </mc:Choice>
          <mc:Fallback>
            <w:pict>
              <v:shape id="_x0000_s1042" type="#_x0000_t202" style="position:absolute;margin-left:158.80000000000001pt;margin-top:13.pt;width:20.400000000000002pt;height:12.5pt;z-index:-125829363;mso-wrap-distance-left:0;mso-wrap-distance-top:13.pt;mso-wrap-distance-right:0;mso-wrap-distance-bottom:7.4000000000000004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成本</w:t>
                      </w:r>
                    </w:p>
                  </w:txbxContent>
                </v:textbox>
                <w10:wrap type="topAndBottom" anchorx="page"/>
              </v:shape>
            </w:pict>
          </mc:Fallback>
        </mc:AlternateContent>
      </w:r>
      <w:r>
        <mc:AlternateContent>
          <mc:Choice Requires="wps">
            <w:drawing>
              <wp:anchor distT="12700" distB="2540" distL="0" distR="0" simplePos="0" relativeHeight="125829392" behindDoc="0" locked="0" layoutInCell="1" allowOverlap="1">
                <wp:simplePos x="0" y="0"/>
                <wp:positionH relativeFrom="page">
                  <wp:posOffset>2602230</wp:posOffset>
                </wp:positionH>
                <wp:positionV relativeFrom="paragraph">
                  <wp:posOffset>12700</wp:posOffset>
                </wp:positionV>
                <wp:extent cx="831850" cy="402590"/>
                <wp:wrapTopAndBottom/>
                <wp:docPr id="18" name="Shape 18"/>
                <a:graphic xmlns:a="http://schemas.openxmlformats.org/drawingml/2006/main">
                  <a:graphicData uri="http://schemas.microsoft.com/office/word/2010/wordprocessingShape">
                    <wps:wsp>
                      <wps:cNvSpPr txBox="1"/>
                      <wps:spPr>
                        <a:xfrm>
                          <a:ext cx="831850" cy="402590"/>
                        </a:xfrm>
                        <a:prstGeom prst="rect"/>
                        <a:noFill/>
                      </wps:spPr>
                      <wps:txbx>
                        <w:txbxContent>
                          <w:p>
                            <w:pPr>
                              <w:pStyle w:val="Style27"/>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累计计入其他综 合收益的公允价</w:t>
                            </w:r>
                          </w:p>
                        </w:txbxContent>
                      </wps:txbx>
                      <wps:bodyPr lIns="0" tIns="0" rIns="0" bIns="0">
                        <a:noAutoFit/>
                      </wps:bodyPr>
                    </wps:wsp>
                  </a:graphicData>
                </a:graphic>
              </wp:anchor>
            </w:drawing>
          </mc:Choice>
          <mc:Fallback>
            <w:pict>
              <v:shape id="_x0000_s1044" type="#_x0000_t202" style="position:absolute;margin-left:204.90000000000001pt;margin-top:1.pt;width:65.5pt;height:31.699999999999999pt;z-index:-125829361;mso-wrap-distance-left:0;mso-wrap-distance-top:1.pt;mso-wrap-distance-right:0;mso-wrap-distance-bottom:0.20000000000000001pt;mso-position-horizontal-relative:page" filled="f" stroked="f">
                <v:textbox inset="0,0,0,0">
                  <w:txbxContent>
                    <w:p>
                      <w:pPr>
                        <w:pStyle w:val="Style27"/>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累计计入其他综 合收益的公允价</w:t>
                      </w:r>
                    </w:p>
                  </w:txbxContent>
                </v:textbox>
                <w10:wrap type="topAndBottom" anchorx="page"/>
              </v:shape>
            </w:pict>
          </mc:Fallback>
        </mc:AlternateContent>
      </w:r>
      <w:r>
        <mc:AlternateContent>
          <mc:Choice Requires="wps">
            <w:drawing>
              <wp:anchor distT="165100" distB="97155" distL="0" distR="0" simplePos="0" relativeHeight="125829394" behindDoc="0" locked="0" layoutInCell="1" allowOverlap="1">
                <wp:simplePos x="0" y="0"/>
                <wp:positionH relativeFrom="page">
                  <wp:posOffset>3653790</wp:posOffset>
                </wp:positionH>
                <wp:positionV relativeFrom="paragraph">
                  <wp:posOffset>165100</wp:posOffset>
                </wp:positionV>
                <wp:extent cx="494030" cy="155575"/>
                <wp:wrapTopAndBottom/>
                <wp:docPr id="20" name="Shape 20"/>
                <a:graphic xmlns:a="http://schemas.openxmlformats.org/drawingml/2006/main">
                  <a:graphicData uri="http://schemas.microsoft.com/office/word/2010/wordprocessingShape">
                    <wps:wsp>
                      <wps:cNvSpPr txBox="1"/>
                      <wps:spPr>
                        <a:xfrm>
                          <a:ext cx="494030" cy="15557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公允价值</w:t>
                            </w:r>
                          </w:p>
                        </w:txbxContent>
                      </wps:txbx>
                      <wps:bodyPr wrap="none" lIns="0" tIns="0" rIns="0" bIns="0">
                        <a:noAutoFit/>
                      </wps:bodyPr>
                    </wps:wsp>
                  </a:graphicData>
                </a:graphic>
              </wp:anchor>
            </w:drawing>
          </mc:Choice>
          <mc:Fallback>
            <w:pict>
              <v:shape id="_x0000_s1046" type="#_x0000_t202" style="position:absolute;margin-left:287.69999999999999pt;margin-top:13.pt;width:38.899999999999999pt;height:12.25pt;z-index:-125829359;mso-wrap-distance-left:0;mso-wrap-distance-top:13.pt;mso-wrap-distance-right:0;mso-wrap-distance-bottom:7.6500000000000004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公允价值</w:t>
                      </w:r>
                    </w:p>
                  </w:txbxContent>
                </v:textbox>
                <w10:wrap type="topAndBottom" anchorx="page"/>
              </v:shape>
            </w:pict>
          </mc:Fallback>
        </mc:AlternateContent>
      </w:r>
      <w:r>
        <mc:AlternateContent>
          <mc:Choice Requires="wps">
            <w:drawing>
              <wp:anchor distT="165100" distB="93980" distL="0" distR="0" simplePos="0" relativeHeight="125829396" behindDoc="0" locked="0" layoutInCell="1" allowOverlap="1">
                <wp:simplePos x="0" y="0"/>
                <wp:positionH relativeFrom="page">
                  <wp:posOffset>4467860</wp:posOffset>
                </wp:positionH>
                <wp:positionV relativeFrom="paragraph">
                  <wp:posOffset>165100</wp:posOffset>
                </wp:positionV>
                <wp:extent cx="719455" cy="158750"/>
                <wp:wrapTopAndBottom/>
                <wp:docPr id="22" name="Shape 22"/>
                <a:graphic xmlns:a="http://schemas.openxmlformats.org/drawingml/2006/main">
                  <a:graphicData uri="http://schemas.microsoft.com/office/word/2010/wordprocessingShape">
                    <wps:wsp>
                      <wps:cNvSpPr txBox="1"/>
                      <wps:spPr>
                        <a:xfrm>
                          <a:ext cx="719455" cy="1587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本期股利收入</w:t>
                            </w:r>
                          </w:p>
                        </w:txbxContent>
                      </wps:txbx>
                      <wps:bodyPr wrap="none" lIns="0" tIns="0" rIns="0" bIns="0">
                        <a:noAutoFit/>
                      </wps:bodyPr>
                    </wps:wsp>
                  </a:graphicData>
                </a:graphic>
              </wp:anchor>
            </w:drawing>
          </mc:Choice>
          <mc:Fallback>
            <w:pict>
              <v:shape id="_x0000_s1048" type="#_x0000_t202" style="position:absolute;margin-left:351.80000000000001pt;margin-top:13.pt;width:56.649999999999999pt;height:12.5pt;z-index:-125829357;mso-wrap-distance-left:0;mso-wrap-distance-top:13.pt;mso-wrap-distance-right:0;mso-wrap-distance-bottom:7.4000000000000004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本期股利收入</w:t>
                      </w:r>
                    </w:p>
                  </w:txbxContent>
                </v:textbox>
                <w10:wrap type="topAndBottom" anchorx="page"/>
              </v:shape>
            </w:pict>
          </mc:Fallback>
        </mc:AlternateContent>
      </w:r>
      <w:r>
        <mc:AlternateContent>
          <mc:Choice Requires="wps">
            <w:drawing>
              <wp:anchor distT="15875" distB="0" distL="0" distR="0" simplePos="0" relativeHeight="125829398" behindDoc="0" locked="0" layoutInCell="1" allowOverlap="1">
                <wp:simplePos x="0" y="0"/>
                <wp:positionH relativeFrom="page">
                  <wp:posOffset>5302885</wp:posOffset>
                </wp:positionH>
                <wp:positionV relativeFrom="paragraph">
                  <wp:posOffset>15875</wp:posOffset>
                </wp:positionV>
                <wp:extent cx="1063625" cy="402590"/>
                <wp:wrapTopAndBottom/>
                <wp:docPr id="24" name="Shape 24"/>
                <a:graphic xmlns:a="http://schemas.openxmlformats.org/drawingml/2006/main">
                  <a:graphicData uri="http://schemas.microsoft.com/office/word/2010/wordprocessingShape">
                    <wps:wsp>
                      <wps:cNvSpPr txBox="1"/>
                      <wps:spPr>
                        <a:xfrm>
                          <a:ext cx="1063625" cy="402590"/>
                        </a:xfrm>
                        <a:prstGeom prst="rect"/>
                        <a:noFill/>
                      </wps:spPr>
                      <wps:txbx>
                        <w:txbxContent>
                          <w:p>
                            <w:pPr>
                              <w:pStyle w:val="Style27"/>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指定为以公允价值计 量且其变动计入其他</w:t>
                            </w:r>
                          </w:p>
                        </w:txbxContent>
                      </wps:txbx>
                      <wps:bodyPr lIns="0" tIns="0" rIns="0" bIns="0">
                        <a:noAutoFit/>
                      </wps:bodyPr>
                    </wps:wsp>
                  </a:graphicData>
                </a:graphic>
              </wp:anchor>
            </w:drawing>
          </mc:Choice>
          <mc:Fallback>
            <w:pict>
              <v:shape id="_x0000_s1050" type="#_x0000_t202" style="position:absolute;margin-left:417.55000000000001pt;margin-top:1.25pt;width:83.75pt;height:31.699999999999999pt;z-index:-125829355;mso-wrap-distance-left:0;mso-wrap-distance-top:1.25pt;mso-wrap-distance-right:0;mso-position-horizontal-relative:page" filled="f" stroked="f">
                <v:textbox inset="0,0,0,0">
                  <w:txbxContent>
                    <w:p>
                      <w:pPr>
                        <w:pStyle w:val="Style27"/>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指定为以公允价值计 量且其变动计入其他</w:t>
                      </w:r>
                    </w:p>
                  </w:txbxContent>
                </v:textbox>
                <w10:wrap type="topAndBottom" anchorx="page"/>
              </v:shape>
            </w:pict>
          </mc:Fallback>
        </mc:AlternateContent>
      </w:r>
      <w:r>
        <w:br w:type="page"/>
      </w:r>
    </w:p>
    <w:tbl>
      <w:tblPr>
        <w:tblOverlap w:val="never"/>
        <w:jc w:val="center"/>
        <w:tblLayout w:type="fixed"/>
      </w:tblPr>
      <w:tblGrid>
        <w:gridCol w:w="1613"/>
        <w:gridCol w:w="1426"/>
        <w:gridCol w:w="1334"/>
        <w:gridCol w:w="1440"/>
        <w:gridCol w:w="725"/>
        <w:gridCol w:w="754"/>
        <w:gridCol w:w="1733"/>
      </w:tblGrid>
      <w:tr>
        <w:trPr>
          <w:trHeight w:val="69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b/>
                <w:bCs/>
                <w:color w:val="000000"/>
                <w:spacing w:val="0"/>
                <w:w w:val="100"/>
                <w:position w:val="0"/>
                <w:sz w:val="17"/>
                <w:szCs w:val="17"/>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本期终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止确认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期末仍持 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b/>
                <w:bCs/>
                <w:color w:val="000000"/>
                <w:spacing w:val="0"/>
                <w:w w:val="100"/>
                <w:position w:val="0"/>
                <w:sz w:val="17"/>
                <w:szCs w:val="17"/>
              </w:rPr>
              <w:t>综合收益的原因</w:t>
            </w:r>
          </w:p>
        </w:tc>
      </w:tr>
      <w:tr>
        <w:trPr>
          <w:trHeight w:val="129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3,226,900.65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5,942,240.38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9,169,141.03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管理层以非交易目的 持有（注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 xml:space="preserve">、注 </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汪清县振发投资有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鼎晖恒业集团有限</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621,426,900.65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5,942,240.38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627,369,141.03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503" w:lineRule="exact"/>
        <w:ind w:left="140" w:right="0" w:firstLine="36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:本公司持有华塑控股（证券代码：</w:t>
      </w:r>
      <w:r>
        <w:rPr>
          <w:rFonts w:ascii="Arial Narrow" w:eastAsia="Arial Narrow" w:hAnsi="Arial Narrow" w:cs="Arial Narrow"/>
          <w:color w:val="000000"/>
          <w:spacing w:val="0"/>
          <w:w w:val="100"/>
          <w:position w:val="0"/>
          <w:sz w:val="18"/>
          <w:szCs w:val="18"/>
        </w:rPr>
        <w:t xml:space="preserve">000509 </w:t>
      </w:r>
      <w:r>
        <w:rPr>
          <w:color w:val="000000"/>
          <w:spacing w:val="0"/>
          <w:w w:val="100"/>
          <w:position w:val="0"/>
          <w:sz w:val="17"/>
          <w:szCs w:val="17"/>
        </w:rPr>
        <w:t xml:space="preserve">） </w:t>
      </w:r>
      <w:r>
        <w:rPr>
          <w:rFonts w:ascii="Arial Narrow" w:eastAsia="Arial Narrow" w:hAnsi="Arial Narrow" w:cs="Arial Narrow"/>
          <w:color w:val="000000"/>
          <w:spacing w:val="0"/>
          <w:w w:val="100"/>
          <w:position w:val="0"/>
          <w:sz w:val="18"/>
          <w:szCs w:val="18"/>
        </w:rPr>
        <w:t>825,000</w:t>
      </w:r>
      <w:r>
        <w:rPr>
          <w:color w:val="000000"/>
          <w:spacing w:val="0"/>
          <w:w w:val="100"/>
          <w:position w:val="0"/>
          <w:sz w:val="17"/>
          <w:szCs w:val="17"/>
        </w:rPr>
        <w:t>股股份，占比</w:t>
      </w:r>
      <w:r>
        <w:rPr>
          <w:rFonts w:ascii="Arial Narrow" w:eastAsia="Arial Narrow" w:hAnsi="Arial Narrow" w:cs="Arial Narrow"/>
          <w:color w:val="000000"/>
          <w:spacing w:val="0"/>
          <w:w w:val="100"/>
          <w:position w:val="0"/>
          <w:sz w:val="18"/>
          <w:szCs w:val="18"/>
        </w:rPr>
        <w:t>0.08%</w:t>
      </w:r>
      <w:r>
        <w:rPr>
          <w:color w:val="000000"/>
          <w:spacing w:val="0"/>
          <w:w w:val="100"/>
          <w:position w:val="0"/>
          <w:sz w:val="17"/>
          <w:szCs w:val="17"/>
        </w:rPr>
        <w:t>，截至</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日，持有该股票净 值为人民币</w:t>
      </w:r>
      <w:r>
        <w:rPr>
          <w:rFonts w:ascii="Arial Narrow" w:eastAsia="Arial Narrow" w:hAnsi="Arial Narrow" w:cs="Arial Narrow"/>
          <w:color w:val="000000"/>
          <w:spacing w:val="0"/>
          <w:w w:val="100"/>
          <w:position w:val="0"/>
          <w:sz w:val="18"/>
          <w:szCs w:val="18"/>
        </w:rPr>
        <w:t>2,400,750.00</w:t>
      </w:r>
      <w:r>
        <w:rPr>
          <w:color w:val="000000"/>
          <w:spacing w:val="0"/>
          <w:w w:val="100"/>
          <w:position w:val="0"/>
          <w:sz w:val="17"/>
          <w:szCs w:val="17"/>
        </w:rPr>
        <w:t>元。</w:t>
      </w:r>
    </w:p>
    <w:p>
      <w:pPr>
        <w:pStyle w:val="Style27"/>
        <w:keepNext w:val="0"/>
        <w:keepLines w:val="0"/>
        <w:widowControl w:val="0"/>
        <w:shd w:val="clear" w:color="auto" w:fill="auto"/>
        <w:bidi w:val="0"/>
        <w:spacing w:before="0" w:after="0" w:line="503" w:lineRule="exact"/>
        <w:ind w:left="140" w:right="0" w:firstLine="36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：本公司持有中润资源（证券代码：</w:t>
      </w:r>
      <w:r>
        <w:rPr>
          <w:rFonts w:ascii="Arial Narrow" w:eastAsia="Arial Narrow" w:hAnsi="Arial Narrow" w:cs="Arial Narrow"/>
          <w:color w:val="000000"/>
          <w:spacing w:val="0"/>
          <w:w w:val="100"/>
          <w:position w:val="0"/>
          <w:sz w:val="18"/>
          <w:szCs w:val="18"/>
        </w:rPr>
        <w:t>000506</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925,517</w:t>
      </w:r>
      <w:r>
        <w:rPr>
          <w:color w:val="000000"/>
          <w:spacing w:val="0"/>
          <w:w w:val="100"/>
          <w:position w:val="0"/>
          <w:sz w:val="17"/>
          <w:szCs w:val="17"/>
        </w:rPr>
        <w:t>股股份，占比</w:t>
      </w:r>
      <w:r>
        <w:rPr>
          <w:rFonts w:ascii="Arial Narrow" w:eastAsia="Arial Narrow" w:hAnsi="Arial Narrow" w:cs="Arial Narrow"/>
          <w:color w:val="000000"/>
          <w:spacing w:val="0"/>
          <w:w w:val="100"/>
          <w:position w:val="0"/>
          <w:sz w:val="18"/>
          <w:szCs w:val="18"/>
        </w:rPr>
        <w:t>0.10%</w:t>
      </w:r>
      <w:r>
        <w:rPr>
          <w:color w:val="000000"/>
          <w:spacing w:val="0"/>
          <w:w w:val="100"/>
          <w:position w:val="0"/>
          <w:sz w:val="17"/>
          <w:szCs w:val="17"/>
        </w:rPr>
        <w:t>，截至</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31 </w:t>
      </w:r>
      <w:r>
        <w:rPr>
          <w:rFonts w:ascii="SimHei" w:eastAsia="SimHei" w:hAnsi="SimHei" w:cs="SimHei"/>
          <w:color w:val="000000"/>
          <w:spacing w:val="0"/>
          <w:w w:val="100"/>
          <w:position w:val="0"/>
          <w:sz w:val="19"/>
          <w:szCs w:val="19"/>
        </w:rPr>
        <w:t>0，</w:t>
      </w:r>
      <w:r>
        <w:rPr>
          <w:color w:val="000000"/>
          <w:spacing w:val="0"/>
          <w:w w:val="100"/>
          <w:position w:val="0"/>
          <w:sz w:val="17"/>
          <w:szCs w:val="17"/>
        </w:rPr>
        <w:t>持有该股票净 值为人民币</w:t>
      </w:r>
      <w:r>
        <w:rPr>
          <w:rFonts w:ascii="Arial Narrow" w:eastAsia="Arial Narrow" w:hAnsi="Arial Narrow" w:cs="Arial Narrow"/>
          <w:color w:val="000000"/>
          <w:spacing w:val="0"/>
          <w:w w:val="100"/>
          <w:position w:val="0"/>
          <w:sz w:val="18"/>
          <w:szCs w:val="18"/>
        </w:rPr>
        <w:t>2,970,909.57</w:t>
      </w:r>
      <w:r>
        <w:rPr>
          <w:color w:val="000000"/>
          <w:spacing w:val="0"/>
          <w:w w:val="100"/>
          <w:position w:val="0"/>
          <w:sz w:val="17"/>
          <w:szCs w:val="17"/>
        </w:rPr>
        <w:t>元。</w:t>
      </w:r>
    </w:p>
    <w:p>
      <w:pPr>
        <w:pStyle w:val="Style27"/>
        <w:keepNext w:val="0"/>
        <w:keepLines w:val="0"/>
        <w:widowControl w:val="0"/>
        <w:shd w:val="clear" w:color="auto" w:fill="auto"/>
        <w:bidi w:val="0"/>
        <w:spacing w:before="0" w:after="0" w:line="503" w:lineRule="exact"/>
        <w:ind w:left="140" w:right="0" w:firstLine="36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:本公司持有我爱我家（证券代码：</w:t>
      </w:r>
      <w:r>
        <w:rPr>
          <w:rFonts w:ascii="Arial Narrow" w:eastAsia="Arial Narrow" w:hAnsi="Arial Narrow" w:cs="Arial Narrow"/>
          <w:color w:val="000000"/>
          <w:spacing w:val="0"/>
          <w:w w:val="100"/>
          <w:position w:val="0"/>
          <w:sz w:val="18"/>
          <w:szCs w:val="18"/>
        </w:rPr>
        <w:t xml:space="preserve">000560 </w:t>
      </w:r>
      <w:r>
        <w:rPr>
          <w:color w:val="000000"/>
          <w:spacing w:val="0"/>
          <w:w w:val="100"/>
          <w:position w:val="0"/>
          <w:sz w:val="17"/>
          <w:szCs w:val="17"/>
        </w:rPr>
        <w:t xml:space="preserve">） </w:t>
      </w:r>
      <w:r>
        <w:rPr>
          <w:rFonts w:ascii="Arial Narrow" w:eastAsia="Arial Narrow" w:hAnsi="Arial Narrow" w:cs="Arial Narrow"/>
          <w:color w:val="000000"/>
          <w:spacing w:val="0"/>
          <w:w w:val="100"/>
          <w:position w:val="0"/>
          <w:sz w:val="18"/>
          <w:szCs w:val="18"/>
        </w:rPr>
        <w:t>1,209,389</w:t>
      </w:r>
      <w:r>
        <w:rPr>
          <w:color w:val="000000"/>
          <w:spacing w:val="0"/>
          <w:w w:val="100"/>
          <w:position w:val="0"/>
          <w:sz w:val="17"/>
          <w:szCs w:val="17"/>
        </w:rPr>
        <w:t>股股份，占比</w:t>
      </w:r>
      <w:r>
        <w:rPr>
          <w:rFonts w:ascii="Arial Narrow" w:eastAsia="Arial Narrow" w:hAnsi="Arial Narrow" w:cs="Arial Narrow"/>
          <w:color w:val="000000"/>
          <w:spacing w:val="0"/>
          <w:w w:val="100"/>
          <w:position w:val="0"/>
          <w:sz w:val="18"/>
          <w:szCs w:val="18"/>
        </w:rPr>
        <w:t>0.05%</w:t>
      </w:r>
      <w:r>
        <w:rPr>
          <w:color w:val="000000"/>
          <w:spacing w:val="0"/>
          <w:w w:val="100"/>
          <w:position w:val="0"/>
          <w:sz w:val="17"/>
          <w:szCs w:val="17"/>
        </w:rPr>
        <w:t>,截至</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31 </w:t>
      </w:r>
      <w:r>
        <w:rPr>
          <w:rFonts w:ascii="SimHei" w:eastAsia="SimHei" w:hAnsi="SimHei" w:cs="SimHei"/>
          <w:color w:val="000000"/>
          <w:spacing w:val="0"/>
          <w:w w:val="100"/>
          <w:position w:val="0"/>
          <w:sz w:val="19"/>
          <w:szCs w:val="19"/>
        </w:rPr>
        <w:t>0,</w:t>
      </w:r>
      <w:r>
        <w:rPr>
          <w:color w:val="000000"/>
          <w:spacing w:val="0"/>
          <w:w w:val="100"/>
          <w:position w:val="0"/>
          <w:sz w:val="17"/>
          <w:szCs w:val="17"/>
        </w:rPr>
        <w:t>持有该股票 净值为人民币</w:t>
      </w:r>
      <w:r>
        <w:rPr>
          <w:rFonts w:ascii="Arial Narrow" w:eastAsia="Arial Narrow" w:hAnsi="Arial Narrow" w:cs="Arial Narrow"/>
          <w:color w:val="000000"/>
          <w:spacing w:val="0"/>
          <w:w w:val="100"/>
          <w:position w:val="0"/>
          <w:sz w:val="18"/>
          <w:szCs w:val="18"/>
        </w:rPr>
        <w:t>3,797,481.46</w:t>
      </w:r>
      <w:r>
        <w:rPr>
          <w:color w:val="000000"/>
          <w:spacing w:val="0"/>
          <w:w w:val="100"/>
          <w:position w:val="0"/>
          <w:sz w:val="17"/>
          <w:szCs w:val="17"/>
        </w:rPr>
        <w:t>元。</w:t>
      </w:r>
    </w:p>
    <w:p>
      <w:pPr>
        <w:pStyle w:val="Style27"/>
        <w:keepNext w:val="0"/>
        <w:keepLines w:val="0"/>
        <w:widowControl w:val="0"/>
        <w:shd w:val="clear" w:color="auto" w:fill="auto"/>
        <w:bidi w:val="0"/>
        <w:spacing w:before="0" w:after="0" w:line="503" w:lineRule="exact"/>
        <w:ind w:left="140" w:right="0" w:firstLine="360"/>
        <w:jc w:val="both"/>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 xml:space="preserve">： </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月本公司子公司东旭新能源投资有限公司与吉林吉电新能源有限公司签订《合作协议》，将持有汪清县 振发投资有限公司</w:t>
      </w:r>
      <w:r>
        <w:rPr>
          <w:rFonts w:ascii="Arial Narrow" w:eastAsia="Arial Narrow" w:hAnsi="Arial Narrow" w:cs="Arial Narrow"/>
          <w:color w:val="000000"/>
          <w:spacing w:val="0"/>
          <w:w w:val="100"/>
          <w:position w:val="0"/>
          <w:sz w:val="18"/>
          <w:szCs w:val="18"/>
        </w:rPr>
        <w:t>70%</w:t>
      </w:r>
      <w:r>
        <w:rPr>
          <w:color w:val="000000"/>
          <w:spacing w:val="0"/>
          <w:w w:val="100"/>
          <w:position w:val="0"/>
          <w:sz w:val="17"/>
          <w:szCs w:val="17"/>
        </w:rPr>
        <w:t>股权转让给吉林吉电新能源有限公司，东旭新能源投资有限公司持有余下</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股权。</w:t>
      </w:r>
    </w:p>
    <w:p>
      <w:pPr>
        <w:pStyle w:val="Style27"/>
        <w:keepNext w:val="0"/>
        <w:keepLines w:val="0"/>
        <w:widowControl w:val="0"/>
        <w:shd w:val="clear" w:color="auto" w:fill="auto"/>
        <w:bidi w:val="0"/>
        <w:spacing w:before="0" w:after="280" w:line="503" w:lineRule="exact"/>
        <w:ind w:left="0" w:right="0" w:firstLine="500"/>
        <w:jc w:val="both"/>
        <w:rPr>
          <w:sz w:val="18"/>
          <w:szCs w:val="18"/>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 xml:space="preserve">： </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月本公司子公司东旭蓝天智慧能源科技有限公司与北京厚德义投资有限公司签订《股权转让协议》，以</w:t>
      </w:r>
      <w:r>
        <w:rPr>
          <w:rFonts w:ascii="Arial Narrow" w:eastAsia="Arial Narrow" w:hAnsi="Arial Narrow" w:cs="Arial Narrow"/>
          <w:color w:val="000000"/>
          <w:spacing w:val="0"/>
          <w:w w:val="100"/>
          <w:position w:val="0"/>
          <w:sz w:val="18"/>
          <w:szCs w:val="18"/>
        </w:rPr>
        <w:t>6</w:t>
      </w:r>
    </w:p>
    <w:p>
      <w:pPr>
        <w:pStyle w:val="Style27"/>
        <w:keepNext w:val="0"/>
        <w:keepLines w:val="0"/>
        <w:widowControl w:val="0"/>
        <w:shd w:val="clear" w:color="auto" w:fill="auto"/>
        <w:bidi w:val="0"/>
        <w:spacing w:before="0" w:after="220" w:line="240" w:lineRule="auto"/>
        <w:ind w:left="0" w:right="0" w:firstLine="140"/>
        <w:jc w:val="left"/>
        <w:rPr>
          <w:sz w:val="17"/>
          <w:szCs w:val="17"/>
        </w:rPr>
      </w:pPr>
      <w:r>
        <w:rPr>
          <w:color w:val="000000"/>
          <w:spacing w:val="0"/>
          <w:w w:val="100"/>
          <w:position w:val="0"/>
          <w:sz w:val="17"/>
          <w:szCs w:val="17"/>
        </w:rPr>
        <w:t>亿元收购鼎晖恒业集团有限公司</w:t>
      </w:r>
      <w:r>
        <w:rPr>
          <w:rFonts w:ascii="Arial Narrow" w:eastAsia="Arial Narrow" w:hAnsi="Arial Narrow" w:cs="Arial Narrow"/>
          <w:color w:val="000000"/>
          <w:spacing w:val="0"/>
          <w:w w:val="100"/>
          <w:position w:val="0"/>
          <w:sz w:val="18"/>
          <w:szCs w:val="18"/>
        </w:rPr>
        <w:t xml:space="preserve">23.84 </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的股份。</w:t>
      </w:r>
    </w:p>
    <w:p>
      <w:pPr>
        <w:pStyle w:val="Style20"/>
        <w:keepNext/>
        <w:keepLines/>
        <w:widowControl w:val="0"/>
        <w:shd w:val="clear" w:color="auto" w:fill="auto"/>
        <w:bidi w:val="0"/>
        <w:spacing w:before="0" w:after="0" w:line="240" w:lineRule="auto"/>
        <w:ind w:left="0" w:right="0" w:firstLine="560"/>
        <w:jc w:val="left"/>
        <w:rPr>
          <w:sz w:val="20"/>
          <w:szCs w:val="20"/>
        </w:rPr>
      </w:pPr>
      <w:bookmarkStart w:id="956" w:name="bookmark956"/>
      <w:bookmarkStart w:id="957" w:name="bookmark957"/>
      <w:bookmarkStart w:id="958" w:name="bookmark958"/>
      <w:bookmarkStart w:id="959" w:name="bookmark959"/>
      <w:r>
        <w:rPr>
          <w:rFonts w:ascii="Arial Narrow" w:eastAsia="Arial Narrow" w:hAnsi="Arial Narrow" w:cs="Arial Narrow"/>
          <w:color w:val="000000"/>
          <w:spacing w:val="0"/>
          <w:w w:val="100"/>
          <w:position w:val="0"/>
          <w:sz w:val="20"/>
          <w:szCs w:val="20"/>
        </w:rPr>
        <w:t>1</w:t>
      </w:r>
      <w:bookmarkEnd w:id="958"/>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、其他非流动金融资产</w:t>
      </w:r>
      <w:bookmarkEnd w:id="956"/>
      <w:bookmarkEnd w:id="957"/>
      <w:bookmarkEnd w:id="959"/>
    </w:p>
    <w:tbl>
      <w:tblPr>
        <w:tblOverlap w:val="never"/>
        <w:jc w:val="center"/>
        <w:tblLayout w:type="fixed"/>
      </w:tblPr>
      <w:tblGrid>
        <w:gridCol w:w="5635"/>
        <w:gridCol w:w="1853"/>
        <w:gridCol w:w="1882"/>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指定为以公允价值计量且其变动计入当期损益的金融资产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17"/>
        <w:keepNext w:val="0"/>
        <w:keepLines w:val="0"/>
        <w:widowControl w:val="0"/>
        <w:shd w:val="clear" w:color="auto" w:fill="auto"/>
        <w:bidi w:val="0"/>
        <w:spacing w:before="0" w:after="140" w:line="240" w:lineRule="auto"/>
        <w:ind w:left="0" w:right="0" w:firstLine="560"/>
        <w:jc w:val="left"/>
      </w:pPr>
      <w:r>
        <w:rPr>
          <w:color w:val="000000"/>
          <w:spacing w:val="0"/>
          <w:w w:val="100"/>
          <w:position w:val="0"/>
          <w:u w:val="single"/>
        </w:rPr>
        <w:t>以公允价值计量且其变动计入当期损益的金融资产中权益工具投资明细如下：</w:t>
      </w:r>
    </w:p>
    <w:p>
      <w:pPr>
        <w:pStyle w:val="Style27"/>
        <w:keepNext w:val="0"/>
        <w:keepLines w:val="0"/>
        <w:widowControl w:val="0"/>
        <w:shd w:val="clear" w:color="auto" w:fill="auto"/>
        <w:tabs>
          <w:tab w:pos="4997" w:val="left"/>
        </w:tabs>
        <w:bidi w:val="0"/>
        <w:spacing w:before="0" w:after="80" w:line="240" w:lineRule="auto"/>
        <w:ind w:left="0" w:right="0" w:firstLine="0"/>
        <w:jc w:val="center"/>
        <w:rPr>
          <w:sz w:val="17"/>
          <w:szCs w:val="17"/>
        </w:rPr>
      </w:pPr>
      <w:r>
        <w:rPr>
          <w:b/>
          <w:bCs/>
          <w:color w:val="000000"/>
          <w:spacing w:val="0"/>
          <w:w w:val="100"/>
          <w:position w:val="0"/>
          <w:sz w:val="17"/>
          <w:szCs w:val="17"/>
        </w:rPr>
        <w:t>被投资单位</w:t>
        <w:tab/>
        <w:t>公允价值</w:t>
      </w:r>
      <w:r>
        <w:br w:type="page"/>
      </w:r>
    </w:p>
    <w:tbl>
      <w:tblPr>
        <w:tblOverlap w:val="never"/>
        <w:jc w:val="center"/>
        <w:tblLayout w:type="fixed"/>
      </w:tblPr>
      <w:tblGrid>
        <w:gridCol w:w="4973"/>
        <w:gridCol w:w="2602"/>
        <w:gridCol w:w="2357"/>
      </w:tblGrid>
      <w:tr>
        <w:trPr>
          <w:trHeight w:val="4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2021 </w:t>
            </w:r>
            <w:r>
              <w:rPr>
                <w:b/>
                <w:bCs/>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2020 </w:t>
            </w:r>
            <w:r>
              <w:rPr>
                <w:b/>
                <w:bCs/>
                <w:color w:val="000000"/>
                <w:spacing w:val="0"/>
                <w:w w:val="100"/>
                <w:position w:val="0"/>
                <w:sz w:val="17"/>
                <w:szCs w:val="17"/>
              </w:rPr>
              <w:t>年</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三九胃泰股份有限公司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四川通产物业股份有限公司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长春高斯达生物科技集团股份有限公司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深运工贸翠苑旅店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17"/>
        <w:keepNext w:val="0"/>
        <w:keepLines w:val="0"/>
        <w:widowControl w:val="0"/>
        <w:shd w:val="clear" w:color="auto" w:fill="auto"/>
        <w:bidi w:val="0"/>
        <w:spacing w:before="0" w:after="260" w:line="240" w:lineRule="auto"/>
        <w:ind w:left="0" w:right="0" w:firstLine="940"/>
        <w:jc w:val="left"/>
      </w:pPr>
      <w:r>
        <w:rPr>
          <w:color w:val="000000"/>
          <w:spacing w:val="0"/>
          <w:w w:val="100"/>
          <w:position w:val="0"/>
        </w:rPr>
        <w:t>注：期末被投资单位公允价值均为</w:t>
      </w:r>
      <w:r>
        <w:rPr>
          <w:b/>
          <w:bCs/>
          <w:color w:val="000000"/>
          <w:spacing w:val="0"/>
          <w:w w:val="100"/>
          <w:position w:val="0"/>
        </w:rPr>
        <w:t>0</w:t>
      </w:r>
      <w:r>
        <w:rPr>
          <w:color w:val="000000"/>
          <w:spacing w:val="0"/>
          <w:w w:val="100"/>
          <w:position w:val="0"/>
        </w:rPr>
        <w:t>。</w:t>
      </w:r>
    </w:p>
    <w:p>
      <w:pPr>
        <w:pStyle w:val="Style20"/>
        <w:keepNext/>
        <w:keepLines/>
        <w:widowControl w:val="0"/>
        <w:shd w:val="clear" w:color="auto" w:fill="auto"/>
        <w:bidi w:val="0"/>
        <w:spacing w:before="0" w:after="260" w:line="240" w:lineRule="auto"/>
        <w:ind w:left="0" w:right="0" w:firstLine="940"/>
        <w:jc w:val="left"/>
        <w:rPr>
          <w:sz w:val="20"/>
          <w:szCs w:val="20"/>
        </w:rPr>
      </w:pPr>
      <w:bookmarkStart w:id="960" w:name="bookmark960"/>
      <w:bookmarkStart w:id="961" w:name="bookmark961"/>
      <w:bookmarkStart w:id="962" w:name="bookmark962"/>
      <w:bookmarkStart w:id="963" w:name="bookmark963"/>
      <w:r>
        <w:rPr>
          <w:rFonts w:ascii="Arial Narrow" w:eastAsia="Arial Narrow" w:hAnsi="Arial Narrow" w:cs="Arial Narrow"/>
          <w:color w:val="000000"/>
          <w:spacing w:val="0"/>
          <w:w w:val="100"/>
          <w:position w:val="0"/>
          <w:sz w:val="20"/>
          <w:szCs w:val="20"/>
        </w:rPr>
        <w:t>1</w:t>
      </w:r>
      <w:bookmarkEnd w:id="962"/>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、投资性房地产</w:t>
      </w:r>
      <w:bookmarkEnd w:id="960"/>
      <w:bookmarkEnd w:id="961"/>
      <w:bookmarkEnd w:id="963"/>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w:t>
      </w:r>
      <w:r>
        <w:rPr>
          <w:color w:val="000000"/>
          <w:spacing w:val="0"/>
          <w:w w:val="100"/>
          <w:position w:val="0"/>
          <w:sz w:val="20"/>
          <w:szCs w:val="20"/>
        </w:rPr>
        <w:t>采用成本计量模式的投资性房地产</w:t>
      </w:r>
    </w:p>
    <w:tbl>
      <w:tblPr>
        <w:tblOverlap w:val="never"/>
        <w:jc w:val="center"/>
        <w:tblLayout w:type="fixed"/>
      </w:tblPr>
      <w:tblGrid>
        <w:gridCol w:w="3130"/>
        <w:gridCol w:w="2270"/>
        <w:gridCol w:w="1848"/>
        <w:gridCol w:w="2122"/>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1,952,074,124.48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132,960,809.85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2,085,034,934.33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）存货转入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）固定资产</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7,966,659.45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7,966,659.45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7,966,659.45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7,966,659.45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1,944,107,465.03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132,960,809.85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2,077,068,274.88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545,281,899.02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28,002,125.16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573,284,024.18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50,722,800.41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3,297,131.46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54,019,931.87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50,722,800.41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3,297,131.46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54,019,931.87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）固定资产</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920,089.58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920,089.58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920,089.58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920,089.58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595,084,609.85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31,299,256.62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626,383,866.47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18,000,000.00</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270"/>
        <w:gridCol w:w="1848"/>
        <w:gridCol w:w="2122"/>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）转入持有待售资产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18,000,000.00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1,331,022,855.18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101,661,553.23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1,432,684,408.41</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1,388,792,225.46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104,958,684.69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1,493,750,910.15</w:t>
            </w:r>
          </w:p>
        </w:tc>
      </w:tr>
    </w:tbl>
    <w:p>
      <w:pPr>
        <w:pStyle w:val="Style25"/>
        <w:keepNext w:val="0"/>
        <w:keepLines w:val="0"/>
        <w:widowControl w:val="0"/>
        <w:shd w:val="clear" w:color="auto" w:fill="auto"/>
        <w:bidi w:val="0"/>
        <w:spacing w:before="0" w:after="0" w:line="240" w:lineRule="auto"/>
        <w:ind w:left="494" w:right="0" w:firstLine="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:期末无未办妥产权证书的投资性房地产。</w:t>
      </w:r>
    </w:p>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25" w:right="0" w:firstLine="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:投资性房地产期末抵押情况详见本附注五、</w:t>
      </w:r>
      <w:r>
        <w:rPr>
          <w:rFonts w:ascii="Arial Narrow" w:eastAsia="Arial Narrow" w:hAnsi="Arial Narrow" w:cs="Arial Narrow"/>
          <w:color w:val="000000"/>
          <w:spacing w:val="0"/>
          <w:w w:val="100"/>
          <w:position w:val="0"/>
          <w:sz w:val="18"/>
          <w:szCs w:val="18"/>
        </w:rPr>
        <w:t>59</w:t>
      </w:r>
      <w:r>
        <w:rPr>
          <w:color w:val="000000"/>
          <w:spacing w:val="0"/>
          <w:w w:val="100"/>
          <w:position w:val="0"/>
          <w:sz w:val="17"/>
          <w:szCs w:val="17"/>
        </w:rPr>
        <w:t>。</w:t>
      </w:r>
    </w:p>
    <w:tbl>
      <w:tblPr>
        <w:tblOverlap w:val="never"/>
        <w:jc w:val="center"/>
        <w:tblLayout w:type="fixed"/>
      </w:tblPr>
      <w:tblGrid>
        <w:gridCol w:w="3302"/>
        <w:gridCol w:w="2976"/>
        <w:gridCol w:w="2918"/>
      </w:tblGrid>
      <w:tr>
        <w:trPr>
          <w:trHeight w:val="317"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0"/>
                <w:szCs w:val="20"/>
              </w:rPr>
            </w:pPr>
            <w:bookmarkStart w:id="964" w:name="bookmark964"/>
            <w:r>
              <w:rPr>
                <w:rFonts w:ascii="Arial Narrow" w:eastAsia="Arial Narrow" w:hAnsi="Arial Narrow" w:cs="Arial Narrow"/>
                <w:b/>
                <w:bCs/>
                <w:color w:val="000000"/>
                <w:spacing w:val="0"/>
                <w:w w:val="100"/>
                <w:position w:val="0"/>
                <w:sz w:val="20"/>
                <w:szCs w:val="20"/>
              </w:rPr>
              <w:t>15</w:t>
            </w:r>
            <w:r>
              <w:rPr>
                <w:b/>
                <w:bCs/>
                <w:color w:val="000000"/>
                <w:spacing w:val="0"/>
                <w:w w:val="100"/>
                <w:position w:val="0"/>
                <w:sz w:val="20"/>
                <w:szCs w:val="20"/>
              </w:rPr>
              <w:t>、固定资产</w:t>
            </w:r>
            <w:bookmarkEnd w:id="964"/>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5,397,974,733.97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5,279,901,076.95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5,397,974,733.97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5,279,901,076.95</w:t>
            </w:r>
          </w:p>
        </w:tc>
      </w:tr>
      <w:tr>
        <w:trPr>
          <w:trHeight w:val="475"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）固定资产及累计折旧</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869" w:right="0" w:firstLine="0"/>
        <w:jc w:val="left"/>
        <w:rPr>
          <w:sz w:val="17"/>
          <w:szCs w:val="17"/>
        </w:rPr>
      </w:pPr>
      <w:r>
        <w:rPr>
          <w:color w:val="000000"/>
          <w:spacing w:val="0"/>
          <w:w w:val="100"/>
          <w:position w:val="0"/>
          <w:sz w:val="17"/>
          <w:szCs w:val="17"/>
        </w:rPr>
        <w:t>①固定资产情况</w:t>
      </w:r>
    </w:p>
    <w:tbl>
      <w:tblPr>
        <w:tblOverlap w:val="never"/>
        <w:jc w:val="center"/>
        <w:tblLayout w:type="fixed"/>
      </w:tblPr>
      <w:tblGrid>
        <w:gridCol w:w="2102"/>
        <w:gridCol w:w="1402"/>
        <w:gridCol w:w="1421"/>
        <w:gridCol w:w="1219"/>
        <w:gridCol w:w="1718"/>
        <w:gridCol w:w="1282"/>
        <w:gridCol w:w="1522"/>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186,450,301.63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127,221,508.76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15,527,075.59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5,825,161,590.91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32,894,107.40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6,187,254,584.29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161,254,041.41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1,482,643.92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291,236.17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294,728,762.83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9,906,753.14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467,663,437.47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733,575.22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291,236.17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3,380,915.17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4,405,726.56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）在建转固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29,615,609.39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749,068.70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132,564,771.82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6,525,837.97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169,455,287.88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162,163,991.01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162,163,991.01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）其他增加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131,638,432.02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131,638,432.02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2,452,030.13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56,110,632.19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1,912,649.72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1,688,438.83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62,163,750.87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9,282,399.44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766,849.21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916,229.78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10,965,478.43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91,200.00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）出售子公司减少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2,452,030.13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46,828,232.75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1,145,800.51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681,009.05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51,107,072.44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345,252,312.91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72,593,520.49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13,905,662.04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6,119,890,353.74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41,112,421.71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6,592,754,270.89</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02"/>
        <w:gridCol w:w="1402"/>
        <w:gridCol w:w="1421"/>
        <w:gridCol w:w="1219"/>
        <w:gridCol w:w="1718"/>
        <w:gridCol w:w="1282"/>
        <w:gridCol w:w="1522"/>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26,354,650.15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31,828,307.75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10,050,532.30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815,022,941.56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16,097,075.58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899,353,507.34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6,491,570.39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14,092,776.58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2,067,023.50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283,441,590.75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3,601,410.55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309,694,371.77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6,491,570.39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14,092,776.58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2,067,023.50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283,441,590.75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3,601,410.55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309,694,371.77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276,966.67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19,541,962.84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1,286,157.97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1,163,254.71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22,268,342.19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8,511,275.34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716,834.46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773,667.85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10,001,777.65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）处置子公司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276,966.67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11,030,687.50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569,323.51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389,586.86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12,266,564.54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32,569,253.87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26,379,121.49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10,831,397.83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1,098,464,532.31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18,535,231.42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1,186,779,536.92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8,000,000.00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8,000,000.00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312,683,059.04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46,214,399.00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3,074,264.21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5,021,425,821.43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14,577,190.29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5,397,974,733.97</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160,095,651.48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95,393,201.01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5,476,543.29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5,010,138,649.35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8,797,031.82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5,279,901,076.95</w:t>
            </w:r>
          </w:p>
        </w:tc>
      </w:tr>
    </w:tbl>
    <w:p>
      <w:pPr>
        <w:pStyle w:val="Style25"/>
        <w:keepNext w:val="0"/>
        <w:keepLines w:val="0"/>
        <w:widowControl w:val="0"/>
        <w:shd w:val="clear" w:color="auto" w:fill="auto"/>
        <w:bidi w:val="0"/>
        <w:spacing w:before="0" w:after="0" w:line="240" w:lineRule="auto"/>
        <w:ind w:left="869" w:right="0" w:firstLine="0"/>
        <w:jc w:val="left"/>
        <w:rPr>
          <w:sz w:val="17"/>
          <w:szCs w:val="17"/>
        </w:rPr>
      </w:pPr>
      <w:r>
        <w:rPr>
          <w:color w:val="000000"/>
          <w:spacing w:val="0"/>
          <w:w w:val="100"/>
          <w:position w:val="0"/>
          <w:sz w:val="17"/>
          <w:szCs w:val="17"/>
        </w:rPr>
        <w:t>②期末暂时闲置的固定资产情况</w:t>
      </w:r>
    </w:p>
    <w:p>
      <w:pPr>
        <w:widowControl w:val="0"/>
        <w:spacing w:line="1" w:lineRule="exact"/>
      </w:pPr>
    </w:p>
    <w:tbl>
      <w:tblPr>
        <w:tblOverlap w:val="never"/>
        <w:jc w:val="center"/>
        <w:tblLayout w:type="fixed"/>
      </w:tblPr>
      <w:tblGrid>
        <w:gridCol w:w="1795"/>
        <w:gridCol w:w="1349"/>
        <w:gridCol w:w="1478"/>
        <w:gridCol w:w="1757"/>
        <w:gridCol w:w="1344"/>
        <w:gridCol w:w="1646"/>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累计折旧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电子及其他设备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13,047,861.00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4,656,425.17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391,435.83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未使用</w:t>
            </w:r>
          </w:p>
        </w:tc>
      </w:tr>
    </w:tbl>
    <w:p>
      <w:pPr>
        <w:pStyle w:val="Style25"/>
        <w:keepNext w:val="0"/>
        <w:keepLines w:val="0"/>
        <w:widowControl w:val="0"/>
        <w:shd w:val="clear" w:color="auto" w:fill="auto"/>
        <w:bidi w:val="0"/>
        <w:spacing w:before="0" w:after="0" w:line="240" w:lineRule="auto"/>
        <w:ind w:left="504" w:right="0" w:firstLine="0"/>
        <w:jc w:val="left"/>
        <w:rPr>
          <w:sz w:val="17"/>
          <w:szCs w:val="17"/>
        </w:rPr>
      </w:pPr>
      <w:r>
        <w:rPr>
          <w:color w:val="000000"/>
          <w:spacing w:val="0"/>
          <w:w w:val="100"/>
          <w:position w:val="0"/>
          <w:sz w:val="17"/>
          <w:szCs w:val="17"/>
        </w:rPr>
        <w:t>③融资性售后租回固定资产情况</w:t>
      </w:r>
    </w:p>
    <w:p>
      <w:pPr>
        <w:widowControl w:val="0"/>
        <w:spacing w:line="1" w:lineRule="exact"/>
      </w:pPr>
    </w:p>
    <w:tbl>
      <w:tblPr>
        <w:tblOverlap w:val="never"/>
        <w:jc w:val="center"/>
        <w:tblLayout w:type="fixed"/>
      </w:tblPr>
      <w:tblGrid>
        <w:gridCol w:w="2165"/>
        <w:gridCol w:w="1843"/>
        <w:gridCol w:w="1762"/>
        <w:gridCol w:w="1781"/>
        <w:gridCol w:w="1733"/>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累计折旧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901,451,655.42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194,762,791.60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706,688,863.82</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901,451,655.42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194,762,791.60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b/>
                <w:bCs/>
                <w:color w:val="000000"/>
                <w:spacing w:val="0"/>
                <w:w w:val="100"/>
                <w:position w:val="0"/>
                <w:sz w:val="18"/>
                <w:szCs w:val="18"/>
              </w:rPr>
              <w:t>706,688,863.82</w:t>
            </w:r>
          </w:p>
        </w:tc>
      </w:tr>
    </w:tbl>
    <w:p>
      <w:pPr>
        <w:pStyle w:val="Style25"/>
        <w:keepNext w:val="0"/>
        <w:keepLines w:val="0"/>
        <w:widowControl w:val="0"/>
        <w:shd w:val="clear" w:color="auto" w:fill="auto"/>
        <w:bidi w:val="0"/>
        <w:spacing w:before="0" w:after="0" w:line="240" w:lineRule="auto"/>
        <w:ind w:left="178" w:right="0" w:firstLine="0"/>
        <w:jc w:val="left"/>
        <w:rPr>
          <w:sz w:val="17"/>
          <w:szCs w:val="17"/>
        </w:rPr>
      </w:pPr>
      <w:r>
        <w:rPr>
          <w:color w:val="000000"/>
          <w:spacing w:val="0"/>
          <w:w w:val="100"/>
          <w:position w:val="0"/>
          <w:sz w:val="17"/>
          <w:szCs w:val="17"/>
        </w:rPr>
        <w:t>④固定资产期末抵押情况详见本附注五、</w:t>
      </w:r>
      <w:r>
        <w:rPr>
          <w:rFonts w:ascii="Arial Narrow" w:eastAsia="Arial Narrow" w:hAnsi="Arial Narrow" w:cs="Arial Narrow"/>
          <w:color w:val="000000"/>
          <w:spacing w:val="0"/>
          <w:w w:val="100"/>
          <w:position w:val="0"/>
          <w:sz w:val="18"/>
          <w:szCs w:val="18"/>
        </w:rPr>
        <w:t>59</w:t>
      </w:r>
      <w:r>
        <w:rPr>
          <w:color w:val="000000"/>
          <w:spacing w:val="0"/>
          <w:w w:val="100"/>
          <w:position w:val="0"/>
          <w:sz w:val="17"/>
          <w:szCs w:val="17"/>
        </w:rPr>
        <w:t>。</w:t>
      </w:r>
    </w:p>
    <w:p>
      <w:pPr>
        <w:widowControl w:val="0"/>
        <w:spacing w:after="2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06" w:right="0" w:firstLine="0"/>
        <w:jc w:val="left"/>
        <w:rPr>
          <w:sz w:val="20"/>
          <w:szCs w:val="20"/>
        </w:rPr>
      </w:pPr>
      <w:bookmarkStart w:id="965" w:name="bookmark965"/>
      <w:r>
        <w:rPr>
          <w:rFonts w:ascii="Arial Narrow" w:eastAsia="Arial Narrow" w:hAnsi="Arial Narrow" w:cs="Arial Narrow"/>
          <w:b/>
          <w:bCs/>
          <w:color w:val="000000"/>
          <w:spacing w:val="0"/>
          <w:w w:val="100"/>
          <w:position w:val="0"/>
          <w:sz w:val="20"/>
          <w:szCs w:val="20"/>
        </w:rPr>
        <w:t>16</w:t>
      </w:r>
      <w:r>
        <w:rPr>
          <w:b/>
          <w:bCs/>
          <w:color w:val="000000"/>
          <w:spacing w:val="0"/>
          <w:w w:val="100"/>
          <w:position w:val="0"/>
          <w:sz w:val="20"/>
          <w:szCs w:val="20"/>
        </w:rPr>
        <w:t>、在建工程</w:t>
      </w:r>
      <w:bookmarkEnd w:id="965"/>
    </w:p>
    <w:tbl>
      <w:tblPr>
        <w:tblOverlap w:val="never"/>
        <w:jc w:val="center"/>
        <w:tblLayout w:type="fixed"/>
      </w:tblPr>
      <w:tblGrid>
        <w:gridCol w:w="3326"/>
        <w:gridCol w:w="3014"/>
        <w:gridCol w:w="2798"/>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900,256,314.96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656,334,037.30</w:t>
            </w:r>
          </w:p>
        </w:tc>
      </w:tr>
    </w:tbl>
    <w:p>
      <w:pPr>
        <w:sectPr>
          <w:footnotePr>
            <w:pos w:val="pageBottom"/>
            <w:numFmt w:val="decimal"/>
            <w:numRestart w:val="continuous"/>
          </w:footnotePr>
          <w:pgSz w:w="11900" w:h="16840"/>
          <w:pgMar w:top="1356" w:right="630" w:bottom="1550" w:left="604" w:header="0" w:footer="3" w:gutter="0"/>
          <w:cols w:space="720"/>
          <w:noEndnote/>
          <w:rtlGutter w:val="0"/>
          <w:docGrid w:linePitch="360"/>
        </w:sectPr>
      </w:pPr>
    </w:p>
    <w:tbl>
      <w:tblPr>
        <w:tblOverlap w:val="never"/>
        <w:jc w:val="center"/>
        <w:tblLayout w:type="fixed"/>
      </w:tblPr>
      <w:tblGrid>
        <w:gridCol w:w="1886"/>
        <w:gridCol w:w="1416"/>
        <w:gridCol w:w="312"/>
        <w:gridCol w:w="864"/>
        <w:gridCol w:w="1248"/>
        <w:gridCol w:w="907"/>
        <w:gridCol w:w="326"/>
        <w:gridCol w:w="1152"/>
        <w:gridCol w:w="1286"/>
      </w:tblGrid>
      <w:tr>
        <w:trPr>
          <w:trHeight w:val="451"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工程物资</w:t>
            </w:r>
          </w:p>
        </w:tc>
        <w:tc>
          <w:tcPr>
            <w:gridSpan w:val="3"/>
            <w:tcBorders>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r>
      <w:tr>
        <w:trPr>
          <w:trHeight w:val="437"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900,256,314.96</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656,334,037.30</w:t>
            </w:r>
          </w:p>
        </w:tc>
      </w:tr>
      <w:tr>
        <w:trPr>
          <w:trHeight w:val="528" w:hRule="exact"/>
        </w:trPr>
        <w:tc>
          <w:tcPr>
            <w:gridSpan w:val="9"/>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）在建工程情况</w:t>
            </w:r>
          </w:p>
        </w:tc>
      </w:tr>
      <w:tr>
        <w:trPr>
          <w:trHeight w:val="418"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金寨一期</w:t>
            </w:r>
            <w:r>
              <w:rPr>
                <w:rFonts w:ascii="Arial Narrow" w:eastAsia="Arial Narrow" w:hAnsi="Arial Narrow" w:cs="Arial Narrow"/>
                <w:color w:val="000000"/>
                <w:spacing w:val="0"/>
                <w:w w:val="100"/>
                <w:position w:val="0"/>
                <w:sz w:val="20"/>
                <w:szCs w:val="20"/>
              </w:rPr>
              <w:t>100MW</w:t>
            </w:r>
            <w:r>
              <w:rPr>
                <w:color w:val="000000"/>
                <w:spacing w:val="0"/>
                <w:w w:val="100"/>
                <w:position w:val="0"/>
                <w:sz w:val="19"/>
                <w:szCs w:val="19"/>
              </w:rPr>
              <w:t>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87,610,646.30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87,610,646.30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64,931,879.99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64,931,879.99</w:t>
            </w:r>
          </w:p>
        </w:tc>
      </w:tr>
      <w:tr>
        <w:trPr>
          <w:trHeight w:val="46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金寨二期</w:t>
            </w:r>
            <w:r>
              <w:rPr>
                <w:rFonts w:ascii="Arial Narrow" w:eastAsia="Arial Narrow" w:hAnsi="Arial Narrow" w:cs="Arial Narrow"/>
                <w:color w:val="000000"/>
                <w:spacing w:val="0"/>
                <w:w w:val="100"/>
                <w:position w:val="0"/>
                <w:sz w:val="20"/>
                <w:szCs w:val="20"/>
              </w:rPr>
              <w:t>100MW</w:t>
            </w:r>
            <w:r>
              <w:rPr>
                <w:color w:val="000000"/>
                <w:spacing w:val="0"/>
                <w:w w:val="100"/>
                <w:position w:val="0"/>
                <w:sz w:val="19"/>
                <w:szCs w:val="19"/>
              </w:rPr>
              <w:t>项</w:t>
            </w:r>
          </w:p>
          <w:p>
            <w:pPr>
              <w:pStyle w:val="Style22"/>
              <w:keepNext w:val="0"/>
              <w:keepLines w:val="0"/>
              <w:widowControl w:val="0"/>
              <w:shd w:val="clear" w:color="auto" w:fill="auto"/>
              <w:tabs>
                <w:tab w:leader="dot" w:pos="1814" w:val="left"/>
              </w:tabs>
              <w:bidi w:val="0"/>
              <w:spacing w:before="0" w:after="0" w:line="240" w:lineRule="auto"/>
              <w:ind w:left="0" w:right="0" w:firstLine="0"/>
              <w:jc w:val="both"/>
              <w:rPr>
                <w:sz w:val="19"/>
                <w:szCs w:val="19"/>
              </w:rPr>
            </w:pPr>
            <w:r>
              <w:rPr>
                <w:color w:val="000000"/>
                <w:spacing w:val="0"/>
                <w:w w:val="100"/>
                <w:position w:val="0"/>
                <w:sz w:val="19"/>
                <w:szCs w:val="19"/>
              </w:rPr>
              <w:t>扁</w:t>
            </w:r>
            <w:r>
              <w:rPr>
                <w:color w:val="000000"/>
                <w:spacing w:val="0"/>
                <w:w w:val="100"/>
                <w:position w:val="0"/>
                <w:sz w:val="19"/>
                <w:szCs w:val="19"/>
              </w:rPr>
              <w:tab/>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165,895,870.06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165,895,870.06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143,338,976.21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143,338,976.21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山西中阳分布式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30,644,230.89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30,644,230.89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30,644,230.89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30,644,230.89</w:t>
            </w: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磴口县巴彦套海农 场光伏农业电站项目</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7,904,406.49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7,904,406.49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林州东姚镇石大沟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50,800,698.20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50,800,698.20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50,800,698.20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50,800,698.20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湖北中储粮项目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22,265,537.01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22,265,537.01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22,265,537.01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22,265,537.01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河北中储粮项目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62,562,447.38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62,562,447.38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62,562,447.38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62,562,447.38</w:t>
            </w:r>
          </w:p>
        </w:tc>
        <w:tc>
          <w:tcPr>
            <w:tcBorders>
              <w:top w:val="single" w:sz="4"/>
              <w:left w:val="single" w:sz="4"/>
            </w:tcBorders>
            <w:shd w:val="clear" w:color="auto" w:fill="FFFFFF"/>
            <w:vAlign w:val="top"/>
          </w:tcPr>
          <w:p>
            <w:pPr>
              <w:widowControl w:val="0"/>
              <w:rPr>
                <w:sz w:val="10"/>
                <w:szCs w:val="10"/>
              </w:rPr>
            </w:pPr>
          </w:p>
        </w:tc>
      </w:tr>
      <w:tr>
        <w:trPr>
          <w:trHeight w:val="87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4" w:lineRule="exact"/>
              <w:ind w:left="0" w:right="0" w:firstLine="140"/>
              <w:jc w:val="both"/>
              <w:rPr>
                <w:sz w:val="17"/>
                <w:szCs w:val="17"/>
              </w:rPr>
            </w:pPr>
            <w:r>
              <w:rPr>
                <w:color w:val="000000"/>
                <w:spacing w:val="0"/>
                <w:w w:val="100"/>
                <w:position w:val="0"/>
                <w:sz w:val="17"/>
                <w:szCs w:val="17"/>
              </w:rPr>
              <w:t>河南卫辉唐庄乡新农 村</w:t>
            </w:r>
            <w:r>
              <w:rPr>
                <w:rFonts w:ascii="Arial Narrow" w:eastAsia="Arial Narrow" w:hAnsi="Arial Narrow" w:cs="Arial Narrow"/>
                <w:color w:val="000000"/>
                <w:spacing w:val="0"/>
                <w:w w:val="100"/>
                <w:position w:val="0"/>
                <w:sz w:val="18"/>
                <w:szCs w:val="18"/>
              </w:rPr>
              <w:t>20MW</w:t>
            </w:r>
            <w:r>
              <w:rPr>
                <w:color w:val="000000"/>
                <w:spacing w:val="0"/>
                <w:w w:val="100"/>
                <w:position w:val="0"/>
                <w:sz w:val="17"/>
                <w:szCs w:val="17"/>
              </w:rPr>
              <w:t>屋顶分布式项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61,792,742.75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61,792,742.75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61,799,748.28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61,799,748.28</w:t>
            </w:r>
          </w:p>
        </w:tc>
      </w:tr>
      <w:tr>
        <w:trPr>
          <w:trHeight w:val="84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140"/>
              <w:jc w:val="both"/>
              <w:rPr>
                <w:sz w:val="19"/>
                <w:szCs w:val="19"/>
              </w:rPr>
            </w:pPr>
            <w:r>
              <w:rPr>
                <w:color w:val="000000"/>
                <w:spacing w:val="0"/>
                <w:w w:val="100"/>
                <w:position w:val="0"/>
                <w:sz w:val="19"/>
                <w:szCs w:val="19"/>
              </w:rPr>
              <w:t>湖南攸县</w:t>
            </w:r>
            <w:r>
              <w:rPr>
                <w:rFonts w:ascii="Arial Narrow" w:eastAsia="Arial Narrow" w:hAnsi="Arial Narrow" w:cs="Arial Narrow"/>
                <w:color w:val="000000"/>
                <w:spacing w:val="0"/>
                <w:w w:val="100"/>
                <w:position w:val="0"/>
                <w:sz w:val="20"/>
                <w:szCs w:val="20"/>
              </w:rPr>
              <w:t>100</w:t>
            </w:r>
            <w:r>
              <w:rPr>
                <w:color w:val="000000"/>
                <w:spacing w:val="0"/>
                <w:w w:val="100"/>
                <w:position w:val="0"/>
                <w:sz w:val="19"/>
                <w:szCs w:val="19"/>
              </w:rPr>
              <w:t>兆瓦光 伏电站项目</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20*5</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80,538,772.00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80,538,772.00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80,538,772.00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80,538,772.00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鸿基禧悦大厦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454,390,347.40</w:t>
            </w:r>
          </w:p>
          <w:p>
            <w:pPr>
              <w:pStyle w:val="Style22"/>
              <w:keepNext w:val="0"/>
              <w:keepLines w:val="0"/>
              <w:widowControl w:val="0"/>
              <w:shd w:val="clear" w:color="auto" w:fill="auto"/>
              <w:tabs>
                <w:tab w:leader="hyphen" w:pos="466" w:val="left"/>
              </w:tabs>
              <w:bidi w:val="0"/>
              <w:spacing w:before="0" w:after="0" w:line="233" w:lineRule="auto"/>
              <w:ind w:left="0" w:right="0" w:firstLine="0"/>
              <w:jc w:val="center"/>
              <w:rPr>
                <w:sz w:val="20"/>
                <w:szCs w:val="20"/>
              </w:rPr>
            </w:pPr>
            <w:r>
              <w:rPr>
                <w:rFonts w:ascii="Courier New" w:eastAsia="Courier New" w:hAnsi="Courier New" w:cs="Courier New"/>
                <w:smallCaps/>
                <w:strike/>
                <w:color w:val="000000"/>
                <w:spacing w:val="0"/>
                <w:w w:val="100"/>
                <w:position w:val="0"/>
                <w:sz w:val="20"/>
                <w:szCs w:val="20"/>
              </w:rPr>
              <w:tab/>
            </w:r>
            <w:r>
              <w:rPr>
                <w:rFonts w:ascii="Courier New" w:eastAsia="Courier New" w:hAnsi="Courier New" w:cs="Courier New"/>
                <w:smallCaps/>
                <w:strike/>
                <w:color w:val="000000"/>
                <w:spacing w:val="0"/>
                <w:w w:val="100"/>
                <w:position w:val="0"/>
                <w:sz w:val="20"/>
                <w:szCs w:val="20"/>
              </w:rPr>
              <w:t>lee</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454,390,347.40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170,053,363.16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170,053,363.16</w:t>
            </w:r>
          </w:p>
        </w:tc>
      </w:tr>
      <w:tr>
        <w:trPr>
          <w:trHeight w:val="70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安平华融产业园一期 项目</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52,122,843.15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52,122,843.15</w:t>
            </w:r>
          </w:p>
        </w:tc>
      </w:tr>
      <w:tr>
        <w:trPr>
          <w:trHeight w:val="76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19"/>
                <w:szCs w:val="19"/>
              </w:rPr>
            </w:pPr>
            <w:r>
              <w:rPr>
                <w:color w:val="000000"/>
                <w:spacing w:val="0"/>
                <w:w w:val="100"/>
                <w:position w:val="0"/>
                <w:sz w:val="19"/>
                <w:szCs w:val="19"/>
              </w:rPr>
              <w:t>江西泓伟-赣西危废</w:t>
            </w:r>
          </w:p>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处置中心项目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8,115,179.34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8,115,179.34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8,115,179.34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8,115,179.34</w:t>
            </w:r>
          </w:p>
        </w:tc>
        <w:tc>
          <w:tcPr>
            <w:tcBorders>
              <w:top w:val="single" w:sz="4"/>
              <w:left w:val="single" w:sz="4"/>
            </w:tcBorders>
            <w:shd w:val="clear" w:color="auto" w:fill="FFFFFF"/>
            <w:vAlign w:val="top"/>
          </w:tcPr>
          <w:p>
            <w:pPr>
              <w:widowControl w:val="0"/>
              <w:rPr>
                <w:sz w:val="10"/>
                <w:szCs w:val="10"/>
              </w:rPr>
            </w:pPr>
          </w:p>
        </w:tc>
      </w:tr>
      <w:tr>
        <w:trPr>
          <w:trHeight w:val="7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19"/>
                <w:szCs w:val="19"/>
              </w:rPr>
              <w:t>六安金寨县</w:t>
            </w:r>
            <w:r>
              <w:rPr>
                <w:rFonts w:ascii="Arial Narrow" w:eastAsia="Arial Narrow" w:hAnsi="Arial Narrow" w:cs="Arial Narrow"/>
                <w:color w:val="000000"/>
                <w:spacing w:val="0"/>
                <w:w w:val="100"/>
                <w:position w:val="0"/>
                <w:sz w:val="20"/>
                <w:szCs w:val="20"/>
              </w:rPr>
              <w:t>200MW</w:t>
            </w:r>
          </w:p>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二期组件项目</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191,071.75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191,071.75</w:t>
            </w:r>
          </w:p>
        </w:tc>
      </w:tr>
      <w:tr>
        <w:trPr>
          <w:trHeight w:val="79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86" w:lineRule="exact"/>
              <w:ind w:left="0" w:right="0" w:firstLine="0"/>
              <w:jc w:val="both"/>
              <w:rPr>
                <w:sz w:val="19"/>
                <w:szCs w:val="19"/>
              </w:rPr>
            </w:pPr>
            <w:r>
              <w:rPr>
                <w:color w:val="000000"/>
                <w:spacing w:val="0"/>
                <w:w w:val="100"/>
                <w:position w:val="0"/>
                <w:sz w:val="19"/>
                <w:szCs w:val="19"/>
              </w:rPr>
              <w:t>东旭大别山年产</w:t>
            </w:r>
            <w:r>
              <w:rPr>
                <w:rFonts w:ascii="Arial Narrow" w:eastAsia="Arial Narrow" w:hAnsi="Arial Narrow" w:cs="Arial Narrow"/>
                <w:color w:val="000000"/>
                <w:spacing w:val="0"/>
                <w:w w:val="100"/>
                <w:position w:val="0"/>
                <w:sz w:val="20"/>
                <w:szCs w:val="20"/>
              </w:rPr>
              <w:t xml:space="preserve">5000 </w:t>
            </w:r>
            <w:r>
              <w:rPr>
                <w:color w:val="000000"/>
                <w:spacing w:val="0"/>
                <w:w w:val="100"/>
                <w:position w:val="0"/>
                <w:sz w:val="19"/>
                <w:szCs w:val="19"/>
              </w:rPr>
              <w:t>吨茶油产业园建设项 耳</w:t>
            </w: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mnn.</w:t>
            </w:r>
            <w:r>
              <w:rPr>
                <w:color w:val="000000"/>
                <w:spacing w:val="0"/>
                <w:w w:val="100"/>
                <w:position w:val="0"/>
                <w:sz w:val="19"/>
                <w:szCs w:val="19"/>
              </w:rPr>
              <w:t>此.心忌.业</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75,083,915.45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75,083,915.45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59,267,833.58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59,267,833.58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4,682,094.80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4,682,094.80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45,923,216.49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45,923,216.49</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1,104,382,481.58</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204,126,166.62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900,256,314.96</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860,460,203.92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204,126,166.62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656,334,037.30</w:t>
            </w:r>
          </w:p>
        </w:tc>
      </w:tr>
    </w:tbl>
    <w:p>
      <w:pPr>
        <w:pStyle w:val="Style25"/>
        <w:keepNext w:val="0"/>
        <w:keepLines w:val="0"/>
        <w:widowControl w:val="0"/>
        <w:shd w:val="clear" w:color="auto" w:fill="auto"/>
        <w:bidi w:val="0"/>
        <w:spacing w:before="0" w:after="0" w:line="240" w:lineRule="auto"/>
        <w:ind w:left="403"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）重要在建工程项目变动情况：</w:t>
      </w:r>
    </w:p>
    <w:p>
      <w:pPr>
        <w:widowControl w:val="0"/>
        <w:spacing w:after="339" w:line="1" w:lineRule="exact"/>
      </w:pPr>
    </w:p>
    <w:p>
      <w:pPr>
        <w:pStyle w:val="Style25"/>
        <w:keepNext w:val="0"/>
        <w:keepLines w:val="0"/>
        <w:widowControl w:val="0"/>
        <w:shd w:val="clear" w:color="auto" w:fill="auto"/>
        <w:bidi w:val="0"/>
        <w:spacing w:before="0" w:after="0" w:line="240" w:lineRule="auto"/>
        <w:ind w:left="403" w:right="0" w:firstLine="0"/>
        <w:jc w:val="left"/>
        <w:rPr>
          <w:sz w:val="17"/>
          <w:szCs w:val="17"/>
        </w:rPr>
      </w:pPr>
      <w:r>
        <w:rPr>
          <w:color w:val="000000"/>
          <w:spacing w:val="0"/>
          <w:w w:val="100"/>
          <w:position w:val="0"/>
          <w:sz w:val="17"/>
          <w:szCs w:val="17"/>
        </w:rPr>
        <w:t>单位：人民币万元</w:t>
      </w:r>
    </w:p>
    <w:tbl>
      <w:tblPr>
        <w:tblOverlap w:val="never"/>
        <w:jc w:val="center"/>
        <w:tblLayout w:type="fixed"/>
      </w:tblPr>
      <w:tblGrid>
        <w:gridCol w:w="3581"/>
        <w:gridCol w:w="1368"/>
        <w:gridCol w:w="1680"/>
        <w:gridCol w:w="1709"/>
        <w:gridCol w:w="1061"/>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工程名称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预算数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资金来源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工程投入占 预算的比例（</w:t>
            </w:r>
            <w:r>
              <w:rPr>
                <w:b/>
                <w:bCs/>
                <w:color w:val="000000"/>
                <w:spacing w:val="0"/>
                <w:w w:val="100"/>
                <w:position w:val="0"/>
                <w:sz w:val="22"/>
                <w:szCs w:val="22"/>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工程进度</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金寨一期</w:t>
            </w:r>
            <w:r>
              <w:rPr>
                <w:rFonts w:ascii="Arial Narrow" w:eastAsia="Arial Narrow" w:hAnsi="Arial Narrow" w:cs="Arial Narrow"/>
                <w:color w:val="000000"/>
                <w:spacing w:val="0"/>
                <w:w w:val="100"/>
                <w:position w:val="0"/>
                <w:sz w:val="20"/>
                <w:szCs w:val="20"/>
              </w:rPr>
              <w:t>100MW</w:t>
            </w:r>
            <w:r>
              <w:rPr>
                <w:color w:val="000000"/>
                <w:spacing w:val="0"/>
                <w:w w:val="100"/>
                <w:position w:val="0"/>
                <w:sz w:val="19"/>
                <w:szCs w:val="19"/>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82,433.00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自筹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部分转固</w:t>
            </w:r>
          </w:p>
        </w:tc>
      </w:tr>
    </w:tbl>
    <w:p>
      <w:pPr>
        <w:sectPr>
          <w:footnotePr>
            <w:pos w:val="pageBottom"/>
            <w:numFmt w:val="decimal"/>
            <w:numRestart w:val="continuous"/>
          </w:footnotePr>
          <w:pgSz w:w="11900" w:h="16840"/>
          <w:pgMar w:top="1441" w:right="1414" w:bottom="1451" w:left="1088"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3581"/>
        <w:gridCol w:w="1368"/>
        <w:gridCol w:w="1680"/>
        <w:gridCol w:w="1709"/>
        <w:gridCol w:w="1061"/>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金寨二期</w:t>
            </w:r>
            <w:r>
              <w:rPr>
                <w:rFonts w:ascii="Arial Narrow" w:eastAsia="Arial Narrow" w:hAnsi="Arial Narrow" w:cs="Arial Narrow"/>
                <w:color w:val="000000"/>
                <w:spacing w:val="0"/>
                <w:w w:val="100"/>
                <w:position w:val="0"/>
                <w:sz w:val="20"/>
                <w:szCs w:val="20"/>
              </w:rPr>
              <w:t>100MW</w:t>
            </w: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82,433.00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在建</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林州东姚镇石大沟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部分转固</w:t>
            </w:r>
          </w:p>
        </w:tc>
      </w:tr>
      <w:tr>
        <w:trPr>
          <w:trHeight w:val="83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140" w:right="0" w:firstLine="0"/>
              <w:jc w:val="left"/>
              <w:rPr>
                <w:sz w:val="19"/>
                <w:szCs w:val="19"/>
              </w:rPr>
            </w:pPr>
            <w:r>
              <w:rPr>
                <w:color w:val="000000"/>
                <w:spacing w:val="0"/>
                <w:w w:val="100"/>
                <w:position w:val="0"/>
                <w:sz w:val="19"/>
                <w:szCs w:val="19"/>
              </w:rPr>
              <w:t>河南卫辉唐庄乡新农村</w:t>
            </w:r>
            <w:r>
              <w:rPr>
                <w:rFonts w:ascii="Arial Narrow" w:eastAsia="Arial Narrow" w:hAnsi="Arial Narrow" w:cs="Arial Narrow"/>
                <w:color w:val="000000"/>
                <w:spacing w:val="0"/>
                <w:w w:val="100"/>
                <w:position w:val="0"/>
                <w:sz w:val="20"/>
                <w:szCs w:val="20"/>
              </w:rPr>
              <w:t>20MW</w:t>
            </w:r>
            <w:r>
              <w:rPr>
                <w:color w:val="000000"/>
                <w:spacing w:val="0"/>
                <w:w w:val="100"/>
                <w:position w:val="0"/>
                <w:sz w:val="19"/>
                <w:szCs w:val="19"/>
              </w:rPr>
              <w:t>屋顶分</w:t>
            </w:r>
          </w:p>
          <w:p>
            <w:pPr>
              <w:pStyle w:val="Style22"/>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布式项目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部分转固</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安平华融产业园一期项目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91,554.00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出售</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六安金寨县</w:t>
            </w:r>
            <w:r>
              <w:rPr>
                <w:rFonts w:ascii="Arial Narrow" w:eastAsia="Arial Narrow" w:hAnsi="Arial Narrow" w:cs="Arial Narrow"/>
                <w:color w:val="000000"/>
                <w:spacing w:val="0"/>
                <w:w w:val="100"/>
                <w:position w:val="0"/>
                <w:sz w:val="20"/>
                <w:szCs w:val="20"/>
              </w:rPr>
              <w:t>200MW</w:t>
            </w:r>
            <w:r>
              <w:rPr>
                <w:color w:val="000000"/>
                <w:spacing w:val="0"/>
                <w:w w:val="100"/>
                <w:position w:val="0"/>
                <w:sz w:val="19"/>
                <w:szCs w:val="19"/>
              </w:rPr>
              <w:t>二期组件项目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2,167.61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完工</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140" w:right="0" w:firstLine="0"/>
              <w:jc w:val="left"/>
              <w:rPr>
                <w:sz w:val="19"/>
                <w:szCs w:val="19"/>
              </w:rPr>
            </w:pPr>
            <w:r>
              <w:rPr>
                <w:color w:val="000000"/>
                <w:spacing w:val="0"/>
                <w:w w:val="100"/>
                <w:position w:val="0"/>
                <w:sz w:val="19"/>
                <w:szCs w:val="19"/>
              </w:rPr>
              <w:t>东旭大别山年产</w:t>
            </w:r>
            <w:r>
              <w:rPr>
                <w:rFonts w:ascii="Arial Narrow" w:eastAsia="Arial Narrow" w:hAnsi="Arial Narrow" w:cs="Arial Narrow"/>
                <w:color w:val="000000"/>
                <w:spacing w:val="0"/>
                <w:w w:val="100"/>
                <w:position w:val="0"/>
                <w:sz w:val="20"/>
                <w:szCs w:val="20"/>
              </w:rPr>
              <w:t>5000</w:t>
            </w:r>
            <w:r>
              <w:rPr>
                <w:color w:val="000000"/>
                <w:spacing w:val="0"/>
                <w:w w:val="100"/>
                <w:position w:val="0"/>
                <w:sz w:val="19"/>
                <w:szCs w:val="19"/>
              </w:rPr>
              <w:t>吨茶油产业园建 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20,738.00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在建</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鸿基禧悦大厦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96,234.00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在建</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413,957.61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336" w:right="0" w:firstLine="0"/>
        <w:jc w:val="left"/>
        <w:rPr>
          <w:sz w:val="17"/>
          <w:szCs w:val="17"/>
        </w:rPr>
      </w:pPr>
      <w:r>
        <w:rPr>
          <w:color w:val="000000"/>
          <w:spacing w:val="0"/>
          <w:w w:val="100"/>
          <w:position w:val="0"/>
          <w:sz w:val="17"/>
          <w:szCs w:val="17"/>
        </w:rPr>
        <w:t>续前表:</w:t>
      </w:r>
    </w:p>
    <w:tbl>
      <w:tblPr>
        <w:tblOverlap w:val="never"/>
        <w:jc w:val="center"/>
        <w:tblLayout w:type="fixed"/>
      </w:tblPr>
      <w:tblGrid>
        <w:gridCol w:w="2573"/>
        <w:gridCol w:w="1104"/>
        <w:gridCol w:w="1003"/>
        <w:gridCol w:w="984"/>
        <w:gridCol w:w="926"/>
        <w:gridCol w:w="1061"/>
        <w:gridCol w:w="989"/>
        <w:gridCol w:w="965"/>
      </w:tblGrid>
      <w:tr>
        <w:trPr>
          <w:trHeight w:val="461"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工程名称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132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其中：利 息资本化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60" w:right="0" w:firstLine="20"/>
              <w:jc w:val="left"/>
              <w:rPr>
                <w:sz w:val="17"/>
                <w:szCs w:val="17"/>
              </w:rPr>
            </w:pPr>
            <w:r>
              <w:rPr>
                <w:b/>
                <w:bCs/>
                <w:color w:val="000000"/>
                <w:spacing w:val="0"/>
                <w:w w:val="100"/>
                <w:position w:val="0"/>
                <w:sz w:val="17"/>
                <w:szCs w:val="17"/>
              </w:rPr>
              <w:t>转入固 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其中：利 息资本 化金额</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金寨一期</w:t>
            </w:r>
            <w:r>
              <w:rPr>
                <w:rFonts w:ascii="Arial Narrow" w:eastAsia="Arial Narrow" w:hAnsi="Arial Narrow" w:cs="Arial Narrow"/>
                <w:color w:val="000000"/>
                <w:spacing w:val="0"/>
                <w:w w:val="100"/>
                <w:position w:val="0"/>
                <w:sz w:val="18"/>
                <w:szCs w:val="18"/>
              </w:rPr>
              <w:t>100MW</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6,493.19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2,683.14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8,761.06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2,312.07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金寨二期</w:t>
            </w:r>
            <w:r>
              <w:rPr>
                <w:rFonts w:ascii="Arial Narrow" w:eastAsia="Arial Narrow" w:hAnsi="Arial Narrow" w:cs="Arial Narrow"/>
                <w:color w:val="000000"/>
                <w:spacing w:val="0"/>
                <w:w w:val="100"/>
                <w:position w:val="0"/>
                <w:sz w:val="18"/>
                <w:szCs w:val="18"/>
              </w:rPr>
              <w:t>100MW</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14,333.90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2,255.69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16,589.59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1,411.82</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林州东姚镇石大沟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5,080.07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5,080.07</w:t>
            </w:r>
          </w:p>
        </w:tc>
        <w:tc>
          <w:tcPr>
            <w:tcBorders>
              <w:top w:val="single" w:sz="4"/>
              <w:left w:val="single" w:sz="4"/>
            </w:tcBorders>
            <w:shd w:val="clear" w:color="auto" w:fill="FFFFFF"/>
            <w:vAlign w:val="top"/>
          </w:tcPr>
          <w:p>
            <w:pPr>
              <w:widowControl w:val="0"/>
              <w:rPr>
                <w:sz w:val="10"/>
                <w:szCs w:val="10"/>
              </w:rPr>
            </w:pPr>
          </w:p>
        </w:tc>
      </w:tr>
      <w:tr>
        <w:trPr>
          <w:trHeight w:val="8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9"/>
                <w:szCs w:val="19"/>
              </w:rPr>
            </w:pPr>
            <w:r>
              <w:rPr>
                <w:color w:val="000000"/>
                <w:spacing w:val="0"/>
                <w:w w:val="100"/>
                <w:position w:val="0"/>
                <w:sz w:val="19"/>
                <w:szCs w:val="19"/>
              </w:rPr>
              <w:t>河南卫辉唐庄乡新农村</w:t>
            </w:r>
          </w:p>
          <w:p>
            <w:pPr>
              <w:pStyle w:val="Style22"/>
              <w:keepNext w:val="0"/>
              <w:keepLines w:val="0"/>
              <w:widowControl w:val="0"/>
              <w:shd w:val="clear" w:color="auto" w:fill="auto"/>
              <w:bidi w:val="0"/>
              <w:spacing w:before="0" w:after="0" w:line="240" w:lineRule="auto"/>
              <w:ind w:left="0" w:right="0" w:firstLine="140"/>
              <w:jc w:val="left"/>
              <w:rPr>
                <w:sz w:val="19"/>
                <w:szCs w:val="19"/>
              </w:rPr>
            </w:pPr>
            <w:r>
              <w:rPr>
                <w:rFonts w:ascii="Arial Narrow" w:eastAsia="Arial Narrow" w:hAnsi="Arial Narrow" w:cs="Arial Narrow"/>
                <w:color w:val="000000"/>
                <w:spacing w:val="0"/>
                <w:w w:val="100"/>
                <w:position w:val="0"/>
                <w:sz w:val="20"/>
                <w:szCs w:val="20"/>
              </w:rPr>
              <w:t>20MW</w:t>
            </w:r>
            <w:r>
              <w:rPr>
                <w:color w:val="000000"/>
                <w:spacing w:val="0"/>
                <w:w w:val="100"/>
                <w:position w:val="0"/>
                <w:sz w:val="19"/>
                <w:szCs w:val="19"/>
              </w:rPr>
              <w:t>屋顶分布式项目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6,179.97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6,179.27</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安平华融产业园一期项目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5,212.28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5,270.88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9"/>
                <w:szCs w:val="19"/>
              </w:rPr>
            </w:pPr>
            <w:r>
              <w:rPr>
                <w:color w:val="000000"/>
                <w:spacing w:val="0"/>
                <w:w w:val="100"/>
                <w:position w:val="0"/>
                <w:sz w:val="19"/>
                <w:szCs w:val="19"/>
              </w:rPr>
              <w:t>六安金寨县</w:t>
            </w:r>
            <w:r>
              <w:rPr>
                <w:rFonts w:ascii="Arial Narrow" w:eastAsia="Arial Narrow" w:hAnsi="Arial Narrow" w:cs="Arial Narrow"/>
                <w:color w:val="000000"/>
                <w:spacing w:val="0"/>
                <w:w w:val="100"/>
                <w:position w:val="0"/>
                <w:sz w:val="18"/>
                <w:szCs w:val="18"/>
              </w:rPr>
              <w:t>200MW</w:t>
            </w:r>
            <w:r>
              <w:rPr>
                <w:color w:val="000000"/>
                <w:spacing w:val="0"/>
                <w:w w:val="100"/>
                <w:position w:val="0"/>
                <w:sz w:val="19"/>
                <w:szCs w:val="19"/>
              </w:rPr>
              <w:t>二期组</w:t>
            </w:r>
          </w:p>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left"/>
              <w:rPr>
                <w:sz w:val="19"/>
                <w:szCs w:val="19"/>
              </w:rPr>
            </w:pPr>
            <w:r>
              <w:rPr>
                <w:color w:val="000000"/>
                <w:spacing w:val="0"/>
                <w:w w:val="100"/>
                <w:position w:val="0"/>
                <w:sz w:val="19"/>
                <w:szCs w:val="19"/>
              </w:rPr>
              <w:t>东旭大别山年产</w:t>
            </w:r>
            <w:r>
              <w:rPr>
                <w:rFonts w:ascii="Arial Narrow" w:eastAsia="Arial Narrow" w:hAnsi="Arial Narrow" w:cs="Arial Narrow"/>
                <w:color w:val="000000"/>
                <w:spacing w:val="0"/>
                <w:w w:val="100"/>
                <w:position w:val="0"/>
                <w:sz w:val="18"/>
                <w:szCs w:val="18"/>
              </w:rPr>
              <w:t>5000</w:t>
            </w:r>
            <w:r>
              <w:rPr>
                <w:color w:val="000000"/>
                <w:spacing w:val="0"/>
                <w:w w:val="100"/>
                <w:position w:val="0"/>
                <w:sz w:val="19"/>
                <w:szCs w:val="19"/>
              </w:rPr>
              <w:t>吨茶 油产业园建设项目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5,926.79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3,605.02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7,508.40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鸿基禧悦大厦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17,005.33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28,433.70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45,439.03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30.76</w:t>
            </w:r>
          </w:p>
        </w:tc>
      </w:tr>
      <w:tr>
        <w:trPr>
          <w:trHeight w:val="4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60,250.64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41,498.88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416.38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b/>
                <w:bCs/>
                <w:color w:val="000000"/>
                <w:spacing w:val="0"/>
                <w:w w:val="100"/>
                <w:position w:val="0"/>
                <w:sz w:val="18"/>
                <w:szCs w:val="18"/>
              </w:rPr>
              <w:t>6,901.41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5,290.69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89,557.42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b/>
                <w:bCs/>
                <w:color w:val="000000"/>
                <w:spacing w:val="0"/>
                <w:w w:val="100"/>
                <w:position w:val="0"/>
                <w:sz w:val="18"/>
                <w:szCs w:val="18"/>
              </w:rPr>
              <w:t>3,754.65</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389"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)在建工程减值准备</w:t>
      </w:r>
    </w:p>
    <w:tbl>
      <w:tblPr>
        <w:tblOverlap w:val="never"/>
        <w:jc w:val="center"/>
        <w:tblLayout w:type="fixed"/>
      </w:tblPr>
      <w:tblGrid>
        <w:gridCol w:w="3792"/>
        <w:gridCol w:w="1502"/>
        <w:gridCol w:w="1190"/>
        <w:gridCol w:w="1147"/>
        <w:gridCol w:w="1608"/>
      </w:tblGrid>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工程名称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3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山西中阳分布式项目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30,644,230.89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30,644,230.89</w:t>
            </w:r>
          </w:p>
        </w:tc>
      </w:tr>
      <w:tr>
        <w:trPr>
          <w:trHeight w:val="461"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湖北中储粮光伏项目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22,265,537.01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22,265,537.01</w:t>
            </w:r>
          </w:p>
        </w:tc>
      </w:tr>
    </w:tbl>
    <w:p>
      <w:pPr>
        <w:spacing w:lineRule="exact" w:line="1"/>
        <w:rPr>
          <w:sz w:val="2"/>
          <w:szCs w:val="2"/>
        </w:rPr>
      </w:pPr>
      <w:r>
        <w:br w:type="page"/>
      </w:r>
    </w:p>
    <w:tbl>
      <w:tblPr>
        <w:tblOverlap w:val="never"/>
        <w:jc w:val="center"/>
        <w:tblLayout w:type="fixed"/>
      </w:tblPr>
      <w:tblGrid>
        <w:gridCol w:w="3806"/>
        <w:gridCol w:w="1502"/>
        <w:gridCol w:w="1190"/>
        <w:gridCol w:w="1147"/>
        <w:gridCol w:w="1608"/>
      </w:tblGrid>
      <w:tr>
        <w:trPr>
          <w:trHeight w:val="45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河北中储粮光伏项目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62,562,447.38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62,562,447.38</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湖南攸县</w:t>
            </w:r>
            <w:r>
              <w:rPr>
                <w:rFonts w:ascii="Arial Narrow" w:eastAsia="Arial Narrow" w:hAnsi="Arial Narrow" w:cs="Arial Narrow"/>
                <w:color w:val="000000"/>
                <w:spacing w:val="0"/>
                <w:w w:val="100"/>
                <w:position w:val="0"/>
                <w:sz w:val="18"/>
                <w:szCs w:val="18"/>
              </w:rPr>
              <w:t>100</w:t>
            </w:r>
            <w:r>
              <w:rPr>
                <w:color w:val="000000"/>
                <w:spacing w:val="0"/>
                <w:w w:val="100"/>
                <w:position w:val="0"/>
                <w:sz w:val="17"/>
                <w:szCs w:val="17"/>
              </w:rPr>
              <w:t>兆瓦光伏电站项目</w:t>
            </w:r>
            <w:r>
              <w:rPr>
                <w:rFonts w:ascii="Arial Narrow" w:eastAsia="Arial Narrow" w:hAnsi="Arial Narrow" w:cs="Arial Narrow"/>
                <w:color w:val="000000"/>
                <w:spacing w:val="0"/>
                <w:w w:val="100"/>
                <w:position w:val="0"/>
                <w:sz w:val="18"/>
                <w:szCs w:val="18"/>
              </w:rPr>
              <w:t>（20*5）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80,538,772.00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80,538,772.00</w:t>
            </w:r>
          </w:p>
        </w:tc>
      </w:tr>
      <w:tr>
        <w:trPr>
          <w:trHeight w:val="42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江西泓伟-赣西危废处置中心项目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8,115,179.34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8,115,179.34</w:t>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204,126,166.62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b/>
                <w:bCs/>
                <w:color w:val="000000"/>
                <w:spacing w:val="0"/>
                <w:w w:val="100"/>
                <w:position w:val="0"/>
                <w:sz w:val="18"/>
                <w:szCs w:val="18"/>
              </w:rPr>
              <w:t>204,126,166.62</w:t>
            </w:r>
          </w:p>
        </w:tc>
      </w:tr>
    </w:tbl>
    <w:p>
      <w:pPr>
        <w:widowControl w:val="0"/>
        <w:spacing w:after="159" w:line="1" w:lineRule="exact"/>
      </w:pPr>
    </w:p>
    <w:p>
      <w:pPr>
        <w:pStyle w:val="Style20"/>
        <w:keepNext/>
        <w:keepLines/>
        <w:widowControl w:val="0"/>
        <w:shd w:val="clear" w:color="auto" w:fill="auto"/>
        <w:bidi w:val="0"/>
        <w:spacing w:before="0" w:after="300" w:line="240" w:lineRule="auto"/>
        <w:ind w:left="0" w:right="0" w:firstLine="480"/>
        <w:jc w:val="left"/>
        <w:rPr>
          <w:sz w:val="20"/>
          <w:szCs w:val="20"/>
        </w:rPr>
      </w:pPr>
      <w:bookmarkStart w:id="966" w:name="bookmark966"/>
      <w:bookmarkStart w:id="967" w:name="bookmark967"/>
      <w:bookmarkStart w:id="968" w:name="bookmark968"/>
      <w:r>
        <w:rPr>
          <w:rFonts w:ascii="Arial Narrow" w:eastAsia="Arial Narrow" w:hAnsi="Arial Narrow" w:cs="Arial Narrow"/>
          <w:color w:val="000000"/>
          <w:spacing w:val="0"/>
          <w:w w:val="100"/>
          <w:position w:val="0"/>
          <w:sz w:val="20"/>
          <w:szCs w:val="20"/>
        </w:rPr>
        <w:t>17</w:t>
      </w:r>
      <w:r>
        <w:rPr>
          <w:color w:val="000000"/>
          <w:spacing w:val="0"/>
          <w:w w:val="100"/>
          <w:position w:val="0"/>
          <w:sz w:val="20"/>
          <w:szCs w:val="20"/>
        </w:rPr>
        <w:t>、生产性生物资产</w:t>
      </w:r>
      <w:bookmarkEnd w:id="966"/>
      <w:bookmarkEnd w:id="967"/>
      <w:bookmarkEnd w:id="968"/>
    </w:p>
    <w:p>
      <w:pPr>
        <w:pStyle w:val="Style25"/>
        <w:keepNext w:val="0"/>
        <w:keepLines w:val="0"/>
        <w:widowControl w:val="0"/>
        <w:shd w:val="clear" w:color="auto" w:fill="auto"/>
        <w:bidi w:val="0"/>
        <w:spacing w:before="0" w:after="0" w:line="240" w:lineRule="auto"/>
        <w:ind w:left="418"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）采用成本法核算的生产性生物资产:</w:t>
      </w:r>
    </w:p>
    <w:tbl>
      <w:tblPr>
        <w:tblOverlap w:val="never"/>
        <w:jc w:val="center"/>
        <w:tblLayout w:type="fixed"/>
      </w:tblPr>
      <w:tblGrid>
        <w:gridCol w:w="2155"/>
        <w:gridCol w:w="1546"/>
        <w:gridCol w:w="1272"/>
        <w:gridCol w:w="1176"/>
        <w:gridCol w:w="1171"/>
        <w:gridCol w:w="1843"/>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种植业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畜牧养殖业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林业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水产业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27,843,034.62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27,843,034.62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6,262,560.82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6,262,560.82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6,262,560.82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6,262,560.82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34,105,595.44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34,105,595.44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1,955,644.30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1,955,644.30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751,240.44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751,240.44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751,240.44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751,240.44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2,706,884.74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2,706,884.74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31,398,710.70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31,398,710.70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、年初账面价值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25,887,390.32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25,887,390.32</w:t>
            </w:r>
          </w:p>
        </w:tc>
      </w:tr>
    </w:tbl>
    <w:p>
      <w:pPr>
        <w:spacing w:lineRule="exact" w:line="1"/>
        <w:rPr>
          <w:sz w:val="2"/>
          <w:szCs w:val="2"/>
        </w:rPr>
      </w:pPr>
      <w:r>
        <w:br w:type="page"/>
      </w:r>
    </w:p>
    <w:p>
      <w:pPr>
        <w:pStyle w:val="Style20"/>
        <w:keepNext/>
        <w:keepLines/>
        <w:widowControl w:val="0"/>
        <w:shd w:val="clear" w:color="auto" w:fill="auto"/>
        <w:bidi w:val="0"/>
        <w:spacing w:before="0" w:after="40" w:line="240" w:lineRule="auto"/>
        <w:ind w:left="0" w:right="0" w:firstLine="500"/>
        <w:jc w:val="left"/>
        <w:rPr>
          <w:sz w:val="17"/>
          <w:szCs w:val="17"/>
        </w:rPr>
      </w:pPr>
      <w:bookmarkStart w:id="969" w:name="bookmark969"/>
      <w:bookmarkStart w:id="970" w:name="bookmark970"/>
      <w:bookmarkStart w:id="971" w:name="bookmark971"/>
      <w:r>
        <w:rPr>
          <w:rFonts w:ascii="Arial Narrow" w:eastAsia="Arial Narrow" w:hAnsi="Arial Narrow" w:cs="Arial Narrow"/>
          <w:color w:val="000000"/>
          <w:spacing w:val="0"/>
          <w:w w:val="100"/>
          <w:position w:val="0"/>
          <w:sz w:val="18"/>
          <w:szCs w:val="18"/>
        </w:rPr>
        <w:t>18</w:t>
      </w:r>
      <w:r>
        <w:rPr>
          <w:color w:val="000000"/>
          <w:spacing w:val="0"/>
          <w:w w:val="100"/>
          <w:position w:val="0"/>
          <w:sz w:val="17"/>
          <w:szCs w:val="17"/>
        </w:rPr>
        <w:t>、使用权资产</w:t>
      </w:r>
      <w:bookmarkEnd w:id="969"/>
      <w:bookmarkEnd w:id="970"/>
      <w:bookmarkEnd w:id="971"/>
    </w:p>
    <w:tbl>
      <w:tblPr>
        <w:tblOverlap w:val="never"/>
        <w:jc w:val="center"/>
        <w:tblLayout w:type="fixed"/>
      </w:tblPr>
      <w:tblGrid>
        <w:gridCol w:w="2472"/>
        <w:gridCol w:w="2357"/>
        <w:gridCol w:w="2275"/>
        <w:gridCol w:w="2299"/>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土地租赁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屋顶租赁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294,557,126.26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70,767,582.31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365,324,708.57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4,855,629.84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4,855,629.84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5,630,505.04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5,630,505.04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293,782,251.06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70,767,582.31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364,549,833.37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14,819,290.44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3,192,654.17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18,011,944.61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14,819,290.44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3,192,654.17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18,011,944.61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137,233.32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137,233.32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14,682,057.12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3,192,654.17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17,874,711.29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279,100,193.94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67,574,928.14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346,675,122.08</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、年初账面价值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294,557,126.26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70,767,582.31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365,324,708.57</w:t>
            </w:r>
          </w:p>
        </w:tc>
      </w:tr>
    </w:tbl>
    <w:p>
      <w:pPr>
        <w:widowControl w:val="0"/>
        <w:spacing w:after="199" w:line="1" w:lineRule="exact"/>
      </w:pPr>
    </w:p>
    <w:p>
      <w:pPr>
        <w:pStyle w:val="Style25"/>
        <w:keepNext w:val="0"/>
        <w:keepLines w:val="0"/>
        <w:widowControl w:val="0"/>
        <w:shd w:val="clear" w:color="auto" w:fill="auto"/>
        <w:bidi w:val="0"/>
        <w:spacing w:before="0" w:after="120" w:line="240" w:lineRule="auto"/>
        <w:ind w:left="494" w:right="0" w:firstLine="0"/>
        <w:jc w:val="left"/>
        <w:rPr>
          <w:sz w:val="17"/>
          <w:szCs w:val="17"/>
        </w:rPr>
      </w:pPr>
      <w:bookmarkStart w:id="972" w:name="bookmark972"/>
      <w:r>
        <w:rPr>
          <w:rFonts w:ascii="Arial Narrow" w:eastAsia="Arial Narrow" w:hAnsi="Arial Narrow" w:cs="Arial Narrow"/>
          <w:b/>
          <w:bCs/>
          <w:color w:val="000000"/>
          <w:spacing w:val="0"/>
          <w:w w:val="100"/>
          <w:position w:val="0"/>
          <w:sz w:val="18"/>
          <w:szCs w:val="18"/>
        </w:rPr>
        <w:t>19</w:t>
      </w:r>
      <w:r>
        <w:rPr>
          <w:b/>
          <w:bCs/>
          <w:color w:val="000000"/>
          <w:spacing w:val="0"/>
          <w:w w:val="100"/>
          <w:position w:val="0"/>
          <w:sz w:val="17"/>
          <w:szCs w:val="17"/>
        </w:rPr>
        <w:t>、无形资产</w:t>
      </w:r>
      <w:bookmarkEnd w:id="972"/>
    </w:p>
    <w:p>
      <w:pPr>
        <w:pStyle w:val="Style25"/>
        <w:keepNext w:val="0"/>
        <w:keepLines w:val="0"/>
        <w:widowControl w:val="0"/>
        <w:shd w:val="clear" w:color="auto" w:fill="auto"/>
        <w:bidi w:val="0"/>
        <w:spacing w:before="0" w:after="0" w:line="240" w:lineRule="auto"/>
        <w:ind w:left="49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）无形资产情况:</w:t>
      </w:r>
    </w:p>
    <w:tbl>
      <w:tblPr>
        <w:tblOverlap w:val="never"/>
        <w:jc w:val="center"/>
        <w:tblLayout w:type="fixed"/>
      </w:tblPr>
      <w:tblGrid>
        <w:gridCol w:w="2472"/>
        <w:gridCol w:w="1618"/>
        <w:gridCol w:w="1618"/>
        <w:gridCol w:w="1483"/>
        <w:gridCol w:w="2179"/>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软件及其他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138,556,325.48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3,465,298.15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32,682,482.71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174,704,106.34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959,107.04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4,961,936.36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5,921,043.40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959,107.04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35,398.23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994,505.27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4,926,538.13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4,926,538.13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51,685,808.75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41,981.13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51,727,789.88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51,685,808.75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41,981.13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51,727,789.88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）转入持有待售资产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87,829,623.77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3,465,298.15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37,602,437.94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128,897,359.86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14,988,177.22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1,628,166.74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6,690,048.44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23,306,392.40</w:t>
            </w:r>
          </w:p>
        </w:tc>
      </w:tr>
    </w:tbl>
    <w:p>
      <w:pPr>
        <w:spacing w:lineRule="exact" w:line="1"/>
        <w:rPr>
          <w:sz w:val="2"/>
          <w:szCs w:val="2"/>
        </w:rPr>
      </w:pPr>
      <w:r>
        <w:br w:type="page"/>
      </w:r>
    </w:p>
    <w:tbl>
      <w:tblPr>
        <w:tblOverlap w:val="never"/>
        <w:jc w:val="center"/>
        <w:tblLayout w:type="fixed"/>
      </w:tblPr>
      <w:tblGrid>
        <w:gridCol w:w="2472"/>
        <w:gridCol w:w="1618"/>
        <w:gridCol w:w="1618"/>
        <w:gridCol w:w="1483"/>
        <w:gridCol w:w="2179"/>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2,588,865.43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346,529.88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2,613,682.19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5,549,077.50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2,588,865.43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346,529.88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2,613,682.19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5,549,077.50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2,375,241.17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6,647.06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2,381,888.23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2,375,241.17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6,647.06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2,381,888.23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）转入持有待售资产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15,201,801.48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1,974,696.62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9,297,083.57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26,473,581.67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72,627,822.29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1,490,601.53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28,305,354.37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102,423,778.19</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、年初账面价值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123,568,148.26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1,837,131.41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25,992,434.27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151,397,713.94</w:t>
            </w:r>
          </w:p>
        </w:tc>
      </w:tr>
    </w:tbl>
    <w:p>
      <w:pPr>
        <w:pStyle w:val="Style25"/>
        <w:keepNext w:val="0"/>
        <w:keepLines w:val="0"/>
        <w:widowControl w:val="0"/>
        <w:shd w:val="clear" w:color="auto" w:fill="auto"/>
        <w:bidi w:val="0"/>
        <w:spacing w:before="0" w:after="0" w:line="240" w:lineRule="auto"/>
        <w:ind w:left="494" w:right="0" w:firstLine="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:本期末通过公司内部研究开发形成的无形资产占无形资产余额的比例为</w:t>
      </w:r>
      <w:r>
        <w:rPr>
          <w:rFonts w:ascii="Arial Narrow" w:eastAsia="Arial Narrow" w:hAnsi="Arial Narrow" w:cs="Arial Narrow"/>
          <w:color w:val="000000"/>
          <w:spacing w:val="0"/>
          <w:w w:val="100"/>
          <w:position w:val="0"/>
          <w:sz w:val="18"/>
          <w:szCs w:val="18"/>
        </w:rPr>
        <w:t>22.09%</w:t>
      </w:r>
      <w:r>
        <w:rPr>
          <w:color w:val="000000"/>
          <w:spacing w:val="0"/>
          <w:w w:val="100"/>
          <w:position w:val="0"/>
          <w:sz w:val="17"/>
          <w:szCs w:val="17"/>
        </w:rPr>
        <w:t>。</w:t>
      </w:r>
    </w:p>
    <w:p>
      <w:pPr>
        <w:widowControl w:val="0"/>
        <w:spacing w:after="279" w:line="1" w:lineRule="exact"/>
      </w:pPr>
    </w:p>
    <w:p>
      <w:pPr>
        <w:pStyle w:val="Style27"/>
        <w:keepNext w:val="0"/>
        <w:keepLines w:val="0"/>
        <w:widowControl w:val="0"/>
        <w:shd w:val="clear" w:color="auto" w:fill="auto"/>
        <w:bidi w:val="0"/>
        <w:spacing w:before="0" w:after="280" w:line="240" w:lineRule="auto"/>
        <w:ind w:left="0" w:right="0" w:firstLine="5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:期末无形资产抵押情况详见本附注五、</w:t>
      </w:r>
      <w:r>
        <w:rPr>
          <w:rFonts w:ascii="Arial Narrow" w:eastAsia="Arial Narrow" w:hAnsi="Arial Narrow" w:cs="Arial Narrow"/>
          <w:color w:val="000000"/>
          <w:spacing w:val="0"/>
          <w:w w:val="100"/>
          <w:position w:val="0"/>
          <w:sz w:val="18"/>
          <w:szCs w:val="18"/>
        </w:rPr>
        <w:t>59</w:t>
      </w:r>
      <w:r>
        <w:rPr>
          <w:color w:val="000000"/>
          <w:spacing w:val="0"/>
          <w:w w:val="100"/>
          <w:position w:val="0"/>
          <w:sz w:val="17"/>
          <w:szCs w:val="17"/>
        </w:rPr>
        <w:t>。</w:t>
      </w:r>
    </w:p>
    <w:p>
      <w:pPr>
        <w:pStyle w:val="Style25"/>
        <w:keepNext w:val="0"/>
        <w:keepLines w:val="0"/>
        <w:widowControl w:val="0"/>
        <w:shd w:val="clear" w:color="auto" w:fill="auto"/>
        <w:bidi w:val="0"/>
        <w:spacing w:before="0" w:after="0" w:line="240" w:lineRule="auto"/>
        <w:ind w:left="413"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）未办妥产权证书的土地使用权情况</w:t>
      </w:r>
    </w:p>
    <w:tbl>
      <w:tblPr>
        <w:tblOverlap w:val="never"/>
        <w:jc w:val="center"/>
        <w:tblLayout w:type="fixed"/>
      </w:tblPr>
      <w:tblGrid>
        <w:gridCol w:w="3317"/>
        <w:gridCol w:w="2630"/>
        <w:gridCol w:w="3259"/>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未办妥产权证书的原因</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5,114,300.67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bl>
    <w:p>
      <w:pPr>
        <w:widowControl w:val="0"/>
        <w:spacing w:after="239" w:line="1" w:lineRule="exact"/>
      </w:pPr>
    </w:p>
    <w:p>
      <w:pPr>
        <w:pStyle w:val="Style20"/>
        <w:keepNext/>
        <w:keepLines/>
        <w:widowControl w:val="0"/>
        <w:shd w:val="clear" w:color="auto" w:fill="auto"/>
        <w:bidi w:val="0"/>
        <w:spacing w:before="0" w:after="40" w:line="240" w:lineRule="auto"/>
        <w:ind w:left="0" w:right="0" w:firstLine="500"/>
        <w:jc w:val="left"/>
        <w:rPr>
          <w:sz w:val="17"/>
          <w:szCs w:val="17"/>
        </w:rPr>
      </w:pPr>
      <w:bookmarkStart w:id="973" w:name="bookmark973"/>
      <w:bookmarkStart w:id="974" w:name="bookmark974"/>
      <w:bookmarkStart w:id="975" w:name="bookmark975"/>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、开发支出</w:t>
      </w:r>
      <w:bookmarkEnd w:id="973"/>
      <w:bookmarkEnd w:id="974"/>
      <w:bookmarkEnd w:id="975"/>
    </w:p>
    <w:tbl>
      <w:tblPr>
        <w:tblOverlap w:val="never"/>
        <w:jc w:val="center"/>
        <w:tblLayout w:type="fixed"/>
      </w:tblPr>
      <w:tblGrid>
        <w:gridCol w:w="2755"/>
        <w:gridCol w:w="1272"/>
        <w:gridCol w:w="1214"/>
        <w:gridCol w:w="499"/>
        <w:gridCol w:w="1114"/>
        <w:gridCol w:w="1378"/>
        <w:gridCol w:w="974"/>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确认为无形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六安金寨县</w:t>
            </w:r>
            <w:r>
              <w:rPr>
                <w:rFonts w:ascii="Arial Narrow" w:eastAsia="Arial Narrow" w:hAnsi="Arial Narrow" w:cs="Arial Narrow"/>
                <w:color w:val="000000"/>
                <w:spacing w:val="0"/>
                <w:w w:val="100"/>
                <w:position w:val="0"/>
                <w:sz w:val="18"/>
                <w:szCs w:val="18"/>
              </w:rPr>
              <w:t xml:space="preserve">200MW </w:t>
            </w:r>
            <w:r>
              <w:rPr>
                <w:color w:val="000000"/>
                <w:spacing w:val="0"/>
                <w:w w:val="100"/>
                <w:position w:val="0"/>
                <w:sz w:val="17"/>
                <w:szCs w:val="17"/>
              </w:rPr>
              <w:t>一期组件项目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15,033,597.72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15,033,597.72</w:t>
            </w: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基于物联网的新能源路灯的研发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512,888.22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512,888.22</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建筑相关技术的研究项目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55"/>
        <w:gridCol w:w="1272"/>
        <w:gridCol w:w="1214"/>
        <w:gridCol w:w="499"/>
        <w:gridCol w:w="1114"/>
        <w:gridCol w:w="1378"/>
        <w:gridCol w:w="974"/>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确认为无形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配电网控制系统的研究项目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443,998.31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443,998.31</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土壤修复相关技术的研究项目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134,652.54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134,652.54</w:t>
            </w: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一种建筑排水结构的研究项目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694,434.93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694,434.93</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一种喷泉的过滤系统的研究项目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957,912.72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957,912.72</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家庭能源管理系统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351,729.59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351,729.59</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模块化建筑系统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274,539.07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274,539.07</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塑钢窗的安装结构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311,193.90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311,193.90</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一种适应不同地形的树木支撑架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315,634.78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315,634.78</w:t>
            </w: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用于矿山岩区生态修复的绿化种 植构件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302,739.02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302,739.02</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变电站运维一体化现场工作信息 采集装置以及采集系统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740,261.83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740,261.83</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光伏发电系统</w:t>
            </w:r>
            <w:r>
              <w:rPr>
                <w:rFonts w:ascii="Arial Narrow" w:eastAsia="Arial Narrow" w:hAnsi="Arial Narrow" w:cs="Arial Narrow"/>
                <w:color w:val="000000"/>
                <w:spacing w:val="0"/>
                <w:w w:val="100"/>
                <w:position w:val="0"/>
                <w:sz w:val="18"/>
                <w:szCs w:val="18"/>
              </w:rPr>
              <w:t>MPPT</w:t>
            </w:r>
            <w:r>
              <w:rPr>
                <w:color w:val="000000"/>
                <w:spacing w:val="0"/>
                <w:w w:val="100"/>
                <w:position w:val="0"/>
                <w:sz w:val="17"/>
                <w:szCs w:val="17"/>
              </w:rPr>
              <w:t>技术研究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1,196,417.79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105,207.09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1,301,624.88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基于北斗与</w:t>
            </w:r>
            <w:r>
              <w:rPr>
                <w:rFonts w:ascii="Arial Narrow" w:eastAsia="Arial Narrow" w:hAnsi="Arial Narrow" w:cs="Arial Narrow"/>
                <w:color w:val="000000"/>
                <w:spacing w:val="0"/>
                <w:w w:val="100"/>
                <w:position w:val="0"/>
                <w:sz w:val="18"/>
                <w:szCs w:val="18"/>
              </w:rPr>
              <w:t>SLAM</w:t>
            </w:r>
            <w:r>
              <w:rPr>
                <w:color w:val="000000"/>
                <w:spacing w:val="0"/>
                <w:w w:val="100"/>
                <w:position w:val="0"/>
                <w:sz w:val="17"/>
                <w:szCs w:val="17"/>
              </w:rPr>
              <w:t>融合的大型光伏 电站自动运维系统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1,310,950.22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1,310,950.22</w:t>
            </w: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基于泛在电力物联网的变电设备 状态监测系统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899,216.33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899,216.33</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基于输出阻抗的三相</w:t>
            </w:r>
            <w:r>
              <w:rPr>
                <w:rFonts w:ascii="Arial Narrow" w:eastAsia="Arial Narrow" w:hAnsi="Arial Narrow" w:cs="Arial Narrow"/>
                <w:color w:val="000000"/>
                <w:spacing w:val="0"/>
                <w:w w:val="100"/>
                <w:position w:val="0"/>
                <w:sz w:val="18"/>
                <w:szCs w:val="18"/>
              </w:rPr>
              <w:t>LCL</w:t>
            </w:r>
            <w:r>
              <w:rPr>
                <w:color w:val="000000"/>
                <w:spacing w:val="0"/>
                <w:w w:val="100"/>
                <w:position w:val="0"/>
                <w:sz w:val="17"/>
                <w:szCs w:val="17"/>
              </w:rPr>
              <w:t>型光伏 逆变器稳定性分析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1,608,758.00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135,196.48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1,743,954.48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面向多能互补的分布式光伏与气 电混合容量规划方法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1,378,086.30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95,472.19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1,473,558.49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一种用于变电站运维安全管理的 视频监控系统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838,557.54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838,557.54</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应用于光伏电站的状态预测及故 障诊断装置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1,061,851.95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1,061,851.95</w:t>
            </w:r>
          </w:p>
        </w:tc>
        <w:tc>
          <w:tcPr>
            <w:tcBorders>
              <w:top w:val="single" w:sz="4"/>
              <w:left w:val="single" w:sz="4"/>
            </w:tcBorders>
            <w:shd w:val="clear" w:color="auto" w:fill="FFFFFF"/>
            <w:vAlign w:val="top"/>
          </w:tcPr>
          <w:p>
            <w:pPr>
              <w:widowControl w:val="0"/>
              <w:rPr>
                <w:sz w:val="10"/>
                <w:szCs w:val="10"/>
              </w:rPr>
            </w:pPr>
          </w:p>
        </w:tc>
      </w:tr>
      <w:tr>
        <w:trPr>
          <w:trHeight w:val="82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光伏发电系统远程智能安全监控 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1,597,692.51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1,597,692.51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55"/>
        <w:gridCol w:w="1272"/>
        <w:gridCol w:w="1214"/>
        <w:gridCol w:w="499"/>
        <w:gridCol w:w="1109"/>
        <w:gridCol w:w="1382"/>
        <w:gridCol w:w="974"/>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确认为无形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东旭安徽大别山项目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4,655,558.48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4,655,558.48</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光伏发电智能化操控系统研发项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1,016,757.24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1,016,757.24</w:t>
            </w: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联合办公在线管理系统研发项目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978,159.23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978,159.23</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物业综合管理系统研发项目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1,189,090.51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1,189,090.51</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消防应急系统研发项目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112,501.35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112,501.35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智能安防门禁系统研发项目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88,019.98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88,019.98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智能监控系统及装置研发项目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114,043.54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114,043.54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智能楼宇系统研发项目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92,835.41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92,835.41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4,317,914.63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34,230,640.14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4,926,538.13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33,622,016.64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280" w:line="502" w:lineRule="exact"/>
        <w:ind w:left="0" w:right="0" w:firstLine="440"/>
        <w:jc w:val="left"/>
      </w:pPr>
      <w:r>
        <w:rPr>
          <w:color w:val="000000"/>
          <w:spacing w:val="0"/>
          <w:w w:val="100"/>
          <w:position w:val="0"/>
        </w:rPr>
        <w:t>注：公司在经过前期市场调研和项目可行性论证，报经公司批准立项后进入开发阶段。在同时满足技 术上具有可行性、具有使用或出售意图、能产生经济利益三个条件后，完成技术可行性及经济可行性研究 并对项目立项后，即可转入研发阶段，确认开发支出。自该项目达到预定可使用状态之日起转为无形资产。 截至期末，部分项目已完成开发，形成无形资产。</w:t>
      </w:r>
    </w:p>
    <w:p>
      <w:pPr>
        <w:pStyle w:val="Style20"/>
        <w:keepNext/>
        <w:keepLines/>
        <w:widowControl w:val="0"/>
        <w:shd w:val="clear" w:color="auto" w:fill="auto"/>
        <w:bidi w:val="0"/>
        <w:spacing w:before="0" w:after="280" w:line="240" w:lineRule="auto"/>
        <w:ind w:left="0" w:right="0" w:firstLine="360"/>
        <w:jc w:val="left"/>
        <w:rPr>
          <w:sz w:val="17"/>
          <w:szCs w:val="17"/>
        </w:rPr>
      </w:pPr>
      <w:bookmarkStart w:id="976" w:name="bookmark976"/>
      <w:bookmarkStart w:id="977" w:name="bookmark977"/>
      <w:bookmarkStart w:id="978" w:name="bookmark978"/>
      <w:r>
        <w:rPr>
          <w:rFonts w:ascii="Arial Narrow" w:eastAsia="Arial Narrow" w:hAnsi="Arial Narrow" w:cs="Arial Narrow"/>
          <w:color w:val="000000"/>
          <w:spacing w:val="0"/>
          <w:w w:val="100"/>
          <w:position w:val="0"/>
          <w:sz w:val="18"/>
          <w:szCs w:val="18"/>
        </w:rPr>
        <w:t>21</w:t>
      </w:r>
      <w:r>
        <w:rPr>
          <w:color w:val="000000"/>
          <w:spacing w:val="0"/>
          <w:w w:val="100"/>
          <w:position w:val="0"/>
          <w:sz w:val="17"/>
          <w:szCs w:val="17"/>
        </w:rPr>
        <w:t>、商誉</w:t>
      </w:r>
      <w:bookmarkEnd w:id="976"/>
      <w:bookmarkEnd w:id="977"/>
      <w:bookmarkEnd w:id="978"/>
    </w:p>
    <w:p>
      <w:pPr>
        <w:pStyle w:val="Style25"/>
        <w:keepNext w:val="0"/>
        <w:keepLines w:val="0"/>
        <w:widowControl w:val="0"/>
        <w:shd w:val="clear" w:color="auto" w:fill="auto"/>
        <w:bidi w:val="0"/>
        <w:spacing w:before="0" w:after="0" w:line="240" w:lineRule="auto"/>
        <w:ind w:left="269"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）商誉明细情况</w:t>
      </w:r>
    </w:p>
    <w:tbl>
      <w:tblPr>
        <w:tblOverlap w:val="never"/>
        <w:jc w:val="center"/>
        <w:tblLayout w:type="fixed"/>
      </w:tblPr>
      <w:tblGrid>
        <w:gridCol w:w="2976"/>
        <w:gridCol w:w="1272"/>
        <w:gridCol w:w="1286"/>
        <w:gridCol w:w="350"/>
        <w:gridCol w:w="91"/>
        <w:gridCol w:w="1330"/>
        <w:gridCol w:w="86"/>
        <w:gridCol w:w="499"/>
        <w:gridCol w:w="86"/>
        <w:gridCol w:w="1531"/>
      </w:tblGrid>
      <w:tr>
        <w:trPr>
          <w:trHeight w:val="43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被投资单位名称 或形成商誉的事项</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期初余额-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企业合并 形成的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处置</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其他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减少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星景生态环保科技（苏州）有限公司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291,621,804.35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291,621,804.35</w:t>
            </w:r>
          </w:p>
        </w:tc>
      </w:tr>
      <w:tr>
        <w:trPr>
          <w:trHeight w:val="79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东旭蓝天生态环保科技有限公司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34,369,770.52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34,369,770.52</w:t>
            </w:r>
          </w:p>
        </w:tc>
      </w:tr>
      <w:tr>
        <w:trPr>
          <w:trHeight w:val="79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江西泓伟环境治理科技服务有限公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28,505,273.37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28,505,273.37</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27,425,380.94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27,425,380.94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华融金属表面处理（安平）科技有限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595,851.72</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595,851.72</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28"/>
        <w:gridCol w:w="1272"/>
        <w:gridCol w:w="1277"/>
        <w:gridCol w:w="432"/>
        <w:gridCol w:w="1416"/>
        <w:gridCol w:w="586"/>
        <w:gridCol w:w="1450"/>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上海安轩自动化科技有限公司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15,359,798.05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15,359,798.05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北京中环鑫融科技有限公司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266,946,392.48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266,946,392.48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广东两洋能源有限公司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4,675,424.35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Arial Narrow" w:eastAsia="Arial Narrow" w:hAnsi="Arial Narrow" w:cs="Arial Narrow"/>
                <w:color w:val="000000"/>
                <w:spacing w:val="0"/>
                <w:w w:val="100"/>
                <w:position w:val="0"/>
                <w:sz w:val="18"/>
                <w:szCs w:val="18"/>
              </w:rPr>
              <w:t>4,675,424.35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承德晟姓光伏发电有限公司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24,583,416.99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24,583,416.99</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吉林华众昊晟新能源科技有限公司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34,141,596.34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34,141,596.34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张北熠彩新能源科技有限公司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106,716,015.97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106,716,015.97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张北弘吉新能源科技有限公司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19,411,355.80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19,411,355.80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宁夏盛唐太阳能科技有限公司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41,137,414.17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41,137,414.17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会理弘吉新能源科技有限公司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75,493,819.37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75,493,819.37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蒙阴县盛康光伏发电有限公司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33,300,451.50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33,300,451.50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都昌县皓晖光伏电站有限公司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17,577,708.14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17,577,708.14</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970,983,314.42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50,878,159.64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28,021,232.66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b/>
                <w:bCs/>
                <w:color w:val="000000"/>
                <w:spacing w:val="0"/>
                <w:w w:val="100"/>
                <w:position w:val="0"/>
                <w:sz w:val="18"/>
                <w:szCs w:val="18"/>
              </w:rPr>
              <w:t>993,840,241.40</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12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）商誉减值准备</w:t>
      </w:r>
    </w:p>
    <w:tbl>
      <w:tblPr>
        <w:tblOverlap w:val="never"/>
        <w:jc w:val="center"/>
        <w:tblLayout w:type="fixed"/>
      </w:tblPr>
      <w:tblGrid>
        <w:gridCol w:w="2678"/>
        <w:gridCol w:w="1454"/>
        <w:gridCol w:w="1382"/>
        <w:gridCol w:w="514"/>
        <w:gridCol w:w="1046"/>
        <w:gridCol w:w="499"/>
        <w:gridCol w:w="1574"/>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rPr>
                <w:sz w:val="17"/>
                <w:szCs w:val="17"/>
              </w:rPr>
            </w:pPr>
            <w:r>
              <w:rPr>
                <w:b/>
                <w:bCs/>
                <w:color w:val="000000"/>
                <w:spacing w:val="0"/>
                <w:w w:val="100"/>
                <w:position w:val="0"/>
                <w:sz w:val="17"/>
                <w:szCs w:val="17"/>
              </w:rPr>
              <w:t>被投资单位名称 或形成商誉的事项</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w:t>
            </w:r>
          </w:p>
        </w:tc>
        <w:tc>
          <w:tcPr>
            <w:vMerge/>
            <w:tcBorders>
              <w:left w:val="single" w:sz="4"/>
            </w:tcBorders>
            <w:shd w:val="clear" w:color="auto" w:fill="FFFFFF"/>
            <w:vAlign w:val="center"/>
          </w:tcPr>
          <w:p>
            <w:pP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星景生态环保科技（苏州）有限公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126,569,293.99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165,052,510.36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291,621,804.35</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东旭蓝天生态环保科技有限公司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30,635,043.70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3,734,726.82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34,369,770.52</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江西泓伟环境治理科技服务有限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28,505,273.37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28,505,273.37</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上海安轩自动化科技有限公司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15,359,798.05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15,359,798.05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广东两洋能源有限公司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4,675,424.35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4,675,424.35</w:t>
            </w:r>
          </w:p>
        </w:tc>
      </w:tr>
      <w:tr>
        <w:trPr>
          <w:trHeight w:val="82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华融金属表面处理（安平）科技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595,851.72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595,851.72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206,340,685.18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168,787,237.18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595,851.72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374,532,070.64</w:t>
            </w:r>
          </w:p>
        </w:tc>
      </w:tr>
    </w:tbl>
    <w:p>
      <w:pPr>
        <w:widowControl w:val="0"/>
        <w:spacing w:after="219" w:line="1" w:lineRule="exact"/>
      </w:pPr>
    </w:p>
    <w:p>
      <w:pPr>
        <w:pStyle w:val="Style1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w:t>
      </w:r>
      <w:r>
        <w:rPr>
          <w:b/>
          <w:bCs/>
          <w:color w:val="000000"/>
          <w:spacing w:val="0"/>
          <w:w w:val="100"/>
          <w:position w:val="0"/>
        </w:rPr>
        <w:t>1</w:t>
      </w:r>
      <w:r>
        <w:rPr>
          <w:color w:val="000000"/>
          <w:spacing w:val="0"/>
          <w:w w:val="100"/>
          <w:position w:val="0"/>
        </w:rPr>
        <w:t>：商誉所在资产组或资产组组合的相关信息：</w:t>
      </w:r>
    </w:p>
    <w:p>
      <w:pPr>
        <w:pStyle w:val="Style1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与商誉减值测试相关的资产组或资产组组合，是能够从企业合并的协同效应中受益的资产组或者资产 </w:t>
      </w:r>
      <w:r>
        <w:rPr>
          <w:color w:val="000000"/>
          <w:spacing w:val="0"/>
          <w:w w:val="100"/>
          <w:position w:val="0"/>
        </w:rPr>
        <w:t>组组合。资产负债表日的测试范围为与商誉相关的最小资产组所涉及的资产及负债，具体包括营运资金和 长期资产。资产组本期没有变动。</w:t>
      </w:r>
    </w:p>
    <w:p>
      <w:pPr>
        <w:pStyle w:val="Style1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w:t>
      </w:r>
      <w:r>
        <w:rPr>
          <w:b/>
          <w:bCs/>
          <w:color w:val="000000"/>
          <w:spacing w:val="0"/>
          <w:w w:val="100"/>
          <w:position w:val="0"/>
        </w:rPr>
        <w:t>2</w:t>
      </w:r>
      <w:r>
        <w:rPr>
          <w:color w:val="000000"/>
          <w:spacing w:val="0"/>
          <w:w w:val="100"/>
          <w:position w:val="0"/>
        </w:rPr>
        <w:t>：商誉减值测试过程、参数及商誉减值损失的确认方法：</w:t>
      </w:r>
    </w:p>
    <w:p>
      <w:pPr>
        <w:pStyle w:val="Style17"/>
        <w:keepNext w:val="0"/>
        <w:keepLines w:val="0"/>
        <w:widowControl w:val="0"/>
        <w:shd w:val="clear" w:color="auto" w:fill="auto"/>
        <w:bidi w:val="0"/>
        <w:spacing w:before="0" w:after="0" w:line="498" w:lineRule="exact"/>
        <w:ind w:left="0" w:right="0" w:firstLine="440"/>
        <w:jc w:val="left"/>
      </w:pPr>
      <w:r>
        <w:rPr>
          <w:color w:val="000000"/>
          <w:spacing w:val="0"/>
          <w:w w:val="100"/>
          <w:position w:val="0"/>
        </w:rPr>
        <w:t>八家光伏电站类的资产组可收回金额是基于光伏电站</w:t>
      </w:r>
      <w:r>
        <w:rPr>
          <w:b/>
          <w:bCs/>
          <w:color w:val="000000"/>
          <w:spacing w:val="0"/>
          <w:w w:val="100"/>
          <w:position w:val="0"/>
        </w:rPr>
        <w:t>25</w:t>
      </w:r>
      <w:r>
        <w:rPr>
          <w:color w:val="000000"/>
          <w:spacing w:val="0"/>
          <w:w w:val="100"/>
          <w:position w:val="0"/>
        </w:rPr>
        <w:t>年全周期的现金流预测，北京中环资产组是 以公允价值减处置费用计算的可收回金额，星景生态、生态环保公司的资产组是以可收回金额是基于管理 层批准的三年至五年期预算，之后进入稳定期为基础进行估计，采用现金流量预测方法计算。</w:t>
      </w:r>
    </w:p>
    <w:p>
      <w:pPr>
        <w:pStyle w:val="Style17"/>
        <w:keepNext w:val="0"/>
        <w:keepLines w:val="0"/>
        <w:widowControl w:val="0"/>
        <w:shd w:val="clear" w:color="auto" w:fill="auto"/>
        <w:bidi w:val="0"/>
        <w:spacing w:before="0" w:after="0" w:line="498" w:lineRule="exact"/>
        <w:ind w:left="0" w:right="0" w:firstLine="440"/>
        <w:jc w:val="left"/>
      </w:pPr>
      <w:r>
        <w:rPr>
          <w:color w:val="000000"/>
          <w:spacing w:val="0"/>
          <w:w w:val="100"/>
          <w:position w:val="0"/>
        </w:rPr>
        <w:t>公司管理层采用的折现率是反映当前市场货币时间价值和相关资产组特定风险的税前利率。不同资产 组所处行业不同，折现率结果不同，其中：星景生态</w:t>
      </w:r>
      <w:r>
        <w:rPr>
          <w:b/>
          <w:bCs/>
          <w:color w:val="000000"/>
          <w:spacing w:val="0"/>
          <w:w w:val="100"/>
          <w:position w:val="0"/>
        </w:rPr>
        <w:t>10.34%</w:t>
      </w:r>
      <w:r>
        <w:rPr>
          <w:color w:val="000000"/>
          <w:spacing w:val="0"/>
          <w:w w:val="100"/>
          <w:position w:val="0"/>
        </w:rPr>
        <w:t>、生态环保</w:t>
      </w:r>
      <w:r>
        <w:rPr>
          <w:b/>
          <w:bCs/>
          <w:color w:val="000000"/>
          <w:spacing w:val="0"/>
          <w:w w:val="100"/>
          <w:position w:val="0"/>
        </w:rPr>
        <w:t>11.67%</w:t>
      </w:r>
      <w:r>
        <w:rPr>
          <w:color w:val="000000"/>
          <w:spacing w:val="0"/>
          <w:w w:val="100"/>
          <w:position w:val="0"/>
        </w:rPr>
        <w:t>、承德晟烨</w:t>
      </w:r>
      <w:r>
        <w:rPr>
          <w:b/>
          <w:bCs/>
          <w:color w:val="000000"/>
          <w:spacing w:val="0"/>
          <w:w w:val="100"/>
          <w:position w:val="0"/>
        </w:rPr>
        <w:t>8.36%-9.04%</w:t>
      </w:r>
      <w:r>
        <w:rPr>
          <w:color w:val="000000"/>
          <w:spacing w:val="0"/>
          <w:w w:val="100"/>
          <w:position w:val="0"/>
        </w:rPr>
        <w:t>、吉 林华众</w:t>
      </w:r>
      <w:r>
        <w:rPr>
          <w:b/>
          <w:bCs/>
          <w:color w:val="000000"/>
          <w:spacing w:val="0"/>
          <w:w w:val="100"/>
          <w:position w:val="0"/>
        </w:rPr>
        <w:t>8.36%-9.04%</w:t>
      </w:r>
      <w:r>
        <w:rPr>
          <w:color w:val="000000"/>
          <w:spacing w:val="0"/>
          <w:w w:val="100"/>
          <w:position w:val="0"/>
        </w:rPr>
        <w:t>、张北熠彩</w:t>
      </w:r>
      <w:r>
        <w:rPr>
          <w:b/>
          <w:bCs/>
          <w:color w:val="000000"/>
          <w:spacing w:val="0"/>
          <w:w w:val="100"/>
          <w:position w:val="0"/>
        </w:rPr>
        <w:t>8.36%-9.04%</w:t>
      </w:r>
      <w:r>
        <w:rPr>
          <w:color w:val="000000"/>
          <w:spacing w:val="0"/>
          <w:w w:val="100"/>
          <w:position w:val="0"/>
        </w:rPr>
        <w:t>、张北弘吉</w:t>
      </w:r>
      <w:r>
        <w:rPr>
          <w:b/>
          <w:bCs/>
          <w:color w:val="000000"/>
          <w:spacing w:val="0"/>
          <w:w w:val="100"/>
          <w:position w:val="0"/>
        </w:rPr>
        <w:t>8.36%-9.04%</w:t>
      </w:r>
      <w:r>
        <w:rPr>
          <w:color w:val="000000"/>
          <w:spacing w:val="0"/>
          <w:w w:val="100"/>
          <w:position w:val="0"/>
        </w:rPr>
        <w:t>、宁夏盛唐</w:t>
      </w:r>
      <w:r>
        <w:rPr>
          <w:b/>
          <w:bCs/>
          <w:color w:val="000000"/>
          <w:spacing w:val="0"/>
          <w:w w:val="100"/>
          <w:position w:val="0"/>
        </w:rPr>
        <w:t>8.36%-9.04%</w:t>
      </w:r>
      <w:r>
        <w:rPr>
          <w:color w:val="000000"/>
          <w:spacing w:val="0"/>
          <w:w w:val="100"/>
          <w:position w:val="0"/>
        </w:rPr>
        <w:t xml:space="preserve">、会理弘吉 </w:t>
      </w:r>
      <w:r>
        <w:rPr>
          <w:b/>
          <w:bCs/>
          <w:color w:val="000000"/>
          <w:spacing w:val="0"/>
          <w:w w:val="100"/>
          <w:position w:val="0"/>
        </w:rPr>
        <w:t>8.48%-9.04%</w:t>
      </w:r>
      <w:r>
        <w:rPr>
          <w:color w:val="000000"/>
          <w:spacing w:val="0"/>
          <w:w w:val="100"/>
          <w:position w:val="0"/>
        </w:rPr>
        <w:t>、都昌皓晖</w:t>
      </w:r>
      <w:r>
        <w:rPr>
          <w:b/>
          <w:bCs/>
          <w:color w:val="000000"/>
          <w:spacing w:val="0"/>
          <w:w w:val="100"/>
          <w:position w:val="0"/>
        </w:rPr>
        <w:t>8.46%-9.46%</w:t>
      </w:r>
      <w:r>
        <w:rPr>
          <w:color w:val="000000"/>
          <w:spacing w:val="0"/>
          <w:w w:val="100"/>
          <w:position w:val="0"/>
        </w:rPr>
        <w:t>、蒙阴盛康</w:t>
      </w:r>
      <w:r>
        <w:rPr>
          <w:b/>
          <w:bCs/>
          <w:color w:val="000000"/>
          <w:spacing w:val="0"/>
          <w:w w:val="100"/>
          <w:position w:val="0"/>
        </w:rPr>
        <w:t>8.46%-9.46%</w:t>
      </w:r>
      <w:r>
        <w:rPr>
          <w:color w:val="000000"/>
          <w:spacing w:val="0"/>
          <w:w w:val="100"/>
          <w:position w:val="0"/>
        </w:rPr>
        <w:t>（八家电站类公司涉及所得税三免三减半政策 折现率以区间表示）。</w:t>
      </w:r>
    </w:p>
    <w:p>
      <w:pPr>
        <w:pStyle w:val="Style17"/>
        <w:keepNext w:val="0"/>
        <w:keepLines w:val="0"/>
        <w:widowControl w:val="0"/>
        <w:shd w:val="clear" w:color="auto" w:fill="auto"/>
        <w:bidi w:val="0"/>
        <w:spacing w:before="0" w:after="0" w:line="498" w:lineRule="exact"/>
        <w:ind w:left="0" w:right="0" w:firstLine="440"/>
        <w:jc w:val="both"/>
      </w:pPr>
      <w:r>
        <w:rPr>
          <w:color w:val="000000"/>
          <w:spacing w:val="0"/>
          <w:w w:val="100"/>
          <w:position w:val="0"/>
        </w:rPr>
        <w:t>注</w:t>
      </w:r>
      <w:r>
        <w:rPr>
          <w:b/>
          <w:bCs/>
          <w:color w:val="000000"/>
          <w:spacing w:val="0"/>
          <w:w w:val="100"/>
          <w:position w:val="0"/>
        </w:rPr>
        <w:t>3</w:t>
      </w:r>
      <w:r>
        <w:rPr>
          <w:color w:val="000000"/>
          <w:spacing w:val="0"/>
          <w:w w:val="100"/>
          <w:position w:val="0"/>
        </w:rPr>
        <w:t>：商誉减值测试的结果：</w:t>
      </w:r>
    </w:p>
    <w:p>
      <w:pPr>
        <w:pStyle w:val="Style17"/>
        <w:keepNext w:val="0"/>
        <w:keepLines w:val="0"/>
        <w:widowControl w:val="0"/>
        <w:shd w:val="clear" w:color="auto" w:fill="auto"/>
        <w:bidi w:val="0"/>
        <w:spacing w:before="0" w:after="0" w:line="498" w:lineRule="exact"/>
        <w:ind w:left="0" w:right="0" w:firstLine="440"/>
        <w:jc w:val="both"/>
      </w:pPr>
      <w:r>
        <w:rPr>
          <w:color w:val="000000"/>
          <w:spacing w:val="0"/>
          <w:w w:val="100"/>
          <w:position w:val="0"/>
        </w:rPr>
        <w:t>星景生态，本期业绩不及预期，经志海评报字（</w:t>
      </w:r>
      <w:r>
        <w:rPr>
          <w:b/>
          <w:bCs/>
          <w:color w:val="000000"/>
          <w:spacing w:val="0"/>
          <w:w w:val="100"/>
          <w:position w:val="0"/>
        </w:rPr>
        <w:t>2022</w:t>
      </w:r>
      <w:r>
        <w:rPr>
          <w:color w:val="000000"/>
          <w:spacing w:val="0"/>
          <w:w w:val="100"/>
          <w:position w:val="0"/>
        </w:rPr>
        <w:t>）第</w:t>
      </w:r>
      <w:r>
        <w:rPr>
          <w:b/>
          <w:bCs/>
          <w:color w:val="000000"/>
          <w:spacing w:val="0"/>
          <w:w w:val="100"/>
          <w:position w:val="0"/>
        </w:rPr>
        <w:t>0040</w:t>
      </w:r>
      <w:r>
        <w:rPr>
          <w:color w:val="000000"/>
          <w:spacing w:val="0"/>
          <w:w w:val="100"/>
          <w:position w:val="0"/>
        </w:rPr>
        <w:t>号评估报告确认，本期期末商誉减值金 额为</w:t>
      </w:r>
      <w:r>
        <w:rPr>
          <w:b/>
          <w:bCs/>
          <w:color w:val="000000"/>
          <w:spacing w:val="0"/>
          <w:w w:val="100"/>
          <w:position w:val="0"/>
        </w:rPr>
        <w:t>291,621,804.35</w:t>
      </w:r>
      <w:r>
        <w:rPr>
          <w:color w:val="000000"/>
          <w:spacing w:val="0"/>
          <w:w w:val="100"/>
          <w:position w:val="0"/>
        </w:rPr>
        <w:t>元，本期提取商誉减值金额为</w:t>
      </w:r>
      <w:r>
        <w:rPr>
          <w:b/>
          <w:bCs/>
          <w:color w:val="000000"/>
          <w:spacing w:val="0"/>
          <w:w w:val="100"/>
          <w:position w:val="0"/>
        </w:rPr>
        <w:t>165,052,510.36</w:t>
      </w:r>
      <w:r>
        <w:rPr>
          <w:color w:val="000000"/>
          <w:spacing w:val="0"/>
          <w:w w:val="100"/>
          <w:position w:val="0"/>
        </w:rPr>
        <w:t>元。</w:t>
      </w:r>
    </w:p>
    <w:p>
      <w:pPr>
        <w:pStyle w:val="Style17"/>
        <w:keepNext w:val="0"/>
        <w:keepLines w:val="0"/>
        <w:widowControl w:val="0"/>
        <w:shd w:val="clear" w:color="auto" w:fill="auto"/>
        <w:bidi w:val="0"/>
        <w:spacing w:before="0" w:after="0" w:line="498" w:lineRule="exact"/>
        <w:ind w:left="0" w:right="0" w:firstLine="440"/>
        <w:jc w:val="both"/>
      </w:pPr>
      <w:r>
        <w:rPr>
          <w:color w:val="000000"/>
          <w:spacing w:val="0"/>
          <w:w w:val="100"/>
          <w:position w:val="0"/>
        </w:rPr>
        <w:t>生态环保，本期业绩不及预期，经志海评报字（</w:t>
      </w:r>
      <w:r>
        <w:rPr>
          <w:b/>
          <w:bCs/>
          <w:color w:val="000000"/>
          <w:spacing w:val="0"/>
          <w:w w:val="100"/>
          <w:position w:val="0"/>
        </w:rPr>
        <w:t>2022</w:t>
      </w:r>
      <w:r>
        <w:rPr>
          <w:color w:val="000000"/>
          <w:spacing w:val="0"/>
          <w:w w:val="100"/>
          <w:position w:val="0"/>
        </w:rPr>
        <w:t>）第</w:t>
      </w:r>
      <w:r>
        <w:rPr>
          <w:b/>
          <w:bCs/>
          <w:color w:val="000000"/>
          <w:spacing w:val="0"/>
          <w:w w:val="100"/>
          <w:position w:val="0"/>
        </w:rPr>
        <w:t>0050</w:t>
      </w:r>
      <w:r>
        <w:rPr>
          <w:color w:val="000000"/>
          <w:spacing w:val="0"/>
          <w:w w:val="100"/>
          <w:position w:val="0"/>
        </w:rPr>
        <w:t>号评估报告确认，本期期末商誉减值金 额为</w:t>
      </w:r>
      <w:r>
        <w:rPr>
          <w:b/>
          <w:bCs/>
          <w:color w:val="000000"/>
          <w:spacing w:val="0"/>
          <w:w w:val="100"/>
          <w:position w:val="0"/>
        </w:rPr>
        <w:t>34,369,770.52</w:t>
      </w:r>
      <w:r>
        <w:rPr>
          <w:color w:val="000000"/>
          <w:spacing w:val="0"/>
          <w:w w:val="100"/>
          <w:position w:val="0"/>
        </w:rPr>
        <w:t>元，本期提取商誉减值金额为</w:t>
      </w:r>
      <w:r>
        <w:rPr>
          <w:b/>
          <w:bCs/>
          <w:color w:val="000000"/>
          <w:spacing w:val="0"/>
          <w:w w:val="100"/>
          <w:position w:val="0"/>
        </w:rPr>
        <w:t>3,734,726.82</w:t>
      </w:r>
      <w:r>
        <w:rPr>
          <w:color w:val="000000"/>
          <w:spacing w:val="0"/>
          <w:w w:val="100"/>
          <w:position w:val="0"/>
        </w:rPr>
        <w:t>元。</w:t>
      </w:r>
    </w:p>
    <w:p>
      <w:pPr>
        <w:pStyle w:val="Style17"/>
        <w:keepNext w:val="0"/>
        <w:keepLines w:val="0"/>
        <w:widowControl w:val="0"/>
        <w:shd w:val="clear" w:color="auto" w:fill="auto"/>
        <w:bidi w:val="0"/>
        <w:spacing w:before="0" w:after="0" w:line="498" w:lineRule="exact"/>
        <w:ind w:left="0" w:right="0" w:firstLine="440"/>
        <w:jc w:val="both"/>
      </w:pPr>
      <w:r>
        <w:rPr>
          <w:color w:val="000000"/>
          <w:spacing w:val="0"/>
          <w:w w:val="100"/>
          <w:position w:val="0"/>
        </w:rPr>
        <w:t>北京中环，经中瑞评报字（</w:t>
      </w:r>
      <w:r>
        <w:rPr>
          <w:b/>
          <w:bCs/>
          <w:color w:val="000000"/>
          <w:spacing w:val="0"/>
          <w:w w:val="100"/>
          <w:position w:val="0"/>
        </w:rPr>
        <w:t>2022</w:t>
      </w:r>
      <w:r>
        <w:rPr>
          <w:color w:val="000000"/>
          <w:spacing w:val="0"/>
          <w:w w:val="100"/>
          <w:position w:val="0"/>
        </w:rPr>
        <w:t>）第</w:t>
      </w:r>
      <w:r>
        <w:rPr>
          <w:b/>
          <w:bCs/>
          <w:color w:val="000000"/>
          <w:spacing w:val="0"/>
          <w:w w:val="100"/>
          <w:position w:val="0"/>
        </w:rPr>
        <w:t>000194</w:t>
      </w:r>
      <w:r>
        <w:rPr>
          <w:color w:val="000000"/>
          <w:spacing w:val="0"/>
          <w:w w:val="100"/>
          <w:position w:val="0"/>
        </w:rPr>
        <w:t>号评估报告确认，商誉不存在减值迹象。</w:t>
      </w:r>
    </w:p>
    <w:p>
      <w:pPr>
        <w:pStyle w:val="Style17"/>
        <w:keepNext w:val="0"/>
        <w:keepLines w:val="0"/>
        <w:widowControl w:val="0"/>
        <w:shd w:val="clear" w:color="auto" w:fill="auto"/>
        <w:bidi w:val="0"/>
        <w:spacing w:before="0" w:after="0" w:line="498" w:lineRule="exact"/>
        <w:ind w:left="0" w:right="0" w:firstLine="440"/>
        <w:jc w:val="both"/>
      </w:pPr>
      <w:r>
        <w:rPr>
          <w:color w:val="000000"/>
          <w:spacing w:val="0"/>
          <w:w w:val="100"/>
          <w:position w:val="0"/>
        </w:rPr>
        <w:t>会理弘吉，经中瑞评报字（</w:t>
      </w:r>
      <w:r>
        <w:rPr>
          <w:b/>
          <w:bCs/>
          <w:color w:val="000000"/>
          <w:spacing w:val="0"/>
          <w:w w:val="100"/>
          <w:position w:val="0"/>
        </w:rPr>
        <w:t>2022</w:t>
      </w:r>
      <w:r>
        <w:rPr>
          <w:color w:val="000000"/>
          <w:spacing w:val="0"/>
          <w:w w:val="100"/>
          <w:position w:val="0"/>
        </w:rPr>
        <w:t>）第</w:t>
      </w:r>
      <w:r>
        <w:rPr>
          <w:b/>
          <w:bCs/>
          <w:color w:val="000000"/>
          <w:spacing w:val="0"/>
          <w:w w:val="100"/>
          <w:position w:val="0"/>
        </w:rPr>
        <w:t>000192</w:t>
      </w:r>
      <w:r>
        <w:rPr>
          <w:color w:val="000000"/>
          <w:spacing w:val="0"/>
          <w:w w:val="100"/>
          <w:position w:val="0"/>
        </w:rPr>
        <w:t>号评估报告确认，商誉不存在减值迹象。</w:t>
      </w:r>
    </w:p>
    <w:p>
      <w:pPr>
        <w:pStyle w:val="Style17"/>
        <w:keepNext w:val="0"/>
        <w:keepLines w:val="0"/>
        <w:widowControl w:val="0"/>
        <w:shd w:val="clear" w:color="auto" w:fill="auto"/>
        <w:bidi w:val="0"/>
        <w:spacing w:before="0" w:after="0" w:line="498" w:lineRule="exact"/>
        <w:ind w:left="0" w:right="0" w:firstLine="440"/>
        <w:jc w:val="both"/>
      </w:pPr>
      <w:r>
        <w:rPr>
          <w:color w:val="000000"/>
          <w:spacing w:val="0"/>
          <w:w w:val="100"/>
          <w:position w:val="0"/>
        </w:rPr>
        <w:t>承德晟烨，经中瑞评报字（</w:t>
      </w:r>
      <w:r>
        <w:rPr>
          <w:b/>
          <w:bCs/>
          <w:color w:val="000000"/>
          <w:spacing w:val="0"/>
          <w:w w:val="100"/>
          <w:position w:val="0"/>
        </w:rPr>
        <w:t>2022</w:t>
      </w:r>
      <w:r>
        <w:rPr>
          <w:color w:val="000000"/>
          <w:spacing w:val="0"/>
          <w:w w:val="100"/>
          <w:position w:val="0"/>
        </w:rPr>
        <w:t>）第</w:t>
      </w:r>
      <w:r>
        <w:rPr>
          <w:b/>
          <w:bCs/>
          <w:color w:val="000000"/>
          <w:spacing w:val="0"/>
          <w:w w:val="100"/>
          <w:position w:val="0"/>
        </w:rPr>
        <w:t>000188</w:t>
      </w:r>
      <w:r>
        <w:rPr>
          <w:color w:val="000000"/>
          <w:spacing w:val="0"/>
          <w:w w:val="100"/>
          <w:position w:val="0"/>
        </w:rPr>
        <w:t>号评估报告确认，商誉不存在减值迹象。</w:t>
      </w:r>
    </w:p>
    <w:p>
      <w:pPr>
        <w:pStyle w:val="Style17"/>
        <w:keepNext w:val="0"/>
        <w:keepLines w:val="0"/>
        <w:widowControl w:val="0"/>
        <w:shd w:val="clear" w:color="auto" w:fill="auto"/>
        <w:bidi w:val="0"/>
        <w:spacing w:before="0" w:after="0" w:line="498" w:lineRule="exact"/>
        <w:ind w:left="0" w:right="0" w:firstLine="440"/>
        <w:jc w:val="both"/>
      </w:pPr>
      <w:r>
        <w:rPr>
          <w:color w:val="000000"/>
          <w:spacing w:val="0"/>
          <w:w w:val="100"/>
          <w:position w:val="0"/>
        </w:rPr>
        <w:t>张北熠彩，经中瑞评报字（</w:t>
      </w:r>
      <w:r>
        <w:rPr>
          <w:b/>
          <w:bCs/>
          <w:color w:val="000000"/>
          <w:spacing w:val="0"/>
          <w:w w:val="100"/>
          <w:position w:val="0"/>
        </w:rPr>
        <w:t>2022</w:t>
      </w:r>
      <w:r>
        <w:rPr>
          <w:color w:val="000000"/>
          <w:spacing w:val="0"/>
          <w:w w:val="100"/>
          <w:position w:val="0"/>
        </w:rPr>
        <w:t>）第</w:t>
      </w:r>
      <w:r>
        <w:rPr>
          <w:b/>
          <w:bCs/>
          <w:color w:val="000000"/>
          <w:spacing w:val="0"/>
          <w:w w:val="100"/>
          <w:position w:val="0"/>
        </w:rPr>
        <w:t>000191</w:t>
      </w:r>
      <w:r>
        <w:rPr>
          <w:color w:val="000000"/>
          <w:spacing w:val="0"/>
          <w:w w:val="100"/>
          <w:position w:val="0"/>
        </w:rPr>
        <w:t>号评估报告确认，商誉不存在减值迹象。</w:t>
      </w:r>
    </w:p>
    <w:p>
      <w:pPr>
        <w:pStyle w:val="Style17"/>
        <w:keepNext w:val="0"/>
        <w:keepLines w:val="0"/>
        <w:widowControl w:val="0"/>
        <w:shd w:val="clear" w:color="auto" w:fill="auto"/>
        <w:bidi w:val="0"/>
        <w:spacing w:before="0" w:after="0" w:line="498" w:lineRule="exact"/>
        <w:ind w:left="0" w:right="0" w:firstLine="440"/>
        <w:jc w:val="both"/>
      </w:pPr>
      <w:r>
        <w:rPr>
          <w:color w:val="000000"/>
          <w:spacing w:val="0"/>
          <w:w w:val="100"/>
          <w:position w:val="0"/>
        </w:rPr>
        <w:t>宁夏盛唐，经中瑞评报字（</w:t>
      </w:r>
      <w:r>
        <w:rPr>
          <w:b/>
          <w:bCs/>
          <w:color w:val="000000"/>
          <w:spacing w:val="0"/>
          <w:w w:val="100"/>
          <w:position w:val="0"/>
        </w:rPr>
        <w:t>2022</w:t>
      </w:r>
      <w:r>
        <w:rPr>
          <w:color w:val="000000"/>
          <w:spacing w:val="0"/>
          <w:w w:val="100"/>
          <w:position w:val="0"/>
        </w:rPr>
        <w:t>）第</w:t>
      </w:r>
      <w:r>
        <w:rPr>
          <w:b/>
          <w:bCs/>
          <w:color w:val="000000"/>
          <w:spacing w:val="0"/>
          <w:w w:val="100"/>
          <w:position w:val="0"/>
        </w:rPr>
        <w:t>000193</w:t>
      </w:r>
      <w:r>
        <w:rPr>
          <w:color w:val="000000"/>
          <w:spacing w:val="0"/>
          <w:w w:val="100"/>
          <w:position w:val="0"/>
        </w:rPr>
        <w:t>号评估报告确认，商誉不存在减值迹象。</w:t>
      </w:r>
    </w:p>
    <w:p>
      <w:pPr>
        <w:pStyle w:val="Style17"/>
        <w:keepNext w:val="0"/>
        <w:keepLines w:val="0"/>
        <w:widowControl w:val="0"/>
        <w:shd w:val="clear" w:color="auto" w:fill="auto"/>
        <w:bidi w:val="0"/>
        <w:spacing w:before="0" w:after="0" w:line="498" w:lineRule="exact"/>
        <w:ind w:left="0" w:right="0" w:firstLine="440"/>
        <w:jc w:val="both"/>
      </w:pPr>
      <w:r>
        <w:rPr>
          <w:color w:val="000000"/>
          <w:spacing w:val="0"/>
          <w:w w:val="100"/>
          <w:position w:val="0"/>
        </w:rPr>
        <w:t>张北弘吉，经中瑞评报字（</w:t>
      </w:r>
      <w:r>
        <w:rPr>
          <w:b/>
          <w:bCs/>
          <w:color w:val="000000"/>
          <w:spacing w:val="0"/>
          <w:w w:val="100"/>
          <w:position w:val="0"/>
        </w:rPr>
        <w:t>2022</w:t>
      </w:r>
      <w:r>
        <w:rPr>
          <w:color w:val="000000"/>
          <w:spacing w:val="0"/>
          <w:w w:val="100"/>
          <w:position w:val="0"/>
        </w:rPr>
        <w:t>）第</w:t>
      </w:r>
      <w:r>
        <w:rPr>
          <w:b/>
          <w:bCs/>
          <w:color w:val="000000"/>
          <w:spacing w:val="0"/>
          <w:w w:val="100"/>
          <w:position w:val="0"/>
        </w:rPr>
        <w:t>000190</w:t>
      </w:r>
      <w:r>
        <w:rPr>
          <w:color w:val="000000"/>
          <w:spacing w:val="0"/>
          <w:w w:val="100"/>
          <w:position w:val="0"/>
        </w:rPr>
        <w:t>号评估报告确认，商誉不存在减值迹象。</w:t>
      </w:r>
    </w:p>
    <w:p>
      <w:pPr>
        <w:pStyle w:val="Style17"/>
        <w:keepNext w:val="0"/>
        <w:keepLines w:val="0"/>
        <w:widowControl w:val="0"/>
        <w:shd w:val="clear" w:color="auto" w:fill="auto"/>
        <w:bidi w:val="0"/>
        <w:spacing w:before="0" w:after="0" w:line="498" w:lineRule="exact"/>
        <w:ind w:left="0" w:right="0" w:firstLine="440"/>
        <w:jc w:val="both"/>
      </w:pPr>
      <w:r>
        <w:rPr>
          <w:color w:val="000000"/>
          <w:spacing w:val="0"/>
          <w:w w:val="100"/>
          <w:position w:val="0"/>
        </w:rPr>
        <w:t>吉林华众，经中瑞评报字（</w:t>
      </w:r>
      <w:r>
        <w:rPr>
          <w:b/>
          <w:bCs/>
          <w:color w:val="000000"/>
          <w:spacing w:val="0"/>
          <w:w w:val="100"/>
          <w:position w:val="0"/>
        </w:rPr>
        <w:t>2022</w:t>
      </w:r>
      <w:r>
        <w:rPr>
          <w:color w:val="000000"/>
          <w:spacing w:val="0"/>
          <w:w w:val="100"/>
          <w:position w:val="0"/>
        </w:rPr>
        <w:t>）第</w:t>
      </w:r>
      <w:r>
        <w:rPr>
          <w:b/>
          <w:bCs/>
          <w:color w:val="000000"/>
          <w:spacing w:val="0"/>
          <w:w w:val="100"/>
          <w:position w:val="0"/>
        </w:rPr>
        <w:t>000189</w:t>
      </w:r>
      <w:r>
        <w:rPr>
          <w:color w:val="000000"/>
          <w:spacing w:val="0"/>
          <w:w w:val="100"/>
          <w:position w:val="0"/>
        </w:rPr>
        <w:t>号评估报告确认，商誉不存在减值迹象。</w:t>
      </w:r>
    </w:p>
    <w:p>
      <w:pPr>
        <w:pStyle w:val="Style17"/>
        <w:keepNext w:val="0"/>
        <w:keepLines w:val="0"/>
        <w:widowControl w:val="0"/>
        <w:shd w:val="clear" w:color="auto" w:fill="auto"/>
        <w:bidi w:val="0"/>
        <w:spacing w:before="0" w:after="0" w:line="498" w:lineRule="exact"/>
        <w:ind w:left="0" w:right="0" w:firstLine="440"/>
        <w:jc w:val="left"/>
      </w:pPr>
      <w:r>
        <w:rPr>
          <w:color w:val="000000"/>
          <w:spacing w:val="0"/>
          <w:w w:val="100"/>
          <w:position w:val="0"/>
        </w:rPr>
        <w:t>都昌皓晖，经志海评报字（</w:t>
      </w:r>
      <w:r>
        <w:rPr>
          <w:b/>
          <w:bCs/>
          <w:color w:val="000000"/>
          <w:spacing w:val="0"/>
          <w:w w:val="100"/>
          <w:position w:val="0"/>
        </w:rPr>
        <w:t>2022</w:t>
      </w:r>
      <w:r>
        <w:rPr>
          <w:color w:val="000000"/>
          <w:spacing w:val="0"/>
          <w:w w:val="100"/>
          <w:position w:val="0"/>
        </w:rPr>
        <w:t>）第</w:t>
      </w:r>
      <w:r>
        <w:rPr>
          <w:b/>
          <w:bCs/>
          <w:color w:val="000000"/>
          <w:spacing w:val="0"/>
          <w:w w:val="100"/>
          <w:position w:val="0"/>
        </w:rPr>
        <w:t>0080</w:t>
      </w:r>
      <w:r>
        <w:rPr>
          <w:color w:val="000000"/>
          <w:spacing w:val="0"/>
          <w:w w:val="100"/>
          <w:position w:val="0"/>
        </w:rPr>
        <w:t>号评估报告确认，商誉不存在减值迹象。</w:t>
      </w:r>
    </w:p>
    <w:p>
      <w:pPr>
        <w:pStyle w:val="Style17"/>
        <w:keepNext w:val="0"/>
        <w:keepLines w:val="0"/>
        <w:widowControl w:val="0"/>
        <w:shd w:val="clear" w:color="auto" w:fill="auto"/>
        <w:bidi w:val="0"/>
        <w:spacing w:before="0" w:after="280" w:line="498" w:lineRule="exact"/>
        <w:ind w:left="0" w:right="0" w:firstLine="440"/>
        <w:jc w:val="left"/>
      </w:pPr>
      <w:r>
        <w:rPr>
          <w:color w:val="000000"/>
          <w:spacing w:val="0"/>
          <w:w w:val="100"/>
          <w:position w:val="0"/>
        </w:rPr>
        <w:t>蒙阴盛康，经志海评报字（</w:t>
      </w:r>
      <w:r>
        <w:rPr>
          <w:b/>
          <w:bCs/>
          <w:color w:val="000000"/>
          <w:spacing w:val="0"/>
          <w:w w:val="100"/>
          <w:position w:val="0"/>
        </w:rPr>
        <w:t>2022</w:t>
      </w:r>
      <w:r>
        <w:rPr>
          <w:color w:val="000000"/>
          <w:spacing w:val="0"/>
          <w:w w:val="100"/>
          <w:position w:val="0"/>
        </w:rPr>
        <w:t>）第</w:t>
      </w:r>
      <w:r>
        <w:rPr>
          <w:b/>
          <w:bCs/>
          <w:color w:val="000000"/>
          <w:spacing w:val="0"/>
          <w:w w:val="100"/>
          <w:position w:val="0"/>
        </w:rPr>
        <w:t>0090</w:t>
      </w:r>
      <w:r>
        <w:rPr>
          <w:color w:val="000000"/>
          <w:spacing w:val="0"/>
          <w:w w:val="100"/>
          <w:position w:val="0"/>
        </w:rPr>
        <w:t>号评估报告确认，商誉不存在减值迹象。</w:t>
      </w:r>
    </w:p>
    <w:p>
      <w:pPr>
        <w:pStyle w:val="Style20"/>
        <w:keepNext/>
        <w:keepLines/>
        <w:widowControl w:val="0"/>
        <w:shd w:val="clear" w:color="auto" w:fill="auto"/>
        <w:bidi w:val="0"/>
        <w:spacing w:before="0" w:after="40" w:line="240" w:lineRule="auto"/>
        <w:ind w:left="0" w:right="0" w:firstLine="380"/>
        <w:jc w:val="left"/>
        <w:rPr>
          <w:sz w:val="17"/>
          <w:szCs w:val="17"/>
        </w:rPr>
      </w:pPr>
      <w:bookmarkStart w:id="979" w:name="bookmark979"/>
      <w:bookmarkStart w:id="980" w:name="bookmark980"/>
      <w:bookmarkStart w:id="981" w:name="bookmark981"/>
      <w:r>
        <w:rPr>
          <w:rFonts w:ascii="Arial Narrow" w:eastAsia="Arial Narrow" w:hAnsi="Arial Narrow" w:cs="Arial Narrow"/>
          <w:color w:val="000000"/>
          <w:spacing w:val="0"/>
          <w:w w:val="100"/>
          <w:position w:val="0"/>
          <w:sz w:val="18"/>
          <w:szCs w:val="18"/>
        </w:rPr>
        <w:t>22</w:t>
      </w:r>
      <w:r>
        <w:rPr>
          <w:color w:val="000000"/>
          <w:spacing w:val="0"/>
          <w:w w:val="100"/>
          <w:position w:val="0"/>
          <w:sz w:val="17"/>
          <w:szCs w:val="17"/>
        </w:rPr>
        <w:t>、长期待摊费用</w:t>
      </w:r>
      <w:bookmarkEnd w:id="979"/>
      <w:bookmarkEnd w:id="980"/>
      <w:bookmarkEnd w:id="981"/>
    </w:p>
    <w:tbl>
      <w:tblPr>
        <w:tblOverlap w:val="never"/>
        <w:jc w:val="center"/>
        <w:tblLayout w:type="fixed"/>
      </w:tblPr>
      <w:tblGrid>
        <w:gridCol w:w="1805"/>
        <w:gridCol w:w="1498"/>
        <w:gridCol w:w="1373"/>
        <w:gridCol w:w="1651"/>
        <w:gridCol w:w="1488"/>
        <w:gridCol w:w="1502"/>
      </w:tblGrid>
      <w:tr>
        <w:trPr>
          <w:trHeight w:val="451"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融资服务费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39,130,560.28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4,140,090.16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8,692,244.08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1,356,132.45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33,222,273.91</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223,964,052.40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7,974,981.00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215,989,071.40</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1,247,643.43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731,165.09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884,430.87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22,928.58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1,071,449.07</w:t>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264,342,256.11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4,871,255.25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17,551,655.95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1,379,061.03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b/>
                <w:bCs/>
                <w:color w:val="000000"/>
                <w:spacing w:val="0"/>
                <w:w w:val="100"/>
                <w:position w:val="0"/>
                <w:sz w:val="18"/>
                <w:szCs w:val="18"/>
              </w:rPr>
              <w:t>250,282,794.38</w:t>
            </w:r>
          </w:p>
        </w:tc>
      </w:tr>
    </w:tbl>
    <w:p>
      <w:pPr>
        <w:spacing w:lineRule="exact" w:line="1"/>
        <w:rPr>
          <w:sz w:val="2"/>
          <w:szCs w:val="2"/>
        </w:rPr>
      </w:pPr>
      <w:r>
        <w:br w:type="page"/>
      </w:r>
    </w:p>
    <w:p>
      <w:pPr>
        <w:pStyle w:val="Style27"/>
        <w:keepNext w:val="0"/>
        <w:keepLines w:val="0"/>
        <w:widowControl w:val="0"/>
        <w:shd w:val="clear" w:color="auto" w:fill="auto"/>
        <w:bidi w:val="0"/>
        <w:spacing w:before="0" w:after="340" w:line="240" w:lineRule="auto"/>
        <w:ind w:left="0" w:right="0" w:firstLine="420"/>
        <w:jc w:val="left"/>
        <w:rPr>
          <w:sz w:val="17"/>
          <w:szCs w:val="17"/>
        </w:rPr>
      </w:pPr>
      <w:r>
        <w:rPr>
          <w:color w:val="000000"/>
          <w:spacing w:val="0"/>
          <w:w w:val="100"/>
          <w:position w:val="0"/>
          <w:sz w:val="17"/>
          <w:szCs w:val="17"/>
        </w:rPr>
        <w:t>注：本期其他减少主要系处置邢台天宏祥燃气有限公司导致。</w:t>
      </w:r>
    </w:p>
    <w:p>
      <w:pPr>
        <w:pStyle w:val="Style20"/>
        <w:keepNext/>
        <w:keepLines/>
        <w:widowControl w:val="0"/>
        <w:shd w:val="clear" w:color="auto" w:fill="auto"/>
        <w:bidi w:val="0"/>
        <w:spacing w:before="0" w:after="260" w:line="240" w:lineRule="auto"/>
        <w:ind w:left="0" w:right="0" w:firstLine="420"/>
        <w:jc w:val="left"/>
        <w:rPr>
          <w:sz w:val="17"/>
          <w:szCs w:val="17"/>
        </w:rPr>
      </w:pPr>
      <w:bookmarkStart w:id="982" w:name="bookmark982"/>
      <w:bookmarkStart w:id="983" w:name="bookmark983"/>
      <w:bookmarkStart w:id="984" w:name="bookmark984"/>
      <w:r>
        <w:rPr>
          <w:rFonts w:ascii="Arial Narrow" w:eastAsia="Arial Narrow" w:hAnsi="Arial Narrow" w:cs="Arial Narrow"/>
          <w:color w:val="000000"/>
          <w:spacing w:val="0"/>
          <w:w w:val="100"/>
          <w:position w:val="0"/>
          <w:sz w:val="18"/>
          <w:szCs w:val="18"/>
        </w:rPr>
        <w:t>23</w:t>
      </w:r>
      <w:r>
        <w:rPr>
          <w:color w:val="000000"/>
          <w:spacing w:val="0"/>
          <w:w w:val="100"/>
          <w:position w:val="0"/>
          <w:sz w:val="17"/>
          <w:szCs w:val="17"/>
        </w:rPr>
        <w:t>、递延所得税资产和递延所得税负债</w:t>
      </w:r>
      <w:bookmarkEnd w:id="982"/>
      <w:bookmarkEnd w:id="983"/>
      <w:bookmarkEnd w:id="984"/>
    </w:p>
    <w:p>
      <w:pPr>
        <w:pStyle w:val="Style25"/>
        <w:keepNext w:val="0"/>
        <w:keepLines w:val="0"/>
        <w:widowControl w:val="0"/>
        <w:shd w:val="clear" w:color="auto" w:fill="auto"/>
        <w:bidi w:val="0"/>
        <w:spacing w:before="0" w:after="0" w:line="240" w:lineRule="auto"/>
        <w:ind w:left="168"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）未经抵消的递延所得税资产</w:t>
      </w:r>
    </w:p>
    <w:tbl>
      <w:tblPr>
        <w:tblOverlap w:val="never"/>
        <w:jc w:val="center"/>
        <w:tblLayout w:type="fixed"/>
      </w:tblPr>
      <w:tblGrid>
        <w:gridCol w:w="2030"/>
        <w:gridCol w:w="1680"/>
        <w:gridCol w:w="1920"/>
        <w:gridCol w:w="1762"/>
        <w:gridCol w:w="1901"/>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可抵扣暂时性差异</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21,154,212.00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91,867,220.49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15,605,691.47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75,639,397.60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9,265,105.07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61,767,367.12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2,758,645.59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15,472,044.68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14,838,857.05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91,479,779.77</w:t>
            </w:r>
          </w:p>
        </w:tc>
      </w:tr>
      <w:tr>
        <w:trPr>
          <w:trHeight w:val="7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内部交易形成的可抵扣</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7,818,858.27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49,565,838.00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10,234,494.28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64,609,909.16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1,194,493.42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4,777,973.67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793,001.35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5,286,675.69</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非同一控制企业合并形 成递延所得税资产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75,465,665.37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301,862,661.44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67,706,915.40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270,827,661.64</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b/>
                <w:bCs/>
                <w:color w:val="000000"/>
                <w:spacing w:val="0"/>
                <w:w w:val="100"/>
                <w:position w:val="0"/>
                <w:sz w:val="18"/>
                <w:szCs w:val="18"/>
              </w:rPr>
              <w:t>108,391,874.65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463,545,738.28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118,444,064.62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b/>
                <w:bCs/>
                <w:color w:val="000000"/>
                <w:spacing w:val="0"/>
                <w:w w:val="100"/>
                <w:position w:val="0"/>
                <w:sz w:val="18"/>
                <w:szCs w:val="18"/>
              </w:rPr>
              <w:t>569,610,790.98</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432"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）未经抵消的递延所得税负债</w:t>
      </w:r>
    </w:p>
    <w:tbl>
      <w:tblPr>
        <w:tblOverlap w:val="never"/>
        <w:jc w:val="center"/>
        <w:tblLayout w:type="fixed"/>
      </w:tblPr>
      <w:tblGrid>
        <w:gridCol w:w="2093"/>
        <w:gridCol w:w="1699"/>
        <w:gridCol w:w="1901"/>
        <w:gridCol w:w="1685"/>
        <w:gridCol w:w="1829"/>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应纳税暂时性差异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应纳税暂时性差异</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其他权益工具公允价值变 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1,485,560.09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5,942,240.38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657,996.30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2,631,985.20</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非同一控制下企业合并资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261,881,563.41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1,047,526,253.63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271,445,213.03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1,085,780,852.09</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折旧或摊销年限和税法不 一致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1,397,488.87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5,589,955.47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661,985.71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4,413,238.05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内部交易未实现亏损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8,762,295.30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35,049,181.27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6,312,923.74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25,251,694.98</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273,526,907.67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1,094,107,630.75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279,078,118.78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b/>
                <w:bCs/>
                <w:color w:val="000000"/>
                <w:spacing w:val="0"/>
                <w:w w:val="100"/>
                <w:position w:val="0"/>
                <w:sz w:val="18"/>
                <w:szCs w:val="18"/>
              </w:rPr>
              <w:t>1,118,077,770.32</w:t>
            </w:r>
          </w:p>
        </w:tc>
      </w:tr>
    </w:tbl>
    <w:p>
      <w:pPr>
        <w:widowControl w:val="0"/>
        <w:spacing w:after="159" w:line="1" w:lineRule="exact"/>
      </w:pPr>
    </w:p>
    <w:p>
      <w:pPr>
        <w:pStyle w:val="Style25"/>
        <w:keepNext w:val="0"/>
        <w:keepLines w:val="0"/>
        <w:widowControl w:val="0"/>
        <w:shd w:val="clear" w:color="auto" w:fill="auto"/>
        <w:bidi w:val="0"/>
        <w:spacing w:before="0" w:after="0" w:line="240" w:lineRule="auto"/>
        <w:ind w:left="432"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）未确认递延所得税资产明细</w:t>
      </w:r>
    </w:p>
    <w:tbl>
      <w:tblPr>
        <w:tblOverlap w:val="never"/>
        <w:jc w:val="center"/>
        <w:tblLayout w:type="fixed"/>
      </w:tblPr>
      <w:tblGrid>
        <w:gridCol w:w="3475"/>
        <w:gridCol w:w="2837"/>
        <w:gridCol w:w="2894"/>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1,863,990,575.68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1,588,266,958.34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2,827,096,513.42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1,778,901,569.77</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4,691,087,089.10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3,367,168,528.11</w:t>
            </w:r>
          </w:p>
        </w:tc>
      </w:tr>
    </w:tbl>
    <w:p>
      <w:pPr>
        <w:widowControl w:val="0"/>
        <w:spacing w:after="259" w:line="1" w:lineRule="exact"/>
      </w:pPr>
    </w:p>
    <w:p>
      <w:pPr>
        <w:pStyle w:val="Style27"/>
        <w:keepNext w:val="0"/>
        <w:keepLines w:val="0"/>
        <w:widowControl w:val="0"/>
        <w:shd w:val="clear" w:color="auto" w:fill="auto"/>
        <w:bidi w:val="0"/>
        <w:spacing w:before="0" w:after="260" w:line="240" w:lineRule="auto"/>
        <w:ind w:left="0" w:right="0" w:firstLine="420"/>
        <w:jc w:val="left"/>
        <w:rPr>
          <w:sz w:val="17"/>
          <w:szCs w:val="17"/>
        </w:rPr>
      </w:pPr>
      <w:r>
        <w:rPr>
          <w:color w:val="000000"/>
          <w:spacing w:val="0"/>
          <w:w w:val="100"/>
          <w:position w:val="0"/>
          <w:sz w:val="17"/>
          <w:szCs w:val="17"/>
        </w:rPr>
        <w:t>注：预计可抵扣暂时性差异未来无法转回，根据谨慎性原则未确认递延所得税资产。</w:t>
      </w:r>
    </w:p>
    <w:p>
      <w:pPr>
        <w:pStyle w:val="Style27"/>
        <w:keepNext w:val="0"/>
        <w:keepLines w:val="0"/>
        <w:widowControl w:val="0"/>
        <w:shd w:val="clear" w:color="auto" w:fill="auto"/>
        <w:bidi w:val="0"/>
        <w:spacing w:before="0" w:after="160" w:line="240" w:lineRule="auto"/>
        <w:ind w:left="0" w:right="0" w:firstLine="420"/>
        <w:jc w:val="left"/>
        <w:rPr>
          <w:sz w:val="17"/>
          <w:szCs w:val="17"/>
        </w:rPr>
      </w:pPr>
      <w:r>
        <w:rPr>
          <w:color w:val="000000"/>
          <w:spacing w:val="0"/>
          <w:w w:val="100"/>
          <w:position w:val="0"/>
          <w:sz w:val="17"/>
          <w:szCs w:val="17"/>
          <w:u w:val="single"/>
        </w:rPr>
        <w:t>（</w:t>
      </w:r>
      <w:r>
        <w:rPr>
          <w:rFonts w:ascii="Arial Narrow" w:eastAsia="Arial Narrow" w:hAnsi="Arial Narrow" w:cs="Arial Narrow"/>
          <w:color w:val="000000"/>
          <w:spacing w:val="0"/>
          <w:w w:val="100"/>
          <w:position w:val="0"/>
          <w:sz w:val="18"/>
          <w:szCs w:val="18"/>
          <w:u w:val="single"/>
        </w:rPr>
        <w:t>4</w:t>
      </w:r>
      <w:r>
        <w:rPr>
          <w:color w:val="000000"/>
          <w:spacing w:val="0"/>
          <w:w w:val="100"/>
          <w:position w:val="0"/>
          <w:sz w:val="17"/>
          <w:szCs w:val="17"/>
          <w:u w:val="single"/>
        </w:rPr>
        <w:t>）未确认递延所得税资产的可抵扣亏损将于以下年度到期</w:t>
      </w:r>
    </w:p>
    <w:p>
      <w:pPr>
        <w:pStyle w:val="Style82"/>
        <w:keepNext w:val="0"/>
        <w:keepLines w:val="0"/>
        <w:widowControl w:val="0"/>
        <w:shd w:val="clear" w:color="auto" w:fill="auto"/>
        <w:tabs>
          <w:tab w:pos="2981" w:val="left"/>
          <w:tab w:pos="5870" w:val="left"/>
        </w:tabs>
        <w:bidi w:val="0"/>
        <w:spacing w:before="0" w:after="260" w:line="240" w:lineRule="auto"/>
        <w:ind w:left="0" w:right="0" w:firstLine="0"/>
        <w:jc w:val="center"/>
      </w:pPr>
      <w:r>
        <w:rPr>
          <w:rFonts w:ascii="SimSun" w:eastAsia="SimSun" w:hAnsi="SimSun" w:cs="SimSun"/>
          <w:b/>
          <w:bCs/>
          <w:color w:val="000000"/>
          <w:spacing w:val="0"/>
          <w:w w:val="100"/>
          <w:position w:val="0"/>
          <w:sz w:val="17"/>
          <w:szCs w:val="17"/>
        </w:rPr>
        <w:t>年份</w:t>
        <w:tab/>
      </w:r>
      <w:r>
        <w:rPr>
          <w:b/>
          <w:bCs/>
          <w:color w:val="000000"/>
          <w:spacing w:val="0"/>
          <w:w w:val="100"/>
          <w:position w:val="0"/>
        </w:rPr>
        <w:t>2021.12.31</w:t>
        <w:tab/>
        <w:t>2020.12.31</w:t>
      </w:r>
      <w:r>
        <w:br w:type="page"/>
      </w:r>
    </w:p>
    <w:tbl>
      <w:tblPr>
        <w:tblOverlap w:val="never"/>
        <w:jc w:val="center"/>
        <w:tblLayout w:type="fixed"/>
      </w:tblPr>
      <w:tblGrid>
        <w:gridCol w:w="3571"/>
        <w:gridCol w:w="2827"/>
        <w:gridCol w:w="2971"/>
      </w:tblGrid>
      <w:tr>
        <w:trPr>
          <w:trHeight w:val="451"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7"/>
                <w:szCs w:val="17"/>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166,387,121.74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58,309,801.08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62,823,562.35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77,717,898.56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87,821,434.49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469,641,381.00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515,860,517.50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846,978,276.13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946,008,933.69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1,374,449,156.65</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2,827,096,513.42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1,778,901,569.77</w:t>
            </w:r>
          </w:p>
        </w:tc>
      </w:tr>
      <w:tr>
        <w:trPr>
          <w:trHeight w:val="528"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9"/>
                <w:szCs w:val="19"/>
              </w:rPr>
            </w:pPr>
            <w:bookmarkStart w:id="985" w:name="bookmark985"/>
            <w:r>
              <w:rPr>
                <w:rFonts w:ascii="Arial Narrow" w:eastAsia="Arial Narrow" w:hAnsi="Arial Narrow" w:cs="Arial Narrow"/>
                <w:b/>
                <w:bCs/>
                <w:color w:val="000000"/>
                <w:spacing w:val="0"/>
                <w:w w:val="100"/>
                <w:position w:val="0"/>
                <w:sz w:val="20"/>
                <w:szCs w:val="20"/>
              </w:rPr>
              <w:t>24</w:t>
            </w:r>
            <w:r>
              <w:rPr>
                <w:b/>
                <w:bCs/>
                <w:color w:val="000000"/>
                <w:spacing w:val="0"/>
                <w:w w:val="100"/>
                <w:position w:val="0"/>
                <w:sz w:val="20"/>
                <w:szCs w:val="20"/>
              </w:rPr>
              <w:t>、</w:t>
            </w:r>
            <w:r>
              <w:rPr>
                <w:b/>
                <w:bCs/>
                <w:color w:val="000000"/>
                <w:spacing w:val="0"/>
                <w:w w:val="100"/>
                <w:position w:val="0"/>
                <w:sz w:val="19"/>
                <w:szCs w:val="19"/>
              </w:rPr>
              <w:t>其他非流动资产</w:t>
            </w:r>
            <w:bookmarkEnd w:id="985"/>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w:t>
            </w:r>
            <w:r>
              <w:rPr>
                <w:rFonts w:ascii="Arial Narrow" w:eastAsia="Arial Narrow" w:hAnsi="Arial Narrow" w:cs="Arial Narrow"/>
                <w:color w:val="000000"/>
                <w:spacing w:val="0"/>
                <w:w w:val="100"/>
                <w:position w:val="0"/>
                <w:sz w:val="18"/>
                <w:szCs w:val="18"/>
              </w:rPr>
              <w:t>EPC</w:t>
            </w:r>
            <w:r>
              <w:rPr>
                <w:color w:val="000000"/>
                <w:spacing w:val="0"/>
                <w:w w:val="100"/>
                <w:position w:val="0"/>
                <w:sz w:val="17"/>
                <w:szCs w:val="17"/>
              </w:rPr>
              <w:t>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2,758,300,302.82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2,984,771,875.12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755,282,401.96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794,109,378.36</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3,513,582,704.78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3,778,881,253.48</w:t>
            </w:r>
          </w:p>
        </w:tc>
      </w:tr>
    </w:tbl>
    <w:p>
      <w:pPr>
        <w:widowControl w:val="0"/>
        <w:spacing w:after="239" w:line="1" w:lineRule="exact"/>
      </w:pPr>
    </w:p>
    <w:p>
      <w:pPr>
        <w:pStyle w:val="Style25"/>
        <w:keepNext w:val="0"/>
        <w:keepLines w:val="0"/>
        <w:widowControl w:val="0"/>
        <w:shd w:val="clear" w:color="auto" w:fill="auto"/>
        <w:bidi w:val="0"/>
        <w:spacing w:before="0" w:after="0" w:line="240" w:lineRule="auto"/>
        <w:ind w:left="432" w:right="0" w:firstLine="0"/>
        <w:jc w:val="left"/>
        <w:rPr>
          <w:sz w:val="17"/>
          <w:szCs w:val="17"/>
        </w:rPr>
      </w:pPr>
      <w:r>
        <w:rPr>
          <w:color w:val="000000"/>
          <w:spacing w:val="0"/>
          <w:w w:val="100"/>
          <w:position w:val="0"/>
          <w:sz w:val="17"/>
          <w:szCs w:val="17"/>
        </w:rPr>
        <w:t>注：期末预付</w:t>
      </w:r>
      <w:r>
        <w:rPr>
          <w:rFonts w:ascii="Arial Narrow" w:eastAsia="Arial Narrow" w:hAnsi="Arial Narrow" w:cs="Arial Narrow"/>
          <w:color w:val="000000"/>
          <w:spacing w:val="0"/>
          <w:w w:val="100"/>
          <w:position w:val="0"/>
          <w:sz w:val="18"/>
          <w:szCs w:val="18"/>
        </w:rPr>
        <w:t>EPC</w:t>
      </w:r>
      <w:r>
        <w:rPr>
          <w:color w:val="000000"/>
          <w:spacing w:val="0"/>
          <w:w w:val="100"/>
          <w:position w:val="0"/>
          <w:sz w:val="17"/>
          <w:szCs w:val="17"/>
        </w:rPr>
        <w:t>工程款主要为光伏电站项目根据合同预付的</w:t>
      </w:r>
      <w:r>
        <w:rPr>
          <w:rFonts w:ascii="Arial Narrow" w:eastAsia="Arial Narrow" w:hAnsi="Arial Narrow" w:cs="Arial Narrow"/>
          <w:color w:val="000000"/>
          <w:spacing w:val="0"/>
          <w:w w:val="100"/>
          <w:position w:val="0"/>
          <w:sz w:val="18"/>
          <w:szCs w:val="18"/>
        </w:rPr>
        <w:t>EPC</w:t>
      </w:r>
      <w:r>
        <w:rPr>
          <w:color w:val="000000"/>
          <w:spacing w:val="0"/>
          <w:w w:val="100"/>
          <w:position w:val="0"/>
          <w:sz w:val="17"/>
          <w:szCs w:val="17"/>
        </w:rPr>
        <w:t>工程款，预付投资款主要为已预付的</w:t>
      </w:r>
      <w:r>
        <w:rPr>
          <w:rFonts w:ascii="Arial Narrow" w:eastAsia="Arial Narrow" w:hAnsi="Arial Narrow" w:cs="Arial Narrow"/>
          <w:color w:val="000000"/>
          <w:spacing w:val="0"/>
          <w:w w:val="100"/>
          <w:position w:val="0"/>
          <w:sz w:val="18"/>
          <w:szCs w:val="18"/>
        </w:rPr>
        <w:t>PPP</w:t>
      </w:r>
      <w:r>
        <w:rPr>
          <w:color w:val="000000"/>
          <w:spacing w:val="0"/>
          <w:w w:val="100"/>
          <w:position w:val="0"/>
          <w:sz w:val="17"/>
          <w:szCs w:val="17"/>
        </w:rPr>
        <w:t>项目公司</w:t>
      </w:r>
    </w:p>
    <w:tbl>
      <w:tblPr>
        <w:tblOverlap w:val="never"/>
        <w:jc w:val="center"/>
        <w:tblLayout w:type="fixed"/>
      </w:tblPr>
      <w:tblGrid>
        <w:gridCol w:w="3403"/>
        <w:gridCol w:w="3110"/>
        <w:gridCol w:w="2894"/>
      </w:tblGrid>
      <w:tr>
        <w:trPr>
          <w:trHeight w:val="1099" w:hRule="exact"/>
        </w:trPr>
        <w:tc>
          <w:tcPr>
            <w:gridSpan w:val="3"/>
            <w:tcBorders/>
            <w:shd w:val="clear" w:color="auto" w:fill="FFFFFF"/>
            <w:vAlign w:val="top"/>
          </w:tcPr>
          <w:p>
            <w:pPr>
              <w:pStyle w:val="Style2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投资款及股权收购款。</w:t>
            </w:r>
          </w:p>
          <w:p>
            <w:pPr>
              <w:pStyle w:val="Style22"/>
              <w:keepNext w:val="0"/>
              <w:keepLines w:val="0"/>
              <w:widowControl w:val="0"/>
              <w:shd w:val="clear" w:color="auto" w:fill="auto"/>
              <w:bidi w:val="0"/>
              <w:spacing w:before="0" w:after="100" w:line="240" w:lineRule="auto"/>
              <w:ind w:left="0" w:right="0" w:firstLine="500"/>
              <w:jc w:val="left"/>
              <w:rPr>
                <w:sz w:val="20"/>
                <w:szCs w:val="20"/>
              </w:rPr>
            </w:pPr>
            <w:bookmarkStart w:id="986" w:name="bookmark986"/>
            <w:r>
              <w:rPr>
                <w:rFonts w:ascii="Arial Narrow" w:eastAsia="Arial Narrow" w:hAnsi="Arial Narrow" w:cs="Arial Narrow"/>
                <w:b/>
                <w:bCs/>
                <w:color w:val="000000"/>
                <w:spacing w:val="0"/>
                <w:w w:val="100"/>
                <w:position w:val="0"/>
                <w:sz w:val="20"/>
                <w:szCs w:val="20"/>
              </w:rPr>
              <w:t>25</w:t>
            </w:r>
            <w:r>
              <w:rPr>
                <w:b/>
                <w:bCs/>
                <w:color w:val="000000"/>
                <w:spacing w:val="0"/>
                <w:w w:val="100"/>
                <w:position w:val="0"/>
                <w:sz w:val="20"/>
                <w:szCs w:val="20"/>
              </w:rPr>
              <w:t>、短期借款</w:t>
            </w:r>
            <w:bookmarkEnd w:id="986"/>
          </w:p>
          <w:p>
            <w:pPr>
              <w:pStyle w:val="Style22"/>
              <w:keepNext w:val="0"/>
              <w:keepLines w:val="0"/>
              <w:widowControl w:val="0"/>
              <w:shd w:val="clear" w:color="auto" w:fill="auto"/>
              <w:bidi w:val="0"/>
              <w:spacing w:before="0" w:after="180" w:line="240" w:lineRule="auto"/>
              <w:ind w:left="0" w:right="0" w:firstLine="44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）短期借款分类</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5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保证加抵押加质押借款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192,520,000.00</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894,170,977.44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895,170,987.44</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质押加保证借款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100,000,000.00</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38,000,000.00</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抵押加保证借款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505,000,000.00</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125,986,840.32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16,458,327.72</w:t>
            </w: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1,644,157,817.76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1,747,149,315.16</w:t>
            </w:r>
          </w:p>
        </w:tc>
      </w:tr>
    </w:tbl>
    <w:p>
      <w:pPr>
        <w:widowControl w:val="0"/>
        <w:spacing w:after="59" w:line="1" w:lineRule="exact"/>
      </w:pPr>
    </w:p>
    <w:p>
      <w:pPr>
        <w:pStyle w:val="Style27"/>
        <w:keepNext w:val="0"/>
        <w:keepLines w:val="0"/>
        <w:widowControl w:val="0"/>
        <w:shd w:val="clear" w:color="auto" w:fill="auto"/>
        <w:bidi w:val="0"/>
        <w:spacing w:before="0" w:after="100" w:line="322" w:lineRule="exact"/>
        <w:ind w:left="0" w:right="0" w:firstLine="5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:抵押借款的抵押资产类别以及金额，参见附注五、</w:t>
      </w:r>
      <w:r>
        <w:rPr>
          <w:rFonts w:ascii="Arial Narrow" w:eastAsia="Arial Narrow" w:hAnsi="Arial Narrow" w:cs="Arial Narrow"/>
          <w:color w:val="000000"/>
          <w:spacing w:val="0"/>
          <w:w w:val="100"/>
          <w:position w:val="0"/>
          <w:sz w:val="18"/>
          <w:szCs w:val="18"/>
        </w:rPr>
        <w:t>59</w:t>
      </w:r>
      <w:r>
        <w:rPr>
          <w:color w:val="000000"/>
          <w:spacing w:val="0"/>
          <w:w w:val="100"/>
          <w:position w:val="0"/>
          <w:sz w:val="17"/>
          <w:szCs w:val="17"/>
        </w:rPr>
        <w:t>。</w:t>
      </w:r>
    </w:p>
    <w:p>
      <w:pPr>
        <w:pStyle w:val="Style27"/>
        <w:keepNext w:val="0"/>
        <w:keepLines w:val="0"/>
        <w:widowControl w:val="0"/>
        <w:shd w:val="clear" w:color="auto" w:fill="auto"/>
        <w:bidi w:val="0"/>
        <w:spacing w:before="0" w:after="60" w:line="322" w:lineRule="exact"/>
        <w:ind w:left="0" w:right="0" w:firstLine="5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：本期短期借款中的保证借款均为本公司、控股股东东旭集团及其李青、实际控制人李兆廷提供担保，东旭集团、</w:t>
      </w:r>
    </w:p>
    <w:p>
      <w:pPr>
        <w:pStyle w:val="Style27"/>
        <w:keepNext w:val="0"/>
        <w:keepLines w:val="0"/>
        <w:widowControl w:val="0"/>
        <w:shd w:val="clear" w:color="auto" w:fill="auto"/>
        <w:bidi w:val="0"/>
        <w:spacing w:before="0" w:after="60" w:line="322" w:lineRule="exact"/>
        <w:ind w:left="0" w:right="0" w:firstLine="140"/>
        <w:jc w:val="left"/>
        <w:rPr>
          <w:sz w:val="17"/>
          <w:szCs w:val="17"/>
        </w:rPr>
      </w:pPr>
      <w:r>
        <w:rPr>
          <w:color w:val="000000"/>
          <w:spacing w:val="0"/>
          <w:w w:val="100"/>
          <w:position w:val="0"/>
          <w:sz w:val="17"/>
          <w:szCs w:val="17"/>
        </w:rPr>
        <w:t>李兆廷及李青提供担保情况参见本附注十、</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w:t>
      </w:r>
    </w:p>
    <w:p>
      <w:pPr>
        <w:pStyle w:val="Style27"/>
        <w:keepNext w:val="0"/>
        <w:keepLines w:val="0"/>
        <w:widowControl w:val="0"/>
        <w:shd w:val="clear" w:color="auto" w:fill="auto"/>
        <w:bidi w:val="0"/>
        <w:spacing w:before="0" w:after="60" w:line="322" w:lineRule="exact"/>
        <w:ind w:left="0" w:right="0" w:firstLine="500"/>
        <w:jc w:val="left"/>
        <w:rPr>
          <w:sz w:val="17"/>
          <w:szCs w:val="17"/>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7"/>
          <w:szCs w:val="17"/>
        </w:rPr>
        <w:t>已逾期未偿还的短期借款情况</w:t>
      </w:r>
    </w:p>
    <w:p>
      <w:pPr>
        <w:pStyle w:val="Style27"/>
        <w:keepNext w:val="0"/>
        <w:keepLines w:val="0"/>
        <w:widowControl w:val="0"/>
        <w:shd w:val="clear" w:color="auto" w:fill="auto"/>
        <w:bidi w:val="0"/>
        <w:spacing w:before="0" w:after="60" w:line="322" w:lineRule="exact"/>
        <w:ind w:left="140" w:right="0" w:firstLine="360"/>
        <w:jc w:val="left"/>
        <w:rPr>
          <w:sz w:val="17"/>
          <w:szCs w:val="17"/>
        </w:rPr>
      </w:pPr>
      <w:r>
        <w:rPr>
          <w:color w:val="000000"/>
          <w:spacing w:val="0"/>
          <w:w w:val="100"/>
          <w:position w:val="0"/>
          <w:sz w:val="17"/>
          <w:szCs w:val="17"/>
        </w:rPr>
        <w:t>截止到</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日，已逾期未偿还的短期借款总额为</w:t>
      </w:r>
      <w:r>
        <w:rPr>
          <w:rFonts w:ascii="Arial Narrow" w:eastAsia="Arial Narrow" w:hAnsi="Arial Narrow" w:cs="Arial Narrow"/>
          <w:color w:val="000000"/>
          <w:spacing w:val="0"/>
          <w:w w:val="100"/>
          <w:position w:val="0"/>
          <w:sz w:val="18"/>
          <w:szCs w:val="18"/>
        </w:rPr>
        <w:t>128,000,000.00</w:t>
      </w:r>
      <w:r>
        <w:rPr>
          <w:color w:val="000000"/>
          <w:spacing w:val="0"/>
          <w:w w:val="100"/>
          <w:position w:val="0"/>
          <w:sz w:val="17"/>
          <w:szCs w:val="17"/>
        </w:rPr>
        <w:t>元，其中重要的已逾期未偿还的短期借款情 况如下：</w:t>
      </w:r>
    </w:p>
    <w:tbl>
      <w:tblPr>
        <w:tblOverlap w:val="never"/>
        <w:jc w:val="center"/>
        <w:tblLayout w:type="fixed"/>
      </w:tblPr>
      <w:tblGrid>
        <w:gridCol w:w="2899"/>
        <w:gridCol w:w="1848"/>
        <w:gridCol w:w="1368"/>
        <w:gridCol w:w="1589"/>
        <w:gridCol w:w="1589"/>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借款单位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借款期末金额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借款利率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逾期时间（天）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逾期利率</w:t>
            </w:r>
          </w:p>
        </w:tc>
      </w:tr>
      <w:tr>
        <w:trPr>
          <w:trHeight w:val="45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内蒙古银行包头包百支行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9.72%</w:t>
            </w:r>
          </w:p>
        </w:tc>
      </w:tr>
    </w:tbl>
    <w:p>
      <w:pPr>
        <w:spacing w:lineRule="exact" w:line="1"/>
        <w:rPr>
          <w:sz w:val="2"/>
          <w:szCs w:val="2"/>
        </w:rPr>
      </w:pPr>
      <w:r>
        <w:br w:type="page"/>
      </w:r>
    </w:p>
    <w:p>
      <w:pPr>
        <w:pStyle w:val="Style82"/>
        <w:keepNext w:val="0"/>
        <w:keepLines w:val="0"/>
        <w:widowControl w:val="0"/>
        <w:shd w:val="clear" w:color="auto" w:fill="auto"/>
        <w:tabs>
          <w:tab w:pos="3516" w:val="left"/>
        </w:tabs>
        <w:bidi w:val="0"/>
        <w:spacing w:before="0" w:after="300" w:line="240" w:lineRule="auto"/>
        <w:ind w:left="1500" w:right="0" w:firstLine="0"/>
        <w:jc w:val="left"/>
      </w:pPr>
      <w:r>
        <w:rPr>
          <w:rFonts w:ascii="SimSun" w:eastAsia="SimSun" w:hAnsi="SimSun" w:cs="SimSun"/>
          <w:b/>
          <w:bCs/>
          <w:color w:val="000000"/>
          <w:spacing w:val="0"/>
          <w:w w:val="100"/>
          <w:position w:val="0"/>
          <w:sz w:val="17"/>
          <w:szCs w:val="17"/>
        </w:rPr>
        <w:t>合计</w:t>
        <w:tab/>
      </w:r>
      <w:r>
        <w:rPr>
          <w:color w:val="000000"/>
          <w:spacing w:val="0"/>
          <w:w w:val="100"/>
          <w:position w:val="0"/>
        </w:rPr>
        <w:t>100,000,000.00</w:t>
      </w:r>
    </w:p>
    <w:p>
      <w:pPr>
        <w:pStyle w:val="Style17"/>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注：短期借款逾期利息情况见附注五、</w:t>
      </w:r>
      <w:r>
        <w:rPr>
          <w:b/>
          <w:bCs/>
          <w:color w:val="000000"/>
          <w:spacing w:val="0"/>
          <w:w w:val="100"/>
          <w:position w:val="0"/>
        </w:rPr>
        <w:t xml:space="preserve">31 </w:t>
      </w:r>
      <w:r>
        <w:rPr>
          <w:color w:val="000000"/>
          <w:spacing w:val="0"/>
          <w:w w:val="100"/>
          <w:position w:val="0"/>
        </w:rPr>
        <w:t>（</w:t>
      </w:r>
      <w:r>
        <w:rPr>
          <w:b/>
          <w:bCs/>
          <w:color w:val="000000"/>
          <w:spacing w:val="0"/>
          <w:w w:val="100"/>
          <w:position w:val="0"/>
        </w:rPr>
        <w:t>1</w:t>
      </w:r>
      <w:r>
        <w:rPr>
          <w:color w:val="000000"/>
          <w:spacing w:val="0"/>
          <w:w w:val="100"/>
          <w:position w:val="0"/>
        </w:rPr>
        <w:t>）</w:t>
      </w:r>
    </w:p>
    <w:tbl>
      <w:tblPr>
        <w:tblOverlap w:val="never"/>
        <w:jc w:val="center"/>
        <w:tblLayout w:type="fixed"/>
      </w:tblPr>
      <w:tblGrid>
        <w:gridCol w:w="3509"/>
        <w:gridCol w:w="2899"/>
        <w:gridCol w:w="2875"/>
      </w:tblGrid>
      <w:tr>
        <w:trPr>
          <w:trHeight w:val="816" w:hRule="exact"/>
        </w:trPr>
        <w:tc>
          <w:tcPr>
            <w:gridSpan w:val="3"/>
            <w:tcBorders/>
            <w:shd w:val="clear" w:color="auto" w:fill="FFFFFF"/>
            <w:vAlign w:val="top"/>
          </w:tcPr>
          <w:p>
            <w:pPr>
              <w:pStyle w:val="Style22"/>
              <w:keepNext w:val="0"/>
              <w:keepLines w:val="0"/>
              <w:widowControl w:val="0"/>
              <w:shd w:val="clear" w:color="auto" w:fill="auto"/>
              <w:bidi w:val="0"/>
              <w:spacing w:before="0" w:after="280" w:line="240" w:lineRule="auto"/>
              <w:ind w:left="0" w:right="0" w:firstLine="440"/>
              <w:jc w:val="left"/>
              <w:rPr>
                <w:sz w:val="20"/>
                <w:szCs w:val="20"/>
              </w:rPr>
            </w:pPr>
            <w:bookmarkStart w:id="987" w:name="bookmark987"/>
            <w:r>
              <w:rPr>
                <w:rFonts w:ascii="Arial Narrow" w:eastAsia="Arial Narrow" w:hAnsi="Arial Narrow" w:cs="Arial Narrow"/>
                <w:b/>
                <w:bCs/>
                <w:color w:val="000000"/>
                <w:spacing w:val="0"/>
                <w:w w:val="100"/>
                <w:position w:val="0"/>
                <w:sz w:val="20"/>
                <w:szCs w:val="20"/>
              </w:rPr>
              <w:t>26</w:t>
            </w:r>
            <w:r>
              <w:rPr>
                <w:b/>
                <w:bCs/>
                <w:color w:val="000000"/>
                <w:spacing w:val="0"/>
                <w:w w:val="100"/>
                <w:position w:val="0"/>
                <w:sz w:val="20"/>
                <w:szCs w:val="20"/>
              </w:rPr>
              <w:t>、应付票据</w:t>
            </w:r>
            <w:bookmarkEnd w:id="987"/>
          </w:p>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应付票据分类列示：</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4,167,500.00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40,000,000.00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44,167,500.00</w:t>
            </w:r>
          </w:p>
        </w:tc>
      </w:tr>
    </w:tbl>
    <w:p>
      <w:pPr>
        <w:widowControl w:val="0"/>
        <w:spacing w:after="239" w:line="1" w:lineRule="exact"/>
      </w:pPr>
    </w:p>
    <w:p>
      <w:pPr>
        <w:pStyle w:val="Style27"/>
        <w:keepNext w:val="0"/>
        <w:keepLines w:val="0"/>
        <w:widowControl w:val="0"/>
        <w:shd w:val="clear" w:color="auto" w:fill="auto"/>
        <w:bidi w:val="0"/>
        <w:spacing w:before="0" w:after="300" w:line="240" w:lineRule="auto"/>
        <w:ind w:left="0" w:right="0" w:firstLine="400"/>
        <w:jc w:val="left"/>
        <w:rPr>
          <w:sz w:val="17"/>
          <w:szCs w:val="17"/>
        </w:rPr>
      </w:pPr>
      <w:r>
        <w:rPr>
          <w:color w:val="000000"/>
          <w:spacing w:val="0"/>
          <w:w w:val="100"/>
          <w:position w:val="0"/>
          <w:sz w:val="17"/>
          <w:szCs w:val="17"/>
        </w:rPr>
        <w:t>注：本期末无已到期未支付的应付票据。</w:t>
      </w:r>
    </w:p>
    <w:p>
      <w:pPr>
        <w:pStyle w:val="Style20"/>
        <w:keepNext/>
        <w:keepLines/>
        <w:widowControl w:val="0"/>
        <w:shd w:val="clear" w:color="auto" w:fill="auto"/>
        <w:bidi w:val="0"/>
        <w:spacing w:before="0" w:after="300" w:line="240" w:lineRule="auto"/>
        <w:ind w:left="0" w:right="0" w:firstLine="460"/>
        <w:jc w:val="both"/>
        <w:rPr>
          <w:sz w:val="20"/>
          <w:szCs w:val="20"/>
        </w:rPr>
      </w:pPr>
      <w:bookmarkStart w:id="988" w:name="bookmark988"/>
      <w:bookmarkStart w:id="989" w:name="bookmark989"/>
      <w:bookmarkStart w:id="990" w:name="bookmark990"/>
      <w:bookmarkStart w:id="991" w:name="bookmark991"/>
      <w:r>
        <w:rPr>
          <w:rFonts w:ascii="Arial Narrow" w:eastAsia="Arial Narrow" w:hAnsi="Arial Narrow" w:cs="Arial Narrow"/>
          <w:color w:val="000000"/>
          <w:spacing w:val="0"/>
          <w:w w:val="100"/>
          <w:position w:val="0"/>
          <w:sz w:val="20"/>
          <w:szCs w:val="20"/>
        </w:rPr>
        <w:t>2</w:t>
      </w:r>
      <w:bookmarkEnd w:id="990"/>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、应付账款</w:t>
      </w:r>
      <w:bookmarkEnd w:id="988"/>
      <w:bookmarkEnd w:id="989"/>
      <w:bookmarkEnd w:id="991"/>
    </w:p>
    <w:tbl>
      <w:tblPr>
        <w:tblOverlap w:val="never"/>
        <w:jc w:val="center"/>
        <w:tblLayout w:type="fixed"/>
      </w:tblPr>
      <w:tblGrid>
        <w:gridCol w:w="3470"/>
        <w:gridCol w:w="2842"/>
        <w:gridCol w:w="2890"/>
      </w:tblGrid>
      <w:tr>
        <w:trPr>
          <w:trHeight w:val="355"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19"/>
                <w:szCs w:val="19"/>
              </w:rPr>
              <w:t>应付账款列示</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应付及暂估材料设备工程款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2,537,267,259.02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2,822,451,055.92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应付采购及劳务款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484,337,593.39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272,858,966.66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应付地价款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3,519,877.01</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3,021,604,852.41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3,098,829,899.59</w:t>
            </w:r>
          </w:p>
        </w:tc>
      </w:tr>
    </w:tbl>
    <w:p>
      <w:pPr>
        <w:widowControl w:val="0"/>
        <w:spacing w:after="239" w:line="1" w:lineRule="exact"/>
      </w:pPr>
    </w:p>
    <w:p>
      <w:pPr>
        <w:pStyle w:val="Style27"/>
        <w:keepNext w:val="0"/>
        <w:keepLines w:val="0"/>
        <w:widowControl w:val="0"/>
        <w:shd w:val="clear" w:color="auto" w:fill="auto"/>
        <w:bidi w:val="0"/>
        <w:spacing w:before="0" w:after="240" w:line="240" w:lineRule="auto"/>
        <w:ind w:left="0" w:right="0" w:firstLine="400"/>
        <w:jc w:val="left"/>
        <w:rPr>
          <w:sz w:val="17"/>
          <w:szCs w:val="17"/>
        </w:rPr>
      </w:pPr>
      <w:r>
        <w:rPr>
          <w:color w:val="000000"/>
          <w:spacing w:val="0"/>
          <w:w w:val="100"/>
          <w:position w:val="0"/>
          <w:sz w:val="17"/>
          <w:szCs w:val="17"/>
        </w:rPr>
        <w:t>注</w:t>
      </w:r>
      <w:r>
        <w:rPr>
          <w:rFonts w:ascii="SimHei" w:eastAsia="SimHei" w:hAnsi="SimHei" w:cs="SimHei"/>
          <w:color w:val="000000"/>
          <w:spacing w:val="0"/>
          <w:w w:val="100"/>
          <w:position w:val="0"/>
          <w:sz w:val="19"/>
          <w:szCs w:val="19"/>
        </w:rPr>
        <w:t>1：</w:t>
      </w:r>
      <w:r>
        <w:rPr>
          <w:color w:val="000000"/>
          <w:spacing w:val="0"/>
          <w:w w:val="100"/>
          <w:position w:val="0"/>
          <w:sz w:val="17"/>
          <w:szCs w:val="17"/>
        </w:rPr>
        <w:t>本期期末较期初减少主要为新能源、生态环保业务陆续偿还以前年度欠款。</w:t>
      </w:r>
    </w:p>
    <w:p>
      <w:pPr>
        <w:pStyle w:val="Style27"/>
        <w:keepNext w:val="0"/>
        <w:keepLines w:val="0"/>
        <w:widowControl w:val="0"/>
        <w:shd w:val="clear" w:color="auto" w:fill="auto"/>
        <w:bidi w:val="0"/>
        <w:spacing w:before="0" w:after="300" w:line="240" w:lineRule="auto"/>
        <w:ind w:left="0" w:right="0" w:firstLine="400"/>
        <w:jc w:val="left"/>
        <w:rPr>
          <w:sz w:val="17"/>
          <w:szCs w:val="17"/>
        </w:rPr>
      </w:pPr>
      <w:r>
        <w:rPr>
          <w:color w:val="000000"/>
          <w:spacing w:val="0"/>
          <w:w w:val="100"/>
          <w:position w:val="0"/>
          <w:sz w:val="17"/>
          <w:szCs w:val="17"/>
        </w:rPr>
        <w:t>注</w:t>
      </w:r>
      <w:r>
        <w:rPr>
          <w:rFonts w:ascii="SimHei" w:eastAsia="SimHei" w:hAnsi="SimHei" w:cs="SimHei"/>
          <w:color w:val="000000"/>
          <w:spacing w:val="0"/>
          <w:w w:val="100"/>
          <w:position w:val="0"/>
          <w:sz w:val="19"/>
          <w:szCs w:val="19"/>
        </w:rPr>
        <w:t>2：</w:t>
      </w:r>
      <w:r>
        <w:rPr>
          <w:color w:val="000000"/>
          <w:spacing w:val="0"/>
          <w:w w:val="100"/>
          <w:position w:val="0"/>
          <w:sz w:val="17"/>
          <w:szCs w:val="17"/>
        </w:rPr>
        <w:t>应付地价款减少原因主要为新租赁准则调整至附注五、</w:t>
      </w:r>
      <w:r>
        <w:rPr>
          <w:rFonts w:ascii="Arial Narrow" w:eastAsia="Arial Narrow" w:hAnsi="Arial Narrow" w:cs="Arial Narrow"/>
          <w:color w:val="000000"/>
          <w:spacing w:val="0"/>
          <w:w w:val="100"/>
          <w:position w:val="0"/>
          <w:sz w:val="18"/>
          <w:szCs w:val="18"/>
        </w:rPr>
        <w:t>35</w:t>
      </w:r>
      <w:r>
        <w:rPr>
          <w:color w:val="000000"/>
          <w:spacing w:val="0"/>
          <w:w w:val="100"/>
          <w:position w:val="0"/>
          <w:sz w:val="17"/>
          <w:szCs w:val="17"/>
        </w:rPr>
        <w:t>租赁负债。</w:t>
      </w:r>
    </w:p>
    <w:p>
      <w:pPr>
        <w:pStyle w:val="Style25"/>
        <w:keepNext w:val="0"/>
        <w:keepLines w:val="0"/>
        <w:widowControl w:val="0"/>
        <w:shd w:val="clear" w:color="auto" w:fill="auto"/>
        <w:bidi w:val="0"/>
        <w:spacing w:before="0" w:after="0" w:line="240" w:lineRule="auto"/>
        <w:ind w:left="38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）账龄超过</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年的重要应付账款</w:t>
      </w:r>
    </w:p>
    <w:tbl>
      <w:tblPr>
        <w:tblOverlap w:val="never"/>
        <w:jc w:val="center"/>
        <w:tblLayout w:type="fixed"/>
      </w:tblPr>
      <w:tblGrid>
        <w:gridCol w:w="3830"/>
        <w:gridCol w:w="720"/>
        <w:gridCol w:w="1867"/>
        <w:gridCol w:w="3514"/>
      </w:tblGrid>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未偿还或结转的原因</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苏州工业园区园林绿化工程有限公司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143,040,142.77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未达到约定的付款条件和期限</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四川北控清洁能源工程有限公司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117,898,159.28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未达到约定的付款条件和期限</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中建材浚鑫科技有限公司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109,065,787.25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未达到约定的付款条件和期限</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山东鑫创新能源建设开发有限公司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80,821,868.80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未达到约定的付款条件和期限</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东旭建设集团有限公司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70,435,552.19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未达到约定的付款条件和期限</w:t>
            </w:r>
          </w:p>
        </w:tc>
      </w:tr>
      <w:tr>
        <w:trPr>
          <w:trHeight w:val="43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b/>
                <w:bCs/>
                <w:color w:val="000000"/>
                <w:spacing w:val="0"/>
                <w:w w:val="100"/>
                <w:position w:val="0"/>
                <w:sz w:val="18"/>
                <w:szCs w:val="18"/>
              </w:rPr>
              <w:t>521,261,510.29</w:t>
            </w:r>
          </w:p>
        </w:tc>
        <w:tc>
          <w:tcPr>
            <w:tcBorders>
              <w:top w:val="single" w:sz="4"/>
              <w:left w:val="single" w:sz="4"/>
            </w:tcBorders>
            <w:shd w:val="clear" w:color="auto" w:fill="FFFFFF"/>
            <w:vAlign w:val="top"/>
          </w:tcPr>
          <w:p>
            <w:pPr>
              <w:widowControl w:val="0"/>
              <w:rPr>
                <w:sz w:val="10"/>
                <w:szCs w:val="10"/>
              </w:rPr>
            </w:pPr>
          </w:p>
        </w:tc>
      </w:tr>
      <w:tr>
        <w:trPr>
          <w:trHeight w:val="528" w:hRule="exact"/>
        </w:trPr>
        <w:tc>
          <w:tcPr>
            <w:gridSpan w:val="4"/>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0"/>
                <w:szCs w:val="20"/>
              </w:rPr>
            </w:pPr>
            <w:bookmarkStart w:id="992" w:name="bookmark992"/>
            <w:r>
              <w:rPr>
                <w:rFonts w:ascii="Arial Narrow" w:eastAsia="Arial Narrow" w:hAnsi="Arial Narrow" w:cs="Arial Narrow"/>
                <w:b/>
                <w:bCs/>
                <w:color w:val="000000"/>
                <w:spacing w:val="0"/>
                <w:w w:val="100"/>
                <w:position w:val="0"/>
                <w:sz w:val="20"/>
                <w:szCs w:val="20"/>
              </w:rPr>
              <w:t>28</w:t>
            </w:r>
            <w:r>
              <w:rPr>
                <w:b/>
                <w:bCs/>
                <w:color w:val="000000"/>
                <w:spacing w:val="0"/>
                <w:w w:val="100"/>
                <w:position w:val="0"/>
                <w:sz w:val="20"/>
                <w:szCs w:val="20"/>
              </w:rPr>
              <w:t>、合同负债</w:t>
            </w:r>
            <w:bookmarkEnd w:id="992"/>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合同负债</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291,132,282.61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224,776,710.71</w:t>
            </w:r>
          </w:p>
        </w:tc>
      </w:tr>
    </w:tbl>
    <w:p>
      <w:pPr>
        <w:spacing w:lineRule="exact" w:line="1"/>
        <w:rPr>
          <w:sz w:val="2"/>
          <w:szCs w:val="2"/>
        </w:rPr>
      </w:pPr>
      <w:r>
        <w:br w:type="page"/>
      </w:r>
    </w:p>
    <w:tbl>
      <w:tblPr>
        <w:tblOverlap w:val="never"/>
        <w:jc w:val="center"/>
        <w:tblLayout w:type="fixed"/>
      </w:tblPr>
      <w:tblGrid>
        <w:gridCol w:w="3830"/>
        <w:gridCol w:w="2645"/>
        <w:gridCol w:w="2851"/>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减：列示于其他非流动负债的部分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291,132,282.61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224,776,710.71</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149"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)分类</w:t>
      </w:r>
    </w:p>
    <w:tbl>
      <w:tblPr>
        <w:tblOverlap w:val="never"/>
        <w:jc w:val="center"/>
        <w:tblLayout w:type="fixed"/>
      </w:tblPr>
      <w:tblGrid>
        <w:gridCol w:w="3754"/>
        <w:gridCol w:w="2654"/>
        <w:gridCol w:w="2798"/>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预收产品销售款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31,328,305.97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37,668,032.92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预收工程设备款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224,905,684.03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185,835,322.79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34,898,292.61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1,273,355.00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291,132,282.61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224,776,710.71</w:t>
            </w:r>
          </w:p>
        </w:tc>
      </w:tr>
    </w:tbl>
    <w:p>
      <w:pPr>
        <w:widowControl w:val="0"/>
        <w:spacing w:after="159" w:line="1" w:lineRule="exact"/>
      </w:pPr>
    </w:p>
    <w:p>
      <w:pPr>
        <w:pStyle w:val="Style20"/>
        <w:keepNext/>
        <w:keepLines/>
        <w:widowControl w:val="0"/>
        <w:shd w:val="clear" w:color="auto" w:fill="auto"/>
        <w:bidi w:val="0"/>
        <w:spacing w:before="0" w:after="160" w:line="240" w:lineRule="auto"/>
        <w:ind w:left="0" w:right="0" w:firstLine="460"/>
        <w:jc w:val="left"/>
        <w:rPr>
          <w:sz w:val="20"/>
          <w:szCs w:val="20"/>
        </w:rPr>
      </w:pPr>
      <w:bookmarkStart w:id="993" w:name="bookmark993"/>
      <w:bookmarkStart w:id="994" w:name="bookmark994"/>
      <w:bookmarkStart w:id="995" w:name="bookmark995"/>
      <w:bookmarkStart w:id="996" w:name="bookmark996"/>
      <w:r>
        <w:rPr>
          <w:rFonts w:ascii="Arial Narrow" w:eastAsia="Arial Narrow" w:hAnsi="Arial Narrow" w:cs="Arial Narrow"/>
          <w:color w:val="000000"/>
          <w:spacing w:val="0"/>
          <w:w w:val="100"/>
          <w:position w:val="0"/>
          <w:sz w:val="20"/>
          <w:szCs w:val="20"/>
        </w:rPr>
        <w:t>2</w:t>
      </w:r>
      <w:bookmarkEnd w:id="995"/>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、应付职工薪酬</w:t>
      </w:r>
      <w:bookmarkEnd w:id="993"/>
      <w:bookmarkEnd w:id="994"/>
      <w:bookmarkEnd w:id="996"/>
    </w:p>
    <w:p>
      <w:pPr>
        <w:pStyle w:val="Style27"/>
        <w:keepNext w:val="0"/>
        <w:keepLines w:val="0"/>
        <w:widowControl w:val="0"/>
        <w:shd w:val="clear" w:color="auto" w:fill="auto"/>
        <w:bidi w:val="0"/>
        <w:spacing w:before="0" w:after="80" w:line="240" w:lineRule="auto"/>
        <w:ind w:left="0" w:right="0" w:firstLine="4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)应付职工薪酬列示</w:t>
      </w:r>
    </w:p>
    <w:tbl>
      <w:tblPr>
        <w:tblOverlap w:val="never"/>
        <w:jc w:val="center"/>
        <w:tblLayout w:type="fixed"/>
      </w:tblPr>
      <w:tblGrid>
        <w:gridCol w:w="2990"/>
        <w:gridCol w:w="1618"/>
        <w:gridCol w:w="1622"/>
        <w:gridCol w:w="1579"/>
        <w:gridCol w:w="1555"/>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16,283,396.66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91,983,920.57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94,760,567.37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13,506,749.86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二、离职后福利</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设定提存计划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6,212,636.34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6,123,466.94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89,636.06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593,060.00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2,487,538.66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2,956,598.66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124,000.00</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16,876,923.32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100,684,095.57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103,840,632.97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b/>
                <w:bCs/>
                <w:color w:val="000000"/>
                <w:spacing w:val="0"/>
                <w:w w:val="100"/>
                <w:position w:val="0"/>
                <w:sz w:val="18"/>
                <w:szCs w:val="18"/>
              </w:rPr>
              <w:t>13,720,385.92</w:t>
            </w:r>
          </w:p>
        </w:tc>
      </w:tr>
      <w:tr>
        <w:trPr>
          <w:trHeight w:val="422"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)短期薪酬列示</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13,204,180.55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79,566,836.99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82,104,189.54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10,666,828.00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3,837,535.85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3,837,535.85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120,364.00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3,493,269.03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3,547,764.06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65,868.97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119,949.18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3,348,945.81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3,411,281.25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57,613.74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129,460.38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126,757.17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2,801.23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14,862.84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9,725.64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5,454.00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20,852.74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4,588,185.96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4,607,581.96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1,456.74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2,813,999.37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325,201.38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490,604.60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2,648,596.15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、其他短期薪酬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172,891.36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172,891.36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124,000.00</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16,283,396.66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91,983,920.57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94,760,567.37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b/>
                <w:bCs/>
                <w:color w:val="000000"/>
                <w:spacing w:val="0"/>
                <w:w w:val="100"/>
                <w:position w:val="0"/>
                <w:sz w:val="18"/>
                <w:szCs w:val="18"/>
              </w:rPr>
              <w:t>13,506,749.86</w:t>
            </w:r>
          </w:p>
        </w:tc>
      </w:tr>
      <w:tr>
        <w:trPr>
          <w:trHeight w:val="418"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)设定提存计划列示</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5,989,795.25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5,903,576.60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86,666.08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222,841.09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219,890.34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2,969.98</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466.66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6,212,636.34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6,123,466.94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b/>
                <w:bCs/>
                <w:color w:val="000000"/>
                <w:spacing w:val="0"/>
                <w:w w:val="100"/>
                <w:position w:val="0"/>
                <w:sz w:val="18"/>
                <w:szCs w:val="18"/>
              </w:rPr>
              <w:t>89,636.06</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403"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)辞退福利列示</w:t>
      </w:r>
    </w:p>
    <w:tbl>
      <w:tblPr>
        <w:tblOverlap w:val="never"/>
        <w:jc w:val="center"/>
        <w:tblLayout w:type="fixed"/>
      </w:tblPr>
      <w:tblGrid>
        <w:gridCol w:w="2952"/>
        <w:gridCol w:w="1646"/>
        <w:gridCol w:w="1642"/>
        <w:gridCol w:w="1589"/>
        <w:gridCol w:w="1536"/>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593,060.00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2,487,538.66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2,956,598.66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124,000.00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593,060.00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2,487,538.66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2,956,598.66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b/>
                <w:bCs/>
                <w:color w:val="000000"/>
                <w:spacing w:val="0"/>
                <w:w w:val="100"/>
                <w:position w:val="0"/>
                <w:sz w:val="18"/>
                <w:szCs w:val="18"/>
              </w:rPr>
              <w:t>124,000.00</w:t>
            </w:r>
          </w:p>
        </w:tc>
      </w:tr>
    </w:tbl>
    <w:p>
      <w:pPr>
        <w:widowControl w:val="0"/>
        <w:spacing w:after="219" w:line="1" w:lineRule="exact"/>
      </w:pPr>
    </w:p>
    <w:p>
      <w:pPr>
        <w:pStyle w:val="Style27"/>
        <w:keepNext w:val="0"/>
        <w:keepLines w:val="0"/>
        <w:widowControl w:val="0"/>
        <w:shd w:val="clear" w:color="auto" w:fill="auto"/>
        <w:bidi w:val="0"/>
        <w:spacing w:before="0" w:after="220" w:line="240" w:lineRule="auto"/>
        <w:ind w:left="0" w:right="0" w:firstLine="44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:期末应付职工薪酬中无拖欠性质的工资。</w:t>
      </w:r>
    </w:p>
    <w:p>
      <w:pPr>
        <w:pStyle w:val="Style20"/>
        <w:keepNext/>
        <w:keepLines/>
        <w:widowControl w:val="0"/>
        <w:shd w:val="clear" w:color="auto" w:fill="auto"/>
        <w:bidi w:val="0"/>
        <w:spacing w:before="0" w:after="60" w:line="240" w:lineRule="auto"/>
        <w:ind w:left="0" w:right="0" w:firstLine="500"/>
        <w:jc w:val="left"/>
        <w:rPr>
          <w:sz w:val="20"/>
          <w:szCs w:val="20"/>
        </w:rPr>
      </w:pPr>
      <w:bookmarkStart w:id="1000" w:name="bookmark1000"/>
      <w:bookmarkStart w:id="997" w:name="bookmark997"/>
      <w:bookmarkStart w:id="998" w:name="bookmark998"/>
      <w:bookmarkStart w:id="999" w:name="bookmark999"/>
      <w:r>
        <w:rPr>
          <w:rFonts w:ascii="Arial Narrow" w:eastAsia="Arial Narrow" w:hAnsi="Arial Narrow" w:cs="Arial Narrow"/>
          <w:color w:val="000000"/>
          <w:spacing w:val="0"/>
          <w:w w:val="100"/>
          <w:position w:val="0"/>
          <w:sz w:val="20"/>
          <w:szCs w:val="20"/>
        </w:rPr>
        <w:t>3</w:t>
      </w:r>
      <w:bookmarkEnd w:id="999"/>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、应交税费</w:t>
      </w:r>
      <w:bookmarkEnd w:id="1000"/>
      <w:bookmarkEnd w:id="997"/>
      <w:bookmarkEnd w:id="998"/>
    </w:p>
    <w:tbl>
      <w:tblPr>
        <w:tblOverlap w:val="never"/>
        <w:jc w:val="center"/>
        <w:tblLayout w:type="fixed"/>
      </w:tblPr>
      <w:tblGrid>
        <w:gridCol w:w="3442"/>
        <w:gridCol w:w="3192"/>
        <w:gridCol w:w="2717"/>
      </w:tblGrid>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12,488,121.98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17,594,872.99</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58,542,325.27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50,950,477.88</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12,364,277.91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12,364,277.91</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7,449,546.59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7,593,170.67</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9,809,561.86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9,380,926.70</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1,418,957.40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1,490,655.02</w:t>
            </w:r>
          </w:p>
        </w:tc>
      </w:tr>
      <w:tr>
        <w:trPr>
          <w:trHeight w:val="4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102,072,791.01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99,374,381.17</w:t>
            </w:r>
          </w:p>
        </w:tc>
      </w:tr>
    </w:tbl>
    <w:p>
      <w:pPr>
        <w:widowControl w:val="0"/>
        <w:spacing w:after="219" w:line="1" w:lineRule="exact"/>
      </w:pPr>
    </w:p>
    <w:p>
      <w:pPr>
        <w:pStyle w:val="Style20"/>
        <w:keepNext/>
        <w:keepLines/>
        <w:widowControl w:val="0"/>
        <w:shd w:val="clear" w:color="auto" w:fill="auto"/>
        <w:bidi w:val="0"/>
        <w:spacing w:before="0" w:after="60" w:line="240" w:lineRule="auto"/>
        <w:ind w:left="0" w:right="0" w:firstLine="500"/>
        <w:jc w:val="left"/>
        <w:rPr>
          <w:sz w:val="20"/>
          <w:szCs w:val="20"/>
        </w:rPr>
      </w:pPr>
      <w:bookmarkStart w:id="1001" w:name="bookmark1001"/>
      <w:bookmarkStart w:id="1002" w:name="bookmark1002"/>
      <w:bookmarkStart w:id="1003" w:name="bookmark1003"/>
      <w:bookmarkStart w:id="1004" w:name="bookmark1004"/>
      <w:r>
        <w:rPr>
          <w:rFonts w:ascii="Arial Narrow" w:eastAsia="Arial Narrow" w:hAnsi="Arial Narrow" w:cs="Arial Narrow"/>
          <w:color w:val="000000"/>
          <w:spacing w:val="0"/>
          <w:w w:val="100"/>
          <w:position w:val="0"/>
          <w:sz w:val="20"/>
          <w:szCs w:val="20"/>
        </w:rPr>
        <w:t>3</w:t>
      </w:r>
      <w:bookmarkEnd w:id="1003"/>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、其他应付款</w:t>
      </w:r>
      <w:bookmarkEnd w:id="1001"/>
      <w:bookmarkEnd w:id="1002"/>
      <w:bookmarkEnd w:id="1004"/>
    </w:p>
    <w:tbl>
      <w:tblPr>
        <w:tblOverlap w:val="never"/>
        <w:jc w:val="center"/>
        <w:tblLayout w:type="fixed"/>
      </w:tblPr>
      <w:tblGrid>
        <w:gridCol w:w="3432"/>
        <w:gridCol w:w="3149"/>
        <w:gridCol w:w="2755"/>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249,129,355.36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145,588,982.84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1,786,039.81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2,981,984.85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347,057,869.34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488,765,756.28</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597,973,264.51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637,336,723.97</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456"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)应付利息情况</w:t>
      </w:r>
    </w:p>
    <w:tbl>
      <w:tblPr>
        <w:tblOverlap w:val="never"/>
        <w:jc w:val="center"/>
        <w:tblLayout w:type="fixed"/>
      </w:tblPr>
      <w:tblGrid>
        <w:gridCol w:w="3720"/>
        <w:gridCol w:w="2746"/>
        <w:gridCol w:w="2842"/>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分期付息到期还本的长期借款利息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194,485,297.25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77,205,158.89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35,952,885.73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62,969,414.72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长期应付款应付利息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18,691,172.38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5,414,409.23</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249,129,355.36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145,588,982.84</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182" w:right="0" w:firstLine="0"/>
        <w:jc w:val="left"/>
        <w:rPr>
          <w:sz w:val="17"/>
          <w:szCs w:val="17"/>
        </w:rPr>
      </w:pPr>
      <w:r>
        <w:rPr>
          <w:color w:val="000000"/>
          <w:spacing w:val="0"/>
          <w:w w:val="100"/>
          <w:position w:val="0"/>
          <w:sz w:val="17"/>
          <w:szCs w:val="17"/>
        </w:rPr>
        <w:t>重要的已逾期未支付的利息情况:</w:t>
      </w:r>
    </w:p>
    <w:tbl>
      <w:tblPr>
        <w:tblOverlap w:val="never"/>
        <w:jc w:val="center"/>
        <w:tblLayout w:type="fixed"/>
      </w:tblPr>
      <w:tblGrid>
        <w:gridCol w:w="3787"/>
        <w:gridCol w:w="2688"/>
        <w:gridCol w:w="2818"/>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借款单位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逾期金额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逾期原因</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中信信托有限责任公司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137,515,378.20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未按约定期限还款</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包头农村商业银行股份有限公司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17,376,933.07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未按约定期限还款</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内蒙古银行包头包百支行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28,676,458.48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未按约定期限还款</w:t>
            </w:r>
          </w:p>
        </w:tc>
      </w:tr>
    </w:tbl>
    <w:p>
      <w:pPr>
        <w:spacing w:lineRule="exact" w:line="1"/>
        <w:rPr>
          <w:sz w:val="2"/>
          <w:szCs w:val="2"/>
        </w:rPr>
      </w:pPr>
      <w:r>
        <w:br w:type="page"/>
      </w:r>
    </w:p>
    <w:tbl>
      <w:tblPr>
        <w:tblOverlap w:val="never"/>
        <w:jc w:val="center"/>
        <w:tblLayout w:type="fixed"/>
      </w:tblPr>
      <w:tblGrid>
        <w:gridCol w:w="3686"/>
        <w:gridCol w:w="312"/>
        <w:gridCol w:w="2530"/>
        <w:gridCol w:w="158"/>
        <w:gridCol w:w="2818"/>
      </w:tblGrid>
      <w:tr>
        <w:trPr>
          <w:trHeight w:val="461"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183,568,769.75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)应付股利情况</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原募集法人股东未领取的股利</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1,786,039.81</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1,786,039.81</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应付少数股东股利</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1,195,945.04</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1,786,039.81</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b/>
                <w:bCs/>
                <w:color w:val="000000"/>
                <w:spacing w:val="0"/>
                <w:w w:val="100"/>
                <w:position w:val="0"/>
                <w:sz w:val="18"/>
                <w:szCs w:val="18"/>
              </w:rPr>
              <w:t>2,981,984.85</w:t>
            </w:r>
          </w:p>
        </w:tc>
      </w:tr>
    </w:tbl>
    <w:p>
      <w:pPr>
        <w:widowControl w:val="0"/>
        <w:spacing w:after="179" w:line="1" w:lineRule="exact"/>
      </w:pPr>
    </w:p>
    <w:p>
      <w:pPr>
        <w:pStyle w:val="Style17"/>
        <w:keepNext w:val="0"/>
        <w:keepLines w:val="0"/>
        <w:widowControl w:val="0"/>
        <w:numPr>
          <w:ilvl w:val="0"/>
          <w:numId w:val="37"/>
        </w:numPr>
        <w:shd w:val="clear" w:color="auto" w:fill="auto"/>
        <w:bidi w:val="0"/>
        <w:spacing w:before="0" w:after="260" w:line="240" w:lineRule="auto"/>
        <w:ind w:left="0" w:right="0" w:firstLine="500"/>
        <w:jc w:val="left"/>
      </w:pPr>
      <w:bookmarkStart w:id="1005" w:name="bookmark1005"/>
      <w:bookmarkEnd w:id="1005"/>
      <w:r>
        <w:rPr>
          <w:color w:val="000000"/>
          <w:spacing w:val="0"/>
          <w:w w:val="100"/>
          <w:position w:val="0"/>
        </w:rPr>
        <w:t>其他应付款</w:t>
      </w:r>
    </w:p>
    <w:tbl>
      <w:tblPr>
        <w:tblOverlap w:val="never"/>
        <w:jc w:val="center"/>
        <w:tblLayout w:type="fixed"/>
      </w:tblPr>
      <w:tblGrid>
        <w:gridCol w:w="3370"/>
        <w:gridCol w:w="3086"/>
        <w:gridCol w:w="2678"/>
      </w:tblGrid>
      <w:tr>
        <w:trPr>
          <w:trHeight w:val="293"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①按款项性质列示其他应付款</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102,553,299.69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156,699,829.21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应付关联方往来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22,004,155.97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100,891,095.15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142,575,397.84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135,685,868.96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319,287.92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1,173,692.24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违约金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71,770,008.58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84,899,532.26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7,835,719.34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9,415,738.46</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347,057,869.34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488,765,756.28</w:t>
            </w:r>
          </w:p>
        </w:tc>
      </w:tr>
      <w:tr>
        <w:trPr>
          <w:trHeight w:val="293"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注：违约金系四川东旭电力工程有限公司及西藏东旭电力工程有限公司违约金。</w:t>
            </w:r>
          </w:p>
        </w:tc>
      </w:tr>
    </w:tbl>
    <w:p>
      <w:pPr>
        <w:widowControl w:val="0"/>
        <w:spacing w:after="259" w:line="1" w:lineRule="exact"/>
      </w:pPr>
    </w:p>
    <w:p>
      <w:pPr>
        <w:pStyle w:val="Style25"/>
        <w:keepNext w:val="0"/>
        <w:keepLines w:val="0"/>
        <w:widowControl w:val="0"/>
        <w:shd w:val="clear" w:color="auto" w:fill="auto"/>
        <w:bidi w:val="0"/>
        <w:spacing w:before="0" w:after="0" w:line="240" w:lineRule="auto"/>
        <w:ind w:left="394" w:right="0" w:firstLine="0"/>
        <w:jc w:val="left"/>
        <w:rPr>
          <w:sz w:val="17"/>
          <w:szCs w:val="17"/>
        </w:rPr>
      </w:pPr>
      <w:r>
        <w:rPr>
          <w:color w:val="000000"/>
          <w:spacing w:val="0"/>
          <w:w w:val="100"/>
          <w:position w:val="0"/>
          <w:sz w:val="17"/>
          <w:szCs w:val="17"/>
        </w:rPr>
        <w:t>②账龄超过</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年的重要其他应付款</w:t>
      </w:r>
    </w:p>
    <w:tbl>
      <w:tblPr>
        <w:tblOverlap w:val="never"/>
        <w:jc w:val="center"/>
        <w:tblLayout w:type="fixed"/>
      </w:tblPr>
      <w:tblGrid>
        <w:gridCol w:w="3859"/>
        <w:gridCol w:w="2390"/>
        <w:gridCol w:w="3144"/>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b/>
                <w:bCs/>
                <w:color w:val="000000"/>
                <w:spacing w:val="0"/>
                <w:w w:val="100"/>
                <w:position w:val="0"/>
                <w:sz w:val="17"/>
                <w:szCs w:val="17"/>
              </w:rPr>
              <w:t>未偿还或结转的原因</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绵阳雄天物资有限公司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50,211,770.70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四川山鹰园林建筑工程有限公司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27,300,001.00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未达到约定的付款条件和期限</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湖南平稳建筑劳务有限公司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中建材浚鑫科技有限公司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17,553,530.21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未达到约定的付款条件和期限</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金寨汇金投资有限公司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四川煌明工程项目管理咨询有限公司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未达到约定的付款条件和期限</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东旭国际投资集团有限公司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156,565,301.91</w:t>
            </w: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0"/>
                <w:szCs w:val="20"/>
              </w:rPr>
            </w:pPr>
            <w:bookmarkStart w:id="1006" w:name="bookmark1006"/>
            <w:r>
              <w:rPr>
                <w:rFonts w:ascii="Arial Narrow" w:eastAsia="Arial Narrow" w:hAnsi="Arial Narrow" w:cs="Arial Narrow"/>
                <w:b/>
                <w:bCs/>
                <w:color w:val="000000"/>
                <w:spacing w:val="0"/>
                <w:w w:val="100"/>
                <w:position w:val="0"/>
                <w:sz w:val="20"/>
                <w:szCs w:val="20"/>
              </w:rPr>
              <w:t>32</w:t>
            </w:r>
            <w:r>
              <w:rPr>
                <w:b/>
                <w:bCs/>
                <w:color w:val="000000"/>
                <w:spacing w:val="0"/>
                <w:w w:val="100"/>
                <w:position w:val="0"/>
                <w:sz w:val="20"/>
                <w:szCs w:val="20"/>
              </w:rPr>
              <w:t>、一年内到期的非流动负债</w:t>
            </w:r>
            <w:bookmarkEnd w:id="1006"/>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Arial Narrow" w:eastAsia="Arial Narrow" w:hAnsi="Arial Narrow" w:cs="Arial Narrow"/>
                <w:b/>
                <w:bCs/>
                <w:color w:val="000000"/>
                <w:spacing w:val="0"/>
                <w:w w:val="100"/>
                <w:position w:val="0"/>
                <w:sz w:val="18"/>
                <w:szCs w:val="18"/>
              </w:rPr>
              <w:t>2021.1.1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一年内到期的长期借款(附注五、</w:t>
            </w:r>
            <w:r>
              <w:rPr>
                <w:rFonts w:ascii="Arial Narrow" w:eastAsia="Arial Narrow" w:hAnsi="Arial Narrow" w:cs="Arial Narrow"/>
                <w:color w:val="000000"/>
                <w:spacing w:val="0"/>
                <w:w w:val="100"/>
                <w:position w:val="0"/>
                <w:sz w:val="18"/>
                <w:szCs w:val="18"/>
              </w:rPr>
              <w:t>34</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3,855,900,566.80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Arial Narrow" w:eastAsia="Arial Narrow" w:hAnsi="Arial Narrow" w:cs="Arial Narrow"/>
                <w:color w:val="000000"/>
                <w:spacing w:val="0"/>
                <w:w w:val="100"/>
                <w:position w:val="0"/>
                <w:sz w:val="18"/>
                <w:szCs w:val="18"/>
              </w:rPr>
              <w:t>2,652,674,734.15</w:t>
            </w:r>
          </w:p>
        </w:tc>
      </w:tr>
      <w:tr>
        <w:trPr>
          <w:trHeight w:val="45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一年内到期的长期应付款(附注五、</w:t>
            </w:r>
            <w:r>
              <w:rPr>
                <w:rFonts w:ascii="Arial Narrow" w:eastAsia="Arial Narrow" w:hAnsi="Arial Narrow" w:cs="Arial Narrow"/>
                <w:color w:val="000000"/>
                <w:spacing w:val="0"/>
                <w:w w:val="100"/>
                <w:position w:val="0"/>
                <w:sz w:val="18"/>
                <w:szCs w:val="18"/>
              </w:rPr>
              <w:t>36</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427,051,242.66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Arial Narrow" w:eastAsia="Arial Narrow" w:hAnsi="Arial Narrow" w:cs="Arial Narrow"/>
                <w:color w:val="000000"/>
                <w:spacing w:val="0"/>
                <w:w w:val="100"/>
                <w:position w:val="0"/>
                <w:sz w:val="18"/>
                <w:szCs w:val="18"/>
              </w:rPr>
              <w:t>425,395,194.90</w:t>
            </w:r>
          </w:p>
        </w:tc>
      </w:tr>
    </w:tbl>
    <w:p>
      <w:pPr>
        <w:spacing w:lineRule="exact" w:line="1"/>
        <w:rPr>
          <w:sz w:val="2"/>
          <w:szCs w:val="2"/>
        </w:rPr>
      </w:pPr>
      <w:r>
        <w:br w:type="page"/>
      </w:r>
    </w:p>
    <w:tbl>
      <w:tblPr>
        <w:tblOverlap w:val="never"/>
        <w:jc w:val="center"/>
        <w:tblLayout w:type="fixed"/>
      </w:tblPr>
      <w:tblGrid>
        <w:gridCol w:w="3874"/>
        <w:gridCol w:w="2534"/>
        <w:gridCol w:w="2957"/>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长期借款的应付利息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645,405,836.78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377,308,182.09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一年内到期的租赁负债（附注五、</w:t>
            </w:r>
            <w:r>
              <w:rPr>
                <w:rFonts w:ascii="Arial Narrow" w:eastAsia="Arial Narrow" w:hAnsi="Arial Narrow" w:cs="Arial Narrow"/>
                <w:color w:val="000000"/>
                <w:spacing w:val="0"/>
                <w:w w:val="100"/>
                <w:position w:val="0"/>
                <w:sz w:val="18"/>
                <w:szCs w:val="18"/>
              </w:rPr>
              <w:t>35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34,602,423.56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22,097,455.64</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4,962,960,069.80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3,477,475,566.78</w:t>
            </w:r>
          </w:p>
        </w:tc>
      </w:tr>
    </w:tbl>
    <w:p>
      <w:pPr>
        <w:widowControl w:val="0"/>
        <w:spacing w:after="259" w:line="1" w:lineRule="exact"/>
      </w:pPr>
    </w:p>
    <w:p>
      <w:pPr>
        <w:pStyle w:val="Style27"/>
        <w:keepNext w:val="0"/>
        <w:keepLines w:val="0"/>
        <w:widowControl w:val="0"/>
        <w:shd w:val="clear" w:color="auto" w:fill="auto"/>
        <w:bidi w:val="0"/>
        <w:spacing w:before="0" w:after="260" w:line="240" w:lineRule="auto"/>
        <w:ind w:left="0" w:right="0" w:firstLine="4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:本期增加主要为一年内到期的长期借款的增加。</w:t>
      </w:r>
    </w:p>
    <w:p>
      <w:pPr>
        <w:pStyle w:val="Style17"/>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注</w:t>
      </w:r>
      <w:r>
        <w:rPr>
          <w:b/>
          <w:bCs/>
          <w:color w:val="000000"/>
          <w:spacing w:val="0"/>
          <w:w w:val="100"/>
          <w:position w:val="0"/>
        </w:rPr>
        <w:t>2</w:t>
      </w:r>
      <w:r>
        <w:rPr>
          <w:color w:val="000000"/>
          <w:spacing w:val="0"/>
          <w:w w:val="100"/>
          <w:position w:val="0"/>
        </w:rPr>
        <w:t>:截止到</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日，已逾期未偿还的长期借款本金为</w:t>
      </w:r>
      <w:r>
        <w:rPr>
          <w:b/>
          <w:bCs/>
          <w:color w:val="000000"/>
          <w:spacing w:val="0"/>
          <w:w w:val="100"/>
          <w:position w:val="0"/>
        </w:rPr>
        <w:t>647,648,128.23</w:t>
      </w:r>
      <w:r>
        <w:rPr>
          <w:color w:val="000000"/>
          <w:spacing w:val="0"/>
          <w:w w:val="100"/>
          <w:position w:val="0"/>
        </w:rPr>
        <w:t xml:space="preserve">元，逾期应付长期借 </w:t>
      </w:r>
      <w:r>
        <w:rPr>
          <w:color w:val="000000"/>
          <w:spacing w:val="0"/>
          <w:w w:val="100"/>
          <w:position w:val="0"/>
        </w:rPr>
        <w:t>款利息见附注五、</w:t>
      </w:r>
      <w:r>
        <w:rPr>
          <w:b/>
          <w:bCs/>
          <w:color w:val="000000"/>
          <w:spacing w:val="0"/>
          <w:w w:val="100"/>
          <w:position w:val="0"/>
        </w:rPr>
        <w:t>31</w:t>
      </w:r>
      <w:r>
        <w:rPr>
          <w:color w:val="000000"/>
          <w:spacing w:val="0"/>
          <w:w w:val="100"/>
          <w:position w:val="0"/>
        </w:rPr>
        <w:t>（</w:t>
      </w:r>
      <w:r>
        <w:rPr>
          <w:b/>
          <w:bCs/>
          <w:color w:val="000000"/>
          <w:spacing w:val="0"/>
          <w:w w:val="100"/>
          <w:position w:val="0"/>
        </w:rPr>
        <w:t>1</w:t>
      </w:r>
      <w:r>
        <w:rPr>
          <w:color w:val="000000"/>
          <w:spacing w:val="0"/>
          <w:w w:val="100"/>
          <w:position w:val="0"/>
        </w:rPr>
        <w:t>）。</w:t>
      </w:r>
    </w:p>
    <w:p>
      <w:pPr>
        <w:pStyle w:val="Style20"/>
        <w:keepNext/>
        <w:keepLines/>
        <w:widowControl w:val="0"/>
        <w:shd w:val="clear" w:color="auto" w:fill="auto"/>
        <w:bidi w:val="0"/>
        <w:spacing w:before="0" w:after="40" w:line="240" w:lineRule="auto"/>
        <w:ind w:left="0" w:right="0" w:firstLine="460"/>
        <w:jc w:val="left"/>
        <w:rPr>
          <w:sz w:val="20"/>
          <w:szCs w:val="20"/>
        </w:rPr>
      </w:pPr>
      <w:bookmarkStart w:id="1007" w:name="bookmark1007"/>
      <w:bookmarkStart w:id="1008" w:name="bookmark1008"/>
      <w:bookmarkStart w:id="1009" w:name="bookmark1009"/>
      <w:r>
        <w:rPr>
          <w:rFonts w:ascii="Arial Narrow" w:eastAsia="Arial Narrow" w:hAnsi="Arial Narrow" w:cs="Arial Narrow"/>
          <w:color w:val="000000"/>
          <w:spacing w:val="0"/>
          <w:w w:val="100"/>
          <w:position w:val="0"/>
          <w:sz w:val="20"/>
          <w:szCs w:val="20"/>
        </w:rPr>
        <w:t>33</w:t>
      </w:r>
      <w:r>
        <w:rPr>
          <w:color w:val="000000"/>
          <w:spacing w:val="0"/>
          <w:w w:val="100"/>
          <w:position w:val="0"/>
          <w:sz w:val="20"/>
          <w:szCs w:val="20"/>
        </w:rPr>
        <w:t>、其他流动负债</w:t>
      </w:r>
      <w:bookmarkEnd w:id="1007"/>
      <w:bookmarkEnd w:id="1008"/>
      <w:bookmarkEnd w:id="1009"/>
    </w:p>
    <w:tbl>
      <w:tblPr>
        <w:tblOverlap w:val="never"/>
        <w:jc w:val="center"/>
        <w:tblLayout w:type="fixed"/>
      </w:tblPr>
      <w:tblGrid>
        <w:gridCol w:w="3806"/>
        <w:gridCol w:w="2717"/>
        <w:gridCol w:w="2789"/>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278,534,703.47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363,378,986.23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商承背书未到期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20,464,345.80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58,002,250.00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298,999,049.27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421,381,236.23</w:t>
            </w:r>
          </w:p>
        </w:tc>
      </w:tr>
    </w:tbl>
    <w:p>
      <w:pPr>
        <w:pStyle w:val="Style27"/>
        <w:keepNext w:val="0"/>
        <w:keepLines w:val="0"/>
        <w:widowControl w:val="0"/>
        <w:shd w:val="clear" w:color="auto" w:fill="auto"/>
        <w:bidi w:val="0"/>
        <w:spacing w:before="0" w:after="260" w:line="504" w:lineRule="exact"/>
        <w:ind w:left="0" w:right="0" w:firstLine="400"/>
        <w:jc w:val="left"/>
        <w:rPr>
          <w:sz w:val="17"/>
          <w:szCs w:val="17"/>
        </w:rPr>
      </w:pPr>
      <w:r>
        <w:rPr>
          <w:color w:val="000000"/>
          <w:spacing w:val="0"/>
          <w:w w:val="100"/>
          <w:position w:val="0"/>
          <w:sz w:val="17"/>
          <w:szCs w:val="17"/>
        </w:rPr>
        <w:t>注：待转销项税主要为新能源及环保工程收入已确认但尚未发生增值税纳税义务，需于以后期间确认为销项税额的增值 税额。</w:t>
      </w:r>
    </w:p>
    <w:p>
      <w:pPr>
        <w:pStyle w:val="Style20"/>
        <w:keepNext/>
        <w:keepLines/>
        <w:widowControl w:val="0"/>
        <w:shd w:val="clear" w:color="auto" w:fill="auto"/>
        <w:bidi w:val="0"/>
        <w:spacing w:before="0" w:after="300" w:line="240" w:lineRule="auto"/>
        <w:ind w:left="0" w:right="0" w:firstLine="460"/>
        <w:jc w:val="left"/>
        <w:rPr>
          <w:sz w:val="20"/>
          <w:szCs w:val="20"/>
        </w:rPr>
      </w:pPr>
      <w:bookmarkStart w:id="1010" w:name="bookmark1010"/>
      <w:bookmarkStart w:id="1011" w:name="bookmark1011"/>
      <w:bookmarkStart w:id="1012" w:name="bookmark1012"/>
      <w:bookmarkStart w:id="1013" w:name="bookmark1013"/>
      <w:r>
        <w:rPr>
          <w:rFonts w:ascii="Arial Narrow" w:eastAsia="Arial Narrow" w:hAnsi="Arial Narrow" w:cs="Arial Narrow"/>
          <w:color w:val="000000"/>
          <w:spacing w:val="0"/>
          <w:w w:val="100"/>
          <w:position w:val="0"/>
          <w:sz w:val="20"/>
          <w:szCs w:val="20"/>
        </w:rPr>
        <w:t>3</w:t>
      </w:r>
      <w:bookmarkEnd w:id="1012"/>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、长期借款</w:t>
      </w:r>
      <w:bookmarkEnd w:id="1010"/>
      <w:bookmarkEnd w:id="1011"/>
      <w:bookmarkEnd w:id="1013"/>
    </w:p>
    <w:p>
      <w:pPr>
        <w:pStyle w:val="Style25"/>
        <w:keepNext w:val="0"/>
        <w:keepLines w:val="0"/>
        <w:widowControl w:val="0"/>
        <w:shd w:val="clear" w:color="auto" w:fill="auto"/>
        <w:bidi w:val="0"/>
        <w:spacing w:before="0" w:after="0" w:line="240" w:lineRule="auto"/>
        <w:ind w:left="36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）长期借款分类</w:t>
      </w:r>
    </w:p>
    <w:tbl>
      <w:tblPr>
        <w:tblOverlap w:val="never"/>
        <w:jc w:val="center"/>
        <w:tblLayout w:type="fixed"/>
      </w:tblPr>
      <w:tblGrid>
        <w:gridCol w:w="4646"/>
        <w:gridCol w:w="2314"/>
        <w:gridCol w:w="2280"/>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保证加质押借款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598,020,000.00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641,525,218.60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抵押加保证借款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1,321,111,704.54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1,123,808,138.98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3,390,670,916.91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3,391,783,605.48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保证抵押加质押借款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412,800,000.00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减：一年内到期的长期借款（见本附注五、</w:t>
            </w:r>
            <w:r>
              <w:rPr>
                <w:rFonts w:ascii="Arial Narrow" w:eastAsia="Arial Narrow" w:hAnsi="Arial Narrow" w:cs="Arial Narrow"/>
                <w:color w:val="000000"/>
                <w:spacing w:val="0"/>
                <w:w w:val="100"/>
                <w:position w:val="0"/>
                <w:sz w:val="18"/>
                <w:szCs w:val="18"/>
              </w:rPr>
              <w:t>32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3,855,900,566.80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2,652,674,734.15</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1,866,702,054.65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b/>
                <w:bCs/>
                <w:color w:val="000000"/>
                <w:spacing w:val="0"/>
                <w:w w:val="100"/>
                <w:position w:val="0"/>
                <w:sz w:val="18"/>
                <w:szCs w:val="18"/>
              </w:rPr>
              <w:t>2,504,442,228.91</w:t>
            </w:r>
          </w:p>
        </w:tc>
      </w:tr>
    </w:tbl>
    <w:p>
      <w:pPr>
        <w:widowControl w:val="0"/>
        <w:spacing w:after="259" w:line="1" w:lineRule="exact"/>
      </w:pPr>
    </w:p>
    <w:p>
      <w:pPr>
        <w:pStyle w:val="Style27"/>
        <w:keepNext w:val="0"/>
        <w:keepLines w:val="0"/>
        <w:widowControl w:val="0"/>
        <w:shd w:val="clear" w:color="auto" w:fill="auto"/>
        <w:bidi w:val="0"/>
        <w:spacing w:before="0" w:after="300" w:line="240" w:lineRule="auto"/>
        <w:ind w:left="0" w:right="0" w:firstLine="4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：抵押、质押借款的抵押资产类别以及金额，参见本附注五、</w:t>
      </w:r>
      <w:r>
        <w:rPr>
          <w:rFonts w:ascii="Arial Narrow" w:eastAsia="Arial Narrow" w:hAnsi="Arial Narrow" w:cs="Arial Narrow"/>
          <w:color w:val="000000"/>
          <w:spacing w:val="0"/>
          <w:w w:val="100"/>
          <w:position w:val="0"/>
          <w:sz w:val="18"/>
          <w:szCs w:val="18"/>
        </w:rPr>
        <w:t>59</w:t>
      </w:r>
      <w:r>
        <w:rPr>
          <w:color w:val="000000"/>
          <w:spacing w:val="0"/>
          <w:w w:val="100"/>
          <w:position w:val="0"/>
          <w:sz w:val="17"/>
          <w:szCs w:val="17"/>
        </w:rPr>
        <w:t>。</w:t>
      </w:r>
    </w:p>
    <w:p>
      <w:pPr>
        <w:pStyle w:val="Style27"/>
        <w:keepNext w:val="0"/>
        <w:keepLines w:val="0"/>
        <w:widowControl w:val="0"/>
        <w:shd w:val="clear" w:color="auto" w:fill="auto"/>
        <w:bidi w:val="0"/>
        <w:spacing w:before="0" w:after="260" w:line="240" w:lineRule="auto"/>
        <w:ind w:left="0" w:right="0" w:firstLine="4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 xml:space="preserve">：本期长期借款主要为本公司控股股东东旭集团、实际控制人李兆廷及东旭国际投资集团有限公司提供担保，具体 </w:t>
      </w:r>
      <w:r>
        <w:rPr>
          <w:color w:val="000000"/>
          <w:spacing w:val="0"/>
          <w:w w:val="100"/>
          <w:position w:val="0"/>
          <w:sz w:val="17"/>
          <w:szCs w:val="17"/>
        </w:rPr>
        <w:t>担保情况参见本附注十、</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w:t>
      </w:r>
    </w:p>
    <w:p>
      <w:pPr>
        <w:pStyle w:val="Style20"/>
        <w:keepNext/>
        <w:keepLines/>
        <w:widowControl w:val="0"/>
        <w:shd w:val="clear" w:color="auto" w:fill="auto"/>
        <w:bidi w:val="0"/>
        <w:spacing w:before="0" w:after="40" w:line="240" w:lineRule="auto"/>
        <w:ind w:left="0" w:right="0" w:firstLine="460"/>
        <w:jc w:val="left"/>
        <w:rPr>
          <w:sz w:val="20"/>
          <w:szCs w:val="20"/>
        </w:rPr>
      </w:pPr>
      <w:bookmarkStart w:id="1014" w:name="bookmark1014"/>
      <w:bookmarkStart w:id="1015" w:name="bookmark1015"/>
      <w:bookmarkStart w:id="1016" w:name="bookmark1016"/>
      <w:bookmarkStart w:id="1017" w:name="bookmark1017"/>
      <w:r>
        <w:rPr>
          <w:rFonts w:ascii="Arial Narrow" w:eastAsia="Arial Narrow" w:hAnsi="Arial Narrow" w:cs="Arial Narrow"/>
          <w:color w:val="000000"/>
          <w:spacing w:val="0"/>
          <w:w w:val="100"/>
          <w:position w:val="0"/>
          <w:sz w:val="20"/>
          <w:szCs w:val="20"/>
        </w:rPr>
        <w:t>3</w:t>
      </w:r>
      <w:bookmarkEnd w:id="1016"/>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、租赁负债</w:t>
      </w:r>
      <w:bookmarkEnd w:id="1014"/>
      <w:bookmarkEnd w:id="1015"/>
      <w:bookmarkEnd w:id="1017"/>
    </w:p>
    <w:tbl>
      <w:tblPr>
        <w:tblOverlap w:val="never"/>
        <w:jc w:val="center"/>
        <w:tblLayout w:type="fixed"/>
      </w:tblPr>
      <w:tblGrid>
        <w:gridCol w:w="4733"/>
        <w:gridCol w:w="2227"/>
        <w:gridCol w:w="2246"/>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282,489,330.14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244,851,970.44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减：一年内到期的租赁负债（见本附注五、</w:t>
            </w:r>
            <w:r>
              <w:rPr>
                <w:rFonts w:ascii="Arial Narrow" w:eastAsia="Arial Narrow" w:hAnsi="Arial Narrow" w:cs="Arial Narrow"/>
                <w:color w:val="000000"/>
                <w:spacing w:val="0"/>
                <w:w w:val="100"/>
                <w:position w:val="0"/>
                <w:sz w:val="18"/>
                <w:szCs w:val="18"/>
              </w:rPr>
              <w:t>32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34,602,423.56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22,097,455.64</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247,886,906.58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222,754,514.80</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461" w:right="0" w:firstLine="0"/>
        <w:jc w:val="left"/>
        <w:rPr>
          <w:sz w:val="20"/>
          <w:szCs w:val="20"/>
        </w:rPr>
      </w:pPr>
      <w:bookmarkStart w:id="1018" w:name="bookmark1018"/>
      <w:r>
        <w:rPr>
          <w:b/>
          <w:bCs/>
          <w:color w:val="000000"/>
          <w:spacing w:val="0"/>
          <w:w w:val="100"/>
          <w:position w:val="0"/>
          <w:sz w:val="20"/>
          <w:szCs w:val="20"/>
        </w:rPr>
        <w:t>36、长期应付款</w:t>
      </w:r>
      <w:bookmarkEnd w:id="1018"/>
    </w:p>
    <w:tbl>
      <w:tblPr>
        <w:tblOverlap w:val="never"/>
        <w:jc w:val="center"/>
        <w:tblLayout w:type="fixed"/>
      </w:tblPr>
      <w:tblGrid>
        <w:gridCol w:w="859"/>
        <w:gridCol w:w="1253"/>
        <w:gridCol w:w="643"/>
        <w:gridCol w:w="221"/>
        <w:gridCol w:w="720"/>
        <w:gridCol w:w="768"/>
        <w:gridCol w:w="269"/>
        <w:gridCol w:w="254"/>
        <w:gridCol w:w="778"/>
        <w:gridCol w:w="706"/>
        <w:gridCol w:w="350"/>
        <w:gridCol w:w="226"/>
        <w:gridCol w:w="168"/>
        <w:gridCol w:w="782"/>
        <w:gridCol w:w="254"/>
        <w:gridCol w:w="1430"/>
      </w:tblGrid>
      <w:tr>
        <w:trPr>
          <w:trHeight w:val="317" w:hRule="exact"/>
        </w:trPr>
        <w:tc>
          <w:tcPr>
            <w:gridSpan w:val="16"/>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w:t>
            </w:r>
            <w:r>
              <w:rPr>
                <w:b/>
                <w:bCs/>
                <w:color w:val="000000"/>
                <w:spacing w:val="0"/>
                <w:w w:val="100"/>
                <w:position w:val="0"/>
                <w:sz w:val="20"/>
                <w:szCs w:val="20"/>
              </w:rPr>
              <w:t>1</w:t>
            </w:r>
            <w:r>
              <w:rPr>
                <w:color w:val="000000"/>
                <w:spacing w:val="0"/>
                <w:w w:val="100"/>
                <w:position w:val="0"/>
                <w:sz w:val="20"/>
                <w:szCs w:val="20"/>
              </w:rPr>
              <w:t>）按款项性质列式的长期应付款</w:t>
            </w:r>
          </w:p>
        </w:tc>
      </w:tr>
      <w:tr>
        <w:trPr>
          <w:trHeight w:val="418" w:hRule="exact"/>
        </w:trPr>
        <w:tc>
          <w:tcPr>
            <w:gridSpan w:val="8"/>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7"/>
                <w:szCs w:val="17"/>
              </w:rPr>
            </w:pPr>
            <w:r>
              <w:rPr>
                <w:b/>
                <w:bCs/>
                <w:color w:val="000000"/>
                <w:spacing w:val="0"/>
                <w:w w:val="100"/>
                <w:position w:val="0"/>
                <w:sz w:val="17"/>
                <w:szCs w:val="17"/>
              </w:rPr>
              <w:t>项目</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gridSpan w:val="8"/>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融资性售后回租</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1,839,200,952.01</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2,101,160,044.00</w:t>
            </w:r>
          </w:p>
        </w:tc>
      </w:tr>
      <w:tr>
        <w:trPr>
          <w:trHeight w:val="427" w:hRule="exact"/>
        </w:trPr>
        <w:tc>
          <w:tcPr>
            <w:gridSpan w:val="8"/>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减：未确认融资费用</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191,578,184.75</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261,558,077.98</w:t>
            </w:r>
          </w:p>
        </w:tc>
      </w:tr>
      <w:tr>
        <w:trPr>
          <w:trHeight w:val="427" w:hRule="exact"/>
        </w:trPr>
        <w:tc>
          <w:tcPr>
            <w:gridSpan w:val="8"/>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减：一年内到期的长期应付款（见本附注五、</w:t>
            </w:r>
            <w:r>
              <w:rPr>
                <w:rFonts w:ascii="Arial Narrow" w:eastAsia="Arial Narrow" w:hAnsi="Arial Narrow" w:cs="Arial Narrow"/>
                <w:color w:val="000000"/>
                <w:spacing w:val="0"/>
                <w:w w:val="100"/>
                <w:position w:val="0"/>
                <w:sz w:val="18"/>
                <w:szCs w:val="18"/>
              </w:rPr>
              <w:t>32</w:t>
            </w:r>
            <w:r>
              <w:rPr>
                <w:color w:val="000000"/>
                <w:spacing w:val="0"/>
                <w:w w:val="100"/>
                <w:position w:val="0"/>
                <w:sz w:val="17"/>
                <w:szCs w:val="17"/>
              </w:rPr>
              <w:t>）</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427,051,242.66</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425,395,194.90</w:t>
            </w:r>
          </w:p>
        </w:tc>
      </w:tr>
      <w:tr>
        <w:trPr>
          <w:trHeight w:val="432" w:hRule="exact"/>
        </w:trPr>
        <w:tc>
          <w:tcPr>
            <w:gridSpan w:val="8"/>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7"/>
                <w:szCs w:val="17"/>
              </w:rPr>
            </w:pPr>
            <w:r>
              <w:rPr>
                <w:b/>
                <w:bCs/>
                <w:color w:val="000000"/>
                <w:spacing w:val="0"/>
                <w:w w:val="100"/>
                <w:position w:val="0"/>
                <w:sz w:val="17"/>
                <w:szCs w:val="17"/>
              </w:rPr>
              <w:t>合计</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1,220,571,524.60</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b/>
                <w:bCs/>
                <w:color w:val="000000"/>
                <w:spacing w:val="0"/>
                <w:w w:val="100"/>
                <w:position w:val="0"/>
                <w:sz w:val="18"/>
                <w:szCs w:val="18"/>
              </w:rPr>
              <w:t>1,414,206,771.12</w:t>
            </w:r>
          </w:p>
        </w:tc>
      </w:tr>
      <w:tr>
        <w:trPr>
          <w:trHeight w:val="528" w:hRule="exact"/>
        </w:trPr>
        <w:tc>
          <w:tcPr>
            <w:gridSpan w:val="16"/>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：本期长期应付款为本公司融资性售后回租固定资产取得的借款。明细如下：</w:t>
            </w:r>
          </w:p>
        </w:tc>
      </w:tr>
      <w:tr>
        <w:trPr>
          <w:trHeight w:val="418"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出租方名称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初始金额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偿还金额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期末金额</w:t>
            </w:r>
          </w:p>
        </w:tc>
      </w:tr>
      <w:tr>
        <w:trPr>
          <w:trHeight w:val="427"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民生金融租赁股份有限公司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373,966,002.87</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15,534,959.02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358,431,043.85</w:t>
            </w:r>
          </w:p>
        </w:tc>
      </w:tr>
      <w:tr>
        <w:trPr>
          <w:trHeight w:val="864"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江苏瀚瑞金港融资租赁有限公司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146,535,100.00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22,285,200.00</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168,820,300.00</w:t>
            </w:r>
          </w:p>
        </w:tc>
      </w:tr>
      <w:tr>
        <w:trPr>
          <w:trHeight w:val="422"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华润租赁有限公司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530,228,424.20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5,545,303.97</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46,042,401.72</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489,731,326.45</w:t>
            </w:r>
          </w:p>
        </w:tc>
      </w:tr>
      <w:tr>
        <w:trPr>
          <w:trHeight w:val="427"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华电融资租赁有限公司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154,541,049.79</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11,811,446.16</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1,044,822.69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141,684,780.94</w:t>
            </w:r>
          </w:p>
        </w:tc>
      </w:tr>
      <w:tr>
        <w:trPr>
          <w:trHeight w:val="422"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中建投租赁股份有限公司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18,713,561.05</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18,713,561.05</w:t>
            </w:r>
          </w:p>
        </w:tc>
      </w:tr>
      <w:tr>
        <w:trPr>
          <w:trHeight w:val="427"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信达金融租赁有限公司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367,750,745.32</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15,046,523.88</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352,704,221.44</w:t>
            </w:r>
          </w:p>
        </w:tc>
      </w:tr>
      <w:tr>
        <w:trPr>
          <w:trHeight w:val="422"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中信金融租赁有限公司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477,585,311.77</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149,879,959.91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18,589,633.58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309,115,718.28</w:t>
            </w:r>
          </w:p>
        </w:tc>
      </w:tr>
      <w:tr>
        <w:trPr>
          <w:trHeight w:val="806"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中建投租赁（天津）有限责任公司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31,839,849.00</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18,168.40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31,821,680.60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2,101,160,044.00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27,830,503.97</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222,798,500.07</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66,991,095.89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1,839,200,952.01</w:t>
            </w:r>
          </w:p>
        </w:tc>
      </w:tr>
      <w:tr>
        <w:trPr>
          <w:trHeight w:val="1526" w:hRule="exact"/>
        </w:trPr>
        <w:tc>
          <w:tcPr>
            <w:gridSpan w:val="16"/>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300" w:line="240" w:lineRule="auto"/>
              <w:ind w:left="0" w:right="0" w:firstLine="460"/>
              <w:jc w:val="left"/>
              <w:rPr>
                <w:sz w:val="20"/>
                <w:szCs w:val="20"/>
              </w:rPr>
            </w:pPr>
            <w:r>
              <w:rPr>
                <w:color w:val="000000"/>
                <w:spacing w:val="0"/>
                <w:w w:val="100"/>
                <w:position w:val="0"/>
                <w:sz w:val="20"/>
                <w:szCs w:val="20"/>
              </w:rPr>
              <w:t>注</w:t>
            </w:r>
            <w:r>
              <w:rPr>
                <w:b/>
                <w:bCs/>
                <w:color w:val="000000"/>
                <w:spacing w:val="0"/>
                <w:w w:val="100"/>
                <w:position w:val="0"/>
                <w:sz w:val="20"/>
                <w:szCs w:val="20"/>
              </w:rPr>
              <w:t>2</w:t>
            </w:r>
            <w:r>
              <w:rPr>
                <w:color w:val="000000"/>
                <w:spacing w:val="0"/>
                <w:w w:val="100"/>
                <w:position w:val="0"/>
                <w:sz w:val="20"/>
                <w:szCs w:val="20"/>
              </w:rPr>
              <w:t>：截止到</w:t>
            </w:r>
            <w:r>
              <w:rPr>
                <w:b/>
                <w:bCs/>
                <w:color w:val="000000"/>
                <w:spacing w:val="0"/>
                <w:w w:val="100"/>
                <w:position w:val="0"/>
                <w:sz w:val="20"/>
                <w:szCs w:val="20"/>
              </w:rPr>
              <w:t>2021</w:t>
            </w:r>
            <w:r>
              <w:rPr>
                <w:color w:val="000000"/>
                <w:spacing w:val="0"/>
                <w:w w:val="100"/>
                <w:position w:val="0"/>
                <w:sz w:val="20"/>
                <w:szCs w:val="20"/>
              </w:rPr>
              <w:t>年</w:t>
            </w:r>
            <w:r>
              <w:rPr>
                <w:b/>
                <w:bCs/>
                <w:color w:val="000000"/>
                <w:spacing w:val="0"/>
                <w:w w:val="100"/>
                <w:position w:val="0"/>
                <w:sz w:val="20"/>
                <w:szCs w:val="20"/>
              </w:rPr>
              <w:t>12</w:t>
            </w:r>
            <w:r>
              <w:rPr>
                <w:color w:val="000000"/>
                <w:spacing w:val="0"/>
                <w:w w:val="100"/>
                <w:position w:val="0"/>
                <w:sz w:val="20"/>
                <w:szCs w:val="20"/>
              </w:rPr>
              <w:t>月</w:t>
            </w:r>
            <w:r>
              <w:rPr>
                <w:b/>
                <w:bCs/>
                <w:color w:val="000000"/>
                <w:spacing w:val="0"/>
                <w:w w:val="100"/>
                <w:position w:val="0"/>
                <w:sz w:val="20"/>
                <w:szCs w:val="20"/>
              </w:rPr>
              <w:t>31</w:t>
            </w:r>
            <w:r>
              <w:rPr>
                <w:color w:val="000000"/>
                <w:spacing w:val="0"/>
                <w:w w:val="100"/>
                <w:position w:val="0"/>
                <w:sz w:val="20"/>
                <w:szCs w:val="20"/>
              </w:rPr>
              <w:t>日，已逾期未偿还的长期应付款本金为</w:t>
            </w:r>
            <w:r>
              <w:rPr>
                <w:b/>
                <w:bCs/>
                <w:color w:val="000000"/>
                <w:spacing w:val="0"/>
                <w:w w:val="100"/>
                <w:position w:val="0"/>
                <w:sz w:val="20"/>
                <w:szCs w:val="20"/>
              </w:rPr>
              <w:t>18,713,561.05</w:t>
            </w:r>
            <w:r>
              <w:rPr>
                <w:color w:val="000000"/>
                <w:spacing w:val="0"/>
                <w:w w:val="100"/>
                <w:position w:val="0"/>
                <w:sz w:val="20"/>
                <w:szCs w:val="20"/>
              </w:rPr>
              <w:t>元。</w:t>
            </w:r>
          </w:p>
          <w:p>
            <w:pPr>
              <w:pStyle w:val="Style22"/>
              <w:keepNext w:val="0"/>
              <w:keepLines w:val="0"/>
              <w:widowControl w:val="0"/>
              <w:shd w:val="clear" w:color="auto" w:fill="auto"/>
              <w:bidi w:val="0"/>
              <w:spacing w:before="0" w:after="240" w:line="240" w:lineRule="auto"/>
              <w:ind w:left="0" w:right="0" w:firstLine="4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：长期应付款逾期利息情况见附注五、</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w:t>
            </w:r>
          </w:p>
          <w:p>
            <w:pPr>
              <w:pStyle w:val="Style22"/>
              <w:keepNext w:val="0"/>
              <w:keepLines w:val="0"/>
              <w:widowControl w:val="0"/>
              <w:shd w:val="clear" w:color="auto" w:fill="auto"/>
              <w:bidi w:val="0"/>
              <w:spacing w:before="0" w:after="280" w:line="240" w:lineRule="auto"/>
              <w:ind w:left="0" w:right="0" w:firstLine="460"/>
              <w:jc w:val="left"/>
              <w:rPr>
                <w:sz w:val="20"/>
                <w:szCs w:val="20"/>
              </w:rPr>
            </w:pPr>
            <w:bookmarkStart w:id="1019" w:name="bookmark1019"/>
            <w:r>
              <w:rPr>
                <w:rFonts w:ascii="Arial Narrow" w:eastAsia="Arial Narrow" w:hAnsi="Arial Narrow" w:cs="Arial Narrow"/>
                <w:b/>
                <w:bCs/>
                <w:color w:val="000000"/>
                <w:spacing w:val="0"/>
                <w:w w:val="100"/>
                <w:position w:val="0"/>
                <w:sz w:val="20"/>
                <w:szCs w:val="20"/>
              </w:rPr>
              <w:t>37</w:t>
            </w:r>
            <w:r>
              <w:rPr>
                <w:b/>
                <w:bCs/>
                <w:color w:val="000000"/>
                <w:spacing w:val="0"/>
                <w:w w:val="100"/>
                <w:position w:val="0"/>
                <w:sz w:val="20"/>
                <w:szCs w:val="20"/>
              </w:rPr>
              <w:t>、递延收益</w:t>
            </w:r>
            <w:bookmarkEnd w:id="1019"/>
          </w:p>
        </w:tc>
      </w:tr>
      <w:tr>
        <w:trPr>
          <w:trHeight w:val="418" w:hRule="exact"/>
        </w:trPr>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29,597,738.35</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35,901,330.03</w:t>
            </w:r>
          </w:p>
        </w:tc>
      </w:tr>
      <w:tr>
        <w:trPr>
          <w:trHeight w:val="422" w:hRule="exact"/>
        </w:trPr>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减：一年内到期的政府补助</w:t>
            </w:r>
          </w:p>
        </w:tc>
        <w:tc>
          <w:tcPr>
            <w:gridSpan w:val="5"/>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29,597,738.35</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b/>
                <w:bCs/>
                <w:color w:val="000000"/>
                <w:spacing w:val="0"/>
                <w:w w:val="100"/>
                <w:position w:val="0"/>
                <w:sz w:val="18"/>
                <w:szCs w:val="18"/>
              </w:rPr>
              <w:t>35,901,330.03</w:t>
            </w:r>
          </w:p>
        </w:tc>
      </w:tr>
      <w:tr>
        <w:trPr>
          <w:trHeight w:val="528" w:hRule="exact"/>
        </w:trPr>
        <w:tc>
          <w:tcPr>
            <w:gridSpan w:val="16"/>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政府补助明细</w:t>
            </w:r>
          </w:p>
        </w:tc>
      </w:tr>
      <w:tr>
        <w:trPr>
          <w:trHeight w:val="98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本期</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新增</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补助</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160" w:right="0" w:firstLine="0"/>
              <w:jc w:val="left"/>
              <w:rPr>
                <w:sz w:val="17"/>
                <w:szCs w:val="17"/>
              </w:rPr>
            </w:pPr>
            <w:r>
              <w:rPr>
                <w:b/>
                <w:bCs/>
                <w:color w:val="000000"/>
                <w:spacing w:val="0"/>
                <w:w w:val="100"/>
                <w:position w:val="0"/>
                <w:sz w:val="17"/>
                <w:szCs w:val="17"/>
              </w:rPr>
              <w:t>本期计 入营业 外收入</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本期计入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其他收益</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本期冲减 成本费用</w:t>
            </w:r>
          </w:p>
        </w:tc>
        <w:tc>
          <w:tcPr>
            <w:gridSpan w:val="2"/>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rPr>
              <w:t>其他变动</w:t>
            </w: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60" w:right="0" w:firstLine="0"/>
              <w:jc w:val="left"/>
              <w:rPr>
                <w:sz w:val="17"/>
                <w:szCs w:val="17"/>
              </w:rPr>
            </w:pPr>
            <w:r>
              <w:rPr>
                <w:b/>
                <w:bCs/>
                <w:color w:val="000000"/>
                <w:spacing w:val="0"/>
                <w:w w:val="100"/>
                <w:position w:val="0"/>
                <w:sz w:val="17"/>
                <w:szCs w:val="17"/>
              </w:rPr>
              <w:t>与资产相关</w:t>
            </w:r>
            <w:r>
              <w:rPr>
                <w:rFonts w:ascii="Arial Narrow" w:eastAsia="Arial Narrow" w:hAnsi="Arial Narrow" w:cs="Arial Narrow"/>
                <w:b/>
                <w:bCs/>
                <w:color w:val="000000"/>
                <w:spacing w:val="0"/>
                <w:w w:val="100"/>
                <w:position w:val="0"/>
                <w:sz w:val="18"/>
                <w:szCs w:val="18"/>
              </w:rPr>
              <w:t xml:space="preserve">/ </w:t>
            </w:r>
            <w:r>
              <w:rPr>
                <w:b/>
                <w:bCs/>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907"/>
        <w:gridCol w:w="1253"/>
        <w:gridCol w:w="197"/>
        <w:gridCol w:w="278"/>
        <w:gridCol w:w="168"/>
        <w:gridCol w:w="869"/>
        <w:gridCol w:w="605"/>
        <w:gridCol w:w="504"/>
        <w:gridCol w:w="197"/>
        <w:gridCol w:w="715"/>
        <w:gridCol w:w="710"/>
        <w:gridCol w:w="466"/>
        <w:gridCol w:w="211"/>
        <w:gridCol w:w="408"/>
        <w:gridCol w:w="278"/>
        <w:gridCol w:w="278"/>
        <w:gridCol w:w="1464"/>
      </w:tblGrid>
      <w:tr>
        <w:trPr>
          <w:trHeight w:val="8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政府补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35,901,330.03</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1,093,591.68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-5,210,000.00</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29,597,738.35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与资产相关</w:t>
            </w:r>
          </w:p>
        </w:tc>
      </w:tr>
      <w:tr>
        <w:trPr>
          <w:trHeight w:val="1152" w:hRule="exact"/>
        </w:trPr>
        <w:tc>
          <w:tcPr>
            <w:gridSpan w:val="17"/>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44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:政府补助为子公司建设农业产业园收到的扶持资金补助款。</w:t>
            </w:r>
          </w:p>
          <w:p>
            <w:pPr>
              <w:pStyle w:val="Style22"/>
              <w:keepNext w:val="0"/>
              <w:keepLines w:val="0"/>
              <w:widowControl w:val="0"/>
              <w:shd w:val="clear" w:color="auto" w:fill="auto"/>
              <w:bidi w:val="0"/>
              <w:spacing w:before="0" w:after="240" w:line="240" w:lineRule="auto"/>
              <w:ind w:left="0" w:right="0" w:firstLine="44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:邢台天宏祥燃气有限公司于本报告期处置，其递延收益</w:t>
            </w:r>
            <w:r>
              <w:rPr>
                <w:rFonts w:ascii="Arial Narrow" w:eastAsia="Arial Narrow" w:hAnsi="Arial Narrow" w:cs="Arial Narrow"/>
                <w:color w:val="000000"/>
                <w:spacing w:val="0"/>
                <w:w w:val="100"/>
                <w:position w:val="0"/>
                <w:sz w:val="18"/>
                <w:szCs w:val="18"/>
              </w:rPr>
              <w:t>521</w:t>
            </w:r>
            <w:r>
              <w:rPr>
                <w:color w:val="000000"/>
                <w:spacing w:val="0"/>
                <w:w w:val="100"/>
                <w:position w:val="0"/>
                <w:sz w:val="17"/>
                <w:szCs w:val="17"/>
              </w:rPr>
              <w:t>万随子公司的处置而减少。</w:t>
            </w:r>
          </w:p>
          <w:p>
            <w:pPr>
              <w:pStyle w:val="Style22"/>
              <w:keepNext w:val="0"/>
              <w:keepLines w:val="0"/>
              <w:widowControl w:val="0"/>
              <w:shd w:val="clear" w:color="auto" w:fill="auto"/>
              <w:bidi w:val="0"/>
              <w:spacing w:before="0" w:after="160" w:line="240" w:lineRule="auto"/>
              <w:ind w:left="0" w:right="0" w:firstLine="500"/>
              <w:jc w:val="left"/>
              <w:rPr>
                <w:sz w:val="20"/>
                <w:szCs w:val="20"/>
              </w:rPr>
            </w:pPr>
            <w:bookmarkStart w:id="1020" w:name="bookmark1020"/>
            <w:r>
              <w:rPr>
                <w:rFonts w:ascii="Arial Narrow" w:eastAsia="Arial Narrow" w:hAnsi="Arial Narrow" w:cs="Arial Narrow"/>
                <w:b/>
                <w:bCs/>
                <w:color w:val="000000"/>
                <w:spacing w:val="0"/>
                <w:w w:val="100"/>
                <w:position w:val="0"/>
                <w:sz w:val="20"/>
                <w:szCs w:val="20"/>
              </w:rPr>
              <w:t>38</w:t>
            </w:r>
            <w:r>
              <w:rPr>
                <w:b/>
                <w:bCs/>
                <w:color w:val="000000"/>
                <w:spacing w:val="0"/>
                <w:w w:val="100"/>
                <w:position w:val="0"/>
                <w:sz w:val="20"/>
                <w:szCs w:val="20"/>
              </w:rPr>
              <w:t>、股本</w:t>
            </w:r>
            <w:bookmarkEnd w:id="1020"/>
          </w:p>
        </w:tc>
      </w:tr>
      <w:tr>
        <w:trPr>
          <w:trHeight w:val="418" w:hRule="exact"/>
        </w:trPr>
        <w:tc>
          <w:tcPr>
            <w:gridSpan w:val="4"/>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3"/>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8"/>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本期增减变动</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653" w:hRule="exact"/>
        </w:trPr>
        <w:tc>
          <w:tcPr>
            <w:gridSpan w:val="4"/>
            <w:vMerge/>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发行新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公积金 转股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小计</w:t>
            </w:r>
          </w:p>
        </w:tc>
        <w:tc>
          <w:tcPr>
            <w:gridSpan w:val="2"/>
            <w:vMerge/>
            <w:tcBorders>
              <w:left w:val="single" w:sz="4"/>
            </w:tcBorders>
            <w:shd w:val="clear" w:color="auto" w:fill="FFFFFF"/>
            <w:vAlign w:val="center"/>
          </w:tcPr>
          <w:p>
            <w:pPr/>
          </w:p>
        </w:tc>
      </w:tr>
      <w:tr>
        <w:trPr>
          <w:trHeight w:val="466"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一、有限售条件股份</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61"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国有及国有法人持股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743,545.00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743,545.00</w:t>
            </w:r>
          </w:p>
        </w:tc>
      </w:tr>
      <w:tr>
        <w:trPr>
          <w:trHeight w:val="466"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境内法人持股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425,789,655.00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425,789,655.00</w:t>
            </w:r>
          </w:p>
        </w:tc>
      </w:tr>
      <w:tr>
        <w:trPr>
          <w:trHeight w:val="466"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境内自然人持股</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61"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有限售条件股份合计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426,533,200.00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426,533,200.00</w:t>
            </w:r>
          </w:p>
        </w:tc>
      </w:tr>
      <w:tr>
        <w:trPr>
          <w:trHeight w:val="466"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二、无限售条件股份</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66"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人民币普通股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1,060,340,670.00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1,060,340,670.00</w:t>
            </w:r>
          </w:p>
        </w:tc>
      </w:tr>
      <w:tr>
        <w:trPr>
          <w:trHeight w:val="461"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其他</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66"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无限售条件股份合计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1,060,340,670.00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1,060,340,670.00</w:t>
            </w:r>
          </w:p>
        </w:tc>
      </w:tr>
      <w:tr>
        <w:trPr>
          <w:trHeight w:val="475"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三、股份总数</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1,486,873,870.00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1,486,873,870.00</w:t>
            </w:r>
          </w:p>
        </w:tc>
      </w:tr>
      <w:tr>
        <w:trPr>
          <w:trHeight w:val="528" w:hRule="exact"/>
        </w:trPr>
        <w:tc>
          <w:tcPr>
            <w:gridSpan w:val="17"/>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0"/>
                <w:szCs w:val="20"/>
              </w:rPr>
            </w:pPr>
            <w:bookmarkStart w:id="1021" w:name="bookmark1021"/>
            <w:r>
              <w:rPr>
                <w:rFonts w:ascii="Arial Narrow" w:eastAsia="Arial Narrow" w:hAnsi="Arial Narrow" w:cs="Arial Narrow"/>
                <w:b/>
                <w:bCs/>
                <w:color w:val="000000"/>
                <w:spacing w:val="0"/>
                <w:w w:val="100"/>
                <w:position w:val="0"/>
                <w:sz w:val="20"/>
                <w:szCs w:val="20"/>
              </w:rPr>
              <w:t>39</w:t>
            </w:r>
            <w:r>
              <w:rPr>
                <w:b/>
                <w:bCs/>
                <w:color w:val="000000"/>
                <w:spacing w:val="0"/>
                <w:w w:val="100"/>
                <w:position w:val="0"/>
                <w:sz w:val="20"/>
                <w:szCs w:val="20"/>
              </w:rPr>
              <w:t>、资本公积</w:t>
            </w:r>
            <w:bookmarkEnd w:id="1021"/>
          </w:p>
        </w:tc>
      </w:tr>
      <w:tr>
        <w:trPr>
          <w:trHeight w:val="446"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b/>
                <w:bCs/>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37"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股本溢价</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10,494,486,964.90</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10,494,486,964.90</w:t>
            </w:r>
          </w:p>
        </w:tc>
      </w:tr>
      <w:tr>
        <w:trPr>
          <w:trHeight w:val="432"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181,302,966.30</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181,302,966.30</w:t>
            </w:r>
          </w:p>
        </w:tc>
      </w:tr>
      <w:tr>
        <w:trPr>
          <w:trHeight w:val="466" w:hRule="exact"/>
        </w:trPr>
        <w:tc>
          <w:tcPr>
            <w:gridSpan w:val="3"/>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b/>
                <w:bCs/>
                <w:color w:val="000000"/>
                <w:spacing w:val="0"/>
                <w:w w:val="100"/>
                <w:position w:val="0"/>
                <w:sz w:val="17"/>
                <w:szCs w:val="17"/>
              </w:rPr>
              <w:t>合计</w:t>
            </w:r>
          </w:p>
        </w:tc>
        <w:tc>
          <w:tcPr>
            <w:gridSpan w:val="4"/>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10,675,789,931.20</w:t>
            </w:r>
          </w:p>
        </w:tc>
        <w:tc>
          <w:tcPr>
            <w:gridSpan w:val="3"/>
            <w:tcBorders>
              <w:top w:val="single" w:sz="4"/>
              <w:left w:val="single" w:sz="4"/>
              <w:bottom w:val="single" w:sz="4"/>
            </w:tcBorders>
            <w:shd w:val="clear" w:color="auto" w:fill="FFFFFF"/>
            <w:vAlign w:val="top"/>
          </w:tcPr>
          <w:p>
            <w:pPr>
              <w:widowControl w:val="0"/>
              <w:rPr>
                <w:sz w:val="10"/>
                <w:szCs w:val="10"/>
              </w:rPr>
            </w:pPr>
          </w:p>
        </w:tc>
        <w:tc>
          <w:tcPr>
            <w:gridSpan w:val="4"/>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b/>
                <w:bCs/>
                <w:color w:val="000000"/>
                <w:spacing w:val="0"/>
                <w:w w:val="100"/>
                <w:position w:val="0"/>
                <w:sz w:val="18"/>
                <w:szCs w:val="18"/>
              </w:rPr>
              <w:t>10,675,789,931.20</w:t>
            </w:r>
          </w:p>
        </w:tc>
      </w:tr>
    </w:tbl>
    <w:p>
      <w:pPr>
        <w:widowControl w:val="0"/>
        <w:spacing w:after="199" w:line="1" w:lineRule="exact"/>
      </w:pPr>
    </w:p>
    <w:p>
      <w:pPr>
        <w:pStyle w:val="Style20"/>
        <w:keepNext/>
        <w:keepLines/>
        <w:widowControl w:val="0"/>
        <w:shd w:val="clear" w:color="auto" w:fill="auto"/>
        <w:bidi w:val="0"/>
        <w:spacing w:before="0" w:after="40" w:line="240" w:lineRule="auto"/>
        <w:ind w:left="0" w:right="0" w:firstLine="500"/>
        <w:jc w:val="left"/>
        <w:rPr>
          <w:sz w:val="20"/>
          <w:szCs w:val="20"/>
        </w:rPr>
      </w:pPr>
      <w:bookmarkStart w:id="1022" w:name="bookmark1022"/>
      <w:bookmarkStart w:id="1023" w:name="bookmark1023"/>
      <w:bookmarkStart w:id="1024" w:name="bookmark1024"/>
      <w:bookmarkStart w:id="1025" w:name="bookmark1025"/>
      <w:r>
        <w:rPr>
          <w:rFonts w:ascii="Arial Narrow" w:eastAsia="Arial Narrow" w:hAnsi="Arial Narrow" w:cs="Arial Narrow"/>
          <w:color w:val="000000"/>
          <w:spacing w:val="0"/>
          <w:w w:val="100"/>
          <w:position w:val="0"/>
          <w:sz w:val="20"/>
          <w:szCs w:val="20"/>
        </w:rPr>
        <w:t>4</w:t>
      </w:r>
      <w:bookmarkEnd w:id="1024"/>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、其他综合收益</w:t>
      </w:r>
      <w:bookmarkEnd w:id="1022"/>
      <w:bookmarkEnd w:id="1023"/>
      <w:bookmarkEnd w:id="1025"/>
    </w:p>
    <w:tbl>
      <w:tblPr>
        <w:tblOverlap w:val="never"/>
        <w:jc w:val="center"/>
        <w:tblLayout w:type="fixed"/>
      </w:tblPr>
      <w:tblGrid>
        <w:gridCol w:w="1973"/>
        <w:gridCol w:w="1104"/>
        <w:gridCol w:w="1022"/>
        <w:gridCol w:w="1262"/>
        <w:gridCol w:w="1061"/>
        <w:gridCol w:w="1022"/>
        <w:gridCol w:w="850"/>
        <w:gridCol w:w="1094"/>
      </w:tblGrid>
      <w:tr>
        <w:trPr>
          <w:trHeight w:val="50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本期发生金额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12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本期所得税 前发生额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减：前期计入其 他综合收益当 期转入损益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减：所得税 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b/>
                <w:bCs/>
                <w:color w:val="000000"/>
                <w:spacing w:val="0"/>
                <w:w w:val="100"/>
                <w:position w:val="0"/>
                <w:sz w:val="17"/>
                <w:szCs w:val="17"/>
              </w:rPr>
              <w:t>税后归属于 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税后归属 于少数股 东</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一、以后不能重分类进损 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1,973,988.90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3,310,255.18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827,563.79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2,482,691.39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4,456,680.29</w:t>
            </w:r>
          </w:p>
        </w:tc>
      </w:tr>
      <w:tr>
        <w:trPr>
          <w:trHeight w:val="66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其中：其他权益工具投资 公允价值变动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1,973,988.90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3,310,255.18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827,563.79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2,482,691.39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4,456,680.29</w:t>
            </w:r>
          </w:p>
        </w:tc>
      </w:tr>
    </w:tbl>
    <w:p>
      <w:pPr>
        <w:spacing w:lineRule="exact" w:line="1"/>
        <w:rPr>
          <w:sz w:val="2"/>
          <w:szCs w:val="2"/>
        </w:rPr>
      </w:pPr>
      <w:r>
        <w:br w:type="page"/>
      </w:r>
    </w:p>
    <w:tbl>
      <w:tblPr>
        <w:tblOverlap w:val="never"/>
        <w:jc w:val="center"/>
        <w:tblLayout w:type="fixed"/>
      </w:tblPr>
      <w:tblGrid>
        <w:gridCol w:w="1973"/>
        <w:gridCol w:w="1104"/>
        <w:gridCol w:w="1022"/>
        <w:gridCol w:w="1262"/>
        <w:gridCol w:w="1066"/>
        <w:gridCol w:w="1022"/>
        <w:gridCol w:w="845"/>
        <w:gridCol w:w="1094"/>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二、以后将重分类进损益 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-41,629.88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-32,653.14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-21,224.54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-11,428.60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-62,854.42</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其中：可供出售金融资产 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-41,629.88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-32,653.14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-21,224.54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-11,428.60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-62,854.42</w:t>
            </w: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1,932,359.02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3,277,602.04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827,563.79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2,461,466.85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-11,428.60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4,393,825.87</w:t>
            </w:r>
          </w:p>
        </w:tc>
      </w:tr>
    </w:tbl>
    <w:p>
      <w:pPr>
        <w:widowControl w:val="0"/>
        <w:spacing w:after="179" w:line="1" w:lineRule="exact"/>
      </w:pPr>
    </w:p>
    <w:p>
      <w:pPr>
        <w:pStyle w:val="Style20"/>
        <w:keepNext/>
        <w:keepLines/>
        <w:widowControl w:val="0"/>
        <w:shd w:val="clear" w:color="auto" w:fill="auto"/>
        <w:bidi w:val="0"/>
        <w:spacing w:before="0" w:after="40" w:line="240" w:lineRule="auto"/>
        <w:ind w:left="0" w:right="0" w:firstLine="460"/>
        <w:jc w:val="left"/>
        <w:rPr>
          <w:sz w:val="20"/>
          <w:szCs w:val="20"/>
        </w:rPr>
      </w:pPr>
      <w:bookmarkStart w:id="1026" w:name="bookmark1026"/>
      <w:bookmarkStart w:id="1027" w:name="bookmark1027"/>
      <w:bookmarkStart w:id="1028" w:name="bookmark1028"/>
      <w:bookmarkStart w:id="1029" w:name="bookmark1029"/>
      <w:r>
        <w:rPr>
          <w:rFonts w:ascii="Arial Narrow" w:eastAsia="Arial Narrow" w:hAnsi="Arial Narrow" w:cs="Arial Narrow"/>
          <w:color w:val="000000"/>
          <w:spacing w:val="0"/>
          <w:w w:val="100"/>
          <w:position w:val="0"/>
          <w:sz w:val="20"/>
          <w:szCs w:val="20"/>
        </w:rPr>
        <w:t>4</w:t>
      </w:r>
      <w:bookmarkEnd w:id="1028"/>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、盈余公积</w:t>
      </w:r>
      <w:bookmarkEnd w:id="1026"/>
      <w:bookmarkEnd w:id="1027"/>
      <w:bookmarkEnd w:id="1029"/>
    </w:p>
    <w:tbl>
      <w:tblPr>
        <w:tblOverlap w:val="never"/>
        <w:jc w:val="center"/>
        <w:tblLayout w:type="fixed"/>
      </w:tblPr>
      <w:tblGrid>
        <w:gridCol w:w="1925"/>
        <w:gridCol w:w="1824"/>
        <w:gridCol w:w="1824"/>
        <w:gridCol w:w="1834"/>
        <w:gridCol w:w="1853"/>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法定盈余公积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216,091,994.43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216,091,994.43</w:t>
            </w:r>
          </w:p>
        </w:tc>
      </w:tr>
    </w:tbl>
    <w:p>
      <w:pPr>
        <w:widowControl w:val="0"/>
        <w:spacing w:after="179" w:line="1" w:lineRule="exact"/>
      </w:pPr>
    </w:p>
    <w:p>
      <w:pPr>
        <w:pStyle w:val="Style20"/>
        <w:keepNext/>
        <w:keepLines/>
        <w:widowControl w:val="0"/>
        <w:shd w:val="clear" w:color="auto" w:fill="auto"/>
        <w:bidi w:val="0"/>
        <w:spacing w:before="0" w:after="40" w:line="240" w:lineRule="auto"/>
        <w:ind w:left="0" w:right="0" w:firstLine="460"/>
        <w:jc w:val="left"/>
        <w:rPr>
          <w:sz w:val="20"/>
          <w:szCs w:val="20"/>
        </w:rPr>
      </w:pPr>
      <w:bookmarkStart w:id="1030" w:name="bookmark1030"/>
      <w:bookmarkStart w:id="1031" w:name="bookmark1031"/>
      <w:bookmarkStart w:id="1032" w:name="bookmark1032"/>
      <w:bookmarkStart w:id="1033" w:name="bookmark1033"/>
      <w:r>
        <w:rPr>
          <w:rFonts w:ascii="Arial Narrow" w:eastAsia="Arial Narrow" w:hAnsi="Arial Narrow" w:cs="Arial Narrow"/>
          <w:color w:val="000000"/>
          <w:spacing w:val="0"/>
          <w:w w:val="100"/>
          <w:position w:val="0"/>
          <w:sz w:val="20"/>
          <w:szCs w:val="20"/>
        </w:rPr>
        <w:t>4</w:t>
      </w:r>
      <w:bookmarkEnd w:id="1032"/>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、未分配利润</w:t>
      </w:r>
      <w:bookmarkEnd w:id="1030"/>
      <w:bookmarkEnd w:id="1031"/>
      <w:bookmarkEnd w:id="1033"/>
    </w:p>
    <w:tbl>
      <w:tblPr>
        <w:tblOverlap w:val="never"/>
        <w:jc w:val="center"/>
        <w:tblLayout w:type="fixed"/>
      </w:tblPr>
      <w:tblGrid>
        <w:gridCol w:w="5107"/>
        <w:gridCol w:w="2160"/>
        <w:gridCol w:w="2098"/>
      </w:tblGrid>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-207,596,526.95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1,031,098,658.99</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调整年初未分配利润合计数（调增+，调减</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-217,802,500.85</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-207,596,526.95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813,296,158.14</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-590,275,892.41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-1,020,892,685.09</w:t>
            </w:r>
          </w:p>
        </w:tc>
      </w:tr>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-797,872,419.36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-207,596,526.95</w:t>
            </w:r>
          </w:p>
        </w:tc>
      </w:tr>
    </w:tbl>
    <w:p>
      <w:pPr>
        <w:widowControl w:val="0"/>
        <w:spacing w:after="179" w:line="1" w:lineRule="exact"/>
      </w:pPr>
    </w:p>
    <w:p>
      <w:pPr>
        <w:pStyle w:val="Style20"/>
        <w:keepNext/>
        <w:keepLines/>
        <w:widowControl w:val="0"/>
        <w:shd w:val="clear" w:color="auto" w:fill="auto"/>
        <w:bidi w:val="0"/>
        <w:spacing w:before="0" w:after="260" w:line="240" w:lineRule="auto"/>
        <w:ind w:left="0" w:right="0" w:firstLine="460"/>
        <w:jc w:val="left"/>
        <w:rPr>
          <w:sz w:val="20"/>
          <w:szCs w:val="20"/>
        </w:rPr>
      </w:pPr>
      <w:bookmarkStart w:id="1034" w:name="bookmark1034"/>
      <w:bookmarkStart w:id="1035" w:name="bookmark1035"/>
      <w:bookmarkStart w:id="1036" w:name="bookmark1036"/>
      <w:bookmarkStart w:id="1037" w:name="bookmark1037"/>
      <w:r>
        <w:rPr>
          <w:rFonts w:ascii="Arial Narrow" w:eastAsia="Arial Narrow" w:hAnsi="Arial Narrow" w:cs="Arial Narrow"/>
          <w:color w:val="000000"/>
          <w:spacing w:val="0"/>
          <w:w w:val="100"/>
          <w:position w:val="0"/>
          <w:sz w:val="20"/>
          <w:szCs w:val="20"/>
        </w:rPr>
        <w:t>4</w:t>
      </w:r>
      <w:bookmarkEnd w:id="1036"/>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、营业收入及营业成本</w:t>
      </w:r>
      <w:bookmarkEnd w:id="1034"/>
      <w:bookmarkEnd w:id="1035"/>
      <w:bookmarkEnd w:id="1037"/>
    </w:p>
    <w:p>
      <w:pPr>
        <w:pStyle w:val="Style25"/>
        <w:keepNext w:val="0"/>
        <w:keepLines w:val="0"/>
        <w:widowControl w:val="0"/>
        <w:shd w:val="clear" w:color="auto" w:fill="auto"/>
        <w:bidi w:val="0"/>
        <w:spacing w:before="0" w:after="0" w:line="240" w:lineRule="auto"/>
        <w:ind w:left="403"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）营业收入、营业成本:</w:t>
      </w:r>
    </w:p>
    <w:tbl>
      <w:tblPr>
        <w:tblOverlap w:val="never"/>
        <w:jc w:val="center"/>
        <w:tblLayout w:type="fixed"/>
      </w:tblPr>
      <w:tblGrid>
        <w:gridCol w:w="2146"/>
        <w:gridCol w:w="1886"/>
        <w:gridCol w:w="1824"/>
        <w:gridCol w:w="1752"/>
        <w:gridCol w:w="1757"/>
      </w:tblGrid>
      <w:tr>
        <w:trPr>
          <w:trHeight w:val="42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成本</w:t>
            </w:r>
          </w:p>
        </w:tc>
      </w:tr>
      <w:tr>
        <w:trPr>
          <w:trHeight w:val="4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3,876,061,796.32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3,210,408,413.69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3,468,761,098.10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3,010,507,041.91</w:t>
            </w:r>
          </w:p>
        </w:tc>
      </w:tr>
      <w:tr>
        <w:trPr>
          <w:trHeight w:val="42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661,213.24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177,221.01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2,667,339.88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6,558,914.23</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3,876,723,009.56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3,210,585,634.70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3,471,428,437.98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b/>
                <w:bCs/>
                <w:color w:val="000000"/>
                <w:spacing w:val="0"/>
                <w:w w:val="100"/>
                <w:position w:val="0"/>
                <w:sz w:val="18"/>
                <w:szCs w:val="18"/>
              </w:rPr>
              <w:t>3,017,065,956.14</w:t>
            </w:r>
          </w:p>
        </w:tc>
      </w:tr>
      <w:tr>
        <w:trPr>
          <w:trHeight w:val="528"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）主营业务收入及成本（分行业）列示如下：</w:t>
            </w:r>
          </w:p>
        </w:tc>
      </w:tr>
      <w:tr>
        <w:trPr>
          <w:trHeight w:val="413"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56"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成本</w:t>
            </w:r>
          </w:p>
        </w:tc>
      </w:tr>
    </w:tbl>
    <w:p>
      <w:pPr>
        <w:spacing w:lineRule="exact" w:line="1"/>
        <w:rPr>
          <w:sz w:val="2"/>
          <w:szCs w:val="2"/>
        </w:rPr>
      </w:pPr>
      <w:r>
        <w:br w:type="page"/>
      </w:r>
    </w:p>
    <w:tbl>
      <w:tblPr>
        <w:tblOverlap w:val="never"/>
        <w:jc w:val="center"/>
        <w:tblLayout w:type="fixed"/>
      </w:tblPr>
      <w:tblGrid>
        <w:gridCol w:w="2146"/>
        <w:gridCol w:w="202"/>
        <w:gridCol w:w="1790"/>
        <w:gridCol w:w="1747"/>
        <w:gridCol w:w="1714"/>
        <w:gridCol w:w="1766"/>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物业及房屋租赁</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143,141,583.39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66,188,305.31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87,754,614.49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76,514,429.86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新能源收入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2,274,380,739.40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1,693,418,781.67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1,347,748,756.30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902,035,512.84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生态环保收入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183,742,204.66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175,223,530.58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490,925,518.36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486,036,738.35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供应链收入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1,274,797,268.87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1,275,577,796.13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1,542,332,208.95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1,545,920,360.86</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b/>
                <w:bCs/>
                <w:color w:val="000000"/>
                <w:spacing w:val="0"/>
                <w:w w:val="100"/>
                <w:position w:val="0"/>
                <w:sz w:val="18"/>
                <w:szCs w:val="18"/>
              </w:rPr>
              <w:t>3,876,061,796.32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b/>
                <w:bCs/>
                <w:color w:val="000000"/>
                <w:spacing w:val="0"/>
                <w:w w:val="100"/>
                <w:position w:val="0"/>
                <w:sz w:val="18"/>
                <w:szCs w:val="18"/>
              </w:rPr>
              <w:t>3,210,408,413.69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3,468,761,098.10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b/>
                <w:bCs/>
                <w:color w:val="000000"/>
                <w:spacing w:val="0"/>
                <w:w w:val="100"/>
                <w:position w:val="0"/>
                <w:sz w:val="18"/>
                <w:szCs w:val="18"/>
              </w:rPr>
              <w:t>3,010,507,041.91</w:t>
            </w:r>
          </w:p>
        </w:tc>
      </w:tr>
      <w:tr>
        <w:trPr>
          <w:trHeight w:val="528" w:hRule="exact"/>
        </w:trPr>
        <w:tc>
          <w:tcPr>
            <w:gridSpan w:val="6"/>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)主营业务收入及成本(分产品)列示如下：</w:t>
            </w:r>
          </w:p>
        </w:tc>
      </w:tr>
      <w:tr>
        <w:trPr>
          <w:trHeight w:val="418" w:hRule="exact"/>
        </w:trPr>
        <w:tc>
          <w:tcPr>
            <w:gridSpan w:val="2"/>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2" w:hRule="exact"/>
        </w:trPr>
        <w:tc>
          <w:tcPr>
            <w:gridSpan w:val="2"/>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主营业务成本</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物业及房屋租赁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143,141,583.39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66,188,305.31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87,754,614.49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76,514,429.86</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2,274,380,739.40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1,693,418,781.67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1,347,748,756.30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902,035,512.84</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183,742,204.66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175,223,530.58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490,925,518.36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486,036,738.35</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1,274,797,268.87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1,275,577,796.13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1,542,332,208.95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1,545,920,360.86</w:t>
            </w:r>
          </w:p>
        </w:tc>
      </w:tr>
      <w:tr>
        <w:trPr>
          <w:trHeight w:val="451" w:hRule="exact"/>
        </w:trPr>
        <w:tc>
          <w:tcPr>
            <w:gridSpan w:val="2"/>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b/>
                <w:bCs/>
                <w:color w:val="000000"/>
                <w:spacing w:val="0"/>
                <w:w w:val="100"/>
                <w:position w:val="0"/>
                <w:sz w:val="18"/>
                <w:szCs w:val="18"/>
              </w:rPr>
              <w:t>3,876,061,796.32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b/>
                <w:bCs/>
                <w:color w:val="000000"/>
                <w:spacing w:val="0"/>
                <w:w w:val="100"/>
                <w:position w:val="0"/>
                <w:sz w:val="18"/>
                <w:szCs w:val="18"/>
              </w:rPr>
              <w:t>3,210,408,413.69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3,468,761,098.10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b/>
                <w:bCs/>
                <w:color w:val="000000"/>
                <w:spacing w:val="0"/>
                <w:w w:val="100"/>
                <w:position w:val="0"/>
                <w:sz w:val="18"/>
                <w:szCs w:val="18"/>
              </w:rPr>
              <w:t>3,010,507,041.91</w:t>
            </w:r>
          </w:p>
        </w:tc>
      </w:tr>
    </w:tbl>
    <w:p>
      <w:pPr>
        <w:pStyle w:val="Style25"/>
        <w:keepNext w:val="0"/>
        <w:keepLines w:val="0"/>
        <w:widowControl w:val="0"/>
        <w:shd w:val="clear" w:color="auto" w:fill="auto"/>
        <w:bidi w:val="0"/>
        <w:spacing w:before="0" w:after="0" w:line="240" w:lineRule="auto"/>
        <w:ind w:left="403"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)主营业务收入及成本(分地区)列示如下:</w:t>
      </w:r>
    </w:p>
    <w:tbl>
      <w:tblPr>
        <w:tblOverlap w:val="never"/>
        <w:jc w:val="center"/>
        <w:tblLayout w:type="fixed"/>
      </w:tblPr>
      <w:tblGrid>
        <w:gridCol w:w="2002"/>
        <w:gridCol w:w="1954"/>
        <w:gridCol w:w="1939"/>
        <w:gridCol w:w="1699"/>
        <w:gridCol w:w="1771"/>
      </w:tblGrid>
      <w:tr>
        <w:trPr>
          <w:trHeight w:val="42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主营业务成本</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368,925,072.11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265,117,137.36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203,586,671.31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154,387,153.11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1,217,697,750.80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1,069,430,510.49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1,207,246,600.86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1,040,644,447.84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1,846,897,189.59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1,552,369,965.25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1,077,765,841.29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1,001,604,688.19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35,392,730.72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13,210,337.83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170,445,118.00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45,515,385.65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52,234,080.40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36,897,051.80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258,280,678.34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254,152,018.17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57,523,410.22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35,714,406.60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49,640,977.77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32,932,110.44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288,662,725.94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229,343,285.31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499,204,969.99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478,640,290.01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8,728,836.54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8,325,719.05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2,590,240.54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2,630,948.50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3,876,061,796.32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3,210,408,413.69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3,468,761,098.10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b/>
                <w:bCs/>
                <w:color w:val="000000"/>
                <w:spacing w:val="0"/>
                <w:w w:val="100"/>
                <w:position w:val="0"/>
                <w:sz w:val="18"/>
                <w:szCs w:val="18"/>
              </w:rPr>
              <w:t>3,010,507,041.91</w:t>
            </w:r>
          </w:p>
        </w:tc>
      </w:tr>
    </w:tbl>
    <w:p>
      <w:pPr>
        <w:pStyle w:val="Style25"/>
        <w:keepNext w:val="0"/>
        <w:keepLines w:val="0"/>
        <w:widowControl w:val="0"/>
        <w:shd w:val="clear" w:color="auto" w:fill="auto"/>
        <w:bidi w:val="0"/>
        <w:spacing w:before="0" w:after="0" w:line="240" w:lineRule="auto"/>
        <w:ind w:left="403"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 xml:space="preserve">) </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年度主营业务收入按收入确认时间列示如下:</w:t>
      </w:r>
    </w:p>
    <w:tbl>
      <w:tblPr>
        <w:tblOverlap w:val="never"/>
        <w:jc w:val="center"/>
        <w:tblLayout w:type="fixed"/>
      </w:tblPr>
      <w:tblGrid>
        <w:gridCol w:w="2026"/>
        <w:gridCol w:w="1546"/>
        <w:gridCol w:w="1416"/>
        <w:gridCol w:w="1426"/>
        <w:gridCol w:w="1416"/>
        <w:gridCol w:w="1632"/>
      </w:tblGrid>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产品销售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工程建造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1,350,591,978.51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6,023,469.02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143,141,583.39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1,499,757,030.92</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2,376,304,765.40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2,376,304,765.40</w:t>
            </w:r>
          </w:p>
        </w:tc>
      </w:tr>
      <w:tr>
        <w:trPr>
          <w:trHeight w:val="46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2,376,304,765.40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1,350,591,978.51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6,023,469.02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143,141,583.39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b/>
                <w:bCs/>
                <w:color w:val="000000"/>
                <w:spacing w:val="0"/>
                <w:w w:val="100"/>
                <w:position w:val="0"/>
                <w:sz w:val="18"/>
                <w:szCs w:val="18"/>
              </w:rPr>
              <w:t>3,876,061,796.32</w:t>
            </w:r>
          </w:p>
        </w:tc>
      </w:tr>
    </w:tbl>
    <w:p>
      <w:pPr>
        <w:pStyle w:val="Style25"/>
        <w:keepNext w:val="0"/>
        <w:keepLines w:val="0"/>
        <w:widowControl w:val="0"/>
        <w:shd w:val="clear" w:color="auto" w:fill="auto"/>
        <w:bidi w:val="0"/>
        <w:spacing w:before="0" w:after="0" w:line="240" w:lineRule="auto"/>
        <w:ind w:left="49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)本年度作为出租人相关损益情况列示如下:</w:t>
      </w:r>
      <w:r>
        <w:br w:type="page"/>
      </w:r>
    </w:p>
    <w:tbl>
      <w:tblPr>
        <w:tblOverlap w:val="never"/>
        <w:jc w:val="center"/>
        <w:tblLayout w:type="fixed"/>
      </w:tblPr>
      <w:tblGrid>
        <w:gridCol w:w="3187"/>
        <w:gridCol w:w="2314"/>
        <w:gridCol w:w="749"/>
        <w:gridCol w:w="3374"/>
      </w:tblGrid>
      <w:tr>
        <w:trPr>
          <w:trHeight w:val="43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融资租赁：</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销售损益</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租赁投资净额的融资收益</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与未纳入租赁投资净额的可变租赁付款额相关的收入</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经营租赁：</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租赁收入</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143,141,583.39</w:t>
            </w:r>
          </w:p>
        </w:tc>
      </w:tr>
      <w:tr>
        <w:trPr>
          <w:trHeight w:val="422"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其中：与未计入租赁收款额的可变租赁付款额相关的收入</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0"/>
                <w:szCs w:val="20"/>
              </w:rPr>
            </w:pPr>
            <w:bookmarkStart w:id="1038" w:name="bookmark1038"/>
            <w:r>
              <w:rPr>
                <w:rFonts w:ascii="Arial Narrow" w:eastAsia="Arial Narrow" w:hAnsi="Arial Narrow" w:cs="Arial Narrow"/>
                <w:b/>
                <w:bCs/>
                <w:color w:val="000000"/>
                <w:spacing w:val="0"/>
                <w:w w:val="100"/>
                <w:position w:val="0"/>
                <w:sz w:val="20"/>
                <w:szCs w:val="20"/>
              </w:rPr>
              <w:t>44</w:t>
            </w:r>
            <w:r>
              <w:rPr>
                <w:b/>
                <w:bCs/>
                <w:color w:val="000000"/>
                <w:spacing w:val="0"/>
                <w:w w:val="100"/>
                <w:position w:val="0"/>
                <w:sz w:val="20"/>
                <w:szCs w:val="20"/>
              </w:rPr>
              <w:t>、税金及附加</w:t>
            </w:r>
            <w:bookmarkEnd w:id="1038"/>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城市维护建设税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969,437.94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727,476.74</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教育费附加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739,952.87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624,271.64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印花税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2,208,680.79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1,441,187.26</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房产税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9,202,642.85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7,771,632.17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9,586,161.48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6,411,801.55</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防洪费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8,834.02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148,602.30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残保金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25,722.09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85,834.92</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526,282.90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100,071.09</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23,267,714.94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Arial Narrow" w:eastAsia="Arial Narrow" w:hAnsi="Arial Narrow" w:cs="Arial Narrow"/>
                <w:b/>
                <w:bCs/>
                <w:color w:val="000000"/>
                <w:spacing w:val="0"/>
                <w:w w:val="100"/>
                <w:position w:val="0"/>
                <w:sz w:val="18"/>
                <w:szCs w:val="18"/>
              </w:rPr>
              <w:t>17,310,877.67</w:t>
            </w:r>
          </w:p>
        </w:tc>
      </w:tr>
    </w:tbl>
    <w:p>
      <w:pPr>
        <w:pStyle w:val="Style25"/>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rPr>
        <w:t>注：税金及附加本期较上年同期增加主要为土地使用税及房产税增加所致。</w:t>
      </w:r>
    </w:p>
    <w:p>
      <w:pPr>
        <w:widowControl w:val="0"/>
        <w:spacing w:after="219" w:line="1" w:lineRule="exact"/>
      </w:pPr>
    </w:p>
    <w:tbl>
      <w:tblPr>
        <w:tblOverlap w:val="never"/>
        <w:jc w:val="center"/>
        <w:tblLayout w:type="fixed"/>
      </w:tblPr>
      <w:tblGrid>
        <w:gridCol w:w="3072"/>
        <w:gridCol w:w="3058"/>
        <w:gridCol w:w="3077"/>
      </w:tblGrid>
      <w:tr>
        <w:trPr>
          <w:trHeight w:val="317"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20"/>
                <w:szCs w:val="20"/>
              </w:rPr>
            </w:pPr>
            <w:bookmarkStart w:id="1039" w:name="bookmark1039"/>
            <w:r>
              <w:rPr>
                <w:rFonts w:ascii="Arial Narrow" w:eastAsia="Arial Narrow" w:hAnsi="Arial Narrow" w:cs="Arial Narrow"/>
                <w:b/>
                <w:bCs/>
                <w:color w:val="000000"/>
                <w:spacing w:val="0"/>
                <w:w w:val="100"/>
                <w:position w:val="0"/>
                <w:sz w:val="20"/>
                <w:szCs w:val="20"/>
              </w:rPr>
              <w:t>45</w:t>
            </w:r>
            <w:r>
              <w:rPr>
                <w:b/>
                <w:bCs/>
                <w:color w:val="000000"/>
                <w:spacing w:val="0"/>
                <w:w w:val="100"/>
                <w:position w:val="0"/>
                <w:sz w:val="20"/>
                <w:szCs w:val="20"/>
              </w:rPr>
              <w:t>、销售费用</w:t>
            </w:r>
            <w:bookmarkEnd w:id="1039"/>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1,049,508.91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2,383,409.99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行政办公费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6,632,825.59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6,242,376.33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推广活动费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1,812,845.78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368,548.80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155,446.70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264,290.54</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9,650,626.98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9,258,625.66</w:t>
            </w:r>
          </w:p>
        </w:tc>
      </w:tr>
      <w:tr>
        <w:trPr>
          <w:trHeight w:val="528"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bookmarkStart w:id="1040" w:name="bookmark1040"/>
            <w:r>
              <w:rPr>
                <w:rFonts w:ascii="Arial Narrow" w:eastAsia="Arial Narrow" w:hAnsi="Arial Narrow" w:cs="Arial Narrow"/>
                <w:b/>
                <w:bCs/>
                <w:color w:val="000000"/>
                <w:spacing w:val="0"/>
                <w:w w:val="100"/>
                <w:position w:val="0"/>
                <w:sz w:val="20"/>
                <w:szCs w:val="20"/>
              </w:rPr>
              <w:t>46</w:t>
            </w:r>
            <w:r>
              <w:rPr>
                <w:b/>
                <w:bCs/>
                <w:color w:val="000000"/>
                <w:spacing w:val="0"/>
                <w:w w:val="100"/>
                <w:position w:val="0"/>
                <w:sz w:val="20"/>
                <w:szCs w:val="20"/>
              </w:rPr>
              <w:t>、管理费用</w:t>
            </w:r>
            <w:bookmarkEnd w:id="1040"/>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44,380,894.90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79,817,955.24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行政办公费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39,986,341.06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18,875,458.93</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折旧及摊销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10,912,218.27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12,646,980.16</w:t>
            </w:r>
          </w:p>
        </w:tc>
      </w:tr>
    </w:tbl>
    <w:p>
      <w:pPr>
        <w:spacing w:lineRule="exact" w:line="1"/>
        <w:rPr>
          <w:sz w:val="2"/>
          <w:szCs w:val="2"/>
        </w:rPr>
      </w:pPr>
      <w:r>
        <w:br w:type="page"/>
      </w:r>
    </w:p>
    <w:tbl>
      <w:tblPr>
        <w:tblOverlap w:val="never"/>
        <w:jc w:val="center"/>
        <w:tblLayout w:type="fixed"/>
      </w:tblPr>
      <w:tblGrid>
        <w:gridCol w:w="3115"/>
        <w:gridCol w:w="3067"/>
        <w:gridCol w:w="3120"/>
      </w:tblGrid>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中介咨询费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49,413,412.65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50,172,587.74</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25,545,676.43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10,212,818.00</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170,238,543.31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b/>
                <w:bCs/>
                <w:color w:val="000000"/>
                <w:spacing w:val="0"/>
                <w:w w:val="100"/>
                <w:position w:val="0"/>
                <w:sz w:val="18"/>
                <w:szCs w:val="18"/>
              </w:rPr>
              <w:t>171,725,800.07</w:t>
            </w:r>
          </w:p>
        </w:tc>
      </w:tr>
      <w:tr>
        <w:trPr>
          <w:trHeight w:val="528"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bookmarkStart w:id="1041" w:name="bookmark1041"/>
            <w:r>
              <w:rPr>
                <w:rFonts w:ascii="Arial Narrow" w:eastAsia="Arial Narrow" w:hAnsi="Arial Narrow" w:cs="Arial Narrow"/>
                <w:b/>
                <w:bCs/>
                <w:color w:val="000000"/>
                <w:spacing w:val="0"/>
                <w:w w:val="100"/>
                <w:position w:val="0"/>
                <w:sz w:val="20"/>
                <w:szCs w:val="20"/>
              </w:rPr>
              <w:t>47</w:t>
            </w:r>
            <w:r>
              <w:rPr>
                <w:b/>
                <w:bCs/>
                <w:color w:val="000000"/>
                <w:spacing w:val="0"/>
                <w:w w:val="100"/>
                <w:position w:val="0"/>
                <w:sz w:val="20"/>
                <w:szCs w:val="20"/>
              </w:rPr>
              <w:t>、研发费用</w:t>
            </w:r>
            <w:bookmarkEnd w:id="1041"/>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9,753,970.43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3,862,535.08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6,073,890.27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3,949,375.87</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材料消耗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14,248,033.75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15,605,907.72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6,477,471.00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2,590,430.04</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36,553,365.45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b/>
                <w:bCs/>
                <w:color w:val="000000"/>
                <w:spacing w:val="0"/>
                <w:w w:val="100"/>
                <w:position w:val="0"/>
                <w:sz w:val="18"/>
                <w:szCs w:val="18"/>
              </w:rPr>
              <w:t>26,008,248.71</w:t>
            </w:r>
          </w:p>
        </w:tc>
      </w:tr>
      <w:tr>
        <w:trPr>
          <w:trHeight w:val="528"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bookmarkStart w:id="1042" w:name="bookmark1042"/>
            <w:r>
              <w:rPr>
                <w:rFonts w:ascii="Arial Narrow" w:eastAsia="Arial Narrow" w:hAnsi="Arial Narrow" w:cs="Arial Narrow"/>
                <w:b/>
                <w:bCs/>
                <w:color w:val="000000"/>
                <w:spacing w:val="0"/>
                <w:w w:val="100"/>
                <w:position w:val="0"/>
                <w:sz w:val="20"/>
                <w:szCs w:val="20"/>
              </w:rPr>
              <w:t>48</w:t>
            </w:r>
            <w:r>
              <w:rPr>
                <w:b/>
                <w:bCs/>
                <w:color w:val="000000"/>
                <w:spacing w:val="0"/>
                <w:w w:val="100"/>
                <w:position w:val="0"/>
                <w:sz w:val="20"/>
                <w:szCs w:val="20"/>
              </w:rPr>
              <w:t>、财务费用</w:t>
            </w:r>
            <w:bookmarkEnd w:id="1042"/>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600,402,976.31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Arial Narrow" w:eastAsia="Arial Narrow" w:hAnsi="Arial Narrow" w:cs="Arial Narrow"/>
                <w:color w:val="000000"/>
                <w:spacing w:val="0"/>
                <w:w w:val="100"/>
                <w:position w:val="0"/>
                <w:sz w:val="18"/>
                <w:szCs w:val="18"/>
              </w:rPr>
              <w:t>658,805,202.06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2,703,595.44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37,003,412.17</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汇兑损益</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为收益)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570,088.37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1,341,565.57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9,818,093.65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14,956,186.02</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12,312,610.99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620,400,173.88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Arial Narrow" w:eastAsia="Arial Narrow" w:hAnsi="Arial Narrow" w:cs="Arial Narrow"/>
                <w:b/>
                <w:bCs/>
                <w:color w:val="000000"/>
                <w:spacing w:val="0"/>
                <w:w w:val="100"/>
                <w:position w:val="0"/>
                <w:sz w:val="18"/>
                <w:szCs w:val="18"/>
              </w:rPr>
              <w:t>638,099,541.48</w:t>
            </w:r>
          </w:p>
        </w:tc>
      </w:tr>
      <w:tr>
        <w:trPr>
          <w:trHeight w:val="528"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bookmarkStart w:id="1043" w:name="bookmark1043"/>
            <w:r>
              <w:rPr>
                <w:rFonts w:ascii="Arial Narrow" w:eastAsia="Arial Narrow" w:hAnsi="Arial Narrow" w:cs="Arial Narrow"/>
                <w:b/>
                <w:bCs/>
                <w:color w:val="000000"/>
                <w:spacing w:val="0"/>
                <w:w w:val="100"/>
                <w:position w:val="0"/>
                <w:sz w:val="20"/>
                <w:szCs w:val="20"/>
              </w:rPr>
              <w:t>49</w:t>
            </w:r>
            <w:r>
              <w:rPr>
                <w:b/>
                <w:bCs/>
                <w:color w:val="000000"/>
                <w:spacing w:val="0"/>
                <w:w w:val="100"/>
                <w:position w:val="0"/>
                <w:sz w:val="20"/>
                <w:szCs w:val="20"/>
              </w:rPr>
              <w:t>、其他收益</w:t>
            </w:r>
            <w:bookmarkEnd w:id="1043"/>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14,744,653.08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color w:val="000000"/>
                <w:spacing w:val="0"/>
                <w:w w:val="100"/>
                <w:position w:val="0"/>
                <w:sz w:val="18"/>
                <w:szCs w:val="18"/>
              </w:rPr>
              <w:t>34,189,408.94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代扣代缴个税手续费返还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102,381.87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348,819.35</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债务重组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152,490,745.90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color w:val="000000"/>
                <w:spacing w:val="0"/>
                <w:w w:val="100"/>
                <w:position w:val="0"/>
                <w:sz w:val="18"/>
                <w:szCs w:val="18"/>
              </w:rPr>
              <w:t>-18,182,200.00</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167,337,780.85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b/>
                <w:bCs/>
                <w:color w:val="000000"/>
                <w:spacing w:val="0"/>
                <w:w w:val="100"/>
                <w:position w:val="0"/>
                <w:sz w:val="18"/>
                <w:szCs w:val="18"/>
              </w:rPr>
              <w:t>16,356,028.29</w:t>
            </w:r>
          </w:p>
        </w:tc>
      </w:tr>
    </w:tbl>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注：其他收益</w:t>
      </w:r>
      <w:r>
        <w:rPr>
          <w:b/>
          <w:bCs/>
          <w:color w:val="000000"/>
          <w:spacing w:val="0"/>
          <w:w w:val="100"/>
          <w:position w:val="0"/>
          <w:sz w:val="20"/>
          <w:szCs w:val="20"/>
        </w:rPr>
        <w:t>-</w:t>
      </w:r>
      <w:r>
        <w:rPr>
          <w:color w:val="000000"/>
          <w:spacing w:val="0"/>
          <w:w w:val="100"/>
          <w:position w:val="0"/>
          <w:sz w:val="20"/>
          <w:szCs w:val="20"/>
        </w:rPr>
        <w:t>政府补助明细详见本附注五、</w:t>
      </w:r>
      <w:r>
        <w:rPr>
          <w:b/>
          <w:bCs/>
          <w:color w:val="000000"/>
          <w:spacing w:val="0"/>
          <w:w w:val="100"/>
          <w:position w:val="0"/>
          <w:sz w:val="20"/>
          <w:szCs w:val="20"/>
        </w:rPr>
        <w:t xml:space="preserve">61 </w:t>
      </w:r>
      <w:r>
        <w:rPr>
          <w:color w:val="000000"/>
          <w:spacing w:val="0"/>
          <w:w w:val="100"/>
          <w:position w:val="0"/>
          <w:sz w:val="20"/>
          <w:szCs w:val="20"/>
        </w:rPr>
        <w:t>(</w:t>
      </w:r>
      <w:r>
        <w:rPr>
          <w:b/>
          <w:bCs/>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19"/>
          <w:szCs w:val="19"/>
        </w:rPr>
        <w:t>。</w:t>
      </w:r>
    </w:p>
    <w:p>
      <w:pPr>
        <w:widowControl w:val="0"/>
        <w:spacing w:after="219" w:line="1" w:lineRule="exact"/>
      </w:pPr>
    </w:p>
    <w:tbl>
      <w:tblPr>
        <w:tblOverlap w:val="never"/>
        <w:jc w:val="center"/>
        <w:tblLayout w:type="fixed"/>
      </w:tblPr>
      <w:tblGrid>
        <w:gridCol w:w="4829"/>
        <w:gridCol w:w="2155"/>
        <w:gridCol w:w="2304"/>
      </w:tblGrid>
      <w:tr>
        <w:trPr>
          <w:trHeight w:val="317"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bookmarkStart w:id="1045" w:name="bookmark1045"/>
            <w:r>
              <w:rPr>
                <w:rFonts w:ascii="Arial Narrow" w:eastAsia="Arial Narrow" w:hAnsi="Arial Narrow" w:cs="Arial Narrow"/>
                <w:b/>
                <w:bCs/>
                <w:color w:val="000000"/>
                <w:spacing w:val="0"/>
                <w:w w:val="100"/>
                <w:position w:val="0"/>
                <w:sz w:val="20"/>
                <w:szCs w:val="20"/>
              </w:rPr>
              <w:t>50</w:t>
            </w:r>
            <w:r>
              <w:rPr>
                <w:b/>
                <w:bCs/>
                <w:color w:val="000000"/>
                <w:spacing w:val="0"/>
                <w:w w:val="100"/>
                <w:position w:val="0"/>
                <w:sz w:val="20"/>
                <w:szCs w:val="20"/>
              </w:rPr>
              <w:t>、投资收益</w:t>
            </w:r>
            <w:bookmarkEnd w:id="1045"/>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548,301.83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272,542.40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-3,389,958.47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-89,577,405.40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-2,841,656.64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-89,304,863.00</w:t>
            </w:r>
          </w:p>
        </w:tc>
      </w:tr>
    </w:tbl>
    <w:p>
      <w:pPr>
        <w:pStyle w:val="Style25"/>
        <w:keepNext w:val="0"/>
        <w:keepLines w:val="0"/>
        <w:widowControl w:val="0"/>
        <w:shd w:val="clear" w:color="auto" w:fill="auto"/>
        <w:bidi w:val="0"/>
        <w:spacing w:before="0" w:after="0" w:line="240" w:lineRule="auto"/>
        <w:ind w:left="475" w:right="0" w:firstLine="0"/>
        <w:jc w:val="left"/>
        <w:rPr>
          <w:sz w:val="20"/>
          <w:szCs w:val="20"/>
        </w:rPr>
      </w:pPr>
      <w:bookmarkStart w:id="1044" w:name="bookmark1044"/>
      <w:r>
        <w:rPr>
          <w:rFonts w:ascii="Arial Narrow" w:eastAsia="Arial Narrow" w:hAnsi="Arial Narrow" w:cs="Arial Narrow"/>
          <w:b/>
          <w:bCs/>
          <w:color w:val="000000"/>
          <w:spacing w:val="0"/>
          <w:w w:val="100"/>
          <w:position w:val="0"/>
          <w:sz w:val="20"/>
          <w:szCs w:val="20"/>
        </w:rPr>
        <w:t>51</w:t>
      </w:r>
      <w:r>
        <w:rPr>
          <w:b/>
          <w:bCs/>
          <w:color w:val="000000"/>
          <w:spacing w:val="0"/>
          <w:w w:val="100"/>
          <w:position w:val="0"/>
          <w:sz w:val="20"/>
          <w:szCs w:val="20"/>
        </w:rPr>
        <w:t>、信用减值损失</w:t>
      </w:r>
      <w:bookmarkEnd w:id="1044"/>
      <w:r>
        <w:br w:type="page"/>
      </w:r>
    </w:p>
    <w:tbl>
      <w:tblPr>
        <w:tblOverlap w:val="never"/>
        <w:jc w:val="center"/>
        <w:tblLayout w:type="fixed"/>
      </w:tblPr>
      <w:tblGrid>
        <w:gridCol w:w="2774"/>
        <w:gridCol w:w="317"/>
        <w:gridCol w:w="1392"/>
        <w:gridCol w:w="1637"/>
        <w:gridCol w:w="3130"/>
      </w:tblGrid>
      <w:tr>
        <w:trPr>
          <w:trHeight w:val="43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应收账款坏账损失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-38,720,437.82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Arial Narrow" w:eastAsia="Arial Narrow" w:hAnsi="Arial Narrow" w:cs="Arial Narrow"/>
                <w:color w:val="000000"/>
                <w:spacing w:val="0"/>
                <w:w w:val="100"/>
                <w:position w:val="0"/>
                <w:sz w:val="18"/>
                <w:szCs w:val="18"/>
              </w:rPr>
              <w:t>19,697,240.33</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其他应收款坏账损失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-59,554,532.08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-337,098,217.33</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应收票据坏账损失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264,388.43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932,397.51</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应收股利坏账损失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-2,463,646.78</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-100,474,228.25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-316,468,579.49</w:t>
            </w:r>
          </w:p>
        </w:tc>
      </w:tr>
      <w:tr>
        <w:trPr>
          <w:trHeight w:val="528"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bookmarkStart w:id="1046" w:name="bookmark1046"/>
            <w:r>
              <w:rPr>
                <w:rFonts w:ascii="Arial Narrow" w:eastAsia="Arial Narrow" w:hAnsi="Arial Narrow" w:cs="Arial Narrow"/>
                <w:b/>
                <w:bCs/>
                <w:color w:val="000000"/>
                <w:spacing w:val="0"/>
                <w:w w:val="100"/>
                <w:position w:val="0"/>
                <w:sz w:val="20"/>
                <w:szCs w:val="20"/>
              </w:rPr>
              <w:t>52</w:t>
            </w:r>
            <w:r>
              <w:rPr>
                <w:b/>
                <w:bCs/>
                <w:color w:val="000000"/>
                <w:spacing w:val="0"/>
                <w:w w:val="100"/>
                <w:position w:val="0"/>
                <w:sz w:val="20"/>
                <w:szCs w:val="20"/>
              </w:rPr>
              <w:t>、资产减值损失</w:t>
            </w:r>
            <w:bookmarkEnd w:id="1046"/>
          </w:p>
        </w:tc>
      </w:tr>
      <w:tr>
        <w:trPr>
          <w:trHeight w:val="413"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存货跌价损失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-12,905,293.91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-15,182,607.87</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合同资产减值损失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-118,694,601.59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-63,979,398.34</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商誉减值损失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-168,787,237.18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-98,528,429.74</w:t>
            </w:r>
          </w:p>
        </w:tc>
      </w:tr>
      <w:tr>
        <w:trPr>
          <w:trHeight w:val="43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-300,387,132.68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-177,690,435.95</w:t>
            </w:r>
          </w:p>
        </w:tc>
      </w:tr>
      <w:tr>
        <w:trPr>
          <w:trHeight w:val="528"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bookmarkStart w:id="1047" w:name="bookmark1047"/>
            <w:r>
              <w:rPr>
                <w:rFonts w:ascii="Arial Narrow" w:eastAsia="Arial Narrow" w:hAnsi="Arial Narrow" w:cs="Arial Narrow"/>
                <w:b/>
                <w:bCs/>
                <w:color w:val="000000"/>
                <w:spacing w:val="0"/>
                <w:w w:val="100"/>
                <w:position w:val="0"/>
                <w:sz w:val="20"/>
                <w:szCs w:val="20"/>
              </w:rPr>
              <w:t>53</w:t>
            </w:r>
            <w:r>
              <w:rPr>
                <w:b/>
                <w:bCs/>
                <w:color w:val="000000"/>
                <w:spacing w:val="0"/>
                <w:w w:val="100"/>
                <w:position w:val="0"/>
                <w:sz w:val="20"/>
                <w:szCs w:val="20"/>
              </w:rPr>
              <w:t>、资产处置收益</w:t>
            </w:r>
            <w:bookmarkEnd w:id="1047"/>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0" w:right="0" w:firstLine="0"/>
              <w:jc w:val="center"/>
              <w:rPr>
                <w:sz w:val="17"/>
                <w:szCs w:val="17"/>
              </w:rPr>
            </w:pPr>
            <w:r>
              <w:rPr>
                <w:b/>
                <w:bCs/>
                <w:color w:val="000000"/>
                <w:spacing w:val="0"/>
                <w:w w:val="100"/>
                <w:position w:val="0"/>
                <w:sz w:val="17"/>
                <w:szCs w:val="17"/>
              </w:rPr>
              <w:t>计入当期非经常性损益的金额</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非流动资产处置利得合计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-2,546,379.14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-18,761.71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Arial Narrow" w:eastAsia="Arial Narrow" w:hAnsi="Arial Narrow" w:cs="Arial Narrow"/>
                <w:color w:val="000000"/>
                <w:spacing w:val="0"/>
                <w:w w:val="100"/>
                <w:position w:val="0"/>
                <w:sz w:val="18"/>
                <w:szCs w:val="18"/>
              </w:rPr>
              <w:t>-2,546,379.14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其中：固定资产处置利得</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-2,546,379.14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-18,761.71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Arial Narrow" w:eastAsia="Arial Narrow" w:hAnsi="Arial Narrow" w:cs="Arial Narrow"/>
                <w:color w:val="000000"/>
                <w:spacing w:val="0"/>
                <w:w w:val="100"/>
                <w:position w:val="0"/>
                <w:sz w:val="18"/>
                <w:szCs w:val="18"/>
              </w:rPr>
              <w:t>-2,546,379.14</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b/>
                <w:bCs/>
                <w:color w:val="000000"/>
                <w:spacing w:val="0"/>
                <w:w w:val="100"/>
                <w:position w:val="0"/>
                <w:sz w:val="18"/>
                <w:szCs w:val="18"/>
              </w:rPr>
              <w:t>-2,546,379.14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b/>
                <w:bCs/>
                <w:color w:val="000000"/>
                <w:spacing w:val="0"/>
                <w:w w:val="100"/>
                <w:position w:val="0"/>
                <w:sz w:val="18"/>
                <w:szCs w:val="18"/>
              </w:rPr>
              <w:t>-18,761.71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Arial Narrow" w:eastAsia="Arial Narrow" w:hAnsi="Arial Narrow" w:cs="Arial Narrow"/>
                <w:b/>
                <w:bCs/>
                <w:color w:val="000000"/>
                <w:spacing w:val="0"/>
                <w:w w:val="100"/>
                <w:position w:val="0"/>
                <w:sz w:val="18"/>
                <w:szCs w:val="18"/>
              </w:rPr>
              <w:t>-2,546,379.14</w:t>
            </w:r>
          </w:p>
        </w:tc>
      </w:tr>
      <w:tr>
        <w:trPr>
          <w:trHeight w:val="528"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bookmarkStart w:id="1048" w:name="bookmark1048"/>
            <w:r>
              <w:rPr>
                <w:rFonts w:ascii="Arial Narrow" w:eastAsia="Arial Narrow" w:hAnsi="Arial Narrow" w:cs="Arial Narrow"/>
                <w:b/>
                <w:bCs/>
                <w:color w:val="000000"/>
                <w:spacing w:val="0"/>
                <w:w w:val="100"/>
                <w:position w:val="0"/>
                <w:sz w:val="20"/>
                <w:szCs w:val="20"/>
              </w:rPr>
              <w:t>54</w:t>
            </w:r>
            <w:r>
              <w:rPr>
                <w:b/>
                <w:bCs/>
                <w:color w:val="000000"/>
                <w:spacing w:val="0"/>
                <w:w w:val="100"/>
                <w:position w:val="0"/>
                <w:sz w:val="20"/>
                <w:szCs w:val="20"/>
              </w:rPr>
              <w:t>、营业外收入</w:t>
            </w:r>
            <w:bookmarkEnd w:id="1048"/>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0" w:right="0" w:firstLine="0"/>
              <w:jc w:val="center"/>
              <w:rPr>
                <w:sz w:val="17"/>
                <w:szCs w:val="17"/>
              </w:rPr>
            </w:pPr>
            <w:r>
              <w:rPr>
                <w:b/>
                <w:bCs/>
                <w:color w:val="000000"/>
                <w:spacing w:val="0"/>
                <w:w w:val="100"/>
                <w:position w:val="0"/>
                <w:sz w:val="17"/>
                <w:szCs w:val="17"/>
              </w:rPr>
              <w:t>计入当期非经常性损益的金额</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罚款收入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11,020.74</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保险赔款</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936,944.90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1,188,104.11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Arial Narrow" w:eastAsia="Arial Narrow" w:hAnsi="Arial Narrow" w:cs="Arial Narrow"/>
                <w:color w:val="000000"/>
                <w:spacing w:val="0"/>
                <w:w w:val="100"/>
                <w:position w:val="0"/>
                <w:sz w:val="18"/>
                <w:szCs w:val="18"/>
              </w:rPr>
              <w:t>936,944.90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无需支付款项</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10,001,070.16</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合同违约金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151,314.57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1,246,264.91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Arial Narrow" w:eastAsia="Arial Narrow" w:hAnsi="Arial Narrow" w:cs="Arial Narrow"/>
                <w:color w:val="000000"/>
                <w:spacing w:val="0"/>
                <w:w w:val="100"/>
                <w:position w:val="0"/>
                <w:sz w:val="18"/>
                <w:szCs w:val="18"/>
              </w:rPr>
              <w:t>151,314.57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212,629.20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10,602,008.62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Arial Narrow" w:eastAsia="Arial Narrow" w:hAnsi="Arial Narrow" w:cs="Arial Narrow"/>
                <w:color w:val="000000"/>
                <w:spacing w:val="0"/>
                <w:w w:val="100"/>
                <w:position w:val="0"/>
                <w:sz w:val="18"/>
                <w:szCs w:val="18"/>
              </w:rPr>
              <w:t>212,629.20</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b/>
                <w:bCs/>
                <w:color w:val="000000"/>
                <w:spacing w:val="0"/>
                <w:w w:val="100"/>
                <w:position w:val="0"/>
                <w:sz w:val="18"/>
                <w:szCs w:val="18"/>
              </w:rPr>
              <w:t>1,300,888.67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b/>
                <w:bCs/>
                <w:color w:val="000000"/>
                <w:spacing w:val="0"/>
                <w:w w:val="100"/>
                <w:position w:val="0"/>
                <w:sz w:val="18"/>
                <w:szCs w:val="18"/>
              </w:rPr>
              <w:t>23,048,468.54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Arial Narrow" w:eastAsia="Arial Narrow" w:hAnsi="Arial Narrow" w:cs="Arial Narrow"/>
                <w:b/>
                <w:bCs/>
                <w:color w:val="000000"/>
                <w:spacing w:val="0"/>
                <w:w w:val="100"/>
                <w:position w:val="0"/>
                <w:sz w:val="18"/>
                <w:szCs w:val="18"/>
              </w:rPr>
              <w:t>1,300,888.67</w:t>
            </w:r>
          </w:p>
        </w:tc>
      </w:tr>
      <w:tr>
        <w:trPr>
          <w:trHeight w:val="533"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bookmarkStart w:id="1049" w:name="bookmark1049"/>
            <w:r>
              <w:rPr>
                <w:rFonts w:ascii="Arial Narrow" w:eastAsia="Arial Narrow" w:hAnsi="Arial Narrow" w:cs="Arial Narrow"/>
                <w:b/>
                <w:bCs/>
                <w:color w:val="000000"/>
                <w:spacing w:val="0"/>
                <w:w w:val="100"/>
                <w:position w:val="0"/>
                <w:sz w:val="20"/>
                <w:szCs w:val="20"/>
              </w:rPr>
              <w:t>55</w:t>
            </w:r>
            <w:r>
              <w:rPr>
                <w:b/>
                <w:bCs/>
                <w:color w:val="000000"/>
                <w:spacing w:val="0"/>
                <w:w w:val="100"/>
                <w:position w:val="0"/>
                <w:sz w:val="20"/>
                <w:szCs w:val="20"/>
              </w:rPr>
              <w:t>、营业外支出</w:t>
            </w:r>
            <w:bookmarkEnd w:id="1049"/>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计入当期非经常性损益的金额</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公益性捐赠支出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10,475,228.80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37,547,165.84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10,475,228.80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罚款及滞纳金支出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5,567,092.09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1,321,970.99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5,567,092.09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违约金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116,145,596.63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53,319,805.82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116,145,596.63</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88,150.10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8,840,823.08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88,150.10</w:t>
            </w:r>
          </w:p>
        </w:tc>
      </w:tr>
    </w:tbl>
    <w:p>
      <w:pPr>
        <w:spacing w:lineRule="exact" w:line="1"/>
        <w:rPr>
          <w:sz w:val="2"/>
          <w:szCs w:val="2"/>
        </w:rPr>
      </w:pPr>
      <w:r>
        <w:br w:type="page"/>
      </w:r>
    </w:p>
    <w:tbl>
      <w:tblPr>
        <w:tblOverlap w:val="never"/>
        <w:jc w:val="center"/>
        <w:tblLayout w:type="fixed"/>
      </w:tblPr>
      <w:tblGrid>
        <w:gridCol w:w="4248"/>
        <w:gridCol w:w="2674"/>
        <w:gridCol w:w="2366"/>
      </w:tblGrid>
      <w:tr>
        <w:trPr>
          <w:trHeight w:val="461" w:hRule="exact"/>
        </w:trPr>
        <w:tc>
          <w:tcPr>
            <w:gridSpan w:val="3"/>
            <w:tcBorders>
              <w:top w:val="single" w:sz="4"/>
            </w:tcBorders>
            <w:shd w:val="clear" w:color="auto" w:fill="FFFFFF"/>
            <w:vAlign w:val="center"/>
          </w:tcPr>
          <w:p>
            <w:pPr>
              <w:pStyle w:val="Style22"/>
              <w:keepNext w:val="0"/>
              <w:keepLines w:val="0"/>
              <w:widowControl w:val="0"/>
              <w:shd w:val="clear" w:color="auto" w:fill="auto"/>
              <w:tabs>
                <w:tab w:pos="1886" w:val="left"/>
                <w:tab w:pos="3586" w:val="left"/>
                <w:tab w:pos="5952" w:val="left"/>
              </w:tabs>
              <w:bidi w:val="0"/>
              <w:spacing w:before="0" w:after="0" w:line="240" w:lineRule="auto"/>
              <w:ind w:left="0" w:right="0" w:firstLine="0"/>
              <w:jc w:val="center"/>
              <w:rPr>
                <w:sz w:val="18"/>
                <w:szCs w:val="18"/>
              </w:rPr>
            </w:pPr>
            <w:r>
              <w:rPr>
                <w:b/>
                <w:bCs/>
                <w:color w:val="000000"/>
                <w:spacing w:val="0"/>
                <w:w w:val="100"/>
                <w:position w:val="0"/>
                <w:sz w:val="17"/>
                <w:szCs w:val="17"/>
              </w:rPr>
              <w:t>合计</w:t>
              <w:tab/>
            </w:r>
            <w:r>
              <w:rPr>
                <w:rFonts w:ascii="Arial Narrow" w:eastAsia="Arial Narrow" w:hAnsi="Arial Narrow" w:cs="Arial Narrow"/>
                <w:b/>
                <w:bCs/>
                <w:color w:val="000000"/>
                <w:spacing w:val="0"/>
                <w:w w:val="100"/>
                <w:position w:val="0"/>
                <w:sz w:val="18"/>
                <w:szCs w:val="18"/>
              </w:rPr>
              <w:t>132,276,067.62</w:t>
              <w:tab/>
              <w:t>101,029,765.73</w:t>
              <w:tab/>
              <w:t>132,276,067.62</w:t>
            </w:r>
          </w:p>
        </w:tc>
      </w:tr>
      <w:tr>
        <w:trPr>
          <w:trHeight w:val="1526"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280" w:line="240" w:lineRule="auto"/>
              <w:ind w:left="0" w:right="0" w:firstLine="460"/>
              <w:jc w:val="left"/>
              <w:rPr>
                <w:sz w:val="20"/>
                <w:szCs w:val="20"/>
              </w:rPr>
            </w:pPr>
            <w:r>
              <w:rPr>
                <w:color w:val="000000"/>
                <w:spacing w:val="0"/>
                <w:w w:val="100"/>
                <w:position w:val="0"/>
                <w:sz w:val="20"/>
                <w:szCs w:val="20"/>
              </w:rPr>
              <w:t>注：期末本公司违约金主要为合同违约金。</w:t>
            </w:r>
          </w:p>
          <w:p>
            <w:pPr>
              <w:pStyle w:val="Style22"/>
              <w:keepNext w:val="0"/>
              <w:keepLines w:val="0"/>
              <w:widowControl w:val="0"/>
              <w:shd w:val="clear" w:color="auto" w:fill="auto"/>
              <w:bidi w:val="0"/>
              <w:spacing w:before="0" w:after="280" w:line="240" w:lineRule="auto"/>
              <w:ind w:left="0" w:right="0" w:firstLine="460"/>
              <w:jc w:val="left"/>
              <w:rPr>
                <w:sz w:val="20"/>
                <w:szCs w:val="20"/>
              </w:rPr>
            </w:pPr>
            <w:bookmarkStart w:id="1050" w:name="bookmark1050"/>
            <w:r>
              <w:rPr>
                <w:rFonts w:ascii="Arial Narrow" w:eastAsia="Arial Narrow" w:hAnsi="Arial Narrow" w:cs="Arial Narrow"/>
                <w:b/>
                <w:bCs/>
                <w:color w:val="000000"/>
                <w:spacing w:val="0"/>
                <w:w w:val="100"/>
                <w:position w:val="0"/>
                <w:sz w:val="20"/>
                <w:szCs w:val="20"/>
              </w:rPr>
              <w:t>56</w:t>
            </w:r>
            <w:r>
              <w:rPr>
                <w:b/>
                <w:bCs/>
                <w:color w:val="000000"/>
                <w:spacing w:val="0"/>
                <w:w w:val="100"/>
                <w:position w:val="0"/>
                <w:sz w:val="20"/>
                <w:szCs w:val="20"/>
              </w:rPr>
              <w:t>、所得税费用</w:t>
            </w:r>
            <w:bookmarkEnd w:id="1050"/>
          </w:p>
          <w:p>
            <w:pPr>
              <w:pStyle w:val="Style22"/>
              <w:keepNext w:val="0"/>
              <w:keepLines w:val="0"/>
              <w:widowControl w:val="0"/>
              <w:shd w:val="clear" w:color="auto" w:fill="auto"/>
              <w:bidi w:val="0"/>
              <w:spacing w:before="0" w:after="280" w:line="240" w:lineRule="auto"/>
              <w:ind w:left="0" w:right="0" w:firstLine="4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）所得税费用表</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28,332,741.69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13,862,211.82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11,528,066.71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-26,019,254.56</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39,860,808.40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b/>
                <w:bCs/>
                <w:color w:val="000000"/>
                <w:spacing w:val="0"/>
                <w:w w:val="100"/>
                <w:position w:val="0"/>
                <w:sz w:val="18"/>
                <w:szCs w:val="18"/>
              </w:rPr>
              <w:t>-12,157,042.74</w:t>
            </w:r>
          </w:p>
        </w:tc>
      </w:tr>
      <w:tr>
        <w:trPr>
          <w:trHeight w:val="528"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）会计利润与所得税费用调整过程</w:t>
            </w:r>
          </w:p>
        </w:tc>
      </w:tr>
      <w:tr>
        <w:trPr>
          <w:trHeight w:val="418"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-563,859,844.51</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-140,964,961.08</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-3,606,930.15</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-92,303,283.30</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调整以前期间递延所得税的影响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2,500,947.82</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-71,347,946.46</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研发费加计扣除的影响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-4,549,966.90</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9,507,276.97</w:t>
            </w:r>
          </w:p>
        </w:tc>
      </w:tr>
      <w:tr>
        <w:trPr>
          <w:trHeight w:val="42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-19,844,497.27</w:t>
            </w:r>
          </w:p>
        </w:tc>
      </w:tr>
      <w:tr>
        <w:trPr>
          <w:trHeight w:val="42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本期未确认递延所得税资产的可抵扣暂时性差异或可抵扣亏损的影响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360,470,168.77</w:t>
            </w:r>
          </w:p>
        </w:tc>
      </w:tr>
      <w:tr>
        <w:trPr>
          <w:trHeight w:val="43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Arial Narrow" w:eastAsia="Arial Narrow" w:hAnsi="Arial Narrow" w:cs="Arial Narrow"/>
                <w:b/>
                <w:bCs/>
                <w:color w:val="000000"/>
                <w:spacing w:val="0"/>
                <w:w w:val="100"/>
                <w:position w:val="0"/>
                <w:sz w:val="18"/>
                <w:szCs w:val="18"/>
              </w:rPr>
              <w:t>39,860,808.40</w:t>
            </w:r>
          </w:p>
        </w:tc>
      </w:tr>
      <w:tr>
        <w:trPr>
          <w:trHeight w:val="475"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0"/>
                <w:szCs w:val="20"/>
              </w:rPr>
            </w:pPr>
            <w:bookmarkStart w:id="1051" w:name="bookmark1051"/>
            <w:r>
              <w:rPr>
                <w:rFonts w:ascii="Arial Narrow" w:eastAsia="Arial Narrow" w:hAnsi="Arial Narrow" w:cs="Arial Narrow"/>
                <w:b/>
                <w:bCs/>
                <w:color w:val="000000"/>
                <w:spacing w:val="0"/>
                <w:w w:val="100"/>
                <w:position w:val="0"/>
                <w:sz w:val="20"/>
                <w:szCs w:val="20"/>
              </w:rPr>
              <w:t>57</w:t>
            </w:r>
            <w:r>
              <w:rPr>
                <w:b/>
                <w:bCs/>
                <w:color w:val="000000"/>
                <w:spacing w:val="0"/>
                <w:w w:val="100"/>
                <w:position w:val="0"/>
                <w:sz w:val="20"/>
                <w:szCs w:val="20"/>
              </w:rPr>
              <w:t>、现金流量表项目</w:t>
            </w:r>
            <w:bookmarkEnd w:id="1051"/>
          </w:p>
        </w:tc>
      </w:tr>
    </w:tbl>
    <w:p>
      <w:pPr>
        <w:widowControl w:val="0"/>
        <w:spacing w:after="299" w:line="1" w:lineRule="exact"/>
      </w:pPr>
    </w:p>
    <w:p>
      <w:pPr>
        <w:pStyle w:val="Style25"/>
        <w:keepNext w:val="0"/>
        <w:keepLines w:val="0"/>
        <w:widowControl w:val="0"/>
        <w:shd w:val="clear" w:color="auto" w:fill="auto"/>
        <w:bidi w:val="0"/>
        <w:spacing w:before="0" w:after="0" w:line="240" w:lineRule="auto"/>
        <w:ind w:left="432"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）收到的其他与经营活动有关的现金</w:t>
      </w:r>
    </w:p>
    <w:tbl>
      <w:tblPr>
        <w:tblOverlap w:val="never"/>
        <w:jc w:val="center"/>
        <w:tblLayout w:type="fixed"/>
      </w:tblPr>
      <w:tblGrid>
        <w:gridCol w:w="3490"/>
        <w:gridCol w:w="3067"/>
        <w:gridCol w:w="2693"/>
      </w:tblGrid>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收到外部单位往来款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53,617,368.40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收到或退回的保证金及押金等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45,597,697.99</w:t>
            </w:r>
          </w:p>
        </w:tc>
      </w:tr>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13,102,596.52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43,581,287.54</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员工归还公务借款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438,335.72</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817,982.34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960,047.92</w:t>
            </w:r>
          </w:p>
        </w:tc>
      </w:tr>
      <w:tr>
        <w:trPr>
          <w:trHeight w:val="4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1,403,270.54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2,445,389.76</w:t>
            </w:r>
          </w:p>
        </w:tc>
      </w:tr>
    </w:tbl>
    <w:p>
      <w:pPr>
        <w:spacing w:lineRule="exact" w:line="1"/>
        <w:rPr>
          <w:sz w:val="2"/>
          <w:szCs w:val="2"/>
        </w:rPr>
      </w:pPr>
      <w:r>
        <w:br w:type="page"/>
      </w:r>
    </w:p>
    <w:tbl>
      <w:tblPr>
        <w:tblOverlap w:val="never"/>
        <w:jc w:val="center"/>
        <w:tblLayout w:type="fixed"/>
      </w:tblPr>
      <w:tblGrid>
        <w:gridCol w:w="3586"/>
        <w:gridCol w:w="3072"/>
        <w:gridCol w:w="2712"/>
      </w:tblGrid>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68,941,217.80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93,022,758.93</w:t>
            </w:r>
          </w:p>
        </w:tc>
      </w:tr>
      <w:tr>
        <w:trPr>
          <w:trHeight w:val="605"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）支付的其他与经营活动有关的现金</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管理费办公费用等支出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135,148,884.99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97,634,190.37</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销售费广告、代理等支出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8,601,118.07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6,875,215.67</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支付的保证金及押金等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5,896,454.53</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支付代付款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215,288,506.89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136,492,499.32</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公益性捐赠</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扶贫支出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10,475,228.80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37,547,165.84</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支付员工公务借款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841,889.75</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罚款及滞纳金支出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6,291,047.40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1,321,970.99</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382,543,130.43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b/>
                <w:bCs/>
                <w:color w:val="000000"/>
                <w:spacing w:val="0"/>
                <w:w w:val="100"/>
                <w:position w:val="0"/>
                <w:sz w:val="18"/>
                <w:szCs w:val="18"/>
              </w:rPr>
              <w:t>279,871,042.19</w:t>
            </w:r>
          </w:p>
        </w:tc>
      </w:tr>
      <w:tr>
        <w:trPr>
          <w:trHeight w:val="610"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）收到的其他与投资活动有关的现金</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收回股权款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24,465,000.00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307,826,274.67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财务公司存款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39,370,328.64</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24,465,000.00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b/>
                <w:bCs/>
                <w:color w:val="000000"/>
                <w:spacing w:val="0"/>
                <w:w w:val="100"/>
                <w:position w:val="0"/>
                <w:sz w:val="18"/>
                <w:szCs w:val="18"/>
              </w:rPr>
              <w:t>347,196,603.31</w:t>
            </w:r>
          </w:p>
        </w:tc>
      </w:tr>
      <w:tr>
        <w:trPr>
          <w:trHeight w:val="605"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）支付的其他与投资活动有关的现金</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财务公司存款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32,039,050.04</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处置子公司的现金净额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13,232,864.62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148,864,557.85</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b/>
                <w:bCs/>
                <w:color w:val="000000"/>
                <w:spacing w:val="0"/>
                <w:w w:val="100"/>
                <w:position w:val="0"/>
                <w:sz w:val="18"/>
                <w:szCs w:val="18"/>
              </w:rPr>
              <w:t>194,136,472.51</w:t>
            </w:r>
          </w:p>
        </w:tc>
      </w:tr>
      <w:tr>
        <w:trPr>
          <w:trHeight w:val="610"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）收到的其他与筹资活动有关的现金</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质押定期存款赎回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1,885,613.10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67,091,051.75</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1,885,613.10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1,067,091,051.75</w:t>
            </w:r>
          </w:p>
        </w:tc>
      </w:tr>
    </w:tbl>
    <w:p>
      <w:pPr>
        <w:pStyle w:val="Style25"/>
        <w:keepNext w:val="0"/>
        <w:keepLines w:val="0"/>
        <w:widowControl w:val="0"/>
        <w:shd w:val="clear" w:color="auto" w:fill="auto"/>
        <w:bidi w:val="0"/>
        <w:spacing w:before="0" w:after="0" w:line="240" w:lineRule="auto"/>
        <w:ind w:left="51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）支付的其他与筹资活动有关的现金</w:t>
      </w:r>
      <w:r>
        <w:br w:type="page"/>
      </w:r>
    </w:p>
    <w:tbl>
      <w:tblPr>
        <w:tblOverlap w:val="never"/>
        <w:jc w:val="center"/>
        <w:tblLayout w:type="fixed"/>
      </w:tblPr>
      <w:tblGrid>
        <w:gridCol w:w="3605"/>
        <w:gridCol w:w="3178"/>
        <w:gridCol w:w="2587"/>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支付的筹资费用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9,834,032.57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14,779,198.08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170,098,227.18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277,461,271.68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78,886,939.18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148,864,557.85</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258,819,198.93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441,105,027.61</w:t>
            </w:r>
          </w:p>
        </w:tc>
      </w:tr>
    </w:tbl>
    <w:p>
      <w:pPr>
        <w:widowControl w:val="0"/>
        <w:spacing w:after="179" w:line="1" w:lineRule="exact"/>
      </w:pPr>
    </w:p>
    <w:p>
      <w:pPr>
        <w:pStyle w:val="Style20"/>
        <w:keepNext/>
        <w:keepLines/>
        <w:widowControl w:val="0"/>
        <w:shd w:val="clear" w:color="auto" w:fill="auto"/>
        <w:bidi w:val="0"/>
        <w:spacing w:before="0" w:after="300" w:line="240" w:lineRule="auto"/>
        <w:ind w:left="0" w:right="0" w:firstLine="560"/>
        <w:jc w:val="left"/>
        <w:rPr>
          <w:sz w:val="20"/>
          <w:szCs w:val="20"/>
        </w:rPr>
      </w:pPr>
      <w:bookmarkStart w:id="1052" w:name="bookmark1052"/>
      <w:bookmarkStart w:id="1053" w:name="bookmark1053"/>
      <w:bookmarkStart w:id="1054" w:name="bookmark1054"/>
      <w:r>
        <w:rPr>
          <w:rFonts w:ascii="Arial Narrow" w:eastAsia="Arial Narrow" w:hAnsi="Arial Narrow" w:cs="Arial Narrow"/>
          <w:color w:val="000000"/>
          <w:spacing w:val="0"/>
          <w:w w:val="100"/>
          <w:position w:val="0"/>
          <w:sz w:val="20"/>
          <w:szCs w:val="20"/>
        </w:rPr>
        <w:t>58</w:t>
      </w:r>
      <w:r>
        <w:rPr>
          <w:color w:val="000000"/>
          <w:spacing w:val="0"/>
          <w:w w:val="100"/>
          <w:position w:val="0"/>
          <w:sz w:val="20"/>
          <w:szCs w:val="20"/>
        </w:rPr>
        <w:t>、现金流量表补充资料</w:t>
      </w:r>
      <w:bookmarkEnd w:id="1052"/>
      <w:bookmarkEnd w:id="1053"/>
      <w:bookmarkEnd w:id="1054"/>
    </w:p>
    <w:p>
      <w:pPr>
        <w:pStyle w:val="Style25"/>
        <w:keepNext w:val="0"/>
        <w:keepLines w:val="0"/>
        <w:widowControl w:val="0"/>
        <w:shd w:val="clear" w:color="auto" w:fill="auto"/>
        <w:bidi w:val="0"/>
        <w:spacing w:before="0" w:after="0" w:line="240" w:lineRule="auto"/>
        <w:ind w:left="418"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）现金流量表补充资料</w:t>
      </w:r>
    </w:p>
    <w:tbl>
      <w:tblPr>
        <w:tblOverlap w:val="never"/>
        <w:jc w:val="center"/>
        <w:tblLayout w:type="fixed"/>
      </w:tblPr>
      <w:tblGrid>
        <w:gridCol w:w="5462"/>
        <w:gridCol w:w="1834"/>
        <w:gridCol w:w="1882"/>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rPr>
                <w:sz w:val="17"/>
                <w:szCs w:val="17"/>
              </w:rPr>
            </w:pPr>
            <w:r>
              <w:rPr>
                <w:b/>
                <w:bCs/>
                <w:color w:val="000000"/>
                <w:spacing w:val="0"/>
                <w:w w:val="100"/>
                <w:position w:val="0"/>
                <w:sz w:val="17"/>
                <w:szCs w:val="17"/>
              </w:rPr>
              <w:t>补充资料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-603,720,652.91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-1,040,991,478.06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加：信用减值准备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101,880,319.01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316,468,579.49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300,387,132.68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177,690,435.95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364,465,544.08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378,392,546.48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18,011,944.61</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5,549,077.50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6,105,050.89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17,551,655.95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47,788,890.40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资产处置损失（收益以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-2,546,379.14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18,761.71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固定资产报废损失（收益以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公允价值变动损失（收益以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财务费用（收益以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620,648,067.85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605,299,508.59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投资损失（收益以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2,841,656.64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89,304,863.00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递延所得税资产减少（增加以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17,906,841.61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-26,019,254.56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递延所得税负债增加（减少以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-6,378,774.90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-9,856,576.53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存货的减少（增加以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-42,439,826.75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835,822,510.91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经营性应收项目的减少（增加以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-169,985,172.74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349,143,233.92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经营性应付项目的增加（减少以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-366,419,569.27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-1,181,430,092.90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257,751,864.22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b/>
                <w:bCs/>
                <w:color w:val="000000"/>
                <w:spacing w:val="0"/>
                <w:w w:val="100"/>
                <w:position w:val="0"/>
                <w:sz w:val="18"/>
                <w:szCs w:val="18"/>
              </w:rPr>
              <w:t>547,736,979.29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确认使用权资产的租赁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62"/>
        <w:gridCol w:w="1834"/>
        <w:gridCol w:w="1882"/>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399,494,255.91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300,055,261.55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300,055,261.55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657,451,773.36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力加现金等价物的期末余额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99,438,994.36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-357,396,511.81</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51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）本期收到的处置子公司的现金净额</w:t>
      </w:r>
    </w:p>
    <w:tbl>
      <w:tblPr>
        <w:tblOverlap w:val="never"/>
        <w:jc w:val="center"/>
        <w:tblLayout w:type="fixed"/>
      </w:tblPr>
      <w:tblGrid>
        <w:gridCol w:w="6470"/>
        <w:gridCol w:w="2899"/>
      </w:tblGrid>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6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本期处置子公司于本年收到的现金或现金等价物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41,471,501.00</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其中：华融金属表面处理（安平）科技有限公司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20,000,000.00</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安达市旭蓝新能源有限公司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19,800,000.00</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张北旭源新能源科技有限公司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宁夏旭蓝新能源科技有限公司</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鄂托克前旗晟日新能源科技有限公司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371,500.00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湖南旭腾医疗管理有限公司</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乌兰察布旭晨新能源科技有限公司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300,000.00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宁夏旭盛新能源科技有限公司</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南阳永召新能源有限公司</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6,880,647.26</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其中：华融金属表面处理（安平）科技有限公司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6,149,615.47</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安达市旭蓝新能源有限公司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18,592.04</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641,789.75</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张北旭源新能源科技有限公司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66.17</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宁夏旭蓝新能源科技有限公司</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鄂托克前旗晟日新能源科技有限公司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13,324.99</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湖南旭腾医疗管理有限公司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4,190.61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乌兰察布旭晨新能源科技有限公司</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宁夏旭盛新能源科技有限公司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52,167.47</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南阳永召新能源有限公司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900.76</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加：以前期间处置子公司于本期收到的现金或现金等价物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92,500,000.00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汪清县振发投资有限公司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92,500,000.00</w:t>
            </w:r>
          </w:p>
        </w:tc>
      </w:tr>
    </w:tbl>
    <w:p>
      <w:pPr>
        <w:spacing w:lineRule="exact" w:line="1"/>
        <w:rPr>
          <w:sz w:val="2"/>
          <w:szCs w:val="2"/>
        </w:rPr>
      </w:pPr>
      <w:r>
        <w:br w:type="page"/>
      </w:r>
    </w:p>
    <w:tbl>
      <w:tblPr>
        <w:tblOverlap w:val="never"/>
        <w:jc w:val="center"/>
        <w:tblLayout w:type="fixed"/>
      </w:tblPr>
      <w:tblGrid>
        <w:gridCol w:w="5856"/>
        <w:gridCol w:w="3514"/>
      </w:tblGrid>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127,090,853.74</w:t>
            </w:r>
          </w:p>
        </w:tc>
      </w:tr>
      <w:tr>
        <w:trPr>
          <w:trHeight w:val="52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)本期支付的取得子公司的现金或现金等价物</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72,000,000.00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其中：都昌县皓晖光伏电站有限公司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38,000,000.00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蒙阴县盛康光伏发电有限公司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34,000,000.00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1,715,844.98</w:t>
            </w: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其中：都昌县皓晖光伏电站有限公司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129.58</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蒙阴县盛康光伏发电有限公司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1,715,715.40</w:t>
            </w:r>
          </w:p>
        </w:tc>
      </w:tr>
      <w:tr>
        <w:trPr>
          <w:trHeight w:val="43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70,284,155.02</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51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)现金和现金等价物的构成</w:t>
      </w:r>
    </w:p>
    <w:tbl>
      <w:tblPr>
        <w:tblOverlap w:val="never"/>
        <w:jc w:val="center"/>
        <w:tblLayout w:type="fixed"/>
      </w:tblPr>
      <w:tblGrid>
        <w:gridCol w:w="5870"/>
        <w:gridCol w:w="1661"/>
        <w:gridCol w:w="1728"/>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399,494,255.91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300,055,261.55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217,773.39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40,223.13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398,761,544.37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299,526,296.29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514,938.15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488,742.13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399,494,255.91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300,055,261.55</w:t>
            </w:r>
          </w:p>
        </w:tc>
      </w:tr>
    </w:tbl>
    <w:p>
      <w:pPr>
        <w:widowControl w:val="0"/>
        <w:spacing w:after="199" w:line="1" w:lineRule="exact"/>
      </w:pPr>
    </w:p>
    <w:p>
      <w:pPr>
        <w:pStyle w:val="Style20"/>
        <w:keepNext/>
        <w:keepLines/>
        <w:widowControl w:val="0"/>
        <w:shd w:val="clear" w:color="auto" w:fill="auto"/>
        <w:bidi w:val="0"/>
        <w:spacing w:before="0" w:after="40" w:line="240" w:lineRule="auto"/>
        <w:ind w:left="0" w:right="0" w:firstLine="560"/>
        <w:jc w:val="left"/>
        <w:rPr>
          <w:sz w:val="20"/>
          <w:szCs w:val="20"/>
        </w:rPr>
      </w:pPr>
      <w:bookmarkStart w:id="1055" w:name="bookmark1055"/>
      <w:bookmarkStart w:id="1056" w:name="bookmark1056"/>
      <w:bookmarkStart w:id="1057" w:name="bookmark1057"/>
      <w:r>
        <w:rPr>
          <w:rFonts w:ascii="Arial Narrow" w:eastAsia="Arial Narrow" w:hAnsi="Arial Narrow" w:cs="Arial Narrow"/>
          <w:color w:val="000000"/>
          <w:spacing w:val="0"/>
          <w:w w:val="100"/>
          <w:position w:val="0"/>
          <w:sz w:val="20"/>
          <w:szCs w:val="20"/>
        </w:rPr>
        <w:t>59</w:t>
      </w:r>
      <w:r>
        <w:rPr>
          <w:color w:val="000000"/>
          <w:spacing w:val="0"/>
          <w:w w:val="100"/>
          <w:position w:val="0"/>
          <w:sz w:val="20"/>
          <w:szCs w:val="20"/>
        </w:rPr>
        <w:t>、所有权或使用权受到限制的资产</w:t>
      </w:r>
      <w:bookmarkEnd w:id="1055"/>
      <w:bookmarkEnd w:id="1056"/>
      <w:bookmarkEnd w:id="1057"/>
    </w:p>
    <w:tbl>
      <w:tblPr>
        <w:tblOverlap w:val="never"/>
        <w:jc w:val="center"/>
        <w:tblLayout w:type="fixed"/>
      </w:tblPr>
      <w:tblGrid>
        <w:gridCol w:w="2429"/>
        <w:gridCol w:w="1997"/>
        <w:gridCol w:w="4954"/>
      </w:tblGrid>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受限原因</w:t>
            </w:r>
          </w:p>
        </w:tc>
      </w:tr>
      <w:tr>
        <w:trPr>
          <w:trHeight w:val="83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2,986,603,118.79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集团财务公司存款、保证金存款、司法冻结资金、银行质押 及共管资金、存出投资款</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1,446,284,812.23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1,442,136,806.23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47,664,070.70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3,899,947,374.69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317,673,953.00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w:t>
            </w:r>
          </w:p>
        </w:tc>
      </w:tr>
    </w:tbl>
    <w:p>
      <w:pPr>
        <w:spacing w:lineRule="exact" w:line="1"/>
        <w:rPr>
          <w:sz w:val="2"/>
          <w:szCs w:val="2"/>
        </w:rPr>
      </w:pPr>
      <w:r>
        <w:br w:type="page"/>
      </w:r>
    </w:p>
    <w:p>
      <w:pPr>
        <w:pStyle w:val="Style82"/>
        <w:keepNext w:val="0"/>
        <w:keepLines w:val="0"/>
        <w:widowControl w:val="0"/>
        <w:pBdr>
          <w:top w:val="single" w:sz="4" w:space="0" w:color="auto"/>
        </w:pBdr>
        <w:shd w:val="clear" w:color="auto" w:fill="auto"/>
        <w:tabs>
          <w:tab w:pos="2752" w:val="left"/>
        </w:tabs>
        <w:bidi w:val="0"/>
        <w:spacing w:before="0" w:after="380" w:line="240" w:lineRule="auto"/>
        <w:ind w:left="0" w:right="0" w:firstLine="1000"/>
        <w:jc w:val="left"/>
      </w:pPr>
      <w:r>
        <w:rPr>
          <w:rFonts w:ascii="SimSun" w:eastAsia="SimSun" w:hAnsi="SimSun" w:cs="SimSun"/>
          <w:b/>
          <w:bCs/>
          <w:color w:val="000000"/>
          <w:spacing w:val="0"/>
          <w:w w:val="100"/>
          <w:position w:val="0"/>
          <w:sz w:val="17"/>
          <w:szCs w:val="17"/>
        </w:rPr>
        <w:t>合计</w:t>
        <w:tab/>
      </w:r>
      <w:r>
        <w:rPr>
          <w:b/>
          <w:bCs/>
          <w:color w:val="000000"/>
          <w:spacing w:val="0"/>
          <w:w w:val="100"/>
          <w:position w:val="0"/>
        </w:rPr>
        <w:t>10,140,310,135.64</w:t>
      </w:r>
    </w:p>
    <w:p>
      <w:pPr>
        <w:pStyle w:val="Style27"/>
        <w:keepNext w:val="0"/>
        <w:keepLines w:val="0"/>
        <w:widowControl w:val="0"/>
        <w:shd w:val="clear" w:color="auto" w:fill="auto"/>
        <w:bidi w:val="0"/>
        <w:spacing w:before="0" w:after="280" w:line="240" w:lineRule="auto"/>
        <w:ind w:left="0" w:right="0" w:firstLine="460"/>
        <w:jc w:val="left"/>
        <w:rPr>
          <w:sz w:val="17"/>
          <w:szCs w:val="17"/>
        </w:rPr>
      </w:pPr>
      <w:r>
        <w:rPr>
          <w:color w:val="000000"/>
          <w:spacing w:val="0"/>
          <w:w w:val="100"/>
          <w:position w:val="0"/>
          <w:sz w:val="17"/>
          <w:szCs w:val="17"/>
        </w:rPr>
        <w:t>注：本公司用于银行贷款质押的子公司股权，受限金额按各子公司期末净资产及对应质押比例计算。</w:t>
      </w:r>
    </w:p>
    <w:p>
      <w:pPr>
        <w:pStyle w:val="Style25"/>
        <w:keepNext w:val="0"/>
        <w:keepLines w:val="0"/>
        <w:widowControl w:val="0"/>
        <w:shd w:val="clear" w:color="auto" w:fill="auto"/>
        <w:bidi w:val="0"/>
        <w:spacing w:before="0" w:after="0" w:line="240" w:lineRule="auto"/>
        <w:ind w:left="384" w:right="0" w:firstLine="0"/>
        <w:jc w:val="left"/>
        <w:rPr>
          <w:sz w:val="20"/>
          <w:szCs w:val="20"/>
        </w:rPr>
      </w:pPr>
      <w:bookmarkStart w:id="1058" w:name="bookmark1058"/>
      <w:r>
        <w:rPr>
          <w:rFonts w:ascii="Arial Narrow" w:eastAsia="Arial Narrow" w:hAnsi="Arial Narrow" w:cs="Arial Narrow"/>
          <w:b/>
          <w:bCs/>
          <w:color w:val="000000"/>
          <w:spacing w:val="0"/>
          <w:w w:val="100"/>
          <w:position w:val="0"/>
          <w:sz w:val="20"/>
          <w:szCs w:val="20"/>
        </w:rPr>
        <w:t>60</w:t>
      </w:r>
      <w:r>
        <w:rPr>
          <w:b/>
          <w:bCs/>
          <w:color w:val="000000"/>
          <w:spacing w:val="0"/>
          <w:w w:val="100"/>
          <w:position w:val="0"/>
          <w:sz w:val="20"/>
          <w:szCs w:val="20"/>
        </w:rPr>
        <w:t>、外币货币性项目</w:t>
      </w:r>
      <w:bookmarkEnd w:id="1058"/>
    </w:p>
    <w:tbl>
      <w:tblPr>
        <w:tblOverlap w:val="never"/>
        <w:jc w:val="center"/>
        <w:tblLayout w:type="fixed"/>
      </w:tblPr>
      <w:tblGrid>
        <w:gridCol w:w="2798"/>
        <w:gridCol w:w="2275"/>
        <w:gridCol w:w="1838"/>
        <w:gridCol w:w="2530"/>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期末外币余额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折算汇率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期末折算人民币余额</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1,869,525.36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11,919,532.84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85,653.46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618,392.29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66,979.72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54,762.62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1,093,060.25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6,969,024.24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5,744.28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1,495,963.68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1,223,099.90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其中：港元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0.8176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163.52</w:t>
            </w:r>
          </w:p>
        </w:tc>
      </w:tr>
    </w:tbl>
    <w:p>
      <w:pPr>
        <w:widowControl w:val="0"/>
        <w:spacing w:after="219" w:line="1" w:lineRule="exact"/>
      </w:pPr>
    </w:p>
    <w:p>
      <w:pPr>
        <w:pStyle w:val="Style20"/>
        <w:keepNext/>
        <w:keepLines/>
        <w:widowControl w:val="0"/>
        <w:shd w:val="clear" w:color="auto" w:fill="auto"/>
        <w:bidi w:val="0"/>
        <w:spacing w:before="0" w:after="220" w:line="240" w:lineRule="auto"/>
        <w:ind w:left="0" w:right="0" w:firstLine="520"/>
        <w:jc w:val="left"/>
        <w:rPr>
          <w:sz w:val="20"/>
          <w:szCs w:val="20"/>
        </w:rPr>
      </w:pPr>
      <w:bookmarkStart w:id="1059" w:name="bookmark1059"/>
      <w:bookmarkStart w:id="1060" w:name="bookmark1060"/>
      <w:bookmarkStart w:id="1061" w:name="bookmark1061"/>
      <w:r>
        <w:rPr>
          <w:rFonts w:ascii="Arial Narrow" w:eastAsia="Arial Narrow" w:hAnsi="Arial Narrow" w:cs="Arial Narrow"/>
          <w:color w:val="000000"/>
          <w:spacing w:val="0"/>
          <w:w w:val="100"/>
          <w:position w:val="0"/>
          <w:sz w:val="20"/>
          <w:szCs w:val="20"/>
        </w:rPr>
        <w:t>61</w:t>
      </w:r>
      <w:r>
        <w:rPr>
          <w:color w:val="000000"/>
          <w:spacing w:val="0"/>
          <w:w w:val="100"/>
          <w:position w:val="0"/>
          <w:sz w:val="20"/>
          <w:szCs w:val="20"/>
        </w:rPr>
        <w:t>、政府补助</w:t>
      </w:r>
      <w:bookmarkEnd w:id="1059"/>
      <w:bookmarkEnd w:id="1060"/>
      <w:bookmarkEnd w:id="1061"/>
    </w:p>
    <w:p>
      <w:pPr>
        <w:pStyle w:val="Style25"/>
        <w:keepNext w:val="0"/>
        <w:keepLines w:val="0"/>
        <w:widowControl w:val="0"/>
        <w:shd w:val="clear" w:color="auto" w:fill="auto"/>
        <w:bidi w:val="0"/>
        <w:spacing w:before="0" w:after="0" w:line="240" w:lineRule="auto"/>
        <w:ind w:left="461"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）本期确认的政府补助</w:t>
      </w:r>
    </w:p>
    <w:tbl>
      <w:tblPr>
        <w:tblOverlap w:val="never"/>
        <w:jc w:val="center"/>
        <w:tblLayout w:type="fixed"/>
      </w:tblPr>
      <w:tblGrid>
        <w:gridCol w:w="2755"/>
        <w:gridCol w:w="1277"/>
        <w:gridCol w:w="725"/>
        <w:gridCol w:w="854"/>
        <w:gridCol w:w="586"/>
        <w:gridCol w:w="1306"/>
        <w:gridCol w:w="662"/>
        <w:gridCol w:w="533"/>
        <w:gridCol w:w="56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补助项目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与资产相关</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与收益相关</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是否</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实</w:t>
            </w:r>
          </w:p>
          <w:p>
            <w:pPr>
              <w:pStyle w:val="Style22"/>
              <w:keepNext w:val="0"/>
              <w:keepLines w:val="0"/>
              <w:widowControl w:val="0"/>
              <w:shd w:val="clear" w:color="auto" w:fill="auto"/>
              <w:bidi w:val="0"/>
              <w:spacing w:before="0" w:after="40" w:line="302" w:lineRule="exact"/>
              <w:ind w:left="0" w:right="0" w:firstLine="0"/>
              <w:jc w:val="center"/>
              <w:rPr>
                <w:sz w:val="17"/>
                <w:szCs w:val="17"/>
              </w:rPr>
            </w:pPr>
            <w:r>
              <w:rPr>
                <w:b/>
                <w:bCs/>
                <w:color w:val="000000"/>
                <w:spacing w:val="0"/>
                <w:w w:val="100"/>
                <w:position w:val="0"/>
                <w:sz w:val="17"/>
                <w:szCs w:val="17"/>
              </w:rPr>
              <w:t>际收 到</w:t>
            </w:r>
          </w:p>
        </w:tc>
      </w:tr>
      <w:tr>
        <w:trPr>
          <w:trHeight w:val="9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递延收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冲减资产 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递延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营业外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冲减 成本 费用</w:t>
            </w:r>
          </w:p>
        </w:tc>
        <w:tc>
          <w:tcPr>
            <w:vMerge/>
            <w:tcBorders>
              <w:left w:val="single" w:sz="4"/>
            </w:tcBorders>
            <w:shd w:val="clear" w:color="auto" w:fill="FFFFFF"/>
            <w:vAlign w:val="center"/>
          </w:tcPr>
          <w:p>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安徽省科学技术厅中央引导地方 科技发展资金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按期申报数据奖励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28,301.88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28,301.88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社会保险费返还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7,765.02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7,765.02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2,614,668.66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2,614,668.66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财政局财源建设资金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123,300.00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产油大县奖补资金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创新能力建设专项资金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大山基地丰产培育项目补助资金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电商微商快递奖补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发改委奖补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2755"/>
        <w:gridCol w:w="1277"/>
        <w:gridCol w:w="725"/>
        <w:gridCol w:w="854"/>
        <w:gridCol w:w="590"/>
        <w:gridCol w:w="1306"/>
        <w:gridCol w:w="662"/>
        <w:gridCol w:w="528"/>
        <w:gridCol w:w="566"/>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工业转型技改奖金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交易博览会参展企业补助款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节能与生态建设专项绿色产业示 范基地奖补资金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金寨县发改委产油大县补助资金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518,100.00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金寨县科技商务经济信息化局- 商贸流通发展奖补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1,488,889.79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1,488,889.79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金寨县农业农村局-规上企业奖 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经信局首次入规奖金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科技企业贷款贴息奖励款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科商经信局“电商百万品牌”补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科商经信局高新技术企业认定奖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纳税贡献奖励资金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57,997.00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企业发展资金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2,441,000.00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企业挂牌市级财政奖励资金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省级电子商务发展资金电商直播 促销活动奖补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省级绿色工厂项目奖补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市级好粮油品牌奖励资金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548,464.88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548,464.88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退耕还林资金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146,859.17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146,859.17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西山药库链式发展奖补资金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61,820.00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小升规奖励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油茶低改补助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82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油茶省级抚育示范片项目奖补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2755"/>
        <w:gridCol w:w="1277"/>
        <w:gridCol w:w="725"/>
        <w:gridCol w:w="854"/>
        <w:gridCol w:w="590"/>
        <w:gridCol w:w="1306"/>
        <w:gridCol w:w="662"/>
        <w:gridCol w:w="528"/>
        <w:gridCol w:w="566"/>
      </w:tblGrid>
      <w:tr>
        <w:trPr>
          <w:trHeight w:val="82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张北县工业和信息化局规上企业 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中小企业(民营经济)发展专项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44,635.00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44,635.00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综合示范奖补项目奖金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13,651,061.40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13,651,061.40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5"/>
        <w:keepNext w:val="0"/>
        <w:keepLines w:val="0"/>
        <w:widowControl w:val="0"/>
        <w:shd w:val="clear" w:color="auto" w:fill="auto"/>
        <w:bidi w:val="0"/>
        <w:spacing w:before="0" w:after="0" w:line="240" w:lineRule="auto"/>
        <w:ind w:left="51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)计入当期损益的政府补助情况</w:t>
      </w:r>
    </w:p>
    <w:tbl>
      <w:tblPr>
        <w:tblOverlap w:val="never"/>
        <w:jc w:val="center"/>
        <w:tblLayout w:type="fixed"/>
      </w:tblPr>
      <w:tblGrid>
        <w:gridCol w:w="4680"/>
        <w:gridCol w:w="1339"/>
        <w:gridCol w:w="1363"/>
        <w:gridCol w:w="1099"/>
        <w:gridCol w:w="888"/>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7"/>
                <w:szCs w:val="17"/>
              </w:rPr>
            </w:pPr>
            <w:r>
              <w:rPr>
                <w:b/>
                <w:bCs/>
                <w:color w:val="000000"/>
                <w:spacing w:val="0"/>
                <w:w w:val="100"/>
                <w:position w:val="0"/>
                <w:sz w:val="17"/>
                <w:szCs w:val="17"/>
              </w:rPr>
              <w:t>补助项目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与资产</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收益 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计入其他收益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计入营业 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b/>
                <w:bCs/>
                <w:color w:val="000000"/>
                <w:spacing w:val="0"/>
                <w:w w:val="100"/>
                <w:position w:val="0"/>
                <w:sz w:val="17"/>
                <w:szCs w:val="17"/>
              </w:rPr>
              <w:t>冲减成</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本费用</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茶油工程中心老厂设备补助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与资产有关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347,741.28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多层厂房补助返还资金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与资产有关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设备补贴返还资金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与资产有关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454,959.96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土地返还资金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与资产有关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237,148.44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安徽省科学技术厅中央引导地方科技发展资金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按期申报数据奖励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28,301.88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社会保险费返还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7,765.02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财政扶持资金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2,614,668.66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财政局财源建设资金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产油大县奖补资金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创新能力建设专项资金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大山基地丰产培育项目补助资金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电商微商快递奖补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发改委奖补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高新奖励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工业转型技改奖金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交易博览会参展企业补助款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节能与生态建设专项绿色产业示范基地奖补资金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金寨县发改委产油大县补助资金款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金寨县科技商务经济信息化局-商贸流通发展奖补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1,488,889.79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金寨县农业农村局-规上企业奖补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经信局首次入规奖金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科技企业贷款贴息奖励款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80"/>
        <w:gridCol w:w="1339"/>
        <w:gridCol w:w="1363"/>
        <w:gridCol w:w="1099"/>
        <w:gridCol w:w="888"/>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科商经信局“电商百万品牌”补助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科商经信局高新技术企业认定奖金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纳税贡献奖励资金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企业发展资金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企业挂牌市级财政奖励资金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省级电子商务发展资金电商直播促销活动奖补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省级绿色工厂项目奖补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市级好粮油品牌奖励资金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548,464.88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退耕还林资金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146,859.17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西山药库链式发展奖补资金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小升规奖励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油茶低改补助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油茶省级抚育示范片项目奖补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张北县工业和信息化局规上企业奖励资金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中小企业（民营经济）发展专项资金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专利补贴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44,635.00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综合示范奖补项目奖金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14,744,653.08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8"/>
        <w:keepNext/>
        <w:keepLines/>
        <w:widowControl w:val="0"/>
        <w:shd w:val="clear" w:color="auto" w:fill="auto"/>
        <w:bidi w:val="0"/>
        <w:spacing w:before="0" w:after="300" w:line="240" w:lineRule="auto"/>
        <w:ind w:left="0" w:right="0" w:firstLine="500"/>
        <w:jc w:val="left"/>
        <w:rPr>
          <w:sz w:val="20"/>
          <w:szCs w:val="20"/>
        </w:rPr>
      </w:pPr>
      <w:bookmarkStart w:id="1062" w:name="bookmark1062"/>
      <w:bookmarkStart w:id="1063" w:name="bookmark1063"/>
      <w:bookmarkStart w:id="1064" w:name="bookmark1064"/>
      <w:bookmarkStart w:id="1065" w:name="bookmark1065"/>
      <w:r>
        <w:rPr>
          <w:color w:val="000000"/>
          <w:spacing w:val="0"/>
          <w:w w:val="100"/>
          <w:position w:val="0"/>
          <w:sz w:val="20"/>
          <w:szCs w:val="20"/>
        </w:rPr>
        <w:t>六</w:t>
      </w:r>
      <w:bookmarkEnd w:id="1064"/>
      <w:r>
        <w:rPr>
          <w:color w:val="000000"/>
          <w:spacing w:val="0"/>
          <w:w w:val="100"/>
          <w:position w:val="0"/>
          <w:sz w:val="20"/>
          <w:szCs w:val="20"/>
        </w:rPr>
        <w:t>、合并范围的变更</w:t>
      </w:r>
      <w:bookmarkEnd w:id="1062"/>
      <w:bookmarkEnd w:id="1063"/>
      <w:bookmarkEnd w:id="1065"/>
    </w:p>
    <w:p>
      <w:pPr>
        <w:pStyle w:val="Style20"/>
        <w:keepNext/>
        <w:keepLines/>
        <w:widowControl w:val="0"/>
        <w:shd w:val="clear" w:color="auto" w:fill="auto"/>
        <w:bidi w:val="0"/>
        <w:spacing w:before="0" w:after="300" w:line="240" w:lineRule="auto"/>
        <w:ind w:left="0" w:right="0" w:firstLine="500"/>
        <w:jc w:val="left"/>
        <w:rPr>
          <w:sz w:val="17"/>
          <w:szCs w:val="17"/>
        </w:rPr>
      </w:pPr>
      <w:bookmarkStart w:id="1066" w:name="bookmark1066"/>
      <w:bookmarkStart w:id="1067" w:name="bookmark1067"/>
      <w:bookmarkStart w:id="1068" w:name="bookmark1068"/>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、非同一控制下企业合并</w:t>
      </w:r>
      <w:bookmarkEnd w:id="1066"/>
      <w:bookmarkEnd w:id="1067"/>
      <w:bookmarkEnd w:id="1068"/>
    </w:p>
    <w:p>
      <w:pPr>
        <w:pStyle w:val="Style27"/>
        <w:keepNext w:val="0"/>
        <w:keepLines w:val="0"/>
        <w:widowControl w:val="0"/>
        <w:shd w:val="clear" w:color="auto" w:fill="auto"/>
        <w:bidi w:val="0"/>
        <w:spacing w:before="0" w:after="340" w:line="240" w:lineRule="auto"/>
        <w:ind w:left="0" w:right="0" w:firstLine="5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）本期发生的非同一控制下企业合并</w:t>
      </w:r>
    </w:p>
    <w:p>
      <w:pPr>
        <w:pStyle w:val="Style2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单位：人民币元</w:t>
      </w:r>
    </w:p>
    <w:tbl>
      <w:tblPr>
        <w:tblOverlap w:val="never"/>
        <w:jc w:val="center"/>
        <w:tblLayout w:type="fixed"/>
      </w:tblPr>
      <w:tblGrid>
        <w:gridCol w:w="1709"/>
        <w:gridCol w:w="931"/>
        <w:gridCol w:w="1142"/>
        <w:gridCol w:w="701"/>
        <w:gridCol w:w="710"/>
        <w:gridCol w:w="835"/>
        <w:gridCol w:w="1109"/>
        <w:gridCol w:w="974"/>
        <w:gridCol w:w="1003"/>
      </w:tblGrid>
      <w:tr>
        <w:trPr>
          <w:trHeight w:val="9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被购买方名称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股权取得 时点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center"/>
              <w:rPr>
                <w:sz w:val="17"/>
                <w:szCs w:val="17"/>
              </w:rPr>
            </w:pPr>
            <w:r>
              <w:rPr>
                <w:b/>
                <w:bCs/>
                <w:color w:val="000000"/>
                <w:spacing w:val="0"/>
                <w:w w:val="100"/>
                <w:position w:val="0"/>
                <w:sz w:val="17"/>
                <w:szCs w:val="17"/>
              </w:rPr>
              <w:t>股权取得成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股权取</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得比例</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b/>
                <w:bCs/>
                <w:color w:val="000000"/>
                <w:spacing w:val="0"/>
                <w:w w:val="100"/>
                <w:position w:val="0"/>
                <w:sz w:val="17"/>
                <w:szCs w:val="17"/>
              </w:rPr>
              <w:t>股权取 得方式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购买日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购买日的确 定依据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购买日至期</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末被购买方</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的收入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购买日至期 末被购买方 的净利润</w:t>
            </w:r>
          </w:p>
        </w:tc>
      </w:tr>
      <w:tr>
        <w:trPr>
          <w:trHeight w:val="9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都昌县皓晖光伏电</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06 </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非同一</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控制企</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业合并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06 </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30</w:t>
            </w:r>
            <w:r>
              <w:rPr>
                <w:color w:val="000000"/>
                <w:spacing w:val="0"/>
                <w:w w:val="100"/>
                <w:position w:val="0"/>
                <w:sz w:val="17"/>
                <w:szCs w:val="17"/>
              </w:rPr>
              <w:t>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支付股权对</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价；实际控制</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9,564,440.64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3,753,205.47</w:t>
            </w:r>
          </w:p>
        </w:tc>
      </w:tr>
      <w:tr>
        <w:trPr>
          <w:trHeight w:val="9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蒙阴县盛康光伏发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06 </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34,000,000.00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06 </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支付股权对</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价；实际控制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6,003,294.64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-2,107,411.41</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350" w:right="0" w:firstLine="0"/>
        <w:jc w:val="left"/>
        <w:rPr>
          <w:sz w:val="20"/>
          <w:szCs w:val="20"/>
        </w:rPr>
      </w:pPr>
      <w:r>
        <w:rPr>
          <w:color w:val="000000"/>
          <w:spacing w:val="0"/>
          <w:w w:val="100"/>
          <w:position w:val="0"/>
          <w:sz w:val="20"/>
          <w:szCs w:val="20"/>
        </w:rPr>
        <w:t>(</w:t>
      </w:r>
      <w:r>
        <w:rPr>
          <w:b/>
          <w:bCs/>
          <w:color w:val="000000"/>
          <w:spacing w:val="0"/>
          <w:w w:val="100"/>
          <w:position w:val="0"/>
          <w:sz w:val="20"/>
          <w:szCs w:val="20"/>
        </w:rPr>
        <w:t>2</w:t>
      </w:r>
      <w:r>
        <w:rPr>
          <w:color w:val="000000"/>
          <w:spacing w:val="0"/>
          <w:w w:val="100"/>
          <w:position w:val="0"/>
          <w:sz w:val="20"/>
          <w:szCs w:val="20"/>
        </w:rPr>
        <w:t>)合并成本及商誉</w:t>
      </w:r>
    </w:p>
    <w:tbl>
      <w:tblPr>
        <w:tblOverlap w:val="never"/>
        <w:jc w:val="center"/>
        <w:tblLayout w:type="fixed"/>
      </w:tblPr>
      <w:tblGrid>
        <w:gridCol w:w="3293"/>
        <w:gridCol w:w="1843"/>
        <w:gridCol w:w="2035"/>
        <w:gridCol w:w="2035"/>
      </w:tblGrid>
      <w:tr>
        <w:trPr>
          <w:trHeight w:val="7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都昌县皓晖光伏电 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蒙阴县盛康光伏发电有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合并成本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72,000,000.00</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72,000,000.00</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72,000,000.00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20,422,291.86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699,548.50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21,121,840.36</w:t>
            </w:r>
          </w:p>
        </w:tc>
      </w:tr>
      <w:tr>
        <w:trPr>
          <w:trHeight w:val="66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合并成本大于取得的可辨认净资产公 允价值份额的金额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17,577,708.14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33,300,451.50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50,878,159.64</w:t>
            </w: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w:t>
      </w:r>
      <w:r>
        <w:rPr>
          <w:b/>
          <w:bCs/>
          <w:color w:val="000000"/>
          <w:spacing w:val="0"/>
          <w:w w:val="100"/>
          <w:position w:val="0"/>
          <w:sz w:val="20"/>
          <w:szCs w:val="20"/>
        </w:rPr>
        <w:t>3</w:t>
      </w:r>
      <w:r>
        <w:rPr>
          <w:color w:val="000000"/>
          <w:spacing w:val="0"/>
          <w:w w:val="100"/>
          <w:position w:val="0"/>
          <w:sz w:val="20"/>
          <w:szCs w:val="20"/>
        </w:rPr>
        <w:t>)被购买方于购买日可辨认资产、负债</w:t>
      </w:r>
    </w:p>
    <w:tbl>
      <w:tblPr>
        <w:tblOverlap w:val="never"/>
        <w:jc w:val="center"/>
        <w:tblLayout w:type="fixed"/>
      </w:tblPr>
      <w:tblGrid>
        <w:gridCol w:w="2266"/>
        <w:gridCol w:w="1714"/>
        <w:gridCol w:w="1752"/>
        <w:gridCol w:w="1762"/>
        <w:gridCol w:w="1867"/>
      </w:tblGrid>
      <w:tr>
        <w:trPr>
          <w:trHeight w:val="42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都昌县皓晖光伏电站有限公司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蒙阴县盛康光伏发电有限公司</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购买日公允价值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购买日账面价值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购买日公允价值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购买日账面价值</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1,715,715.40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1,715,715.40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25,957,753.53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25,957,753.53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24,998,270.73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24,998,270.73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300,000.00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8,333,047.03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8,333,047.03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13,182,655.67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13,182,655.67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12,200,695.77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12,200,695.77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81,008,236.01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94,847,555.10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81,155,755.00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116,179,702.07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223,894.16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223,894.16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3,459,829.77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8,755,986.77</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43,096,828.77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43,096,828.77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36,290,951.32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36,290,951.32</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66"/>
        <w:gridCol w:w="1714"/>
        <w:gridCol w:w="1752"/>
        <w:gridCol w:w="1762"/>
        <w:gridCol w:w="1867"/>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156,630.97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156,630.97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338,144.95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338,144.95</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59,932,852.96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59,932,852.96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100,354,720.09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100,354,720.09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20,422,291.86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30,801,781.18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699,548.50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26,967,508.80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20,422,291.86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30,801,781.18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699,548.50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26,967,508.80</w:t>
            </w:r>
          </w:p>
        </w:tc>
      </w:tr>
    </w:tbl>
    <w:p>
      <w:pPr>
        <w:widowControl w:val="0"/>
        <w:spacing w:after="239" w:line="1" w:lineRule="exact"/>
      </w:pPr>
    </w:p>
    <w:p>
      <w:pPr>
        <w:pStyle w:val="Style20"/>
        <w:keepNext/>
        <w:keepLines/>
        <w:widowControl w:val="0"/>
        <w:shd w:val="clear" w:color="auto" w:fill="auto"/>
        <w:tabs>
          <w:tab w:pos="839" w:val="left"/>
        </w:tabs>
        <w:bidi w:val="0"/>
        <w:spacing w:before="0" w:after="140" w:line="240" w:lineRule="auto"/>
        <w:ind w:left="0" w:right="0" w:firstLine="500"/>
        <w:jc w:val="left"/>
        <w:rPr>
          <w:sz w:val="17"/>
          <w:szCs w:val="17"/>
        </w:rPr>
      </w:pPr>
      <w:bookmarkStart w:id="1069" w:name="bookmark1069"/>
      <w:bookmarkStart w:id="1070" w:name="bookmark1070"/>
      <w:bookmarkStart w:id="1071" w:name="bookmark1071"/>
      <w:bookmarkStart w:id="1072" w:name="bookmark1072"/>
      <w:r>
        <w:rPr>
          <w:rFonts w:ascii="Arial Narrow" w:eastAsia="Arial Narrow" w:hAnsi="Arial Narrow" w:cs="Arial Narrow"/>
          <w:color w:val="000000"/>
          <w:spacing w:val="0"/>
          <w:w w:val="100"/>
          <w:position w:val="0"/>
          <w:sz w:val="18"/>
          <w:szCs w:val="18"/>
        </w:rPr>
        <w:t>2</w:t>
      </w:r>
      <w:bookmarkEnd w:id="1071"/>
      <w:r>
        <w:rPr>
          <w:color w:val="000000"/>
          <w:spacing w:val="0"/>
          <w:w w:val="100"/>
          <w:position w:val="0"/>
          <w:sz w:val="17"/>
          <w:szCs w:val="17"/>
        </w:rPr>
        <w:t>、</w:t>
        <w:tab/>
        <w:t>本期新设增加的子公司</w:t>
      </w:r>
      <w:bookmarkEnd w:id="1069"/>
      <w:bookmarkEnd w:id="1070"/>
      <w:bookmarkEnd w:id="1072"/>
    </w:p>
    <w:p>
      <w:pPr>
        <w:pStyle w:val="Style17"/>
        <w:keepNext w:val="0"/>
        <w:keepLines w:val="0"/>
        <w:widowControl w:val="0"/>
        <w:shd w:val="clear" w:color="auto" w:fill="auto"/>
        <w:bidi w:val="0"/>
        <w:spacing w:before="0" w:after="320" w:line="240" w:lineRule="auto"/>
        <w:ind w:left="0" w:right="0" w:firstLine="880"/>
        <w:jc w:val="left"/>
      </w:pPr>
      <w:r>
        <w:rPr>
          <w:color w:val="000000"/>
          <w:spacing w:val="0"/>
          <w:w w:val="100"/>
          <w:position w:val="0"/>
        </w:rPr>
        <w:t>无</w:t>
      </w:r>
    </w:p>
    <w:p>
      <w:pPr>
        <w:pStyle w:val="Style20"/>
        <w:keepNext/>
        <w:keepLines/>
        <w:widowControl w:val="0"/>
        <w:shd w:val="clear" w:color="auto" w:fill="auto"/>
        <w:tabs>
          <w:tab w:pos="839" w:val="left"/>
        </w:tabs>
        <w:bidi w:val="0"/>
        <w:spacing w:before="0" w:after="40" w:line="240" w:lineRule="auto"/>
        <w:ind w:left="0" w:right="0" w:firstLine="500"/>
        <w:jc w:val="left"/>
        <w:rPr>
          <w:sz w:val="17"/>
          <w:szCs w:val="17"/>
        </w:rPr>
      </w:pPr>
      <w:bookmarkStart w:id="1073" w:name="bookmark1073"/>
      <w:bookmarkStart w:id="1074" w:name="bookmark1074"/>
      <w:bookmarkStart w:id="1075" w:name="bookmark1075"/>
      <w:bookmarkStart w:id="1076" w:name="bookmark1076"/>
      <w:r>
        <w:rPr>
          <w:rFonts w:ascii="Arial Narrow" w:eastAsia="Arial Narrow" w:hAnsi="Arial Narrow" w:cs="Arial Narrow"/>
          <w:color w:val="000000"/>
          <w:spacing w:val="0"/>
          <w:w w:val="100"/>
          <w:position w:val="0"/>
          <w:sz w:val="18"/>
          <w:szCs w:val="18"/>
        </w:rPr>
        <w:t>3</w:t>
      </w:r>
      <w:bookmarkEnd w:id="1075"/>
      <w:r>
        <w:rPr>
          <w:color w:val="000000"/>
          <w:spacing w:val="0"/>
          <w:w w:val="100"/>
          <w:position w:val="0"/>
          <w:sz w:val="17"/>
          <w:szCs w:val="17"/>
        </w:rPr>
        <w:t>、</w:t>
        <w:tab/>
        <w:t>本期减少合并范围</w:t>
      </w:r>
      <w:bookmarkEnd w:id="1073"/>
      <w:bookmarkEnd w:id="1074"/>
      <w:bookmarkEnd w:id="1076"/>
    </w:p>
    <w:tbl>
      <w:tblPr>
        <w:tblOverlap w:val="never"/>
        <w:jc w:val="center"/>
        <w:tblLayout w:type="fixed"/>
      </w:tblPr>
      <w:tblGrid>
        <w:gridCol w:w="2170"/>
        <w:gridCol w:w="1066"/>
        <w:gridCol w:w="614"/>
        <w:gridCol w:w="749"/>
        <w:gridCol w:w="1171"/>
        <w:gridCol w:w="1862"/>
        <w:gridCol w:w="1642"/>
      </w:tblGrid>
      <w:tr>
        <w:trPr>
          <w:trHeight w:val="20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b/>
                <w:bCs/>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股权处置价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股权处 置比例 （</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股权处 置方式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丧失控制权的 时点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丧失控制权时点的确定 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处置价款与处置投 资对应的合并报表 层面享有该子公司 净资产份额的差额</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华融金属表面处理（安平）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01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29</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-142,551.34</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安达市旭蓝新能源有限公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04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964,391.27</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03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-1,985,782.20</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张北旭源新能源科技有限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05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2,246.64</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宁夏旭蓝新能源科技有限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04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136,934.57</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鄂托克前旗晟日新能源科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371,500.00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05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-3,945,563.80</w:t>
            </w:r>
          </w:p>
        </w:tc>
      </w:tr>
      <w:tr>
        <w:trPr>
          <w:trHeight w:val="88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湖南旭腾医疗管理有限公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05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30</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权力机构批准，完成财 产交接，控制权转移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84,222.54</w:t>
            </w:r>
          </w:p>
        </w:tc>
      </w:tr>
    </w:tbl>
    <w:p>
      <w:pPr>
        <w:spacing w:lineRule="exact" w:line="1"/>
        <w:rPr>
          <w:sz w:val="2"/>
          <w:szCs w:val="2"/>
        </w:rPr>
      </w:pPr>
      <w:r>
        <w:br w:type="page"/>
      </w:r>
    </w:p>
    <w:tbl>
      <w:tblPr>
        <w:tblOverlap w:val="never"/>
        <w:jc w:val="center"/>
        <w:tblLayout w:type="fixed"/>
      </w:tblPr>
      <w:tblGrid>
        <w:gridCol w:w="2170"/>
        <w:gridCol w:w="1066"/>
        <w:gridCol w:w="614"/>
        <w:gridCol w:w="749"/>
        <w:gridCol w:w="1171"/>
        <w:gridCol w:w="1862"/>
        <w:gridCol w:w="1642"/>
      </w:tblGrid>
      <w:tr>
        <w:trPr>
          <w:trHeight w:val="8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乌兰察布旭晨新能源科技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01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300,000.00</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宁夏旭盛新能源科技有限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7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1,099.58</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南阳永召新能源有限公司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-900.76</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106,471,501.00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-4,585,903.50</w:t>
            </w:r>
          </w:p>
        </w:tc>
      </w:tr>
    </w:tbl>
    <w:p>
      <w:pPr>
        <w:widowControl w:val="0"/>
        <w:spacing w:after="199" w:line="1" w:lineRule="exact"/>
      </w:pPr>
    </w:p>
    <w:p>
      <w:pPr>
        <w:pStyle w:val="Style17"/>
        <w:keepNext w:val="0"/>
        <w:keepLines w:val="0"/>
        <w:widowControl w:val="0"/>
        <w:shd w:val="clear" w:color="auto" w:fill="auto"/>
        <w:bidi w:val="0"/>
        <w:spacing w:before="0" w:after="40" w:line="240" w:lineRule="auto"/>
        <w:ind w:left="0" w:right="0" w:firstLine="480"/>
        <w:jc w:val="left"/>
      </w:pPr>
      <w:r>
        <w:rPr>
          <w:color w:val="000000"/>
          <w:spacing w:val="0"/>
          <w:w w:val="100"/>
          <w:position w:val="0"/>
        </w:rPr>
        <w:t>续前表:</w:t>
      </w:r>
    </w:p>
    <w:tbl>
      <w:tblPr>
        <w:tblOverlap w:val="never"/>
        <w:jc w:val="center"/>
        <w:tblLayout w:type="fixed"/>
      </w:tblPr>
      <w:tblGrid>
        <w:gridCol w:w="2213"/>
        <w:gridCol w:w="1214"/>
        <w:gridCol w:w="1037"/>
        <w:gridCol w:w="931"/>
        <w:gridCol w:w="1248"/>
        <w:gridCol w:w="1109"/>
        <w:gridCol w:w="1522"/>
      </w:tblGrid>
      <w:tr>
        <w:trPr>
          <w:trHeight w:val="22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b/>
                <w:bCs/>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丧失控制权之 日剩余股权的 比例（</w:t>
            </w:r>
            <w:r>
              <w:rPr>
                <w:b/>
                <w:bCs/>
                <w:color w:val="000000"/>
                <w:spacing w:val="0"/>
                <w:w w:val="100"/>
                <w:position w:val="0"/>
                <w:sz w:val="22"/>
                <w:szCs w:val="22"/>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丧失控制权 之日剩余股 权的账面价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丧失控制 权之日剩 余股权的 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按照公允价值 重新计量剩余 股权产生的利 得或损失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b/>
                <w:bCs/>
                <w:color w:val="000000"/>
                <w:spacing w:val="0"/>
                <w:w w:val="100"/>
                <w:position w:val="0"/>
                <w:sz w:val="17"/>
                <w:szCs w:val="17"/>
              </w:rPr>
              <w:t>丧失控制权 之日剩余股 权公允价值 的确定方法 及主要假设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与原子公司股权投 资相关的其他综合 收益转入投资损益 的金额</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华融金属表面处理（安平）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安达市旭蓝新能源有限公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邢台天宏祥燃气有限公司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张北旭源新能源科技有限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宁夏旭蓝新能源科技有限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鄂托克前旗晟日新能源科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湖南旭腾医疗管理有限公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乌兰察布旭晨新能源科技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7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宁夏旭盛新能源科技有限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2213"/>
        <w:gridCol w:w="1214"/>
        <w:gridCol w:w="1037"/>
        <w:gridCol w:w="931"/>
        <w:gridCol w:w="1248"/>
        <w:gridCol w:w="1109"/>
        <w:gridCol w:w="1522"/>
      </w:tblGrid>
      <w:tr>
        <w:trPr>
          <w:trHeight w:val="8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南阳永召新能源有限公司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38" w:right="0" w:firstLine="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、安达市旭蓝新能源有限公司的子公司安达市旭达新能源有限公司随母公司处置而减少；</w:t>
      </w:r>
    </w:p>
    <w:p>
      <w:pPr>
        <w:widowControl w:val="0"/>
        <w:spacing w:after="279" w:line="1" w:lineRule="exact"/>
      </w:pPr>
    </w:p>
    <w:p>
      <w:pPr>
        <w:pStyle w:val="Style27"/>
        <w:keepNext w:val="0"/>
        <w:keepLines w:val="0"/>
        <w:widowControl w:val="0"/>
        <w:shd w:val="clear" w:color="auto" w:fill="auto"/>
        <w:bidi w:val="0"/>
        <w:spacing w:before="0" w:after="280" w:line="240" w:lineRule="auto"/>
        <w:ind w:left="0" w:right="0" w:firstLine="4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、乌兰察布旭晨新能源科技有限公司的子公司化德旭通新能源科技有限公司随母公司处置而减少；</w:t>
      </w:r>
    </w:p>
    <w:p>
      <w:pPr>
        <w:pStyle w:val="Style27"/>
        <w:keepNext w:val="0"/>
        <w:keepLines w:val="0"/>
        <w:widowControl w:val="0"/>
        <w:shd w:val="clear" w:color="auto" w:fill="auto"/>
        <w:bidi w:val="0"/>
        <w:spacing w:before="0" w:after="280" w:line="240" w:lineRule="auto"/>
        <w:ind w:left="0" w:right="0" w:firstLine="4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、鄂托克前旗晟日新能源科技有限公司的子公司尚义县旭蓝新能源科技有限公司随母公司的处置而减少；</w:t>
      </w:r>
    </w:p>
    <w:p>
      <w:pPr>
        <w:pStyle w:val="Style27"/>
        <w:keepNext w:val="0"/>
        <w:keepLines w:val="0"/>
        <w:widowControl w:val="0"/>
        <w:shd w:val="clear" w:color="auto" w:fill="auto"/>
        <w:bidi w:val="0"/>
        <w:spacing w:before="0" w:after="280" w:line="240" w:lineRule="auto"/>
        <w:ind w:left="0" w:right="0" w:firstLine="400"/>
        <w:jc w:val="left"/>
        <w:rPr>
          <w:sz w:val="17"/>
          <w:szCs w:val="17"/>
        </w:rPr>
      </w:pPr>
      <w:r>
        <w:rPr>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、南阳永召新能源有限公司的子公司南召育开新能源有限公司随母公司的处置而减少。</w:t>
      </w:r>
    </w:p>
    <w:p>
      <w:pPr>
        <w:pStyle w:val="Style27"/>
        <w:keepNext w:val="0"/>
        <w:keepLines w:val="0"/>
        <w:widowControl w:val="0"/>
        <w:shd w:val="clear" w:color="auto" w:fill="auto"/>
        <w:bidi w:val="0"/>
        <w:spacing w:before="0" w:after="0" w:line="240" w:lineRule="auto"/>
        <w:ind w:left="0" w:right="0" w:firstLine="400"/>
        <w:jc w:val="both"/>
        <w:rPr>
          <w:sz w:val="17"/>
          <w:szCs w:val="17"/>
        </w:rPr>
      </w:pPr>
      <w:r>
        <w:rPr>
          <w:rFonts w:ascii="Arial Narrow" w:eastAsia="Arial Narrow" w:hAnsi="Arial Narrow" w:cs="Arial Narrow"/>
          <w:b/>
          <w:bCs/>
          <w:color w:val="000000"/>
          <w:spacing w:val="0"/>
          <w:w w:val="100"/>
          <w:position w:val="0"/>
          <w:sz w:val="18"/>
          <w:szCs w:val="18"/>
        </w:rPr>
        <w:t>4</w:t>
      </w:r>
      <w:r>
        <w:rPr>
          <w:b/>
          <w:bCs/>
          <w:color w:val="000000"/>
          <w:spacing w:val="0"/>
          <w:w w:val="100"/>
          <w:position w:val="0"/>
          <w:sz w:val="17"/>
          <w:szCs w:val="17"/>
        </w:rPr>
        <w:t>、其他原因的合并范围变动</w:t>
      </w:r>
    </w:p>
    <w:p>
      <w:pPr>
        <w:pStyle w:val="Style17"/>
        <w:keepNext w:val="0"/>
        <w:keepLines w:val="0"/>
        <w:widowControl w:val="0"/>
        <w:shd w:val="clear" w:color="auto" w:fill="auto"/>
        <w:bidi w:val="0"/>
        <w:spacing w:before="0" w:after="280" w:line="502" w:lineRule="exact"/>
        <w:ind w:left="0" w:right="0" w:firstLine="480"/>
        <w:jc w:val="both"/>
      </w:pPr>
      <w:r>
        <w:rPr>
          <w:color w:val="000000"/>
          <w:spacing w:val="0"/>
          <w:w w:val="100"/>
          <w:position w:val="0"/>
        </w:rPr>
        <w:t>本公司子公司北京绿产国际科技发展有限公司、河北天环建筑工程有限公司、义县弘吉太阳能发电有 限公司、义县旭阳太阳能发电有限公司、河北旭昂供应链管理有限公司、青岛旭阳新能源有限公司、内蒙 古旭日昇新能源科技有限公司、滨州市旭农农业科技有限公司、内蒙古旭凯新能源科技有限公司、佳木斯 市旭宏新能源有限公司、东营旭蓝光伏发电有限公司、中方县旭弘电力有限公司、朔州旭蓝新能源科技有 限公司、霍尔果斯东旭新能源科技有限公司、新泰旭农农业科技有限公司、广西南宁粒子新能源投资有限 公司、金寨旭辉新能源投资有限公司、安徽康图智能科技有限公司、安平县旭洲商贸有限公司、滦平县旭 欣新能源科技有限公司、平度市旭弘新能源有限公司、绍兴旭蓝新能源有限公司、太原旭木贸易有限公司、 甘肃旭粟农业发展有限公司已于本报告期注销。</w:t>
      </w:r>
    </w:p>
    <w:p>
      <w:pPr>
        <w:pStyle w:val="Style8"/>
        <w:keepNext/>
        <w:keepLines/>
        <w:widowControl w:val="0"/>
        <w:shd w:val="clear" w:color="auto" w:fill="auto"/>
        <w:bidi w:val="0"/>
        <w:spacing w:before="0" w:after="280" w:line="240" w:lineRule="auto"/>
        <w:ind w:left="0" w:right="0" w:firstLine="480"/>
        <w:jc w:val="both"/>
        <w:rPr>
          <w:sz w:val="20"/>
          <w:szCs w:val="20"/>
        </w:rPr>
      </w:pPr>
      <w:bookmarkStart w:id="1077" w:name="bookmark1077"/>
      <w:bookmarkStart w:id="1078" w:name="bookmark1078"/>
      <w:bookmarkStart w:id="1079" w:name="bookmark1079"/>
      <w:bookmarkStart w:id="1080" w:name="bookmark1080"/>
      <w:r>
        <w:rPr>
          <w:color w:val="000000"/>
          <w:spacing w:val="0"/>
          <w:w w:val="100"/>
          <w:position w:val="0"/>
          <w:sz w:val="20"/>
          <w:szCs w:val="20"/>
        </w:rPr>
        <w:t>七</w:t>
      </w:r>
      <w:bookmarkEnd w:id="1079"/>
      <w:r>
        <w:rPr>
          <w:color w:val="000000"/>
          <w:spacing w:val="0"/>
          <w:w w:val="100"/>
          <w:position w:val="0"/>
          <w:sz w:val="20"/>
          <w:szCs w:val="20"/>
        </w:rPr>
        <w:t>、在其他主体中的权益</w:t>
      </w:r>
      <w:bookmarkEnd w:id="1077"/>
      <w:bookmarkEnd w:id="1078"/>
      <w:bookmarkEnd w:id="1080"/>
    </w:p>
    <w:p>
      <w:pPr>
        <w:pStyle w:val="Style20"/>
        <w:keepNext/>
        <w:keepLines/>
        <w:widowControl w:val="0"/>
        <w:shd w:val="clear" w:color="auto" w:fill="auto"/>
        <w:bidi w:val="0"/>
        <w:spacing w:before="0" w:after="280" w:line="240" w:lineRule="auto"/>
        <w:ind w:left="0" w:right="0" w:firstLine="400"/>
        <w:jc w:val="both"/>
        <w:rPr>
          <w:sz w:val="20"/>
          <w:szCs w:val="20"/>
        </w:rPr>
      </w:pPr>
      <w:bookmarkStart w:id="1081" w:name="bookmark1081"/>
      <w:bookmarkStart w:id="1082" w:name="bookmark1082"/>
      <w:bookmarkStart w:id="1083" w:name="bookmark1083"/>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、在子公司中的权益</w:t>
      </w:r>
      <w:bookmarkEnd w:id="1081"/>
      <w:bookmarkEnd w:id="1082"/>
      <w:bookmarkEnd w:id="1083"/>
    </w:p>
    <w:p>
      <w:pPr>
        <w:pStyle w:val="Style25"/>
        <w:keepNext w:val="0"/>
        <w:keepLines w:val="0"/>
        <w:widowControl w:val="0"/>
        <w:shd w:val="clear" w:color="auto" w:fill="auto"/>
        <w:bidi w:val="0"/>
        <w:spacing w:before="0" w:after="0" w:line="240" w:lineRule="auto"/>
        <w:ind w:left="216"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）企业集团的构成</w:t>
      </w:r>
    </w:p>
    <w:tbl>
      <w:tblPr>
        <w:tblOverlap w:val="never"/>
        <w:jc w:val="center"/>
        <w:tblLayout w:type="fixed"/>
      </w:tblPr>
      <w:tblGrid>
        <w:gridCol w:w="2909"/>
        <w:gridCol w:w="821"/>
        <w:gridCol w:w="989"/>
        <w:gridCol w:w="1978"/>
        <w:gridCol w:w="586"/>
        <w:gridCol w:w="643"/>
        <w:gridCol w:w="1445"/>
      </w:tblGrid>
      <w:tr>
        <w:trPr>
          <w:trHeight w:val="73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主要经 营地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b/>
                <w:bCs/>
                <w:color w:val="000000"/>
                <w:spacing w:val="0"/>
                <w:w w:val="100"/>
                <w:position w:val="0"/>
                <w:sz w:val="17"/>
                <w:szCs w:val="17"/>
              </w:rPr>
              <w:t>持股比例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取得方式</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间接</w:t>
            </w:r>
          </w:p>
        </w:tc>
        <w:tc>
          <w:tcPr>
            <w:vMerge/>
            <w:tcBorders>
              <w:left w:val="single" w:sz="4"/>
            </w:tcBorders>
            <w:shd w:val="clear" w:color="auto" w:fill="FFFFFF"/>
            <w:vAlign w:val="center"/>
          </w:tcPr>
          <w:p>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东旭新能源投资有限公司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投资兴办实业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left"/>
              <w:rPr>
                <w:sz w:val="19"/>
                <w:szCs w:val="19"/>
              </w:rPr>
            </w:pPr>
            <w:r>
              <w:rPr>
                <w:color w:val="000000"/>
                <w:spacing w:val="0"/>
                <w:w w:val="100"/>
                <w:position w:val="0"/>
                <w:sz w:val="19"/>
                <w:szCs w:val="19"/>
              </w:rPr>
              <w:t>东旭蓝天生态环保科技有限公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生态环保工程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left"/>
              <w:rPr>
                <w:sz w:val="19"/>
                <w:szCs w:val="19"/>
              </w:rPr>
            </w:pPr>
            <w:r>
              <w:rPr>
                <w:color w:val="000000"/>
                <w:spacing w:val="0"/>
                <w:w w:val="100"/>
                <w:position w:val="0"/>
                <w:sz w:val="19"/>
                <w:szCs w:val="19"/>
              </w:rPr>
              <w:t>星景生态环保科技（苏州）有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环保工程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84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left"/>
              <w:rPr>
                <w:sz w:val="19"/>
                <w:szCs w:val="19"/>
              </w:rPr>
            </w:pPr>
            <w:r>
              <w:rPr>
                <w:color w:val="000000"/>
                <w:spacing w:val="0"/>
                <w:w w:val="100"/>
                <w:position w:val="0"/>
                <w:sz w:val="19"/>
                <w:szCs w:val="19"/>
              </w:rPr>
              <w:t>东旭蓝天智慧能源科技有限公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合同能源管理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设立</w:t>
            </w:r>
          </w:p>
        </w:tc>
      </w:tr>
    </w:tbl>
    <w:p>
      <w:pPr>
        <w:spacing w:lineRule="exact" w:line="1"/>
        <w:rPr>
          <w:sz w:val="2"/>
          <w:szCs w:val="2"/>
        </w:rPr>
      </w:pPr>
      <w:r>
        <w:br w:type="page"/>
      </w:r>
    </w:p>
    <w:tbl>
      <w:tblPr>
        <w:tblOverlap w:val="never"/>
        <w:jc w:val="center"/>
        <w:tblLayout w:type="fixed"/>
      </w:tblPr>
      <w:tblGrid>
        <w:gridCol w:w="2909"/>
        <w:gridCol w:w="821"/>
        <w:gridCol w:w="989"/>
        <w:gridCol w:w="1978"/>
        <w:gridCol w:w="586"/>
        <w:gridCol w:w="643"/>
        <w:gridCol w:w="1435"/>
      </w:tblGrid>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深圳市东旭蓝天园林有限公司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园林绿化工程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北京中环鑫融科技有限公司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酒店管理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both"/>
              <w:rPr>
                <w:sz w:val="19"/>
                <w:szCs w:val="19"/>
              </w:rPr>
            </w:pPr>
            <w:r>
              <w:rPr>
                <w:color w:val="000000"/>
                <w:spacing w:val="0"/>
                <w:w w:val="100"/>
                <w:position w:val="0"/>
                <w:sz w:val="19"/>
                <w:szCs w:val="19"/>
              </w:rPr>
              <w:t>东旭鸿鼎（天津）文化旅游有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旅游业务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惠东县蓝湾酒店管理有限公司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惠东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惠东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酒店管理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西藏旭阳投资管理有限公司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拉萨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拉萨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福建升通网络传媒有限公司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增值电信服务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both"/>
              <w:rPr>
                <w:sz w:val="19"/>
                <w:szCs w:val="19"/>
              </w:rPr>
            </w:pPr>
            <w:r>
              <w:rPr>
                <w:color w:val="000000"/>
                <w:spacing w:val="0"/>
                <w:w w:val="100"/>
                <w:position w:val="0"/>
                <w:sz w:val="19"/>
                <w:szCs w:val="19"/>
              </w:rPr>
              <w:t>江西泓伟环境治理科技服务有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分宜县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分宜县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污染治理、危废处理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广东两洋能源有限公司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商品贸易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both"/>
              <w:rPr>
                <w:sz w:val="19"/>
                <w:szCs w:val="19"/>
              </w:rPr>
            </w:pPr>
            <w:r>
              <w:rPr>
                <w:color w:val="000000"/>
                <w:spacing w:val="0"/>
                <w:w w:val="100"/>
                <w:position w:val="0"/>
                <w:sz w:val="19"/>
                <w:szCs w:val="19"/>
              </w:rPr>
              <w:t>邢台东旭蓝天环保能源科技有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邢台市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邢台市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环保能源技术咨询、</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长沙旭欣新能源科技有限公司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长沙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6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9"/>
                <w:szCs w:val="19"/>
              </w:rPr>
            </w:pPr>
            <w:r>
              <w:rPr>
                <w:color w:val="000000"/>
                <w:spacing w:val="0"/>
                <w:w w:val="100"/>
                <w:position w:val="0"/>
                <w:sz w:val="19"/>
                <w:szCs w:val="19"/>
              </w:rPr>
              <w:t>陕西旭能智慧能源科技有限公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合同能源管理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深圳旭能新能源科技有限公司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合同能源管理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东旭储能（北京）科技有限公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储能技术服务、合同</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能源管理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西藏众胜新能源科技有限公司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拉萨市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拉萨市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光伏电站建设运营，</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设备购销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6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金寨县旭鼎新能源科技有限公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金寨县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金寨县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合同能源管理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8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衡东县旭光新能源科技有限公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衡东县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衡东县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both"/>
              <w:rPr>
                <w:sz w:val="19"/>
                <w:szCs w:val="19"/>
              </w:rPr>
            </w:pPr>
            <w:r>
              <w:rPr>
                <w:color w:val="000000"/>
                <w:spacing w:val="0"/>
                <w:w w:val="100"/>
                <w:position w:val="0"/>
                <w:sz w:val="19"/>
                <w:szCs w:val="19"/>
              </w:rPr>
              <w:t>玉门市东旭储能科技有限责任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玉门市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玉门市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储能技术服务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长春市旭春新能源有限公司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长春市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汝南县旭蓝新能源有限公司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汝南县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汝南县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南召旭能新能源有限公司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南召县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南召县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通榆旭阳新能源有限公司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通榆县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通榆县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黑龙江两洋能源科技有限公司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佳木斯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佳木斯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新能源技术开发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bl>
    <w:p>
      <w:pPr>
        <w:spacing w:lineRule="exact" w:line="1"/>
        <w:rPr>
          <w:sz w:val="2"/>
          <w:szCs w:val="2"/>
        </w:rPr>
      </w:pPr>
      <w:r>
        <w:br w:type="page"/>
      </w:r>
    </w:p>
    <w:tbl>
      <w:tblPr>
        <w:tblOverlap w:val="never"/>
        <w:jc w:val="center"/>
        <w:tblLayout w:type="fixed"/>
      </w:tblPr>
      <w:tblGrid>
        <w:gridCol w:w="2909"/>
        <w:gridCol w:w="821"/>
        <w:gridCol w:w="989"/>
        <w:gridCol w:w="1978"/>
        <w:gridCol w:w="586"/>
        <w:gridCol w:w="643"/>
        <w:gridCol w:w="1435"/>
      </w:tblGrid>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浙江两洋能源有限公司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舟山市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舟山市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商品贸易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金寨新皇明能源科技有限公司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金寨县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金寨县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攸县旭晨新能源科技有限公司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攸县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攸县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both"/>
              <w:rPr>
                <w:sz w:val="19"/>
                <w:szCs w:val="19"/>
              </w:rPr>
            </w:pPr>
            <w:r>
              <w:rPr>
                <w:color w:val="000000"/>
                <w:spacing w:val="0"/>
                <w:w w:val="100"/>
                <w:position w:val="0"/>
                <w:sz w:val="19"/>
                <w:szCs w:val="19"/>
              </w:rPr>
              <w:t>武安市普泰新能源科技有限公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武安市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武安市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娄底旭晨新能源科技有限公司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娄底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娄底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龙泉市旭泉太阳能开发有限公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龙泉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龙泉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林州市旭林新能源科技有限公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林州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林州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9"/>
                <w:szCs w:val="19"/>
              </w:rPr>
            </w:pPr>
            <w:r>
              <w:rPr>
                <w:color w:val="000000"/>
                <w:spacing w:val="0"/>
                <w:w w:val="100"/>
                <w:position w:val="0"/>
                <w:sz w:val="19"/>
                <w:szCs w:val="19"/>
              </w:rPr>
              <w:t>林州市旭姚新能源科技有限公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林州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林州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张北熠彩新能源科技有限公司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张北县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张北县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长武东旭新能源科技有限公司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咸阳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咸阳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四川东旭电力工程有限公司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电力工程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会理弘吉新能源科技有限公司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会理县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会理县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卫辉市晟通新能源科技有限公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卫辉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卫辉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仙居量子新能源科技有限公司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仙居县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仙居县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9"/>
                <w:szCs w:val="19"/>
              </w:rPr>
            </w:pPr>
            <w:r>
              <w:rPr>
                <w:color w:val="000000"/>
                <w:spacing w:val="0"/>
                <w:w w:val="100"/>
                <w:position w:val="0"/>
                <w:sz w:val="19"/>
                <w:szCs w:val="19"/>
              </w:rPr>
              <w:t>林州市旭岗新能源科技有限公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林州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林州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仙桃东旭新能源科技有限公司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仙桃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仙桃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80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both"/>
              <w:rPr>
                <w:sz w:val="19"/>
                <w:szCs w:val="19"/>
              </w:rPr>
            </w:pPr>
            <w:r>
              <w:rPr>
                <w:color w:val="000000"/>
                <w:spacing w:val="0"/>
                <w:w w:val="100"/>
                <w:position w:val="0"/>
                <w:sz w:val="19"/>
                <w:szCs w:val="19"/>
              </w:rPr>
              <w:t>安徽东旭大别山农业科技有限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金寨县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金寨县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农业技术推广，农作 物种植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设立</w:t>
            </w:r>
          </w:p>
        </w:tc>
      </w:tr>
    </w:tbl>
    <w:p>
      <w:pPr>
        <w:spacing w:lineRule="exact" w:line="1"/>
        <w:rPr>
          <w:sz w:val="2"/>
          <w:szCs w:val="2"/>
        </w:rPr>
      </w:pPr>
      <w:r>
        <w:br w:type="page"/>
      </w:r>
    </w:p>
    <w:tbl>
      <w:tblPr>
        <w:tblOverlap w:val="never"/>
        <w:jc w:val="center"/>
        <w:tblLayout w:type="fixed"/>
      </w:tblPr>
      <w:tblGrid>
        <w:gridCol w:w="2909"/>
        <w:gridCol w:w="821"/>
        <w:gridCol w:w="989"/>
        <w:gridCol w:w="1978"/>
        <w:gridCol w:w="586"/>
        <w:gridCol w:w="643"/>
        <w:gridCol w:w="1435"/>
      </w:tblGrid>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both"/>
              <w:rPr>
                <w:sz w:val="19"/>
                <w:szCs w:val="19"/>
              </w:rPr>
            </w:pPr>
            <w:r>
              <w:rPr>
                <w:color w:val="000000"/>
                <w:spacing w:val="0"/>
                <w:w w:val="100"/>
                <w:position w:val="0"/>
                <w:sz w:val="19"/>
                <w:szCs w:val="19"/>
              </w:rPr>
              <w:t>沧州渤海新区旭启新能源有限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沧州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沧州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8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140" w:right="0" w:firstLine="0"/>
              <w:jc w:val="both"/>
              <w:rPr>
                <w:sz w:val="19"/>
                <w:szCs w:val="19"/>
              </w:rPr>
            </w:pPr>
            <w:r>
              <w:rPr>
                <w:color w:val="000000"/>
                <w:spacing w:val="0"/>
                <w:w w:val="100"/>
                <w:position w:val="0"/>
                <w:sz w:val="19"/>
                <w:szCs w:val="19"/>
              </w:rPr>
              <w:t>安徽东旭康图太阳能科技有限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金寨县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金寨县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光伏组件生产、销售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承德晟烨光伏发电有限公司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承德市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承德市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舟山旭蓝新能源有限公司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舟山市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舟山市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河北旭贞供应链管理有限公司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安平县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安平县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安徽东旭光伏设备有限公司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金寨县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金寨县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农业技术推广，农作 物种植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both"/>
              <w:rPr>
                <w:sz w:val="19"/>
                <w:szCs w:val="19"/>
              </w:rPr>
            </w:pPr>
            <w:r>
              <w:rPr>
                <w:color w:val="000000"/>
                <w:spacing w:val="0"/>
                <w:w w:val="100"/>
                <w:position w:val="0"/>
                <w:sz w:val="19"/>
                <w:szCs w:val="19"/>
              </w:rPr>
              <w:t>山东东旭国山泰泉新能源科技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日照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日照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安徽旭禾农业科技有限公司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六安市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9"/>
                <w:szCs w:val="19"/>
              </w:rPr>
            </w:pPr>
            <w:r>
              <w:rPr>
                <w:color w:val="000000"/>
                <w:spacing w:val="0"/>
                <w:w w:val="100"/>
                <w:position w:val="0"/>
                <w:sz w:val="19"/>
                <w:szCs w:val="19"/>
              </w:rPr>
              <w:t>农林产品种植、仓</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储、销售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山西旭泉阳光新能源科技有限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太原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太原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40" w:right="0" w:firstLine="0"/>
              <w:jc w:val="both"/>
              <w:rPr>
                <w:sz w:val="19"/>
                <w:szCs w:val="19"/>
              </w:rPr>
            </w:pPr>
            <w:r>
              <w:rPr>
                <w:color w:val="000000"/>
                <w:spacing w:val="0"/>
                <w:w w:val="100"/>
                <w:position w:val="0"/>
                <w:sz w:val="19"/>
                <w:szCs w:val="19"/>
              </w:rPr>
              <w:t>湖北东旭泰泉新能源科技有限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河北泰泉新能源科技有限公司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石家庄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石家庄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三门峡英利新能源科技有限公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三门峡 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三门峡 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永新县华明新能源有限公司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吉安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吉安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汪清旭阳新能源有限公司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汪清县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汪清县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天津旭新新能源科技有限公司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9"/>
                <w:szCs w:val="19"/>
              </w:rPr>
            </w:pPr>
            <w:r>
              <w:rPr>
                <w:color w:val="000000"/>
                <w:spacing w:val="0"/>
                <w:w w:val="100"/>
                <w:position w:val="0"/>
                <w:sz w:val="19"/>
                <w:szCs w:val="19"/>
              </w:rPr>
              <w:t>景德镇旭景新能源科技有限公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景德镇 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景德镇 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140" w:right="0" w:firstLine="0"/>
              <w:jc w:val="both"/>
              <w:rPr>
                <w:sz w:val="19"/>
                <w:szCs w:val="19"/>
              </w:rPr>
            </w:pPr>
            <w:r>
              <w:rPr>
                <w:color w:val="000000"/>
                <w:spacing w:val="0"/>
                <w:w w:val="100"/>
                <w:position w:val="0"/>
                <w:sz w:val="19"/>
                <w:szCs w:val="19"/>
              </w:rPr>
              <w:t>沁阳市旭辉新能源科技有限公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沁阳市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沁阳市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团风旭通新能源有限公司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团风县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团风县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40" w:right="0" w:firstLine="0"/>
              <w:jc w:val="both"/>
              <w:rPr>
                <w:sz w:val="19"/>
                <w:szCs w:val="19"/>
              </w:rPr>
            </w:pPr>
            <w:r>
              <w:rPr>
                <w:color w:val="000000"/>
                <w:spacing w:val="0"/>
                <w:w w:val="100"/>
                <w:position w:val="0"/>
                <w:sz w:val="19"/>
                <w:szCs w:val="19"/>
              </w:rPr>
              <w:t>西安国际港务区旭祥新能源有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6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沈阳旭森新能源科技有限公司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沈阳市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沈阳市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bl>
    <w:p>
      <w:pPr>
        <w:spacing w:lineRule="exact" w:line="1"/>
        <w:rPr>
          <w:sz w:val="2"/>
          <w:szCs w:val="2"/>
        </w:rPr>
      </w:pPr>
      <w:r>
        <w:br w:type="page"/>
      </w:r>
    </w:p>
    <w:tbl>
      <w:tblPr>
        <w:tblOverlap w:val="never"/>
        <w:jc w:val="center"/>
        <w:tblLayout w:type="fixed"/>
      </w:tblPr>
      <w:tblGrid>
        <w:gridCol w:w="2909"/>
        <w:gridCol w:w="821"/>
        <w:gridCol w:w="989"/>
        <w:gridCol w:w="1978"/>
        <w:gridCol w:w="586"/>
        <w:gridCol w:w="643"/>
        <w:gridCol w:w="1435"/>
      </w:tblGrid>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安阳旭蓝新能源有限公司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安阳县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安阳县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新郑市旭能新能源有限公司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新郑市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新郑市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龙泉市旭农农业科技有限公司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龙泉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龙泉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农业技术研发；农业</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延边旭农农业科技有限公司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汪清县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汪清县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9"/>
                <w:szCs w:val="19"/>
              </w:rPr>
            </w:pPr>
            <w:r>
              <w:rPr>
                <w:color w:val="000000"/>
                <w:spacing w:val="0"/>
                <w:w w:val="100"/>
                <w:position w:val="0"/>
                <w:sz w:val="19"/>
                <w:szCs w:val="19"/>
              </w:rPr>
              <w:t>农林产品种植、仓</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储、销售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9"/>
                <w:szCs w:val="19"/>
              </w:rPr>
            </w:pPr>
            <w:r>
              <w:rPr>
                <w:color w:val="000000"/>
                <w:spacing w:val="0"/>
                <w:w w:val="100"/>
                <w:position w:val="0"/>
                <w:sz w:val="19"/>
                <w:szCs w:val="19"/>
              </w:rPr>
              <w:t>海南旭蓝农业科技发展有限公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文昌市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农业科技、生物科技 领域内的技术开发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海南旭蓝新能源科技有限公司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文昌市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9"/>
                <w:szCs w:val="19"/>
              </w:rPr>
            </w:pPr>
            <w:r>
              <w:rPr>
                <w:color w:val="000000"/>
                <w:spacing w:val="0"/>
                <w:w w:val="100"/>
                <w:position w:val="0"/>
                <w:sz w:val="19"/>
                <w:szCs w:val="19"/>
              </w:rPr>
              <w:t>胶州市旭蓝新能源科技有限公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胶州市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胶州市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广水市旭农农业科技有限公司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广水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广水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农作物的种植与销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内蒙古旭光新能源科技有限公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鄂尔多</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斯市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9"/>
                <w:szCs w:val="19"/>
              </w:rPr>
            </w:pPr>
            <w:r>
              <w:rPr>
                <w:color w:val="000000"/>
                <w:spacing w:val="0"/>
                <w:w w:val="100"/>
                <w:position w:val="0"/>
                <w:sz w:val="19"/>
                <w:szCs w:val="19"/>
              </w:rPr>
              <w:t>鄂尔多</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斯市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东营基安光伏发电有限公司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东营市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东营市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山西旭晖光伏电力有限公司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蒲县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蒲县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高密旭蓝新能源有限公司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高密市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高密市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9"/>
                <w:szCs w:val="19"/>
              </w:rPr>
            </w:pPr>
            <w:r>
              <w:rPr>
                <w:color w:val="000000"/>
                <w:spacing w:val="0"/>
                <w:w w:val="100"/>
                <w:position w:val="0"/>
                <w:sz w:val="19"/>
                <w:szCs w:val="19"/>
              </w:rPr>
              <w:t>东营市河口区旭飞光伏发电有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东营市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东营市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衡东县旭衡新能源科技有限公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衡东县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衡东县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衡东县旭东新能源科技有限公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衡东县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衡东县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台州正旭新能源有限公司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台州市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台州市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9"/>
                <w:szCs w:val="19"/>
              </w:rPr>
            </w:pPr>
            <w:r>
              <w:rPr>
                <w:color w:val="000000"/>
                <w:spacing w:val="0"/>
                <w:w w:val="100"/>
                <w:position w:val="0"/>
                <w:sz w:val="19"/>
                <w:szCs w:val="19"/>
              </w:rPr>
              <w:t>北屯市旭蓝新能源科技有限公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北屯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北屯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东营市旭峰新能源科技有限公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东营市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东营市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8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天津旭阳光伏发电有限公司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103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9"/>
                <w:szCs w:val="19"/>
              </w:rPr>
            </w:pPr>
            <w:r>
              <w:rPr>
                <w:color w:val="000000"/>
                <w:spacing w:val="0"/>
                <w:w w:val="100"/>
                <w:position w:val="0"/>
                <w:sz w:val="19"/>
                <w:szCs w:val="19"/>
              </w:rPr>
              <w:t>黎城县旭黎新能源科技有限公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黎城县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黎城县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太阳能发电系统的 开发、咨询、设计施 工及工程总承包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bl>
    <w:p>
      <w:pPr>
        <w:spacing w:lineRule="exact" w:line="1"/>
        <w:rPr>
          <w:sz w:val="2"/>
          <w:szCs w:val="2"/>
        </w:rPr>
      </w:pPr>
      <w:r>
        <w:br w:type="page"/>
      </w:r>
    </w:p>
    <w:tbl>
      <w:tblPr>
        <w:tblOverlap w:val="never"/>
        <w:jc w:val="center"/>
        <w:tblLayout w:type="fixed"/>
      </w:tblPr>
      <w:tblGrid>
        <w:gridCol w:w="2909"/>
        <w:gridCol w:w="821"/>
        <w:gridCol w:w="989"/>
        <w:gridCol w:w="1978"/>
        <w:gridCol w:w="586"/>
        <w:gridCol w:w="643"/>
        <w:gridCol w:w="1435"/>
      </w:tblGrid>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鄂州旭阳新能源有限公司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鄂州市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鄂州市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蒙城旭通新能源有限公司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蒙城县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蒙城县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茶陵旭晨新能源科技有限公司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株洲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株洲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澧县旭湘新能源开发有限公司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澧县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澧县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宁夏昊阳新能源科技有限公司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吴忠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吴忠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140" w:right="0" w:firstLine="0"/>
              <w:jc w:val="both"/>
              <w:rPr>
                <w:sz w:val="19"/>
                <w:szCs w:val="19"/>
              </w:rPr>
            </w:pPr>
            <w:r>
              <w:rPr>
                <w:color w:val="000000"/>
                <w:spacing w:val="0"/>
                <w:w w:val="100"/>
                <w:position w:val="0"/>
                <w:sz w:val="19"/>
                <w:szCs w:val="19"/>
              </w:rPr>
              <w:t>磴口县弘吉新能源科技有限公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巴彦淖</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巴彦淖</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40" w:right="0" w:firstLine="0"/>
              <w:jc w:val="both"/>
              <w:rPr>
                <w:sz w:val="19"/>
                <w:szCs w:val="19"/>
              </w:rPr>
            </w:pPr>
            <w:r>
              <w:rPr>
                <w:color w:val="000000"/>
                <w:spacing w:val="0"/>
                <w:w w:val="100"/>
                <w:position w:val="0"/>
                <w:sz w:val="19"/>
                <w:szCs w:val="19"/>
              </w:rPr>
              <w:t>日照东旭国山新能源科技有限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日照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日照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张北弘吉新能源科技有限公司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张北县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张北县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9"/>
                <w:szCs w:val="19"/>
              </w:rPr>
            </w:pPr>
            <w:r>
              <w:rPr>
                <w:color w:val="000000"/>
                <w:spacing w:val="0"/>
                <w:w w:val="100"/>
                <w:position w:val="0"/>
                <w:sz w:val="19"/>
                <w:szCs w:val="19"/>
              </w:rPr>
              <w:t>中阳县晟阳新能源科技有限公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中阳县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中阳县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140" w:right="0" w:firstLine="0"/>
              <w:jc w:val="both"/>
              <w:rPr>
                <w:sz w:val="19"/>
                <w:szCs w:val="19"/>
              </w:rPr>
            </w:pPr>
            <w:r>
              <w:rPr>
                <w:color w:val="000000"/>
                <w:spacing w:val="0"/>
                <w:w w:val="100"/>
                <w:position w:val="0"/>
                <w:sz w:val="19"/>
                <w:szCs w:val="19"/>
              </w:rPr>
              <w:t>吉林华众昊晟新能源科技有限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洮南市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洮南市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both"/>
              <w:rPr>
                <w:sz w:val="19"/>
                <w:szCs w:val="19"/>
              </w:rPr>
            </w:pPr>
            <w:r>
              <w:rPr>
                <w:color w:val="000000"/>
                <w:spacing w:val="0"/>
                <w:w w:val="100"/>
                <w:position w:val="0"/>
                <w:sz w:val="19"/>
                <w:szCs w:val="19"/>
              </w:rPr>
              <w:t>蓝天绿迅（苏州）新能源有限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张北旭光新能源科技有限公司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张北县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张北县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张北旭阳新能源科技有限公司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张北县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张北县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承德新旭新能源科技有限公司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承德市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承德市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赤峰旭源新能源有限公司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阿鲁科</w:t>
            </w:r>
          </w:p>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尔沁旗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9"/>
                <w:szCs w:val="19"/>
              </w:rPr>
            </w:pPr>
            <w:r>
              <w:rPr>
                <w:color w:val="000000"/>
                <w:spacing w:val="0"/>
                <w:w w:val="100"/>
                <w:position w:val="0"/>
                <w:sz w:val="19"/>
                <w:szCs w:val="19"/>
              </w:rPr>
              <w:t>阿鲁科</w:t>
            </w:r>
          </w:p>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尔沁旗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上海安轩自动化科技有限公司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80" w:right="0" w:firstLine="0"/>
              <w:jc w:val="left"/>
              <w:rPr>
                <w:sz w:val="19"/>
                <w:szCs w:val="19"/>
              </w:rPr>
            </w:pPr>
            <w:r>
              <w:rPr>
                <w:color w:val="000000"/>
                <w:spacing w:val="0"/>
                <w:w w:val="100"/>
                <w:position w:val="0"/>
                <w:sz w:val="19"/>
                <w:szCs w:val="19"/>
              </w:rPr>
              <w:t>自动化科技领域内 的技术开发、销售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锦州旭蓝电力新能源有限公司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锦州市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锦州市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海南旭通新能源科技有限公司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儋州市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儋州市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140" w:right="0" w:firstLine="0"/>
              <w:jc w:val="both"/>
              <w:rPr>
                <w:sz w:val="19"/>
                <w:szCs w:val="19"/>
              </w:rPr>
            </w:pPr>
            <w:r>
              <w:rPr>
                <w:color w:val="000000"/>
                <w:spacing w:val="0"/>
                <w:w w:val="100"/>
                <w:position w:val="0"/>
                <w:sz w:val="19"/>
                <w:szCs w:val="19"/>
              </w:rPr>
              <w:t>宁夏菲斯克旭元新能源科技有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青铜峡</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9"/>
                <w:szCs w:val="19"/>
              </w:rPr>
            </w:pPr>
            <w:r>
              <w:rPr>
                <w:color w:val="000000"/>
                <w:spacing w:val="0"/>
                <w:w w:val="100"/>
                <w:position w:val="0"/>
                <w:sz w:val="19"/>
                <w:szCs w:val="19"/>
              </w:rPr>
              <w:t>青铜峡</w:t>
            </w:r>
          </w:p>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张北旭炎光热发电有限公司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张北县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张北县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无锡安轩自动化科技有限公司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无锡市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无锡市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rPr>
              <w:t>自动化科技领域内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西藏东旭电力工程有限公司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拉萨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拉萨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电力工程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bl>
    <w:p>
      <w:pPr>
        <w:spacing w:lineRule="exact" w:line="1"/>
        <w:rPr>
          <w:sz w:val="2"/>
          <w:szCs w:val="2"/>
        </w:rPr>
      </w:pPr>
      <w:r>
        <w:br w:type="page"/>
      </w:r>
    </w:p>
    <w:tbl>
      <w:tblPr>
        <w:tblOverlap w:val="never"/>
        <w:jc w:val="center"/>
        <w:tblLayout w:type="fixed"/>
      </w:tblPr>
      <w:tblGrid>
        <w:gridCol w:w="2909"/>
        <w:gridCol w:w="821"/>
        <w:gridCol w:w="989"/>
        <w:gridCol w:w="1978"/>
        <w:gridCol w:w="586"/>
        <w:gridCol w:w="643"/>
        <w:gridCol w:w="1435"/>
      </w:tblGrid>
      <w:tr>
        <w:trPr>
          <w:trHeight w:val="72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left"/>
              <w:rPr>
                <w:sz w:val="19"/>
                <w:szCs w:val="19"/>
              </w:rPr>
            </w:pPr>
            <w:r>
              <w:rPr>
                <w:color w:val="000000"/>
                <w:spacing w:val="0"/>
                <w:w w:val="100"/>
                <w:position w:val="0"/>
                <w:sz w:val="19"/>
                <w:szCs w:val="19"/>
              </w:rPr>
              <w:t>旭能盛远（天津）科技有限公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建筑材料销售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贵州旭榕农业发展有限公司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榕江县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榕江县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加工及销售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香港鸿业发展有限公司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运输、贸易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深圳市旭星达科技有限公司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设备零售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天津旭红供应链管理有限公司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供应链管理服务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日照旭华贸易有限公司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日照市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日照市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贸易信息咨询，供应 链管理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北京七彩蓝天农业有限公司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加工及销售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left"/>
              <w:rPr>
                <w:sz w:val="19"/>
                <w:szCs w:val="19"/>
              </w:rPr>
            </w:pPr>
            <w:r>
              <w:rPr>
                <w:color w:val="000000"/>
                <w:spacing w:val="0"/>
                <w:w w:val="100"/>
                <w:position w:val="0"/>
                <w:sz w:val="19"/>
                <w:szCs w:val="19"/>
              </w:rPr>
              <w:t>内蒙古昊庆新能源科技有限公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赤峰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赤峰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广水市孚阳电力有限公司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广水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广水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新泰旭蓝能源科技有限公司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新泰市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新泰市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宁夏盛唐太阳能科技有限公司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灵武市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灵武市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香港两洋资源有限公司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商品贸易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菏泽融邦新能源有限公司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菏泽市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菏泽市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left"/>
              <w:rPr>
                <w:sz w:val="19"/>
                <w:szCs w:val="19"/>
              </w:rPr>
            </w:pPr>
            <w:r>
              <w:rPr>
                <w:color w:val="000000"/>
                <w:spacing w:val="0"/>
                <w:w w:val="100"/>
                <w:position w:val="0"/>
                <w:sz w:val="19"/>
                <w:szCs w:val="19"/>
              </w:rPr>
              <w:t>东旭鸿基建筑装饰工程有限公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建筑装饰装修工程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广州市东旭鸿基投资有限公司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深圳市龙岗鸿基发展有限公司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物业出租及管理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都昌县皓晖光伏电站有限公司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江西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江西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非同一控制 下合并</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蒙阴县盛康光伏发电有限公司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山东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山东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非同一控制 下合并</w:t>
            </w:r>
          </w:p>
        </w:tc>
      </w:tr>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40" w:right="0" w:firstLine="0"/>
              <w:jc w:val="left"/>
              <w:rPr>
                <w:sz w:val="19"/>
                <w:szCs w:val="19"/>
              </w:rPr>
            </w:pPr>
            <w:r>
              <w:rPr>
                <w:color w:val="000000"/>
                <w:spacing w:val="0"/>
                <w:w w:val="100"/>
                <w:position w:val="0"/>
                <w:sz w:val="19"/>
                <w:szCs w:val="19"/>
              </w:rPr>
              <w:t>杭州旭海鼎杭投资管理合伙企 业（有限合伙）</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结构化主体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left"/>
              <w:rPr>
                <w:sz w:val="19"/>
                <w:szCs w:val="19"/>
              </w:rPr>
            </w:pPr>
            <w:r>
              <w:rPr>
                <w:color w:val="000000"/>
                <w:spacing w:val="0"/>
                <w:w w:val="100"/>
                <w:position w:val="0"/>
                <w:sz w:val="19"/>
                <w:szCs w:val="19"/>
              </w:rPr>
              <w:t>宁波梅山保税港区信控东旭新 能源投资合伙企业（有限合伙）</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结构化主体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r>
        <w:trPr>
          <w:trHeight w:val="46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广州南粤趋势创新投资中心</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结构化主体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设立</w:t>
            </w:r>
          </w:p>
        </w:tc>
      </w:tr>
    </w:tbl>
    <w:p>
      <w:pPr>
        <w:pStyle w:val="Style17"/>
        <w:keepNext w:val="0"/>
        <w:keepLines w:val="0"/>
        <w:widowControl w:val="0"/>
        <w:shd w:val="clear" w:color="auto" w:fill="auto"/>
        <w:tabs>
          <w:tab w:pos="5106" w:val="left"/>
          <w:tab w:pos="8620" w:val="left"/>
        </w:tabs>
        <w:bidi w:val="0"/>
        <w:spacing w:before="0" w:after="80" w:line="240" w:lineRule="auto"/>
        <w:ind w:left="0" w:right="0" w:firstLine="340"/>
        <w:jc w:val="both"/>
        <w:rPr>
          <w:sz w:val="19"/>
          <w:szCs w:val="19"/>
        </w:rPr>
      </w:pPr>
      <w:r>
        <w:rPr>
          <w:color w:val="000000"/>
          <w:spacing w:val="0"/>
          <w:w w:val="100"/>
          <w:position w:val="0"/>
          <w:sz w:val="19"/>
          <w:szCs w:val="19"/>
        </w:rPr>
        <w:t>信金东旭二期新能源投资基金</w:t>
        <w:tab/>
        <w:t>结构化主体</w:t>
        <w:tab/>
        <w:t>设立</w:t>
      </w:r>
    </w:p>
    <w:p>
      <w:pPr>
        <w:pStyle w:val="Style27"/>
        <w:keepNext w:val="0"/>
        <w:keepLines w:val="0"/>
        <w:widowControl w:val="0"/>
        <w:shd w:val="clear" w:color="auto" w:fill="auto"/>
        <w:bidi w:val="0"/>
        <w:spacing w:before="0" w:after="0" w:line="502" w:lineRule="exact"/>
        <w:ind w:left="0" w:right="0" w:firstLine="400"/>
        <w:jc w:val="both"/>
        <w:rPr>
          <w:sz w:val="17"/>
          <w:szCs w:val="17"/>
        </w:rPr>
      </w:pPr>
      <w:r>
        <w:rPr>
          <w:color w:val="000000"/>
          <w:spacing w:val="0"/>
          <w:w w:val="100"/>
          <w:position w:val="0"/>
          <w:sz w:val="17"/>
          <w:szCs w:val="17"/>
        </w:rPr>
        <w:t>注</w:t>
      </w:r>
      <w:r>
        <w:rPr>
          <w:color w:val="000000"/>
          <w:spacing w:val="0"/>
          <w:w w:val="100"/>
          <w:position w:val="0"/>
          <w:sz w:val="20"/>
          <w:szCs w:val="20"/>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）本期纳入合并范围的重要的结构化主体控制的依据如下：</w:t>
      </w:r>
    </w:p>
    <w:p>
      <w:pPr>
        <w:pStyle w:val="Style27"/>
        <w:keepNext w:val="0"/>
        <w:keepLines w:val="0"/>
        <w:widowControl w:val="0"/>
        <w:shd w:val="clear" w:color="auto" w:fill="auto"/>
        <w:bidi w:val="0"/>
        <w:spacing w:before="0" w:after="0" w:line="502" w:lineRule="exact"/>
        <w:ind w:left="0" w:right="0" w:firstLine="400"/>
        <w:jc w:val="both"/>
        <w:rPr>
          <w:sz w:val="17"/>
          <w:szCs w:val="17"/>
        </w:rPr>
      </w:pPr>
      <w:r>
        <w:rPr>
          <w:rFonts w:ascii="Arial Narrow" w:eastAsia="Arial Narrow" w:hAnsi="Arial Narrow" w:cs="Arial Narrow"/>
          <w:color w:val="000000"/>
          <w:spacing w:val="0"/>
          <w:w w:val="100"/>
          <w:position w:val="0"/>
          <w:sz w:val="18"/>
          <w:szCs w:val="18"/>
        </w:rPr>
        <w:t>2016</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21 </w:t>
      </w:r>
      <w:r>
        <w:rPr>
          <w:rFonts w:ascii="SimHei" w:eastAsia="SimHei" w:hAnsi="SimHei" w:cs="SimHei"/>
          <w:color w:val="000000"/>
          <w:spacing w:val="0"/>
          <w:w w:val="100"/>
          <w:position w:val="0"/>
          <w:sz w:val="19"/>
          <w:szCs w:val="19"/>
        </w:rPr>
        <w:t>0，</w:t>
      </w:r>
      <w:r>
        <w:rPr>
          <w:color w:val="000000"/>
          <w:spacing w:val="0"/>
          <w:w w:val="100"/>
          <w:position w:val="0"/>
          <w:sz w:val="17"/>
          <w:szCs w:val="17"/>
        </w:rPr>
        <w:t>本公司与信达金控（宁波）投资管理有限公司（以下简称“信达金控”）、国投泰康信托有限公司（以 下简称“国投泰康”）共同投资设立宁波梅山保税港区信控东旭新能源投资合伙企业（有限合伙）（以下简称“宁波信控新 能源合伙”）。</w:t>
      </w:r>
      <w:r>
        <w:rPr>
          <w:rFonts w:ascii="Arial Narrow" w:eastAsia="Arial Narrow" w:hAnsi="Arial Narrow" w:cs="Arial Narrow"/>
          <w:color w:val="000000"/>
          <w:spacing w:val="0"/>
          <w:w w:val="100"/>
          <w:position w:val="0"/>
          <w:sz w:val="18"/>
          <w:szCs w:val="18"/>
        </w:rPr>
        <w:t>2017</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月，信达金控作为普通合伙人出资</w:t>
      </w:r>
      <w:r>
        <w:rPr>
          <w:rFonts w:ascii="Arial Narrow" w:eastAsia="Arial Narrow" w:hAnsi="Arial Narrow" w:cs="Arial Narrow"/>
          <w:color w:val="000000"/>
          <w:spacing w:val="0"/>
          <w:w w:val="100"/>
          <w:position w:val="0"/>
          <w:sz w:val="18"/>
          <w:szCs w:val="18"/>
        </w:rPr>
        <w:t>100</w:t>
      </w:r>
      <w:r>
        <w:rPr>
          <w:color w:val="000000"/>
          <w:spacing w:val="0"/>
          <w:w w:val="100"/>
          <w:position w:val="0"/>
          <w:sz w:val="17"/>
          <w:szCs w:val="17"/>
        </w:rPr>
        <w:t>万元，国投泰康信托有限公司作为优先级有限合伙人出资</w:t>
      </w: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sz w:val="17"/>
          <w:szCs w:val="17"/>
        </w:rPr>
        <w:t>亿元，本公司作为劣后级有限合伙人出资</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亿元。</w:t>
      </w:r>
      <w:r>
        <w:rPr>
          <w:rFonts w:ascii="Arial Narrow" w:eastAsia="Arial Narrow" w:hAnsi="Arial Narrow" w:cs="Arial Narrow"/>
          <w:color w:val="000000"/>
          <w:spacing w:val="0"/>
          <w:w w:val="100"/>
          <w:position w:val="0"/>
          <w:sz w:val="18"/>
          <w:szCs w:val="18"/>
        </w:rPr>
        <w:t>2017</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6 </w:t>
      </w:r>
      <w:r>
        <w:rPr>
          <w:rFonts w:ascii="SimHei" w:eastAsia="SimHei" w:hAnsi="SimHei" w:cs="SimHei"/>
          <w:color w:val="000000"/>
          <w:spacing w:val="0"/>
          <w:w w:val="100"/>
          <w:position w:val="0"/>
          <w:sz w:val="19"/>
          <w:szCs w:val="19"/>
        </w:rPr>
        <w:t>0,</w:t>
      </w:r>
      <w:r>
        <w:rPr>
          <w:color w:val="000000"/>
          <w:spacing w:val="0"/>
          <w:w w:val="100"/>
          <w:position w:val="0"/>
          <w:sz w:val="17"/>
          <w:szCs w:val="17"/>
        </w:rPr>
        <w:t>公司全资子公司东旭新能源投资有限公司向其融资人民 币</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亿元，由于在国投泰康投资期内合伙企业若不能按时足额分配国投泰康投资预期收益等情形下，公司需按相关协议约 定条件受让国投泰康持有的合伙企业份额，因此该有限合伙企业属于本公司控制的结构化主体，纳入合并范围。</w:t>
      </w:r>
    </w:p>
    <w:p>
      <w:pPr>
        <w:pStyle w:val="Style27"/>
        <w:keepNext w:val="0"/>
        <w:keepLines w:val="0"/>
        <w:widowControl w:val="0"/>
        <w:shd w:val="clear" w:color="auto" w:fill="auto"/>
        <w:bidi w:val="0"/>
        <w:spacing w:before="0" w:after="0" w:line="502" w:lineRule="exact"/>
        <w:ind w:left="0" w:right="0" w:firstLine="400"/>
        <w:jc w:val="both"/>
        <w:rPr>
          <w:sz w:val="17"/>
          <w:szCs w:val="17"/>
        </w:rPr>
      </w:pPr>
      <w:r>
        <w:rPr>
          <w:rFonts w:ascii="Arial Narrow" w:eastAsia="Arial Narrow" w:hAnsi="Arial Narrow" w:cs="Arial Narrow"/>
          <w:color w:val="000000"/>
          <w:spacing w:val="0"/>
          <w:w w:val="100"/>
          <w:position w:val="0"/>
          <w:sz w:val="18"/>
          <w:szCs w:val="18"/>
        </w:rPr>
        <w:t>2017</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17 </w:t>
      </w:r>
      <w:r>
        <w:rPr>
          <w:rFonts w:ascii="SimHei" w:eastAsia="SimHei" w:hAnsi="SimHei" w:cs="SimHei"/>
          <w:color w:val="000000"/>
          <w:spacing w:val="0"/>
          <w:w w:val="100"/>
          <w:position w:val="0"/>
          <w:sz w:val="19"/>
          <w:szCs w:val="19"/>
        </w:rPr>
        <w:t>0,</w:t>
      </w:r>
      <w:r>
        <w:rPr>
          <w:color w:val="000000"/>
          <w:spacing w:val="0"/>
          <w:w w:val="100"/>
          <w:position w:val="0"/>
          <w:sz w:val="17"/>
          <w:szCs w:val="17"/>
        </w:rPr>
        <w:t>本公司与广州南粤产业投资基金管理有限公司（以下简称“广州南粤”）、长城新盛信托有限责任公 司（以下简称“长城新盛信托”）共同设立广州南粤趋势创新投资中心（有限合伙）（以下简称“广州南粤投资有限合伙”）。 广州南粤作为普通合伙人出资</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万元，长城新盛信托为优先级有限合伙人出资</w:t>
      </w:r>
      <w:r>
        <w:rPr>
          <w:rFonts w:ascii="Arial Narrow" w:eastAsia="Arial Narrow" w:hAnsi="Arial Narrow" w:cs="Arial Narrow"/>
          <w:color w:val="000000"/>
          <w:spacing w:val="0"/>
          <w:w w:val="100"/>
          <w:position w:val="0"/>
          <w:sz w:val="18"/>
          <w:szCs w:val="18"/>
        </w:rPr>
        <w:t>4.95</w:t>
      </w:r>
      <w:r>
        <w:rPr>
          <w:color w:val="000000"/>
          <w:spacing w:val="0"/>
          <w:w w:val="100"/>
          <w:position w:val="0"/>
          <w:sz w:val="17"/>
          <w:szCs w:val="17"/>
        </w:rPr>
        <w:t>亿元，本公司作为劣后级有限合伙人出 资</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亿元。合伙企业成立后，本公司向其融资人民币</w:t>
      </w:r>
      <w:r>
        <w:rPr>
          <w:rFonts w:ascii="Arial Narrow" w:eastAsia="Arial Narrow" w:hAnsi="Arial Narrow" w:cs="Arial Narrow"/>
          <w:color w:val="000000"/>
          <w:spacing w:val="0"/>
          <w:w w:val="100"/>
          <w:position w:val="0"/>
          <w:sz w:val="18"/>
          <w:szCs w:val="18"/>
        </w:rPr>
        <w:t>6.95</w:t>
      </w:r>
      <w:r>
        <w:rPr>
          <w:color w:val="000000"/>
          <w:spacing w:val="0"/>
          <w:w w:val="100"/>
          <w:position w:val="0"/>
          <w:sz w:val="17"/>
          <w:szCs w:val="17"/>
        </w:rPr>
        <w:t>亿元，由于优先级有限合伙人享有本金及利息优先受偿权，因此 该有限合伙企业属于本公司控制的结构化主体，纳入合并范围。</w:t>
      </w:r>
    </w:p>
    <w:p>
      <w:pPr>
        <w:pStyle w:val="Style27"/>
        <w:keepNext w:val="0"/>
        <w:keepLines w:val="0"/>
        <w:widowControl w:val="0"/>
        <w:shd w:val="clear" w:color="auto" w:fill="auto"/>
        <w:bidi w:val="0"/>
        <w:spacing w:before="0" w:after="0" w:line="502" w:lineRule="exact"/>
        <w:ind w:left="0" w:right="0" w:firstLine="400"/>
        <w:jc w:val="both"/>
        <w:rPr>
          <w:sz w:val="17"/>
          <w:szCs w:val="17"/>
        </w:rPr>
      </w:pPr>
      <w:r>
        <w:rPr>
          <w:rFonts w:ascii="Arial Narrow" w:eastAsia="Arial Narrow" w:hAnsi="Arial Narrow" w:cs="Arial Narrow"/>
          <w:color w:val="000000"/>
          <w:spacing w:val="0"/>
          <w:w w:val="100"/>
          <w:position w:val="0"/>
          <w:sz w:val="18"/>
          <w:szCs w:val="18"/>
        </w:rPr>
        <w:t>2017</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14 </w:t>
      </w:r>
      <w:r>
        <w:rPr>
          <w:rFonts w:ascii="SimHei" w:eastAsia="SimHei" w:hAnsi="SimHei" w:cs="SimHei"/>
          <w:color w:val="000000"/>
          <w:spacing w:val="0"/>
          <w:w w:val="100"/>
          <w:position w:val="0"/>
          <w:sz w:val="19"/>
          <w:szCs w:val="19"/>
        </w:rPr>
        <w:t>0,</w:t>
      </w:r>
      <w:r>
        <w:rPr>
          <w:color w:val="000000"/>
          <w:spacing w:val="0"/>
          <w:w w:val="100"/>
          <w:position w:val="0"/>
          <w:sz w:val="17"/>
          <w:szCs w:val="17"/>
        </w:rPr>
        <w:t>本公司全资子公司东旭新能源投资有限公司向中信信托有限责任公司的“信金东旭二期新能源投资 基金”融资</w:t>
      </w:r>
      <w:r>
        <w:rPr>
          <w:rFonts w:ascii="Arial Narrow" w:eastAsia="Arial Narrow" w:hAnsi="Arial Narrow" w:cs="Arial Narrow"/>
          <w:color w:val="000000"/>
          <w:spacing w:val="0"/>
          <w:w w:val="100"/>
          <w:position w:val="0"/>
          <w:sz w:val="18"/>
          <w:szCs w:val="18"/>
        </w:rPr>
        <w:t>7.5</w:t>
      </w:r>
      <w:r>
        <w:rPr>
          <w:color w:val="000000"/>
          <w:spacing w:val="0"/>
          <w:w w:val="100"/>
          <w:position w:val="0"/>
          <w:sz w:val="17"/>
          <w:szCs w:val="17"/>
        </w:rPr>
        <w:t>亿元信托资金。基金计划由本公司的控股股东东旭集团有限公司作为保证人，本公司作为基金计划的次级委 托人，出资</w:t>
      </w:r>
      <w:r>
        <w:rPr>
          <w:rFonts w:ascii="Arial Narrow" w:eastAsia="Arial Narrow" w:hAnsi="Arial Narrow" w:cs="Arial Narrow"/>
          <w:color w:val="000000"/>
          <w:spacing w:val="0"/>
          <w:w w:val="100"/>
          <w:position w:val="0"/>
          <w:sz w:val="18"/>
          <w:szCs w:val="18"/>
        </w:rPr>
        <w:t>2.5</w:t>
      </w:r>
      <w:r>
        <w:rPr>
          <w:color w:val="000000"/>
          <w:spacing w:val="0"/>
          <w:w w:val="100"/>
          <w:position w:val="0"/>
          <w:sz w:val="17"/>
          <w:szCs w:val="17"/>
        </w:rPr>
        <w:t>亿认购次级收益权，并约定公司按相关协议约定条件受让中信信托有限公司持有的合伙企业份额。因此该信 托计划属于本公司控制的结构化主体，纳入合并范围。</w:t>
      </w:r>
    </w:p>
    <w:p>
      <w:pPr>
        <w:pStyle w:val="Style27"/>
        <w:keepNext w:val="0"/>
        <w:keepLines w:val="0"/>
        <w:widowControl w:val="0"/>
        <w:shd w:val="clear" w:color="auto" w:fill="auto"/>
        <w:bidi w:val="0"/>
        <w:spacing w:before="0" w:after="0" w:line="502" w:lineRule="exact"/>
        <w:ind w:left="0" w:right="0" w:firstLine="400"/>
        <w:jc w:val="both"/>
        <w:rPr>
          <w:sz w:val="17"/>
          <w:szCs w:val="17"/>
        </w:rPr>
      </w:pPr>
      <w:r>
        <w:rPr>
          <w:rFonts w:ascii="Arial Narrow" w:eastAsia="Arial Narrow" w:hAnsi="Arial Narrow" w:cs="Arial Narrow"/>
          <w:color w:val="000000"/>
          <w:spacing w:val="0"/>
          <w:w w:val="100"/>
          <w:position w:val="0"/>
          <w:sz w:val="18"/>
          <w:szCs w:val="18"/>
        </w:rPr>
        <w:t>2017</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9</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29 </w:t>
      </w:r>
      <w:r>
        <w:rPr>
          <w:rFonts w:ascii="SimHei" w:eastAsia="SimHei" w:hAnsi="SimHei" w:cs="SimHei"/>
          <w:color w:val="000000"/>
          <w:spacing w:val="0"/>
          <w:w w:val="100"/>
          <w:position w:val="0"/>
          <w:sz w:val="19"/>
          <w:szCs w:val="19"/>
        </w:rPr>
        <w:t>0,</w:t>
      </w:r>
      <w:r>
        <w:rPr>
          <w:color w:val="000000"/>
          <w:spacing w:val="0"/>
          <w:w w:val="100"/>
          <w:position w:val="0"/>
          <w:sz w:val="17"/>
          <w:szCs w:val="17"/>
        </w:rPr>
        <w:t>本公司与宁波鼎杭投资管理有限公司（以下简称“宁波鼎杭”）、天津信托有限责任公司（以下简称 “天津信托”）共同投资设立杭州旭海鼎杭投资管理合伙企业（有限合伙）（以下简称“杭州旭海合伙”）。宁波鼎杭作为普 通合伙人出资</w:t>
      </w:r>
      <w:r>
        <w:rPr>
          <w:rFonts w:ascii="Arial Narrow" w:eastAsia="Arial Narrow" w:hAnsi="Arial Narrow" w:cs="Arial Narrow"/>
          <w:color w:val="000000"/>
          <w:spacing w:val="0"/>
          <w:w w:val="100"/>
          <w:position w:val="0"/>
          <w:sz w:val="18"/>
          <w:szCs w:val="18"/>
        </w:rPr>
        <w:t>100</w:t>
      </w:r>
      <w:r>
        <w:rPr>
          <w:color w:val="000000"/>
          <w:spacing w:val="0"/>
          <w:w w:val="100"/>
          <w:position w:val="0"/>
          <w:sz w:val="17"/>
          <w:szCs w:val="17"/>
        </w:rPr>
        <w:t>万元，天津信托作为优先级有限合伙人出资</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亿元，本公司作为劣后级有限合伙人出资</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亿元。合伙企 业成立后，公司全资子公司东旭新能源投资有限公司向其融资人民币</w:t>
      </w:r>
      <w:r>
        <w:rPr>
          <w:rFonts w:ascii="Arial Narrow" w:eastAsia="Arial Narrow" w:hAnsi="Arial Narrow" w:cs="Arial Narrow"/>
          <w:color w:val="000000"/>
          <w:spacing w:val="0"/>
          <w:w w:val="100"/>
          <w:position w:val="0"/>
          <w:sz w:val="18"/>
          <w:szCs w:val="18"/>
        </w:rPr>
        <w:t>15</w:t>
      </w:r>
      <w:r>
        <w:rPr>
          <w:color w:val="000000"/>
          <w:spacing w:val="0"/>
          <w:w w:val="100"/>
          <w:position w:val="0"/>
          <w:sz w:val="17"/>
          <w:szCs w:val="17"/>
        </w:rPr>
        <w:t>亿元，由于在天津信托投资期内合伙企业若不能按 时足额分配天津信托投资预期收益等情形下，公司需按相关协议约定条件受让天津信托持有的合伙企业份额，因此该有限合 伙企业属于本公司控制的结构化主体，纳入合并范围。</w:t>
      </w:r>
    </w:p>
    <w:p>
      <w:pPr>
        <w:pStyle w:val="Style27"/>
        <w:keepNext w:val="0"/>
        <w:keepLines w:val="0"/>
        <w:widowControl w:val="0"/>
        <w:shd w:val="clear" w:color="auto" w:fill="auto"/>
        <w:tabs>
          <w:tab w:pos="804" w:val="left"/>
        </w:tabs>
        <w:bidi w:val="0"/>
        <w:spacing w:before="0" w:after="0" w:line="502" w:lineRule="exact"/>
        <w:ind w:left="0" w:right="0" w:firstLine="400"/>
        <w:jc w:val="both"/>
        <w:rPr>
          <w:sz w:val="17"/>
          <w:szCs w:val="17"/>
        </w:rPr>
      </w:pPr>
      <w:bookmarkStart w:id="1084" w:name="bookmark1084"/>
      <w:r>
        <w:rPr>
          <w:color w:val="000000"/>
          <w:spacing w:val="0"/>
          <w:w w:val="100"/>
          <w:position w:val="0"/>
          <w:sz w:val="17"/>
          <w:szCs w:val="17"/>
        </w:rPr>
        <w:t>（</w:t>
      </w:r>
      <w:bookmarkEnd w:id="1084"/>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w:t>
        <w:tab/>
        <w:t>本公司本期无重要的非全资子公司。</w:t>
      </w:r>
    </w:p>
    <w:p>
      <w:pPr>
        <w:pStyle w:val="Style27"/>
        <w:keepNext w:val="0"/>
        <w:keepLines w:val="0"/>
        <w:widowControl w:val="0"/>
        <w:shd w:val="clear" w:color="auto" w:fill="auto"/>
        <w:tabs>
          <w:tab w:pos="804" w:val="left"/>
        </w:tabs>
        <w:bidi w:val="0"/>
        <w:spacing w:before="0" w:after="160" w:line="502" w:lineRule="exact"/>
        <w:ind w:left="0" w:right="0" w:firstLine="400"/>
        <w:jc w:val="both"/>
        <w:rPr>
          <w:sz w:val="17"/>
          <w:szCs w:val="17"/>
        </w:rPr>
      </w:pPr>
      <w:bookmarkStart w:id="1085" w:name="bookmark1085"/>
      <w:r>
        <w:rPr>
          <w:color w:val="000000"/>
          <w:spacing w:val="0"/>
          <w:w w:val="100"/>
          <w:position w:val="0"/>
          <w:sz w:val="17"/>
          <w:szCs w:val="17"/>
        </w:rPr>
        <w:t>（</w:t>
      </w:r>
      <w:bookmarkEnd w:id="1085"/>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w:t>
        <w:tab/>
        <w:t>持有半数及半数以上表决权比例，但未纳入合并范围的公司</w:t>
      </w:r>
    </w:p>
    <w:p>
      <w:pPr>
        <w:pStyle w:val="Style27"/>
        <w:keepNext w:val="0"/>
        <w:keepLines w:val="0"/>
        <w:widowControl w:val="0"/>
        <w:shd w:val="clear" w:color="auto" w:fill="auto"/>
        <w:bidi w:val="0"/>
        <w:spacing w:before="0" w:after="80" w:line="240" w:lineRule="auto"/>
        <w:ind w:left="0" w:right="0" w:firstLine="400"/>
        <w:jc w:val="both"/>
        <w:rPr>
          <w:sz w:val="17"/>
          <w:szCs w:val="17"/>
        </w:rPr>
      </w:pPr>
      <w:r>
        <w:rPr>
          <w:color w:val="000000"/>
          <w:spacing w:val="0"/>
          <w:w w:val="100"/>
          <w:position w:val="0"/>
          <w:sz w:val="17"/>
          <w:szCs w:val="17"/>
        </w:rPr>
        <w:t>以下公司经本公司董事会决议，处于依法清算阶段，本公司已对该等公司无实质控制权，未纳入财务报表合并范围。</w:t>
      </w:r>
    </w:p>
    <w:tbl>
      <w:tblPr>
        <w:tblOverlap w:val="never"/>
        <w:jc w:val="center"/>
        <w:tblLayout w:type="fixed"/>
      </w:tblPr>
      <w:tblGrid>
        <w:gridCol w:w="3307"/>
        <w:gridCol w:w="725"/>
        <w:gridCol w:w="1032"/>
        <w:gridCol w:w="864"/>
        <w:gridCol w:w="864"/>
        <w:gridCol w:w="893"/>
        <w:gridCol w:w="1747"/>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b/>
                <w:bCs/>
                <w:color w:val="000000"/>
                <w:spacing w:val="0"/>
                <w:w w:val="100"/>
                <w:position w:val="0"/>
                <w:sz w:val="17"/>
                <w:szCs w:val="17"/>
              </w:rPr>
              <w:t>注册资本</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万元</w:t>
            </w:r>
            <w:r>
              <w:rPr>
                <w:b/>
                <w:bCs/>
                <w:color w:val="000000"/>
                <w:spacing w:val="0"/>
                <w:w w:val="100"/>
                <w:position w:val="0"/>
                <w:sz w:val="22"/>
                <w:szCs w:val="22"/>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投资额</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万元</w:t>
            </w:r>
            <w:r>
              <w:rPr>
                <w:b/>
                <w:bCs/>
                <w:color w:val="000000"/>
                <w:spacing w:val="0"/>
                <w:w w:val="100"/>
                <w:position w:val="0"/>
                <w:sz w:val="22"/>
                <w:szCs w:val="22"/>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占权益比例（</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主营业务</w:t>
            </w:r>
          </w:p>
        </w:tc>
      </w:tr>
      <w:tr>
        <w:trPr>
          <w:trHeight w:val="461"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直接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间接</w:t>
            </w:r>
          </w:p>
        </w:tc>
        <w:tc>
          <w:tcPr>
            <w:vMerge/>
            <w:tcBorders>
              <w:left w:val="single" w:sz="4"/>
              <w:bottom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322"/>
        <w:gridCol w:w="725"/>
        <w:gridCol w:w="1032"/>
        <w:gridCol w:w="869"/>
        <w:gridCol w:w="859"/>
        <w:gridCol w:w="898"/>
        <w:gridCol w:w="1742"/>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注册资本</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万元</w:t>
            </w:r>
            <w:r>
              <w:rPr>
                <w:b/>
                <w:bCs/>
                <w:color w:val="000000"/>
                <w:spacing w:val="0"/>
                <w:w w:val="100"/>
                <w:position w:val="0"/>
                <w:sz w:val="22"/>
                <w:szCs w:val="22"/>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投资额</w:t>
            </w:r>
          </w:p>
          <w:p>
            <w:pPr>
              <w:pStyle w:val="Style22"/>
              <w:keepNext w:val="0"/>
              <w:keepLines w:val="0"/>
              <w:widowControl w:val="0"/>
              <w:shd w:val="clear" w:color="auto" w:fill="auto"/>
              <w:bidi w:val="0"/>
              <w:spacing w:before="0" w:after="0" w:line="240" w:lineRule="auto"/>
              <w:ind w:left="0" w:right="0" w:firstLine="160"/>
              <w:jc w:val="left"/>
              <w:rPr>
                <w:sz w:val="22"/>
                <w:szCs w:val="22"/>
              </w:rPr>
            </w:pP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万元</w:t>
            </w:r>
            <w:r>
              <w:rPr>
                <w:b/>
                <w:bCs/>
                <w:color w:val="000000"/>
                <w:spacing w:val="0"/>
                <w:w w:val="100"/>
                <w:position w:val="0"/>
                <w:sz w:val="22"/>
                <w:szCs w:val="22"/>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占权益比例（</w:t>
            </w:r>
            <w:r>
              <w:rPr>
                <w:b/>
                <w:bCs/>
                <w:color w:val="000000"/>
                <w:spacing w:val="0"/>
                <w:w w:val="100"/>
                <w:position w:val="0"/>
                <w:sz w:val="22"/>
                <w:szCs w:val="22"/>
              </w:rPr>
              <w:t>％</w:t>
            </w:r>
            <w:r>
              <w:rPr>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主营业务</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间接</w:t>
            </w:r>
          </w:p>
        </w:tc>
        <w:tc>
          <w:tcPr>
            <w:vMerge/>
            <w:tcBorders>
              <w:left w:val="single" w:sz="4"/>
            </w:tcBorders>
            <w:shd w:val="clear" w:color="auto" w:fill="FFFFFF"/>
            <w:vAlign w:val="center"/>
          </w:tcPr>
          <w:p>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未纳入合并范围的子公司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西安鸿腾生物科技有限责任公司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生物制药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深圳市鸿南建筑机械工程有限公司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机械生产销售</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深圳市深运工贸企业公司翠苑旅馆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旅店、服务</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深圳市鸿基广源贸易有限公司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进出口及代理</w:t>
            </w:r>
          </w:p>
        </w:tc>
      </w:tr>
    </w:tbl>
    <w:p>
      <w:pPr>
        <w:widowControl w:val="0"/>
        <w:spacing w:after="179" w:line="1" w:lineRule="exact"/>
      </w:pPr>
    </w:p>
    <w:p>
      <w:pPr>
        <w:pStyle w:val="Style17"/>
        <w:keepNext w:val="0"/>
        <w:keepLines w:val="0"/>
        <w:widowControl w:val="0"/>
        <w:shd w:val="clear" w:color="auto" w:fill="auto"/>
        <w:bidi w:val="0"/>
        <w:spacing w:before="0" w:after="180" w:line="240" w:lineRule="auto"/>
        <w:ind w:left="0" w:right="0" w:firstLine="560"/>
        <w:jc w:val="left"/>
      </w:pPr>
      <w:bookmarkStart w:id="1086" w:name="bookmark1086"/>
      <w:r>
        <w:rPr>
          <w:color w:val="000000"/>
          <w:spacing w:val="0"/>
          <w:w w:val="100"/>
          <w:position w:val="0"/>
        </w:rPr>
        <w:t>（</w:t>
      </w:r>
      <w:bookmarkEnd w:id="1086"/>
      <w:r>
        <w:rPr>
          <w:b/>
          <w:bCs/>
          <w:color w:val="000000"/>
          <w:spacing w:val="0"/>
          <w:w w:val="100"/>
          <w:position w:val="0"/>
        </w:rPr>
        <w:t>4</w:t>
      </w:r>
      <w:r>
        <w:rPr>
          <w:color w:val="000000"/>
          <w:spacing w:val="0"/>
          <w:w w:val="100"/>
          <w:position w:val="0"/>
        </w:rPr>
        <w:t>）本期非全资子公司内部股权比例变动情况</w:t>
      </w:r>
    </w:p>
    <w:p>
      <w:pPr>
        <w:pStyle w:val="Style17"/>
        <w:keepNext w:val="0"/>
        <w:keepLines w:val="0"/>
        <w:widowControl w:val="0"/>
        <w:shd w:val="clear" w:color="auto" w:fill="auto"/>
        <w:bidi w:val="0"/>
        <w:spacing w:before="0" w:after="180" w:line="240" w:lineRule="auto"/>
        <w:ind w:left="110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80" w:line="240" w:lineRule="auto"/>
        <w:ind w:left="514" w:right="0" w:firstLine="0"/>
        <w:jc w:val="left"/>
        <w:rPr>
          <w:sz w:val="20"/>
          <w:szCs w:val="20"/>
        </w:rPr>
      </w:pPr>
      <w:bookmarkStart w:id="1087" w:name="bookmark1087"/>
      <w:r>
        <w:rPr>
          <w:rFonts w:ascii="Arial Narrow" w:eastAsia="Arial Narrow" w:hAnsi="Arial Narrow" w:cs="Arial Narrow"/>
          <w:b/>
          <w:bCs/>
          <w:color w:val="000000"/>
          <w:spacing w:val="0"/>
          <w:w w:val="100"/>
          <w:position w:val="0"/>
          <w:sz w:val="20"/>
          <w:szCs w:val="20"/>
        </w:rPr>
        <w:t>2</w:t>
      </w:r>
      <w:r>
        <w:rPr>
          <w:b/>
          <w:bCs/>
          <w:color w:val="000000"/>
          <w:spacing w:val="0"/>
          <w:w w:val="100"/>
          <w:position w:val="0"/>
          <w:sz w:val="20"/>
          <w:szCs w:val="20"/>
        </w:rPr>
        <w:t>、在联营企业中的权益</w:t>
      </w:r>
      <w:bookmarkEnd w:id="1087"/>
    </w:p>
    <w:p>
      <w:pPr>
        <w:pStyle w:val="Style25"/>
        <w:keepNext w:val="0"/>
        <w:keepLines w:val="0"/>
        <w:widowControl w:val="0"/>
        <w:shd w:val="clear" w:color="auto" w:fill="auto"/>
        <w:bidi w:val="0"/>
        <w:spacing w:before="0" w:after="0" w:line="240" w:lineRule="auto"/>
        <w:ind w:left="51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）不重要的联营企业的汇总财务信息</w:t>
      </w:r>
    </w:p>
    <w:tbl>
      <w:tblPr>
        <w:tblOverlap w:val="never"/>
        <w:jc w:val="center"/>
        <w:tblLayout w:type="fixed"/>
      </w:tblPr>
      <w:tblGrid>
        <w:gridCol w:w="3533"/>
        <w:gridCol w:w="2707"/>
        <w:gridCol w:w="3125"/>
      </w:tblGrid>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期初余额</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上年同期发生额</w:t>
            </w:r>
          </w:p>
        </w:tc>
      </w:tr>
      <w:tr>
        <w:trPr>
          <w:trHeight w:val="42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10,086,951.10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9,538,649.27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548,301.83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272,542.40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548,301.83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272,542.40</w:t>
            </w:r>
          </w:p>
        </w:tc>
      </w:tr>
    </w:tbl>
    <w:p>
      <w:pPr>
        <w:widowControl w:val="0"/>
        <w:spacing w:after="239" w:line="1" w:lineRule="exact"/>
      </w:pPr>
    </w:p>
    <w:p>
      <w:pPr>
        <w:pStyle w:val="Style27"/>
        <w:keepNext w:val="0"/>
        <w:keepLines w:val="0"/>
        <w:widowControl w:val="0"/>
        <w:shd w:val="clear" w:color="auto" w:fill="auto"/>
        <w:bidi w:val="0"/>
        <w:spacing w:before="0" w:after="240" w:line="240" w:lineRule="auto"/>
        <w:ind w:left="0" w:right="0" w:firstLine="5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）联营企业向本公司转移资金的能力不存在重大限制的情况。</w:t>
      </w:r>
    </w:p>
    <w:p>
      <w:pPr>
        <w:pStyle w:val="Style8"/>
        <w:keepNext/>
        <w:keepLines/>
        <w:widowControl w:val="0"/>
        <w:shd w:val="clear" w:color="auto" w:fill="auto"/>
        <w:bidi w:val="0"/>
        <w:spacing w:before="0" w:after="0" w:line="240" w:lineRule="auto"/>
        <w:ind w:left="0" w:right="0" w:firstLine="560"/>
        <w:jc w:val="left"/>
        <w:rPr>
          <w:sz w:val="20"/>
          <w:szCs w:val="20"/>
        </w:rPr>
      </w:pPr>
      <w:bookmarkStart w:id="1088" w:name="bookmark1088"/>
      <w:bookmarkStart w:id="1089" w:name="bookmark1089"/>
      <w:bookmarkStart w:id="1090" w:name="bookmark1090"/>
      <w:bookmarkStart w:id="1091" w:name="bookmark1091"/>
      <w:r>
        <w:rPr>
          <w:color w:val="000000"/>
          <w:spacing w:val="0"/>
          <w:w w:val="100"/>
          <w:position w:val="0"/>
          <w:sz w:val="20"/>
          <w:szCs w:val="20"/>
        </w:rPr>
        <w:t>八</w:t>
      </w:r>
      <w:bookmarkEnd w:id="1090"/>
      <w:r>
        <w:rPr>
          <w:color w:val="000000"/>
          <w:spacing w:val="0"/>
          <w:w w:val="100"/>
          <w:position w:val="0"/>
          <w:sz w:val="20"/>
          <w:szCs w:val="20"/>
        </w:rPr>
        <w:t>、与金融工具相关的风险</w:t>
      </w:r>
      <w:bookmarkEnd w:id="1088"/>
      <w:bookmarkEnd w:id="1089"/>
      <w:bookmarkEnd w:id="1091"/>
    </w:p>
    <w:p>
      <w:pPr>
        <w:pStyle w:val="Style27"/>
        <w:keepNext w:val="0"/>
        <w:keepLines w:val="0"/>
        <w:widowControl w:val="0"/>
        <w:shd w:val="clear" w:color="auto" w:fill="auto"/>
        <w:bidi w:val="0"/>
        <w:spacing w:before="0" w:after="0" w:line="504" w:lineRule="exact"/>
        <w:ind w:left="140" w:right="0" w:firstLine="380"/>
        <w:jc w:val="both"/>
        <w:rPr>
          <w:sz w:val="17"/>
          <w:szCs w:val="17"/>
        </w:rPr>
      </w:pPr>
      <w:r>
        <w:rPr>
          <w:color w:val="000000"/>
          <w:spacing w:val="0"/>
          <w:w w:val="100"/>
          <w:position w:val="0"/>
          <w:sz w:val="17"/>
          <w:szCs w:val="17"/>
        </w:rPr>
        <w:t>本公司的主要金融工具包括现金及现金等价物、应收账款、借款、应付账款等，各项金融工具的详细情况说明见本附注 五相关项目。与这些金融工具有关的风险，以及本公司为降低这些风险所采取的风险管理政策如下所述。本公司管理层对这 些风险敞口进行管理和监控以确保将上述风险控制在限定的范围之内。</w:t>
      </w:r>
    </w:p>
    <w:p>
      <w:pPr>
        <w:pStyle w:val="Style27"/>
        <w:keepNext w:val="0"/>
        <w:keepLines w:val="0"/>
        <w:widowControl w:val="0"/>
        <w:shd w:val="clear" w:color="auto" w:fill="auto"/>
        <w:bidi w:val="0"/>
        <w:spacing w:before="0" w:after="340" w:line="504" w:lineRule="exact"/>
        <w:ind w:left="140" w:right="0" w:firstLine="380"/>
        <w:jc w:val="both"/>
        <w:rPr>
          <w:sz w:val="17"/>
          <w:szCs w:val="17"/>
        </w:rPr>
      </w:pPr>
      <w:r>
        <w:rPr>
          <w:color w:val="000000"/>
          <w:spacing w:val="0"/>
          <w:w w:val="100"/>
          <w:position w:val="0"/>
          <w:sz w:val="17"/>
          <w:szCs w:val="17"/>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20"/>
        <w:keepNext/>
        <w:keepLines/>
        <w:widowControl w:val="0"/>
        <w:shd w:val="clear" w:color="auto" w:fill="auto"/>
        <w:bidi w:val="0"/>
        <w:spacing w:before="0" w:after="0" w:line="240" w:lineRule="auto"/>
        <w:ind w:left="0" w:right="0" w:firstLine="500"/>
        <w:jc w:val="both"/>
        <w:rPr>
          <w:sz w:val="17"/>
          <w:szCs w:val="17"/>
        </w:rPr>
      </w:pPr>
      <w:bookmarkStart w:id="1092" w:name="bookmark1092"/>
      <w:bookmarkStart w:id="1093" w:name="bookmark1093"/>
      <w:bookmarkStart w:id="1094" w:name="bookmark1094"/>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、市场风险</w:t>
      </w:r>
      <w:bookmarkEnd w:id="1092"/>
      <w:bookmarkEnd w:id="1093"/>
      <w:bookmarkEnd w:id="1094"/>
    </w:p>
    <w:p>
      <w:pPr>
        <w:pStyle w:val="Style27"/>
        <w:keepNext w:val="0"/>
        <w:keepLines w:val="0"/>
        <w:widowControl w:val="0"/>
        <w:shd w:val="clear" w:color="auto" w:fill="auto"/>
        <w:bidi w:val="0"/>
        <w:spacing w:before="0" w:after="0" w:line="504" w:lineRule="exact"/>
        <w:ind w:left="0" w:right="0" w:firstLine="500"/>
        <w:jc w:val="both"/>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）外汇风险</w:t>
      </w:r>
    </w:p>
    <w:p>
      <w:pPr>
        <w:pStyle w:val="Style27"/>
        <w:keepNext w:val="0"/>
        <w:keepLines w:val="0"/>
        <w:widowControl w:val="0"/>
        <w:shd w:val="clear" w:color="auto" w:fill="auto"/>
        <w:bidi w:val="0"/>
        <w:spacing w:before="0" w:after="180" w:line="504" w:lineRule="exact"/>
        <w:ind w:left="0" w:right="0" w:firstLine="500"/>
        <w:jc w:val="both"/>
        <w:rPr>
          <w:sz w:val="17"/>
          <w:szCs w:val="17"/>
        </w:rPr>
      </w:pPr>
      <w:r>
        <w:rPr>
          <w:color w:val="000000"/>
          <w:spacing w:val="0"/>
          <w:w w:val="100"/>
          <w:position w:val="0"/>
          <w:sz w:val="17"/>
          <w:szCs w:val="17"/>
        </w:rPr>
        <w:t>外汇风险指因汇率变动产生损失的风险。本公司承受外汇风险主要与美元、港币及欧元有关，除本公司的</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个下属子公</w:t>
      </w:r>
    </w:p>
    <w:p>
      <w:pPr>
        <w:pStyle w:val="Style25"/>
        <w:keepNext w:val="0"/>
        <w:keepLines w:val="0"/>
        <w:widowControl w:val="0"/>
        <w:shd w:val="clear" w:color="auto" w:fill="auto"/>
        <w:bidi w:val="0"/>
        <w:spacing w:before="0" w:after="0" w:line="497" w:lineRule="exact"/>
        <w:ind w:left="0" w:right="0" w:firstLine="0"/>
        <w:jc w:val="distribute"/>
        <w:rPr>
          <w:sz w:val="17"/>
          <w:szCs w:val="17"/>
        </w:rPr>
      </w:pPr>
      <w:r>
        <w:rPr>
          <w:color w:val="000000"/>
          <w:spacing w:val="0"/>
          <w:w w:val="100"/>
          <w:position w:val="0"/>
          <w:sz w:val="17"/>
          <w:szCs w:val="17"/>
        </w:rPr>
        <w:t>司以港币进行货币计量外，本公司的其他主要业务活动以人民币计价结算。于</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日，除下表所述资产或负债 为美元、港币及欧元余额外，本公司的资产及负债均为人民币余额。该等外币余额的资产和负债产生的外汇风险可能对本公 司的经营业绩产生影响。</w:t>
      </w:r>
    </w:p>
    <w:tbl>
      <w:tblPr>
        <w:tblOverlap w:val="never"/>
        <w:jc w:val="center"/>
        <w:tblLayout w:type="fixed"/>
      </w:tblPr>
      <w:tblGrid>
        <w:gridCol w:w="2798"/>
        <w:gridCol w:w="2275"/>
        <w:gridCol w:w="1838"/>
        <w:gridCol w:w="2530"/>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期末外币余额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折算汇率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期末折算人民币余额</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1,869,525.36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11,919,532.84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85,653.46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618,392.29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66,979.72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54,762.62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1,093,060.25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6,969,024.24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795.64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5,744.28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1,495,963.68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1,223,099.90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其中：港元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0.8176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163.52</w:t>
            </w:r>
          </w:p>
        </w:tc>
      </w:tr>
    </w:tbl>
    <w:p>
      <w:pPr>
        <w:widowControl w:val="0"/>
        <w:spacing w:after="319" w:line="1" w:lineRule="exact"/>
      </w:pPr>
    </w:p>
    <w:p>
      <w:pPr>
        <w:pStyle w:val="Style27"/>
        <w:keepNext w:val="0"/>
        <w:keepLines w:val="0"/>
        <w:widowControl w:val="0"/>
        <w:shd w:val="clear" w:color="auto" w:fill="auto"/>
        <w:bidi w:val="0"/>
        <w:spacing w:before="0" w:after="320" w:line="240" w:lineRule="auto"/>
        <w:ind w:left="0" w:right="0" w:firstLine="400"/>
        <w:jc w:val="both"/>
        <w:rPr>
          <w:sz w:val="17"/>
          <w:szCs w:val="17"/>
        </w:rPr>
      </w:pPr>
      <w:r>
        <w:rPr>
          <w:color w:val="000000"/>
          <w:spacing w:val="0"/>
          <w:w w:val="100"/>
          <w:position w:val="0"/>
          <w:sz w:val="17"/>
          <w:szCs w:val="17"/>
        </w:rPr>
        <w:t>汇率变动对本公司外汇风险的影响很小，本公司目前并未采取任何措施规避外汇风险。</w:t>
      </w:r>
    </w:p>
    <w:p>
      <w:pPr>
        <w:pStyle w:val="Style27"/>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)利率风险-现金流量变动风险</w:t>
      </w:r>
    </w:p>
    <w:p>
      <w:pPr>
        <w:pStyle w:val="Style27"/>
        <w:keepNext w:val="0"/>
        <w:keepLines w:val="0"/>
        <w:widowControl w:val="0"/>
        <w:shd w:val="clear" w:color="auto" w:fill="auto"/>
        <w:bidi w:val="0"/>
        <w:spacing w:before="0" w:after="0" w:line="506" w:lineRule="exact"/>
        <w:ind w:left="0" w:right="0" w:firstLine="400"/>
        <w:jc w:val="both"/>
        <w:rPr>
          <w:sz w:val="17"/>
          <w:szCs w:val="17"/>
        </w:rPr>
      </w:pPr>
      <w:r>
        <w:rPr>
          <w:color w:val="000000"/>
          <w:spacing w:val="0"/>
          <w:w w:val="100"/>
          <w:position w:val="0"/>
          <w:sz w:val="17"/>
          <w:szCs w:val="17"/>
        </w:rPr>
        <w:t>本公司因利率变动引起金融工具现金流量变动的风险主要与金融机构借款</w:t>
      </w:r>
      <w:r>
        <w:rPr>
          <w:color w:val="000000"/>
          <w:spacing w:val="0"/>
          <w:w w:val="100"/>
          <w:position w:val="0"/>
          <w:sz w:val="20"/>
          <w:szCs w:val="20"/>
        </w:rPr>
        <w:t>(</w:t>
      </w:r>
      <w:r>
        <w:rPr>
          <w:color w:val="000000"/>
          <w:spacing w:val="0"/>
          <w:w w:val="100"/>
          <w:position w:val="0"/>
          <w:sz w:val="17"/>
          <w:szCs w:val="17"/>
        </w:rPr>
        <w:t>详见本附注五，</w:t>
      </w:r>
      <w:r>
        <w:rPr>
          <w:rFonts w:ascii="Arial Narrow" w:eastAsia="Arial Narrow" w:hAnsi="Arial Narrow" w:cs="Arial Narrow"/>
          <w:color w:val="000000"/>
          <w:spacing w:val="0"/>
          <w:w w:val="100"/>
          <w:position w:val="0"/>
          <w:sz w:val="18"/>
          <w:szCs w:val="18"/>
        </w:rPr>
        <w:t>25</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32</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34</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36</w:t>
      </w:r>
      <w:r>
        <w:rPr>
          <w:color w:val="000000"/>
          <w:spacing w:val="0"/>
          <w:w w:val="100"/>
          <w:position w:val="0"/>
          <w:sz w:val="17"/>
          <w:szCs w:val="17"/>
        </w:rPr>
        <w:t>)有关，浮 动利率的金融负债使本公司面临现金流量利率风险，固定利率的金融负债使本公司面临公允价值利率风险。本公司的政策是 根据当时的市场环境来决定固定利率及浮动利率合同的相对比例。于</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日，本公司带息债务全部为人民币计 价的固定利率借款合同，金额为</w:t>
      </w:r>
      <w:r>
        <w:rPr>
          <w:rFonts w:ascii="Arial Narrow" w:eastAsia="Arial Narrow" w:hAnsi="Arial Narrow" w:cs="Arial Narrow"/>
          <w:color w:val="000000"/>
          <w:spacing w:val="0"/>
          <w:w w:val="100"/>
          <w:position w:val="0"/>
          <w:sz w:val="18"/>
          <w:szCs w:val="18"/>
        </w:rPr>
        <w:t>9,137,525,721.51</w:t>
      </w:r>
      <w:r>
        <w:rPr>
          <w:color w:val="000000"/>
          <w:spacing w:val="0"/>
          <w:w w:val="100"/>
          <w:position w:val="0"/>
          <w:sz w:val="17"/>
          <w:szCs w:val="17"/>
        </w:rPr>
        <w:t>元。</w:t>
      </w:r>
    </w:p>
    <w:p>
      <w:pPr>
        <w:pStyle w:val="Style27"/>
        <w:keepNext w:val="0"/>
        <w:keepLines w:val="0"/>
        <w:widowControl w:val="0"/>
        <w:shd w:val="clear" w:color="auto" w:fill="auto"/>
        <w:bidi w:val="0"/>
        <w:spacing w:before="0" w:after="320" w:line="509" w:lineRule="exact"/>
        <w:ind w:left="0" w:right="0" w:firstLine="400"/>
        <w:jc w:val="both"/>
        <w:rPr>
          <w:sz w:val="17"/>
          <w:szCs w:val="17"/>
        </w:rPr>
      </w:pPr>
      <w:r>
        <w:rPr>
          <w:color w:val="000000"/>
          <w:spacing w:val="0"/>
          <w:w w:val="100"/>
          <w:position w:val="0"/>
          <w:sz w:val="17"/>
          <w:szCs w:val="17"/>
        </w:rPr>
        <w:t>本公司因利率变动引起金融工具公允价值变动的风险主要与浮动利率银行借款有关，本公司的政策是保持这些借款的浮 动利率，以消除利率变动的公允价值风险。</w:t>
      </w:r>
    </w:p>
    <w:p>
      <w:pPr>
        <w:pStyle w:val="Style20"/>
        <w:keepNext/>
        <w:keepLines/>
        <w:widowControl w:val="0"/>
        <w:shd w:val="clear" w:color="auto" w:fill="auto"/>
        <w:bidi w:val="0"/>
        <w:spacing w:before="0" w:after="0" w:line="240" w:lineRule="auto"/>
        <w:ind w:left="0" w:right="0" w:firstLine="400"/>
        <w:jc w:val="both"/>
        <w:rPr>
          <w:sz w:val="17"/>
          <w:szCs w:val="17"/>
        </w:rPr>
      </w:pPr>
      <w:bookmarkStart w:id="1095" w:name="bookmark1095"/>
      <w:bookmarkStart w:id="1096" w:name="bookmark1096"/>
      <w:bookmarkStart w:id="1097" w:name="bookmark1097"/>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、信用风险</w:t>
      </w:r>
      <w:bookmarkEnd w:id="1095"/>
      <w:bookmarkEnd w:id="1096"/>
      <w:bookmarkEnd w:id="1097"/>
    </w:p>
    <w:p>
      <w:pPr>
        <w:pStyle w:val="Style27"/>
        <w:keepNext w:val="0"/>
        <w:keepLines w:val="0"/>
        <w:widowControl w:val="0"/>
        <w:shd w:val="clear" w:color="auto" w:fill="auto"/>
        <w:bidi w:val="0"/>
        <w:spacing w:before="0" w:after="0" w:line="514" w:lineRule="exact"/>
        <w:ind w:left="0" w:right="0" w:firstLine="400"/>
        <w:jc w:val="both"/>
        <w:rPr>
          <w:sz w:val="17"/>
          <w:szCs w:val="17"/>
        </w:rPr>
      </w:pPr>
      <w:r>
        <w:rPr>
          <w:color w:val="000000"/>
          <w:spacing w:val="0"/>
          <w:w w:val="100"/>
          <w:position w:val="0"/>
          <w:sz w:val="17"/>
          <w:szCs w:val="17"/>
        </w:rPr>
        <w:t>截止</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日，可能引起本公司财务损失的最大信用风险敞口主要来自于合同另一方未能履行义务而导致本 公司金融资产产生的损失，主要为合并资产负债表中已确认的金融资产的账面金额。</w:t>
      </w:r>
    </w:p>
    <w:p>
      <w:pPr>
        <w:pStyle w:val="Style27"/>
        <w:keepNext w:val="0"/>
        <w:keepLines w:val="0"/>
        <w:widowControl w:val="0"/>
        <w:shd w:val="clear" w:color="auto" w:fill="auto"/>
        <w:bidi w:val="0"/>
        <w:spacing w:before="0" w:after="340" w:line="504" w:lineRule="exact"/>
        <w:ind w:left="0" w:right="0" w:firstLine="400"/>
        <w:jc w:val="both"/>
        <w:rPr>
          <w:sz w:val="17"/>
          <w:szCs w:val="17"/>
        </w:rPr>
      </w:pPr>
      <w:r>
        <w:rPr>
          <w:color w:val="000000"/>
          <w:spacing w:val="0"/>
          <w:w w:val="100"/>
          <w:position w:val="0"/>
          <w:sz w:val="17"/>
          <w:szCs w:val="17"/>
        </w:rPr>
        <w:t xml:space="preserve">为降低信用风险，本公司制定信用管理制度，对客户进行信用评估，评估内容包括历史信用状况、实地调查、财务报表 分析、法律诉讼情况等，针对不同信用等级给予相应的销售政策，控制信用额度，执行严格的信用审批，及时更新信用评估， 管理层持续监控应收款项的信用风险。本公司于每个资产负债表日审核应收款项的回收情况，以确保就无法回收的款项计提 </w:t>
      </w:r>
      <w:r>
        <w:rPr>
          <w:color w:val="000000"/>
          <w:spacing w:val="0"/>
          <w:w w:val="100"/>
          <w:position w:val="0"/>
          <w:sz w:val="17"/>
          <w:szCs w:val="17"/>
        </w:rPr>
        <w:t>充分的坏账准备。因此，本公司管理层认为本公司所承担的信用风险已经大为降低。</w:t>
      </w:r>
    </w:p>
    <w:p>
      <w:pPr>
        <w:pStyle w:val="Style20"/>
        <w:keepNext/>
        <w:keepLines/>
        <w:widowControl w:val="0"/>
        <w:shd w:val="clear" w:color="auto" w:fill="auto"/>
        <w:bidi w:val="0"/>
        <w:spacing w:before="0" w:after="0" w:line="240" w:lineRule="auto"/>
        <w:ind w:left="0" w:right="0" w:firstLine="440"/>
        <w:jc w:val="left"/>
        <w:rPr>
          <w:sz w:val="17"/>
          <w:szCs w:val="17"/>
        </w:rPr>
      </w:pPr>
      <w:bookmarkStart w:id="1098" w:name="bookmark1098"/>
      <w:bookmarkStart w:id="1099" w:name="bookmark1099"/>
      <w:bookmarkStart w:id="1100" w:name="bookmark1100"/>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、流动风险</w:t>
      </w:r>
      <w:bookmarkEnd w:id="1098"/>
      <w:bookmarkEnd w:id="1099"/>
      <w:bookmarkEnd w:id="1100"/>
    </w:p>
    <w:p>
      <w:pPr>
        <w:pStyle w:val="Style27"/>
        <w:keepNext w:val="0"/>
        <w:keepLines w:val="0"/>
        <w:widowControl w:val="0"/>
        <w:shd w:val="clear" w:color="auto" w:fill="auto"/>
        <w:bidi w:val="0"/>
        <w:spacing w:before="0" w:after="0" w:line="504" w:lineRule="exact"/>
        <w:ind w:left="0" w:right="0" w:firstLine="440"/>
        <w:jc w:val="left"/>
        <w:rPr>
          <w:sz w:val="17"/>
          <w:szCs w:val="17"/>
        </w:rPr>
      </w:pPr>
      <w:r>
        <w:rPr>
          <w:color w:val="000000"/>
          <w:spacing w:val="0"/>
          <w:w w:val="100"/>
          <w:position w:val="0"/>
          <w:sz w:val="17"/>
          <w:szCs w:val="17"/>
        </w:rPr>
        <w:t>管理流动风险时，本公司保持管理层认为充分的现金及现金等价物并对其进行监控，以满足本公司经营需要，并降低现 金流量波动的影响。本公司管理层对银行借款的使用情况进行监控并确保遵守借款协议。</w:t>
      </w:r>
    </w:p>
    <w:p>
      <w:pPr>
        <w:pStyle w:val="Style8"/>
        <w:keepNext/>
        <w:keepLines/>
        <w:widowControl w:val="0"/>
        <w:shd w:val="clear" w:color="auto" w:fill="auto"/>
        <w:bidi w:val="0"/>
        <w:spacing w:before="0" w:after="280" w:line="504" w:lineRule="exact"/>
        <w:ind w:left="0" w:right="0" w:firstLine="420"/>
        <w:jc w:val="left"/>
        <w:rPr>
          <w:sz w:val="20"/>
          <w:szCs w:val="20"/>
        </w:rPr>
      </w:pPr>
      <w:bookmarkStart w:id="1101" w:name="bookmark1101"/>
      <w:bookmarkStart w:id="1102" w:name="bookmark1102"/>
      <w:bookmarkStart w:id="1103" w:name="bookmark1103"/>
      <w:bookmarkStart w:id="1104" w:name="bookmark1104"/>
      <w:r>
        <w:rPr>
          <w:color w:val="000000"/>
          <w:spacing w:val="0"/>
          <w:w w:val="100"/>
          <w:position w:val="0"/>
          <w:sz w:val="20"/>
          <w:szCs w:val="20"/>
        </w:rPr>
        <w:t>九</w:t>
      </w:r>
      <w:bookmarkEnd w:id="1103"/>
      <w:r>
        <w:rPr>
          <w:color w:val="000000"/>
          <w:spacing w:val="0"/>
          <w:w w:val="100"/>
          <w:position w:val="0"/>
          <w:sz w:val="20"/>
          <w:szCs w:val="20"/>
        </w:rPr>
        <w:t>、公允价值的披露</w:t>
      </w:r>
      <w:bookmarkEnd w:id="1101"/>
      <w:bookmarkEnd w:id="1102"/>
      <w:bookmarkEnd w:id="1104"/>
    </w:p>
    <w:p>
      <w:pPr>
        <w:pStyle w:val="Style20"/>
        <w:keepNext/>
        <w:keepLines/>
        <w:widowControl w:val="0"/>
        <w:shd w:val="clear" w:color="auto" w:fill="auto"/>
        <w:bidi w:val="0"/>
        <w:spacing w:before="0" w:after="160" w:line="240" w:lineRule="auto"/>
        <w:ind w:left="0" w:right="0" w:firstLine="420"/>
        <w:jc w:val="left"/>
        <w:rPr>
          <w:sz w:val="17"/>
          <w:szCs w:val="17"/>
        </w:rPr>
      </w:pPr>
      <w:bookmarkStart w:id="1105" w:name="bookmark1105"/>
      <w:bookmarkStart w:id="1106" w:name="bookmark1106"/>
      <w:bookmarkStart w:id="1107" w:name="bookmark1107"/>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、以公允价值计量的资产和负债的期末公允价值</w:t>
      </w:r>
      <w:bookmarkEnd w:id="1105"/>
      <w:bookmarkEnd w:id="1106"/>
      <w:bookmarkEnd w:id="1107"/>
    </w:p>
    <w:p>
      <w:pPr>
        <w:pStyle w:val="Style27"/>
        <w:keepNext w:val="0"/>
        <w:keepLines w:val="0"/>
        <w:widowControl w:val="0"/>
        <w:shd w:val="clear" w:color="auto" w:fill="auto"/>
        <w:bidi w:val="0"/>
        <w:spacing w:before="0" w:after="80" w:line="240" w:lineRule="auto"/>
        <w:ind w:left="0" w:right="0" w:firstLine="0"/>
        <w:jc w:val="center"/>
        <w:rPr>
          <w:sz w:val="17"/>
          <w:szCs w:val="17"/>
        </w:rPr>
      </w:pPr>
      <w:r>
        <w:rPr>
          <w:b/>
          <w:bCs/>
          <w:color w:val="000000"/>
          <w:spacing w:val="0"/>
          <w:w w:val="100"/>
          <w:position w:val="0"/>
          <w:sz w:val="17"/>
          <w:szCs w:val="17"/>
        </w:rPr>
        <w:t>期末公允价值</w:t>
      </w:r>
    </w:p>
    <w:tbl>
      <w:tblPr>
        <w:tblOverlap w:val="never"/>
        <w:jc w:val="center"/>
        <w:tblLayout w:type="fixed"/>
      </w:tblPr>
      <w:tblGrid>
        <w:gridCol w:w="3211"/>
        <w:gridCol w:w="1522"/>
        <w:gridCol w:w="1430"/>
        <w:gridCol w:w="1512"/>
        <w:gridCol w:w="1474"/>
      </w:tblGrid>
      <w:tr>
        <w:trPr>
          <w:trHeight w:val="65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第一层次 公允价值计量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第二层次 公允价值计量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第三层次 公允价值计量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9,169,141.03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618,200,000.00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627,369,141.03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应收融资款项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10,927,998.57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10,927,998.57</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持续以公允价值计量的资产总额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9,169,141.03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629,127,998.57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b/>
                <w:bCs/>
                <w:color w:val="000000"/>
                <w:spacing w:val="0"/>
                <w:w w:val="100"/>
                <w:position w:val="0"/>
                <w:sz w:val="18"/>
                <w:szCs w:val="18"/>
              </w:rPr>
              <w:t>638,297,139.60</w:t>
            </w:r>
          </w:p>
        </w:tc>
      </w:tr>
    </w:tbl>
    <w:p>
      <w:pPr>
        <w:widowControl w:val="0"/>
        <w:spacing w:after="339" w:line="1" w:lineRule="exact"/>
      </w:pPr>
    </w:p>
    <w:p>
      <w:pPr>
        <w:pStyle w:val="Style20"/>
        <w:keepNext/>
        <w:keepLines/>
        <w:widowControl w:val="0"/>
        <w:shd w:val="clear" w:color="auto" w:fill="auto"/>
        <w:tabs>
          <w:tab w:pos="759" w:val="left"/>
        </w:tabs>
        <w:bidi w:val="0"/>
        <w:spacing w:before="0" w:after="340" w:line="240" w:lineRule="auto"/>
        <w:ind w:left="0" w:right="0" w:firstLine="420"/>
        <w:jc w:val="left"/>
        <w:rPr>
          <w:sz w:val="17"/>
          <w:szCs w:val="17"/>
        </w:rPr>
      </w:pPr>
      <w:bookmarkStart w:id="1108" w:name="bookmark1108"/>
      <w:bookmarkStart w:id="1109" w:name="bookmark1109"/>
      <w:bookmarkStart w:id="1110" w:name="bookmark1110"/>
      <w:bookmarkStart w:id="1111" w:name="bookmark1111"/>
      <w:r>
        <w:rPr>
          <w:rFonts w:ascii="Arial Narrow" w:eastAsia="Arial Narrow" w:hAnsi="Arial Narrow" w:cs="Arial Narrow"/>
          <w:color w:val="000000"/>
          <w:spacing w:val="0"/>
          <w:w w:val="100"/>
          <w:position w:val="0"/>
          <w:sz w:val="18"/>
          <w:szCs w:val="18"/>
        </w:rPr>
        <w:t>2</w:t>
      </w:r>
      <w:bookmarkEnd w:id="1110"/>
      <w:r>
        <w:rPr>
          <w:color w:val="000000"/>
          <w:spacing w:val="0"/>
          <w:w w:val="100"/>
          <w:position w:val="0"/>
          <w:sz w:val="17"/>
          <w:szCs w:val="17"/>
        </w:rPr>
        <w:t>、</w:t>
        <w:tab/>
        <w:t>持续和非持续第一层次公允价值计量项目市价的确定依据</w:t>
      </w:r>
      <w:bookmarkEnd w:id="1108"/>
      <w:bookmarkEnd w:id="1109"/>
      <w:bookmarkEnd w:id="1111"/>
    </w:p>
    <w:p>
      <w:pPr>
        <w:pStyle w:val="Style27"/>
        <w:keepNext w:val="0"/>
        <w:keepLines w:val="0"/>
        <w:widowControl w:val="0"/>
        <w:shd w:val="clear" w:color="auto" w:fill="auto"/>
        <w:bidi w:val="0"/>
        <w:spacing w:before="0" w:after="340" w:line="240" w:lineRule="auto"/>
        <w:ind w:left="0" w:right="0" w:firstLine="420"/>
        <w:jc w:val="left"/>
        <w:rPr>
          <w:sz w:val="17"/>
          <w:szCs w:val="17"/>
        </w:rPr>
      </w:pPr>
      <w:r>
        <w:rPr>
          <w:color w:val="000000"/>
          <w:spacing w:val="0"/>
          <w:w w:val="100"/>
          <w:position w:val="0"/>
          <w:sz w:val="17"/>
          <w:szCs w:val="17"/>
        </w:rPr>
        <w:t>本公司所持有可供出售金融资产为在二级市场公开发行的股票，存在活跃市场报价，因此以第一层次公允价值计量市价。</w:t>
      </w:r>
    </w:p>
    <w:p>
      <w:pPr>
        <w:pStyle w:val="Style20"/>
        <w:keepNext/>
        <w:keepLines/>
        <w:widowControl w:val="0"/>
        <w:shd w:val="clear" w:color="auto" w:fill="auto"/>
        <w:tabs>
          <w:tab w:pos="759" w:val="left"/>
        </w:tabs>
        <w:bidi w:val="0"/>
        <w:spacing w:before="0" w:after="340" w:line="240" w:lineRule="auto"/>
        <w:ind w:left="0" w:right="0" w:firstLine="420"/>
        <w:jc w:val="left"/>
        <w:rPr>
          <w:sz w:val="17"/>
          <w:szCs w:val="17"/>
        </w:rPr>
      </w:pPr>
      <w:bookmarkStart w:id="1112" w:name="bookmark1112"/>
      <w:bookmarkStart w:id="1113" w:name="bookmark1113"/>
      <w:bookmarkStart w:id="1114" w:name="bookmark1114"/>
      <w:bookmarkStart w:id="1115" w:name="bookmark1115"/>
      <w:r>
        <w:rPr>
          <w:rFonts w:ascii="Arial Narrow" w:eastAsia="Arial Narrow" w:hAnsi="Arial Narrow" w:cs="Arial Narrow"/>
          <w:color w:val="000000"/>
          <w:spacing w:val="0"/>
          <w:w w:val="100"/>
          <w:position w:val="0"/>
          <w:sz w:val="18"/>
          <w:szCs w:val="18"/>
        </w:rPr>
        <w:t>3</w:t>
      </w:r>
      <w:bookmarkEnd w:id="1114"/>
      <w:r>
        <w:rPr>
          <w:color w:val="000000"/>
          <w:spacing w:val="0"/>
          <w:w w:val="100"/>
          <w:position w:val="0"/>
          <w:sz w:val="17"/>
          <w:szCs w:val="17"/>
        </w:rPr>
        <w:t>、</w:t>
        <w:tab/>
        <w:t>持续和非持续第三层次公允价值计量项目，采用的估值技术和重要参数的定性及定量信息</w:t>
      </w:r>
      <w:bookmarkEnd w:id="1112"/>
      <w:bookmarkEnd w:id="1113"/>
      <w:bookmarkEnd w:id="1115"/>
    </w:p>
    <w:p>
      <w:pPr>
        <w:pStyle w:val="Style27"/>
        <w:keepNext w:val="0"/>
        <w:keepLines w:val="0"/>
        <w:widowControl w:val="0"/>
        <w:shd w:val="clear" w:color="auto" w:fill="auto"/>
        <w:bidi w:val="0"/>
        <w:spacing w:before="0" w:after="340" w:line="240" w:lineRule="auto"/>
        <w:ind w:left="0" w:right="0" w:firstLine="420"/>
        <w:jc w:val="left"/>
        <w:rPr>
          <w:sz w:val="17"/>
          <w:szCs w:val="17"/>
        </w:rPr>
      </w:pPr>
      <w:r>
        <w:rPr>
          <w:color w:val="000000"/>
          <w:spacing w:val="0"/>
          <w:w w:val="100"/>
          <w:position w:val="0"/>
          <w:sz w:val="17"/>
          <w:szCs w:val="17"/>
        </w:rPr>
        <w:t>相关资产和负债的不可观察输入值。</w:t>
      </w:r>
    </w:p>
    <w:p>
      <w:pPr>
        <w:pStyle w:val="Style20"/>
        <w:keepNext/>
        <w:keepLines/>
        <w:widowControl w:val="0"/>
        <w:shd w:val="clear" w:color="auto" w:fill="auto"/>
        <w:tabs>
          <w:tab w:pos="759" w:val="left"/>
        </w:tabs>
        <w:bidi w:val="0"/>
        <w:spacing w:before="0" w:after="340" w:line="240" w:lineRule="auto"/>
        <w:ind w:left="0" w:right="0" w:firstLine="420"/>
        <w:jc w:val="both"/>
        <w:rPr>
          <w:sz w:val="17"/>
          <w:szCs w:val="17"/>
        </w:rPr>
      </w:pPr>
      <w:bookmarkStart w:id="1116" w:name="bookmark1116"/>
      <w:bookmarkStart w:id="1117" w:name="bookmark1117"/>
      <w:bookmarkStart w:id="1118" w:name="bookmark1118"/>
      <w:bookmarkStart w:id="1119" w:name="bookmark1119"/>
      <w:r>
        <w:rPr>
          <w:rFonts w:ascii="Arial Narrow" w:eastAsia="Arial Narrow" w:hAnsi="Arial Narrow" w:cs="Arial Narrow"/>
          <w:color w:val="000000"/>
          <w:spacing w:val="0"/>
          <w:w w:val="100"/>
          <w:position w:val="0"/>
          <w:sz w:val="18"/>
          <w:szCs w:val="18"/>
        </w:rPr>
        <w:t>4</w:t>
      </w:r>
      <w:bookmarkEnd w:id="1118"/>
      <w:r>
        <w:rPr>
          <w:color w:val="000000"/>
          <w:spacing w:val="0"/>
          <w:w w:val="100"/>
          <w:position w:val="0"/>
          <w:sz w:val="17"/>
          <w:szCs w:val="17"/>
        </w:rPr>
        <w:t>、</w:t>
        <w:tab/>
        <w:t>其他价格风险</w:t>
      </w:r>
      <w:bookmarkEnd w:id="1116"/>
      <w:bookmarkEnd w:id="1117"/>
      <w:bookmarkEnd w:id="1119"/>
    </w:p>
    <w:p>
      <w:pPr>
        <w:pStyle w:val="Style27"/>
        <w:keepNext w:val="0"/>
        <w:keepLines w:val="0"/>
        <w:widowControl w:val="0"/>
        <w:shd w:val="clear" w:color="auto" w:fill="auto"/>
        <w:bidi w:val="0"/>
        <w:spacing w:before="0" w:after="280" w:line="240" w:lineRule="auto"/>
        <w:ind w:left="0" w:right="0" w:firstLine="420"/>
        <w:jc w:val="left"/>
        <w:rPr>
          <w:sz w:val="17"/>
          <w:szCs w:val="17"/>
        </w:rPr>
      </w:pPr>
      <w:r>
        <w:rPr>
          <w:color w:val="000000"/>
          <w:spacing w:val="0"/>
          <w:w w:val="100"/>
          <w:position w:val="0"/>
          <w:sz w:val="17"/>
          <w:szCs w:val="17"/>
        </w:rPr>
        <w:t xml:space="preserve">本公司因持有以公允价值计量的金融资产以二级市场公开发行的股价信息做为期末资产的确认，因此受到股票市场价格 </w:t>
      </w:r>
      <w:r>
        <w:rPr>
          <w:color w:val="000000"/>
          <w:spacing w:val="0"/>
          <w:w w:val="100"/>
          <w:position w:val="0"/>
          <w:sz w:val="17"/>
          <w:szCs w:val="17"/>
        </w:rPr>
        <w:t>波动的影响。</w:t>
      </w:r>
    </w:p>
    <w:p>
      <w:pPr>
        <w:pStyle w:val="Style8"/>
        <w:keepNext/>
        <w:keepLines/>
        <w:widowControl w:val="0"/>
        <w:shd w:val="clear" w:color="auto" w:fill="auto"/>
        <w:bidi w:val="0"/>
        <w:spacing w:before="0" w:after="340" w:line="240" w:lineRule="auto"/>
        <w:ind w:left="0" w:right="0" w:firstLine="420"/>
        <w:jc w:val="left"/>
        <w:rPr>
          <w:sz w:val="20"/>
          <w:szCs w:val="20"/>
        </w:rPr>
      </w:pPr>
      <w:bookmarkStart w:id="1120" w:name="bookmark1120"/>
      <w:bookmarkStart w:id="1121" w:name="bookmark1121"/>
      <w:bookmarkStart w:id="1122" w:name="bookmark1122"/>
      <w:r>
        <w:rPr>
          <w:color w:val="000000"/>
          <w:spacing w:val="0"/>
          <w:w w:val="100"/>
          <w:position w:val="0"/>
          <w:sz w:val="20"/>
          <w:szCs w:val="20"/>
        </w:rPr>
        <w:t>十、关联方及关联交易</w:t>
      </w:r>
      <w:bookmarkEnd w:id="1120"/>
      <w:bookmarkEnd w:id="1121"/>
      <w:bookmarkEnd w:id="1122"/>
    </w:p>
    <w:p>
      <w:pPr>
        <w:pStyle w:val="Style20"/>
        <w:keepNext/>
        <w:keepLines/>
        <w:widowControl w:val="0"/>
        <w:shd w:val="clear" w:color="auto" w:fill="auto"/>
        <w:bidi w:val="0"/>
        <w:spacing w:before="0" w:after="0" w:line="240" w:lineRule="auto"/>
        <w:ind w:left="0" w:right="0" w:firstLine="540"/>
        <w:jc w:val="both"/>
        <w:rPr>
          <w:sz w:val="17"/>
          <w:szCs w:val="17"/>
        </w:rPr>
      </w:pPr>
      <w:bookmarkStart w:id="1123" w:name="bookmark1123"/>
      <w:bookmarkStart w:id="1124" w:name="bookmark1124"/>
      <w:bookmarkStart w:id="1125" w:name="bookmark1125"/>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、本公司的控股公司情况</w:t>
      </w:r>
      <w:bookmarkEnd w:id="1123"/>
      <w:bookmarkEnd w:id="1124"/>
      <w:bookmarkEnd w:id="1125"/>
    </w:p>
    <w:tbl>
      <w:tblPr>
        <w:tblOverlap w:val="never"/>
        <w:jc w:val="center"/>
        <w:tblLayout w:type="fixed"/>
      </w:tblPr>
      <w:tblGrid>
        <w:gridCol w:w="1934"/>
        <w:gridCol w:w="883"/>
        <w:gridCol w:w="1157"/>
        <w:gridCol w:w="1152"/>
        <w:gridCol w:w="1334"/>
        <w:gridCol w:w="1416"/>
        <w:gridCol w:w="1330"/>
      </w:tblGrid>
      <w:tr>
        <w:trPr>
          <w:trHeight w:val="9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控股公司名称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b/>
                <w:bCs/>
                <w:color w:val="000000"/>
                <w:spacing w:val="0"/>
                <w:w w:val="100"/>
                <w:position w:val="0"/>
                <w:sz w:val="17"/>
                <w:szCs w:val="17"/>
              </w:rPr>
              <w:t>注册资本</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控股股东对本公 司的持股比例 （</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控股股东对本公 司的表决权比例 （</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b/>
                <w:bCs/>
                <w:color w:val="000000"/>
                <w:spacing w:val="0"/>
                <w:w w:val="100"/>
                <w:position w:val="0"/>
                <w:sz w:val="17"/>
                <w:szCs w:val="17"/>
              </w:rPr>
              <w:t>本企业最终控 制方</w:t>
            </w:r>
          </w:p>
        </w:tc>
      </w:tr>
      <w:tr>
        <w:trPr>
          <w:trHeight w:val="66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石家庄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投资、生产、</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3,680,000.00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李兆廷</w:t>
            </w:r>
          </w:p>
        </w:tc>
      </w:tr>
    </w:tbl>
    <w:p>
      <w:pPr>
        <w:widowControl w:val="0"/>
        <w:spacing w:after="279" w:line="1" w:lineRule="exact"/>
      </w:pPr>
    </w:p>
    <w:p>
      <w:pPr>
        <w:pStyle w:val="Style27"/>
        <w:keepNext w:val="0"/>
        <w:keepLines w:val="0"/>
        <w:widowControl w:val="0"/>
        <w:shd w:val="clear" w:color="auto" w:fill="auto"/>
        <w:bidi w:val="0"/>
        <w:spacing w:before="0" w:after="220" w:line="240" w:lineRule="auto"/>
        <w:ind w:left="0" w:right="0" w:firstLine="420"/>
        <w:jc w:val="left"/>
        <w:rPr>
          <w:sz w:val="17"/>
          <w:szCs w:val="17"/>
        </w:rPr>
      </w:pPr>
      <w:r>
        <w:rPr>
          <w:color w:val="000000"/>
          <w:spacing w:val="0"/>
          <w:w w:val="100"/>
          <w:position w:val="0"/>
          <w:sz w:val="17"/>
          <w:szCs w:val="17"/>
        </w:rPr>
        <w:t>报告期内，母公司注册资本（实收资本）变化如下：</w:t>
      </w:r>
    </w:p>
    <w:p>
      <w:pPr>
        <w:pStyle w:val="Style82"/>
        <w:keepNext w:val="0"/>
        <w:keepLines w:val="0"/>
        <w:widowControl w:val="0"/>
        <w:shd w:val="clear" w:color="auto" w:fill="auto"/>
        <w:tabs>
          <w:tab w:pos="2435" w:val="left"/>
          <w:tab w:pos="4269" w:val="left"/>
          <w:tab w:pos="6098" w:val="left"/>
          <w:tab w:pos="7859" w:val="left"/>
        </w:tabs>
        <w:bidi w:val="0"/>
        <w:spacing w:before="0" w:after="280" w:line="240" w:lineRule="auto"/>
        <w:ind w:left="0" w:right="0" w:firstLine="760"/>
        <w:jc w:val="left"/>
      </w:pPr>
      <w:r>
        <w:rPr>
          <w:rFonts w:ascii="SimSun" w:eastAsia="SimSun" w:hAnsi="SimSun" w:cs="SimSun"/>
          <w:b/>
          <w:bCs/>
          <w:color w:val="000000"/>
          <w:spacing w:val="0"/>
          <w:w w:val="100"/>
          <w:position w:val="0"/>
          <w:sz w:val="17"/>
          <w:szCs w:val="17"/>
        </w:rPr>
        <w:t>项目</w:t>
        <w:tab/>
      </w:r>
      <w:r>
        <w:rPr>
          <w:b/>
          <w:bCs/>
          <w:color w:val="000000"/>
          <w:spacing w:val="0"/>
          <w:w w:val="100"/>
          <w:position w:val="0"/>
        </w:rPr>
        <w:t>2020.12.31</w:t>
        <w:tab/>
      </w:r>
      <w:r>
        <w:rPr>
          <w:rFonts w:ascii="SimSun" w:eastAsia="SimSun" w:hAnsi="SimSun" w:cs="SimSun"/>
          <w:b/>
          <w:bCs/>
          <w:color w:val="000000"/>
          <w:spacing w:val="0"/>
          <w:w w:val="100"/>
          <w:position w:val="0"/>
          <w:sz w:val="17"/>
          <w:szCs w:val="17"/>
        </w:rPr>
        <w:t>本期增加</w:t>
        <w:tab/>
        <w:t>本期减少</w:t>
        <w:tab/>
      </w:r>
      <w:r>
        <w:rPr>
          <w:b/>
          <w:bCs/>
          <w:color w:val="000000"/>
          <w:spacing w:val="0"/>
          <w:w w:val="100"/>
          <w:position w:val="0"/>
        </w:rPr>
        <w:t>2021.12.31</w:t>
      </w:r>
      <w:r>
        <w:br w:type="page"/>
      </w:r>
    </w:p>
    <w:tbl>
      <w:tblPr>
        <w:tblOverlap w:val="never"/>
        <w:jc w:val="center"/>
        <w:tblLayout w:type="fixed"/>
      </w:tblPr>
      <w:tblGrid>
        <w:gridCol w:w="4080"/>
        <w:gridCol w:w="542"/>
        <w:gridCol w:w="4666"/>
      </w:tblGrid>
      <w:tr>
        <w:trPr>
          <w:trHeight w:val="461" w:hRule="exact"/>
        </w:trPr>
        <w:tc>
          <w:tcPr>
            <w:gridSpan w:val="3"/>
            <w:tcBorders>
              <w:top w:val="single" w:sz="4"/>
            </w:tcBorders>
            <w:shd w:val="clear" w:color="auto" w:fill="FFFFFF"/>
            <w:vAlign w:val="center"/>
          </w:tcPr>
          <w:p>
            <w:pPr>
              <w:pStyle w:val="Style22"/>
              <w:keepNext w:val="0"/>
              <w:keepLines w:val="0"/>
              <w:widowControl w:val="0"/>
              <w:shd w:val="clear" w:color="auto" w:fill="auto"/>
              <w:tabs>
                <w:tab w:pos="1430" w:val="left"/>
                <w:tab w:pos="6888" w:val="left"/>
              </w:tabs>
              <w:bidi w:val="0"/>
              <w:spacing w:before="0" w:after="0" w:line="240" w:lineRule="auto"/>
              <w:ind w:left="0" w:right="0" w:firstLine="0"/>
              <w:jc w:val="center"/>
              <w:rPr>
                <w:sz w:val="18"/>
                <w:szCs w:val="18"/>
              </w:rPr>
            </w:pPr>
            <w:r>
              <w:rPr>
                <w:color w:val="000000"/>
                <w:spacing w:val="0"/>
                <w:w w:val="100"/>
                <w:position w:val="0"/>
                <w:sz w:val="17"/>
                <w:szCs w:val="17"/>
              </w:rPr>
              <w:t>金额</w:t>
              <w:tab/>
            </w:r>
            <w:r>
              <w:rPr>
                <w:rFonts w:ascii="Arial Narrow" w:eastAsia="Arial Narrow" w:hAnsi="Arial Narrow" w:cs="Arial Narrow"/>
                <w:color w:val="000000"/>
                <w:spacing w:val="0"/>
                <w:w w:val="100"/>
                <w:position w:val="0"/>
                <w:sz w:val="18"/>
                <w:szCs w:val="18"/>
              </w:rPr>
              <w:t>36,800,000,000.00</w:t>
              <w:tab/>
              <w:t>36,800,000,000.00</w:t>
            </w:r>
          </w:p>
        </w:tc>
      </w:tr>
      <w:tr>
        <w:trPr>
          <w:trHeight w:val="1507" w:hRule="exact"/>
        </w:trPr>
        <w:tc>
          <w:tcPr>
            <w:gridSpan w:val="3"/>
            <w:tcBorders>
              <w:top w:val="single" w:sz="4"/>
            </w:tcBorders>
            <w:shd w:val="clear" w:color="auto" w:fill="FFFFFF"/>
            <w:vAlign w:val="bottom"/>
          </w:tcPr>
          <w:p>
            <w:pPr>
              <w:pStyle w:val="Style22"/>
              <w:keepNext w:val="0"/>
              <w:keepLines w:val="0"/>
              <w:widowControl w:val="0"/>
              <w:shd w:val="clear" w:color="auto" w:fill="auto"/>
              <w:tabs>
                <w:tab w:pos="764" w:val="left"/>
              </w:tabs>
              <w:bidi w:val="0"/>
              <w:spacing w:before="0" w:after="280" w:line="240" w:lineRule="auto"/>
              <w:ind w:left="0" w:right="0" w:firstLine="500"/>
              <w:jc w:val="left"/>
              <w:rPr>
                <w:sz w:val="17"/>
                <w:szCs w:val="17"/>
              </w:rPr>
            </w:pPr>
            <w:bookmarkStart w:id="1126" w:name="bookmark1126"/>
            <w:r>
              <w:rPr>
                <w:rFonts w:ascii="Arial Narrow" w:eastAsia="Arial Narrow" w:hAnsi="Arial Narrow" w:cs="Arial Narrow"/>
                <w:b/>
                <w:bCs/>
                <w:color w:val="000000"/>
                <w:spacing w:val="0"/>
                <w:w w:val="100"/>
                <w:position w:val="0"/>
                <w:sz w:val="18"/>
                <w:szCs w:val="18"/>
              </w:rPr>
              <w:t>2</w:t>
            </w:r>
            <w:r>
              <w:rPr>
                <w:b/>
                <w:bCs/>
                <w:color w:val="000000"/>
                <w:spacing w:val="0"/>
                <w:w w:val="100"/>
                <w:position w:val="0"/>
                <w:sz w:val="17"/>
                <w:szCs w:val="17"/>
              </w:rPr>
              <w:t>、</w:t>
              <w:tab/>
              <w:t>本公司的子公司情况</w:t>
            </w:r>
            <w:bookmarkEnd w:id="1126"/>
          </w:p>
          <w:p>
            <w:pPr>
              <w:pStyle w:val="Style22"/>
              <w:keepNext w:val="0"/>
              <w:keepLines w:val="0"/>
              <w:widowControl w:val="0"/>
              <w:shd w:val="clear" w:color="auto" w:fill="auto"/>
              <w:bidi w:val="0"/>
              <w:spacing w:before="0" w:after="280" w:line="240" w:lineRule="auto"/>
              <w:ind w:left="0" w:right="0" w:firstLine="500"/>
              <w:jc w:val="left"/>
              <w:rPr>
                <w:sz w:val="17"/>
                <w:szCs w:val="17"/>
              </w:rPr>
            </w:pPr>
            <w:r>
              <w:rPr>
                <w:color w:val="000000"/>
                <w:spacing w:val="0"/>
                <w:w w:val="100"/>
                <w:position w:val="0"/>
                <w:sz w:val="17"/>
                <w:szCs w:val="17"/>
              </w:rPr>
              <w:t>详见附注七、</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在子公司中的权益。</w:t>
            </w:r>
          </w:p>
          <w:p>
            <w:pPr>
              <w:pStyle w:val="Style22"/>
              <w:keepNext w:val="0"/>
              <w:keepLines w:val="0"/>
              <w:widowControl w:val="0"/>
              <w:shd w:val="clear" w:color="auto" w:fill="auto"/>
              <w:tabs>
                <w:tab w:pos="764" w:val="left"/>
              </w:tabs>
              <w:bidi w:val="0"/>
              <w:spacing w:before="0" w:after="280" w:line="240" w:lineRule="auto"/>
              <w:ind w:left="0" w:right="0" w:firstLine="500"/>
              <w:jc w:val="left"/>
              <w:rPr>
                <w:sz w:val="17"/>
                <w:szCs w:val="17"/>
              </w:rPr>
            </w:pPr>
            <w:bookmarkStart w:id="1127" w:name="bookmark1127"/>
            <w:r>
              <w:rPr>
                <w:rFonts w:ascii="Arial Narrow" w:eastAsia="Arial Narrow" w:hAnsi="Arial Narrow" w:cs="Arial Narrow"/>
                <w:b/>
                <w:bCs/>
                <w:color w:val="000000"/>
                <w:spacing w:val="0"/>
                <w:w w:val="100"/>
                <w:position w:val="0"/>
                <w:sz w:val="18"/>
                <w:szCs w:val="18"/>
              </w:rPr>
              <w:t>3</w:t>
            </w:r>
            <w:r>
              <w:rPr>
                <w:b/>
                <w:bCs/>
                <w:color w:val="000000"/>
                <w:spacing w:val="0"/>
                <w:w w:val="100"/>
                <w:position w:val="0"/>
                <w:sz w:val="17"/>
                <w:szCs w:val="17"/>
              </w:rPr>
              <w:t>、</w:t>
              <w:tab/>
              <w:t>本公司的联营企业情况</w:t>
            </w:r>
            <w:bookmarkEnd w:id="1127"/>
          </w:p>
        </w:tc>
      </w:tr>
      <w:tr>
        <w:trPr>
          <w:trHeight w:val="418"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联营企业名称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与本公司的关系</w:t>
            </w:r>
          </w:p>
        </w:tc>
      </w:tr>
      <w:tr>
        <w:trPr>
          <w:trHeight w:val="408"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中环联融</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北京</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Arial Narrow" w:eastAsia="Arial Narrow" w:hAnsi="Arial Narrow" w:cs="Arial Narrow"/>
                <w:color w:val="000000"/>
                <w:spacing w:val="0"/>
                <w:w w:val="100"/>
                <w:position w:val="0"/>
                <w:sz w:val="18"/>
                <w:szCs w:val="18"/>
              </w:rPr>
              <w:t>30%</w:t>
            </w:r>
            <w:r>
              <w:rPr>
                <w:color w:val="000000"/>
                <w:spacing w:val="0"/>
                <w:w w:val="100"/>
                <w:position w:val="0"/>
                <w:sz w:val="17"/>
                <w:szCs w:val="17"/>
              </w:rPr>
              <w:t>的联营公司</w:t>
            </w:r>
          </w:p>
        </w:tc>
      </w:tr>
      <w:tr>
        <w:trPr>
          <w:trHeight w:val="408"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北京融链科技有限公司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Arial Narrow" w:eastAsia="Arial Narrow" w:hAnsi="Arial Narrow" w:cs="Arial Narrow"/>
                <w:color w:val="000000"/>
                <w:spacing w:val="0"/>
                <w:w w:val="100"/>
                <w:position w:val="0"/>
                <w:sz w:val="18"/>
                <w:szCs w:val="18"/>
              </w:rPr>
              <w:t>13.04%</w:t>
            </w:r>
            <w:r>
              <w:rPr>
                <w:color w:val="000000"/>
                <w:spacing w:val="0"/>
                <w:w w:val="100"/>
                <w:position w:val="0"/>
                <w:sz w:val="17"/>
                <w:szCs w:val="17"/>
              </w:rPr>
              <w:t>的联营公司</w:t>
            </w:r>
          </w:p>
        </w:tc>
      </w:tr>
      <w:tr>
        <w:trPr>
          <w:trHeight w:val="418"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深圳市深威驳运有限公司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Arial Narrow" w:eastAsia="Arial Narrow" w:hAnsi="Arial Narrow" w:cs="Arial Narrow"/>
                <w:color w:val="000000"/>
                <w:spacing w:val="0"/>
                <w:w w:val="100"/>
                <w:position w:val="0"/>
                <w:sz w:val="18"/>
                <w:szCs w:val="18"/>
              </w:rPr>
              <w:t>45%</w:t>
            </w:r>
            <w:r>
              <w:rPr>
                <w:color w:val="000000"/>
                <w:spacing w:val="0"/>
                <w:w w:val="100"/>
                <w:position w:val="0"/>
                <w:sz w:val="17"/>
                <w:szCs w:val="17"/>
              </w:rPr>
              <w:t>的联营公司</w:t>
            </w:r>
          </w:p>
        </w:tc>
      </w:tr>
      <w:tr>
        <w:trPr>
          <w:trHeight w:val="1046"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240" w:line="240" w:lineRule="auto"/>
              <w:ind w:left="0" w:right="0" w:firstLine="500"/>
              <w:jc w:val="left"/>
              <w:rPr>
                <w:sz w:val="17"/>
                <w:szCs w:val="17"/>
              </w:rPr>
            </w:pPr>
            <w:bookmarkStart w:id="1128" w:name="bookmark1128"/>
            <w:r>
              <w:rPr>
                <w:rFonts w:ascii="Arial Narrow" w:eastAsia="Arial Narrow" w:hAnsi="Arial Narrow" w:cs="Arial Narrow"/>
                <w:b/>
                <w:bCs/>
                <w:color w:val="000000"/>
                <w:spacing w:val="0"/>
                <w:w w:val="100"/>
                <w:position w:val="0"/>
                <w:sz w:val="18"/>
                <w:szCs w:val="18"/>
              </w:rPr>
              <w:t>4</w:t>
            </w:r>
            <w:r>
              <w:rPr>
                <w:b/>
                <w:bCs/>
                <w:color w:val="000000"/>
                <w:spacing w:val="0"/>
                <w:w w:val="100"/>
                <w:position w:val="0"/>
                <w:sz w:val="17"/>
                <w:szCs w:val="17"/>
              </w:rPr>
              <w:t>、其他关联方情况</w:t>
            </w:r>
            <w:bookmarkEnd w:id="1128"/>
          </w:p>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本年与本公司发生关联方交易，或前期与本公司发生关联方交易形成余额的关联方如下：</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其他关联方名称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其他关联方与本公司关系</w:t>
            </w:r>
          </w:p>
        </w:tc>
      </w:tr>
      <w:tr>
        <w:trPr>
          <w:trHeight w:val="41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深圳鸿基地产有限公司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北京旭泉科技有限公司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成都东旭智能科技有限公司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大连旭昶科技有限公司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东莞市宜久房地产开发有限公司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东旭（昆山）显示材料有限公司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东旭（营口）光电显示有限公司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东旭北方置业（北京）有限公司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东旭光电科技股份有限公司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东旭国际投资集团有限公司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东旭集团财务有限公司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东旭建设集团有限公司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东旭科技集团有限公司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福建鸿基启明置业有限公司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福州旭福光电科技有限公司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广西申龙汽车制造有限公司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广西申龙汽车制造有限公司北京分公司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广州市鸿基投资发展有限公司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r>
        <w:trPr>
          <w:trHeight w:val="451"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鸿基创展地产有限公司</w:t>
            </w:r>
          </w:p>
        </w:tc>
        <w:tc>
          <w:tcPr>
            <w:gridSpan w:val="2"/>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受同一实际控制人控制</w:t>
            </w:r>
          </w:p>
        </w:tc>
      </w:tr>
    </w:tbl>
    <w:p>
      <w:pPr>
        <w:spacing w:lineRule="exact" w:line="1"/>
        <w:rPr>
          <w:sz w:val="2"/>
          <w:szCs w:val="2"/>
        </w:rPr>
      </w:pPr>
      <w:r>
        <w:br w:type="page"/>
      </w:r>
    </w:p>
    <w:tbl>
      <w:tblPr>
        <w:tblOverlap w:val="never"/>
        <w:jc w:val="center"/>
        <w:tblLayout w:type="fixed"/>
      </w:tblPr>
      <w:tblGrid>
        <w:gridCol w:w="3998"/>
        <w:gridCol w:w="4934"/>
      </w:tblGrid>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湖州名望照明科技有限公司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汇银金控资产管理有限公司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惠州市德新房地产有限公司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金鹰基金管理有限公司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昆明东旭启明投资开发有限公司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辽宁东旭三宝智能科技有限公司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宁波东旭鸿基投资管理有限责任公司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宁波旭泽宏宇实业有限公司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上海申龙客车有限公司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上海碳源汇谷新材料科技有限公司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深圳市欧富源科技有限公司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石家庄旭新光电科技有限公司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天津东旭中大商贸有限公司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武汉中凯科技有限公司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郑州旭飞光电科技有限公司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中山市东鸿房地产开发有限公司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中山市深中房地产开发有限公司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重庆京华腾光电科技有限公司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重庆旭福达光电科技有限公司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受同一实际控制人控制</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包头农村商业银行股份有限公司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本公司母公司的联营企业</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衡水银行股份有限公司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本公司母公司的联营企业</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深圳市深运工贸企业公司翠苑旅馆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本公司已进入清算程序的分支机构</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本公司已进入清算程序的子公司</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朔州农村商业银行股份有限公司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本公司母公司的联营企业</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汪清县振发投资有限公司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股权的参股公司</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尚义县旭蓝新能源科技有限公司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本期处置的子公司</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本期处置的子公司</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华融金属表面处理（安平）科技有限公司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本期处置的子公司</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宁夏旭盛新能源科技有限公司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本期处置的子公司</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张北旭源新能源科技有限公司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本期处置的子公司</w:t>
            </w:r>
          </w:p>
        </w:tc>
      </w:tr>
      <w:tr>
        <w:trPr>
          <w:trHeight w:val="43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湖南旭腾医疗管理有限公司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本期处置的子公司</w:t>
            </w:r>
          </w:p>
        </w:tc>
      </w:tr>
    </w:tbl>
    <w:p>
      <w:pPr>
        <w:widowControl w:val="0"/>
        <w:spacing w:after="319" w:line="1" w:lineRule="exact"/>
      </w:pPr>
    </w:p>
    <w:p>
      <w:pPr>
        <w:pStyle w:val="Style20"/>
        <w:keepNext/>
        <w:keepLines/>
        <w:widowControl w:val="0"/>
        <w:shd w:val="clear" w:color="auto" w:fill="auto"/>
        <w:bidi w:val="0"/>
        <w:spacing w:before="0" w:after="0" w:line="240" w:lineRule="auto"/>
        <w:ind w:left="0" w:right="0" w:firstLine="580"/>
        <w:jc w:val="left"/>
        <w:rPr>
          <w:sz w:val="17"/>
          <w:szCs w:val="17"/>
        </w:rPr>
      </w:pPr>
      <w:bookmarkStart w:id="1129" w:name="bookmark1129"/>
      <w:bookmarkStart w:id="1130" w:name="bookmark1130"/>
      <w:bookmarkStart w:id="1131" w:name="bookmark1131"/>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、关联方交易情况</w:t>
      </w:r>
      <w:bookmarkEnd w:id="1129"/>
      <w:bookmarkEnd w:id="1130"/>
      <w:bookmarkEnd w:id="1131"/>
      <w:r>
        <w:br w:type="page"/>
      </w:r>
    </w:p>
    <w:p>
      <w:pPr>
        <w:pStyle w:val="Style27"/>
        <w:keepNext w:val="0"/>
        <w:keepLines w:val="0"/>
        <w:widowControl w:val="0"/>
        <w:shd w:val="clear" w:color="auto" w:fill="auto"/>
        <w:bidi w:val="0"/>
        <w:spacing w:before="0" w:after="280" w:line="240" w:lineRule="auto"/>
        <w:ind w:left="0" w:right="0" w:firstLine="46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）购销商品、提供和接受劳务的关联交易</w:t>
      </w:r>
    </w:p>
    <w:p>
      <w:pPr>
        <w:pStyle w:val="Style25"/>
        <w:keepNext w:val="0"/>
        <w:keepLines w:val="0"/>
        <w:widowControl w:val="0"/>
        <w:shd w:val="clear" w:color="auto" w:fill="auto"/>
        <w:bidi w:val="0"/>
        <w:spacing w:before="0" w:after="0" w:line="240" w:lineRule="auto"/>
        <w:ind w:left="456" w:right="0" w:firstLine="0"/>
        <w:jc w:val="left"/>
        <w:rPr>
          <w:sz w:val="17"/>
          <w:szCs w:val="17"/>
        </w:rPr>
      </w:pPr>
      <w:r>
        <w:rPr>
          <w:color w:val="000000"/>
          <w:spacing w:val="0"/>
          <w:w w:val="100"/>
          <w:position w:val="0"/>
          <w:sz w:val="17"/>
          <w:szCs w:val="17"/>
        </w:rPr>
        <w:t>①采购商品、接受劳务情况</w:t>
      </w:r>
    </w:p>
    <w:tbl>
      <w:tblPr>
        <w:tblOverlap w:val="never"/>
        <w:jc w:val="center"/>
        <w:tblLayout w:type="fixed"/>
      </w:tblPr>
      <w:tblGrid>
        <w:gridCol w:w="4013"/>
        <w:gridCol w:w="1694"/>
        <w:gridCol w:w="1781"/>
        <w:gridCol w:w="1834"/>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关联方名称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关联交易内容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深圳鸿基地产有限公司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33,332.00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成都东旭智能科技有限公司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安装工程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658,407.08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3,455.75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广州市鸿基投资发展有限公司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31,162.78</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689,569.86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36,787.75</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456" w:right="0" w:firstLine="0"/>
        <w:jc w:val="left"/>
        <w:rPr>
          <w:sz w:val="17"/>
          <w:szCs w:val="17"/>
        </w:rPr>
      </w:pPr>
      <w:r>
        <w:rPr>
          <w:color w:val="000000"/>
          <w:spacing w:val="0"/>
          <w:w w:val="100"/>
          <w:position w:val="0"/>
          <w:sz w:val="17"/>
          <w:szCs w:val="17"/>
        </w:rPr>
        <w:t>②出售商品、提供劳务情况</w:t>
      </w:r>
    </w:p>
    <w:tbl>
      <w:tblPr>
        <w:tblOverlap w:val="never"/>
        <w:jc w:val="center"/>
        <w:tblLayout w:type="fixed"/>
      </w:tblPr>
      <w:tblGrid>
        <w:gridCol w:w="3850"/>
        <w:gridCol w:w="1906"/>
        <w:gridCol w:w="1723"/>
        <w:gridCol w:w="1838"/>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关联方名称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关联交易内容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昆明东旭启明投资开发有限公司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161,551.39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3,155.96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270,911.74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221,682.77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汇银金控资产管理有限公司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5,680.73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金鹰基金管理有限公司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35,913.76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上海申龙客车有限公司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57,981.65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广西申龙汽车制造有限公司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57,981.65</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广西申龙汽车制造有限公司北京分公司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63,486.23</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福建鸿基启明置业有限公司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2,844.06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东旭光电科技股份有限公司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2,146.79</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石家庄旭新光电科技有限公司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4,359.63</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郑州旭飞光电科技有限公司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75,229.36</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东旭（昆山）显示材料有限公司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1,415.93</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东旭建设集团有限公司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22,752.29</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东旭（营口）光电显示有限公司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733.94</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福州旭福光电科技有限公司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45,871.55</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重庆京华腾光电科技有限公司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20,733.97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成都东旭智能科技有限公司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41,743.13</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重庆旭福达光电科技有限公司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12,110.09</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辽宁东旭三宝智能科技有限公司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3,486.24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0"/>
        <w:gridCol w:w="1906"/>
        <w:gridCol w:w="1723"/>
        <w:gridCol w:w="1838"/>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湖州名望照明科技有限公司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4,888.07</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华融金属表面处理(安平)科技有限公司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茶油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65,581.65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187,221.38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中山市东鸿房地产开发有限公司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2,483,179.16</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中山市深中房地产开发有限公司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571,682.40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鸿基创展地产有限公司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81,399.77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东莞市宜久房地产开发有限公司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665,917.23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惠州市德新房地产有限公司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383,766.03</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中山市深中房地产开发有限公司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7,454,106.34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4,050,188.00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福建鸿基启明置业有限公司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4,208,411.00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尚义县旭蓝新能源科技有限公司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789,607,696.65</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804,239,895.34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b/>
                <w:bCs/>
                <w:color w:val="000000"/>
                <w:spacing w:val="0"/>
                <w:w w:val="100"/>
                <w:position w:val="0"/>
                <w:sz w:val="18"/>
                <w:szCs w:val="18"/>
              </w:rPr>
              <w:t>6,635,915.2</w:t>
            </w:r>
          </w:p>
        </w:tc>
      </w:tr>
    </w:tbl>
    <w:p>
      <w:pPr>
        <w:pStyle w:val="Style25"/>
        <w:keepNext w:val="0"/>
        <w:keepLines w:val="0"/>
        <w:widowControl w:val="0"/>
        <w:shd w:val="clear" w:color="auto" w:fill="auto"/>
        <w:bidi w:val="0"/>
        <w:spacing w:before="0" w:after="0" w:line="240" w:lineRule="auto"/>
        <w:ind w:left="456"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)关联租赁情况</w:t>
      </w:r>
    </w:p>
    <w:p>
      <w:pPr>
        <w:widowControl w:val="0"/>
        <w:spacing w:after="319" w:line="1" w:lineRule="exact"/>
      </w:pPr>
    </w:p>
    <w:p>
      <w:pPr>
        <w:pStyle w:val="Style25"/>
        <w:keepNext w:val="0"/>
        <w:keepLines w:val="0"/>
        <w:widowControl w:val="0"/>
        <w:shd w:val="clear" w:color="auto" w:fill="auto"/>
        <w:bidi w:val="0"/>
        <w:spacing w:before="0" w:after="0" w:line="240" w:lineRule="auto"/>
        <w:ind w:left="394" w:right="0" w:firstLine="0"/>
        <w:jc w:val="left"/>
        <w:rPr>
          <w:sz w:val="17"/>
          <w:szCs w:val="17"/>
        </w:rPr>
      </w:pPr>
      <w:r>
        <w:rPr>
          <w:color w:val="000000"/>
          <w:spacing w:val="0"/>
          <w:w w:val="100"/>
          <w:position w:val="0"/>
          <w:sz w:val="17"/>
          <w:szCs w:val="17"/>
        </w:rPr>
        <w:t>①本公司作为出租方:</w:t>
      </w:r>
    </w:p>
    <w:tbl>
      <w:tblPr>
        <w:tblOverlap w:val="never"/>
        <w:jc w:val="center"/>
        <w:tblLayout w:type="fixed"/>
      </w:tblPr>
      <w:tblGrid>
        <w:gridCol w:w="3182"/>
        <w:gridCol w:w="1637"/>
        <w:gridCol w:w="2174"/>
        <w:gridCol w:w="2155"/>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承租方名称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租赁资产种类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本年确认的租赁收入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上年确认的租赁收入</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深圳鸿基地产有限公司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5,905,475.13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1,542,692.59</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5,905,475.13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1,542,692.59</w:t>
            </w:r>
          </w:p>
        </w:tc>
      </w:tr>
    </w:tbl>
    <w:p>
      <w:pPr>
        <w:pStyle w:val="Style25"/>
        <w:keepNext w:val="0"/>
        <w:keepLines w:val="0"/>
        <w:widowControl w:val="0"/>
        <w:shd w:val="clear" w:color="auto" w:fill="auto"/>
        <w:bidi w:val="0"/>
        <w:spacing w:before="0" w:after="0" w:line="240" w:lineRule="auto"/>
        <w:ind w:left="39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)关联担保情况</w:t>
      </w:r>
    </w:p>
    <w:p>
      <w:pPr>
        <w:widowControl w:val="0"/>
        <w:spacing w:after="319" w:line="1" w:lineRule="exact"/>
      </w:pPr>
    </w:p>
    <w:p>
      <w:pPr>
        <w:pStyle w:val="Style25"/>
        <w:keepNext w:val="0"/>
        <w:keepLines w:val="0"/>
        <w:widowControl w:val="0"/>
        <w:shd w:val="clear" w:color="auto" w:fill="auto"/>
        <w:bidi w:val="0"/>
        <w:spacing w:before="0" w:after="0" w:line="240" w:lineRule="auto"/>
        <w:ind w:left="504" w:right="0" w:firstLine="0"/>
        <w:jc w:val="left"/>
        <w:rPr>
          <w:sz w:val="17"/>
          <w:szCs w:val="17"/>
        </w:rPr>
      </w:pPr>
      <w:r>
        <w:rPr>
          <w:color w:val="000000"/>
          <w:spacing w:val="0"/>
          <w:w w:val="100"/>
          <w:position w:val="0"/>
          <w:sz w:val="17"/>
          <w:szCs w:val="17"/>
        </w:rPr>
        <w:t>①本公司作为被担保方:</w:t>
      </w:r>
    </w:p>
    <w:tbl>
      <w:tblPr>
        <w:tblOverlap w:val="never"/>
        <w:jc w:val="center"/>
        <w:tblLayout w:type="fixed"/>
      </w:tblPr>
      <w:tblGrid>
        <w:gridCol w:w="3542"/>
        <w:gridCol w:w="1618"/>
        <w:gridCol w:w="1320"/>
        <w:gridCol w:w="1315"/>
        <w:gridCol w:w="1574"/>
      </w:tblGrid>
      <w:tr>
        <w:trPr>
          <w:trHeight w:val="81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担保到期日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担保是否已经履 行完毕</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东旭集团有限公司、李兆廷、李青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2017-05-16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2022-05-16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东旭集团有限公司、李兆廷、李青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925,940,000.00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2017-11-03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2024-11-01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东旭集团有限公司、李兆廷、李青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182,532,918.09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2018-01-08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2023-02-05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860,471,677.74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2017-01-06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2022-01-05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2017-06-16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2020-06-15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2017-09-30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2022-09-29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105,120,977.44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2018-09-26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2022-07-29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2019-07-31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2020-07-30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2021-07-06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2024-07-05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412,800,000.00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2021-06-24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2024-06-23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327,300,000.00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2017-08-18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2022-01-23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3614"/>
        <w:gridCol w:w="1555"/>
        <w:gridCol w:w="154"/>
        <w:gridCol w:w="1162"/>
        <w:gridCol w:w="226"/>
        <w:gridCol w:w="1099"/>
        <w:gridCol w:w="221"/>
        <w:gridCol w:w="1694"/>
      </w:tblGrid>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160,653,400.00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2017-12-13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2022-03-13</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121,658,274.14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2016-12-23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2022-12-23</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269,968,698.75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2017/12/29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2025/9/29</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90,000,000.00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2018-05-25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2021-05-07</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48,888,889.06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2018-09-21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2021-09-21</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739,050,000.00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2019-11-01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2022-02-28</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55,720,000.00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2019-10-16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2032-10-15</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李兆廷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400,000,000.00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2019-10-21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2022-10-19</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东旭国际投资集团有限公司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2,254,116.73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2018-07-31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2028-07-31</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否</w:t>
            </w:r>
          </w:p>
        </w:tc>
      </w:tr>
      <w:tr>
        <w:trPr>
          <w:trHeight w:val="528" w:hRule="exact"/>
        </w:trPr>
        <w:tc>
          <w:tcPr>
            <w:gridSpan w:val="8"/>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②本公司作为担保方：</w:t>
            </w:r>
          </w:p>
        </w:tc>
      </w:tr>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被担保方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担保起始0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担保到期0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b/>
                <w:bCs/>
                <w:color w:val="000000"/>
                <w:spacing w:val="0"/>
                <w:w w:val="100"/>
                <w:position w:val="0"/>
                <w:sz w:val="17"/>
                <w:szCs w:val="17"/>
              </w:rPr>
              <w:t>担保是否已</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经履行完毕</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东旭新能源投资有限公司、西藏东旭电力工 程有限公司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146,534,800.00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2017-12-13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2023-03-13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内蒙古昊庆新能源科技有限公司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91,090,512.67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2017-06-30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2025-06-30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广水市孚阳电力有限公司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97,928,654.76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2017-09-07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2025-09-08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新泰旭蓝新能源科技有限公司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236,501,463.17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2018-01-19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2026-01-18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东旭新能源投资有限公司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800,000,000.00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2018-09-30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2022-02-28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东旭新能源投资有限公司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105,120,977.44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2018-09-26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2022-07-29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长沙旭欣新能源科技有限公司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9,259,239.17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2019-04-03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2025-12-20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宁夏菲斯克旭元新能源科技有限公司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184,759,036.98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2019-06-27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2027-06-27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沧州渤海新区旭启新能源有限公司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55,720,000.00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2019-10-16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2032-10-15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安徽东旭康图太阳能科技有限公司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50,000,000.00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2021-02-08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2022-02-08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星景生态环保科技（苏州）有限公司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46,000,000.00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2021-10-15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2022-10-15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金寨新皇明能源科技有限公司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412,800,000.00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2021-6-24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2024-6-23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否</w:t>
            </w:r>
          </w:p>
        </w:tc>
      </w:tr>
      <w:tr>
        <w:trPr>
          <w:trHeight w:val="1027" w:hRule="exact"/>
        </w:trPr>
        <w:tc>
          <w:tcPr>
            <w:gridSpan w:val="8"/>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280" w:line="240" w:lineRule="auto"/>
              <w:ind w:left="0" w:right="0" w:firstLine="52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）关键管理人员报酬</w:t>
            </w:r>
          </w:p>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单位：人民币万元</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本期发生额</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上期发生额</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关键管理人员报酬</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559.70</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Arial Narrow" w:eastAsia="Arial Narrow" w:hAnsi="Arial Narrow" w:cs="Arial Narrow"/>
                <w:color w:val="000000"/>
                <w:spacing w:val="0"/>
                <w:w w:val="100"/>
                <w:position w:val="0"/>
                <w:sz w:val="18"/>
                <w:szCs w:val="18"/>
              </w:rPr>
              <w:t>768.47</w:t>
            </w:r>
          </w:p>
        </w:tc>
      </w:tr>
      <w:tr>
        <w:trPr>
          <w:trHeight w:val="1032" w:hRule="exact"/>
        </w:trPr>
        <w:tc>
          <w:tcPr>
            <w:gridSpan w:val="8"/>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280" w:line="240" w:lineRule="auto"/>
              <w:ind w:left="0" w:right="0" w:firstLine="52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）资金结算业务</w:t>
            </w:r>
          </w:p>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①截至</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31 </w:t>
            </w:r>
            <w:r>
              <w:rPr>
                <w:rFonts w:ascii="SimHei" w:eastAsia="SimHei" w:hAnsi="SimHei" w:cs="SimHei"/>
                <w:color w:val="000000"/>
                <w:spacing w:val="0"/>
                <w:w w:val="100"/>
                <w:position w:val="0"/>
                <w:sz w:val="19"/>
                <w:szCs w:val="19"/>
              </w:rPr>
              <w:t>0，</w:t>
            </w:r>
            <w:r>
              <w:rPr>
                <w:color w:val="000000"/>
                <w:spacing w:val="0"/>
                <w:w w:val="100"/>
                <w:position w:val="0"/>
                <w:sz w:val="17"/>
                <w:szCs w:val="17"/>
              </w:rPr>
              <w:t>本公司及子公司与东旭集团财务有限公司（以下简称“东旭财务公司”）资金结算情况如下</w:t>
            </w:r>
          </w:p>
        </w:tc>
      </w:tr>
      <w:tr>
        <w:trPr>
          <w:trHeight w:val="470" w:hRule="exact"/>
        </w:trPr>
        <w:tc>
          <w:tcPr>
            <w:gridSpan w:val="4"/>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5341" w:val="left"/>
              </w:tabs>
              <w:bidi w:val="0"/>
              <w:spacing w:before="0" w:after="0" w:line="240" w:lineRule="auto"/>
              <w:ind w:left="2240" w:right="0" w:firstLine="0"/>
              <w:jc w:val="left"/>
              <w:rPr>
                <w:sz w:val="18"/>
                <w:szCs w:val="18"/>
              </w:rPr>
            </w:pPr>
            <w:r>
              <w:rPr>
                <w:b/>
                <w:bCs/>
                <w:color w:val="000000"/>
                <w:spacing w:val="0"/>
                <w:w w:val="100"/>
                <w:position w:val="0"/>
                <w:sz w:val="17"/>
                <w:szCs w:val="17"/>
              </w:rPr>
              <w:t>项目名称</w:t>
              <w:tab/>
            </w:r>
            <w:r>
              <w:rPr>
                <w:rFonts w:ascii="Arial Narrow" w:eastAsia="Arial Narrow" w:hAnsi="Arial Narrow" w:cs="Arial Narrow"/>
                <w:b/>
                <w:bCs/>
                <w:color w:val="000000"/>
                <w:spacing w:val="0"/>
                <w:w w:val="100"/>
                <w:position w:val="0"/>
                <w:sz w:val="18"/>
                <w:szCs w:val="18"/>
              </w:rPr>
              <w:t>2020.12.31</w:t>
            </w: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7"/>
                <w:szCs w:val="17"/>
              </w:rPr>
              <w:t>本期增加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rPr>
              <w:t>本期减少</w:t>
            </w:r>
          </w:p>
        </w:tc>
      </w:tr>
    </w:tbl>
    <w:p>
      <w:pPr>
        <w:spacing w:lineRule="exact" w:line="1"/>
        <w:rPr>
          <w:sz w:val="2"/>
          <w:szCs w:val="2"/>
        </w:rPr>
      </w:pPr>
      <w:r>
        <w:br w:type="page"/>
      </w:r>
    </w:p>
    <w:tbl>
      <w:tblPr>
        <w:tblOverlap w:val="never"/>
        <w:jc w:val="center"/>
        <w:tblLayout w:type="fixed"/>
      </w:tblPr>
      <w:tblGrid>
        <w:gridCol w:w="4589"/>
        <w:gridCol w:w="1680"/>
        <w:gridCol w:w="1512"/>
        <w:gridCol w:w="1579"/>
      </w:tblGrid>
      <w:tr>
        <w:trPr>
          <w:trHeight w:val="48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一、存放于东旭财务公司存款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2,864,911,868.92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27,078,085.43</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二、存放于东旭财务公司承兑汇票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三、委托东旭财务公司开具承兑汇票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四、向东旭财务公司进行票据贴现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五、向东旭财务公司借款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六、向东旭财务公司办理应收账款无追索权保理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499" w:right="0" w:firstLine="0"/>
        <w:jc w:val="left"/>
        <w:rPr>
          <w:sz w:val="17"/>
          <w:szCs w:val="17"/>
        </w:rPr>
      </w:pPr>
      <w:r>
        <w:rPr>
          <w:color w:val="000000"/>
          <w:spacing w:val="0"/>
          <w:w w:val="100"/>
          <w:position w:val="0"/>
          <w:sz w:val="17"/>
          <w:szCs w:val="17"/>
        </w:rPr>
        <w:t>续前表:</w:t>
      </w:r>
    </w:p>
    <w:tbl>
      <w:tblPr>
        <w:tblOverlap w:val="never"/>
        <w:jc w:val="center"/>
        <w:tblLayout w:type="fixed"/>
      </w:tblPr>
      <w:tblGrid>
        <w:gridCol w:w="4858"/>
        <w:gridCol w:w="1853"/>
        <w:gridCol w:w="2736"/>
      </w:tblGrid>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应收取或支付</w:t>
            </w:r>
            <w:r>
              <w:rPr>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r>
              <w:rPr>
                <w:b/>
                <w:bCs/>
                <w:color w:val="000000"/>
                <w:spacing w:val="0"/>
                <w:w w:val="100"/>
                <w:position w:val="0"/>
                <w:sz w:val="17"/>
                <w:szCs w:val="17"/>
              </w:rPr>
              <w:t>的利息</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一、存放于东旭财务公司存款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2,891,989,954.35</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二、存放于东旭财务公司承兑汇票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三、委托东旭财务公司开具承兑汇票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四、向东旭财务公司进行票据贴现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五、向东旭财务公司借款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六、向东旭财务公司办理应收账款无追索权保理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413" w:right="0" w:firstLine="0"/>
        <w:jc w:val="left"/>
        <w:rPr>
          <w:sz w:val="17"/>
          <w:szCs w:val="17"/>
        </w:rPr>
      </w:pPr>
      <w:r>
        <w:rPr>
          <w:color w:val="000000"/>
          <w:spacing w:val="0"/>
          <w:w w:val="100"/>
          <w:position w:val="0"/>
          <w:sz w:val="17"/>
          <w:szCs w:val="17"/>
        </w:rPr>
        <w:t>②截至</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日，本公司及子公司与衡水银行股份有限公司（以下简称“衡水银行”）资金结算情况如下:</w:t>
      </w:r>
    </w:p>
    <w:tbl>
      <w:tblPr>
        <w:tblOverlap w:val="never"/>
        <w:jc w:val="center"/>
        <w:tblLayout w:type="fixed"/>
      </w:tblPr>
      <w:tblGrid>
        <w:gridCol w:w="4200"/>
        <w:gridCol w:w="1560"/>
        <w:gridCol w:w="1886"/>
        <w:gridCol w:w="1594"/>
      </w:tblGrid>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一、存放于衡水银行存款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5,240,140.40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1,513,864,164.45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1,509,707,637.69</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二、存放于衡水银行承兑汇票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三、委托衡水银行开具承兑汇票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四、向衡水银行进行票据贴现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五、向衡水银行借款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六、向衡水银行办理应收账款无追索权保理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499" w:right="0" w:firstLine="0"/>
        <w:jc w:val="left"/>
        <w:rPr>
          <w:sz w:val="17"/>
          <w:szCs w:val="17"/>
        </w:rPr>
      </w:pPr>
      <w:r>
        <w:rPr>
          <w:color w:val="000000"/>
          <w:spacing w:val="0"/>
          <w:w w:val="100"/>
          <w:position w:val="0"/>
          <w:sz w:val="17"/>
          <w:szCs w:val="17"/>
        </w:rPr>
        <w:t>续前表:</w:t>
      </w:r>
    </w:p>
    <w:tbl>
      <w:tblPr>
        <w:tblOverlap w:val="never"/>
        <w:jc w:val="center"/>
        <w:tblLayout w:type="fixed"/>
      </w:tblPr>
      <w:tblGrid>
        <w:gridCol w:w="4670"/>
        <w:gridCol w:w="1978"/>
        <w:gridCol w:w="2712"/>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应收取或支付</w:t>
            </w:r>
            <w:r>
              <w:rPr>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r>
              <w:rPr>
                <w:b/>
                <w:bCs/>
                <w:color w:val="000000"/>
                <w:spacing w:val="0"/>
                <w:w w:val="100"/>
                <w:position w:val="0"/>
                <w:sz w:val="17"/>
                <w:szCs w:val="17"/>
              </w:rPr>
              <w:t>的利息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一、存放于衡水银行存款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9,396,667.16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二、存放于衡水银行承兑汇票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三、委托衡水银行开具承兑汇票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四、向衡水银行进行票据贴现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五、向衡水银行借款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六、向衡水银行办理应收账款无追索权保理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300" w:line="240" w:lineRule="auto"/>
        <w:ind w:left="0" w:right="0" w:firstLine="520"/>
        <w:jc w:val="left"/>
        <w:rPr>
          <w:sz w:val="17"/>
          <w:szCs w:val="17"/>
        </w:rPr>
      </w:pPr>
      <w:r>
        <w:rPr>
          <w:color w:val="000000"/>
          <w:spacing w:val="0"/>
          <w:w w:val="100"/>
          <w:position w:val="0"/>
          <w:sz w:val="17"/>
          <w:szCs w:val="17"/>
        </w:rPr>
        <w:t>③截至</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日，本公司及子公司与包头农村商业银行股份有限公司（以下简称“包头农商行”）资金结算情</w:t>
      </w:r>
    </w:p>
    <w:p>
      <w:pPr>
        <w:pStyle w:val="Style25"/>
        <w:keepNext w:val="0"/>
        <w:keepLines w:val="0"/>
        <w:widowControl w:val="0"/>
        <w:shd w:val="clear" w:color="auto" w:fill="auto"/>
        <w:bidi w:val="0"/>
        <w:spacing w:before="0" w:after="0" w:line="240" w:lineRule="auto"/>
        <w:ind w:left="0" w:right="0" w:firstLine="0"/>
        <w:jc w:val="distribute"/>
        <w:rPr>
          <w:sz w:val="17"/>
          <w:szCs w:val="17"/>
        </w:rPr>
      </w:pPr>
      <w:r>
        <w:rPr>
          <w:color w:val="000000"/>
          <w:spacing w:val="0"/>
          <w:w w:val="100"/>
          <w:position w:val="0"/>
          <w:sz w:val="17"/>
          <w:szCs w:val="17"/>
        </w:rPr>
        <w:t>况如下：</w:t>
      </w:r>
    </w:p>
    <w:tbl>
      <w:tblPr>
        <w:tblOverlap w:val="never"/>
        <w:jc w:val="center"/>
        <w:tblLayout w:type="fixed"/>
      </w:tblPr>
      <w:tblGrid>
        <w:gridCol w:w="4426"/>
        <w:gridCol w:w="1728"/>
        <w:gridCol w:w="1522"/>
        <w:gridCol w:w="1680"/>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一、存放于包头农商行存款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1,466.74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538.79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二、存放于包头农商行承兑汇票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三、委托包头农商行开具承兑汇票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四、向包头农商行进行票据贴现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五、向包头农商行借款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六、向包头农商行办理应收账款无追索权保理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499" w:right="0" w:firstLine="0"/>
        <w:jc w:val="left"/>
        <w:rPr>
          <w:sz w:val="17"/>
          <w:szCs w:val="17"/>
        </w:rPr>
      </w:pPr>
      <w:r>
        <w:rPr>
          <w:color w:val="000000"/>
          <w:spacing w:val="0"/>
          <w:w w:val="100"/>
          <w:position w:val="0"/>
          <w:sz w:val="17"/>
          <w:szCs w:val="17"/>
        </w:rPr>
        <w:t>续前表:</w:t>
      </w:r>
    </w:p>
    <w:tbl>
      <w:tblPr>
        <w:tblOverlap w:val="never"/>
        <w:jc w:val="center"/>
        <w:tblLayout w:type="fixed"/>
      </w:tblPr>
      <w:tblGrid>
        <w:gridCol w:w="5011"/>
        <w:gridCol w:w="1637"/>
        <w:gridCol w:w="2712"/>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应收取或支付</w:t>
            </w:r>
            <w:r>
              <w:rPr>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r>
              <w:rPr>
                <w:b/>
                <w:bCs/>
                <w:color w:val="000000"/>
                <w:spacing w:val="0"/>
                <w:w w:val="100"/>
                <w:position w:val="0"/>
                <w:sz w:val="17"/>
                <w:szCs w:val="17"/>
              </w:rPr>
              <w:t>的利息</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一、存放于包头农商行存款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1,128.30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二、存放于包头农商行承兑汇票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三、委托包头农商行开具承兑汇票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四、向包头农商行进行票据贴现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五、向包头农商行借款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-9,148,284.88</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六、向包头农商行办理应收账款无追索权保理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val="0"/>
        <w:keepLines w:val="0"/>
        <w:widowControl w:val="0"/>
        <w:shd w:val="clear" w:color="auto" w:fill="auto"/>
        <w:bidi w:val="0"/>
        <w:spacing w:before="0" w:after="0" w:line="240" w:lineRule="auto"/>
        <w:ind w:left="523" w:right="0" w:firstLine="0"/>
        <w:jc w:val="left"/>
        <w:rPr>
          <w:sz w:val="17"/>
          <w:szCs w:val="17"/>
        </w:rPr>
      </w:pPr>
      <w:r>
        <w:rPr>
          <w:color w:val="000000"/>
          <w:spacing w:val="0"/>
          <w:w w:val="100"/>
          <w:position w:val="0"/>
          <w:sz w:val="17"/>
          <w:szCs w:val="17"/>
        </w:rPr>
        <w:t>④本期本公司及子公司与朔州农村商业银行股份有限公司（以下简称“朔州农商行”）资金结算情况如下:</w:t>
      </w:r>
    </w:p>
    <w:tbl>
      <w:tblPr>
        <w:tblOverlap w:val="never"/>
        <w:jc w:val="center"/>
        <w:tblLayout w:type="fixed"/>
      </w:tblPr>
      <w:tblGrid>
        <w:gridCol w:w="4541"/>
        <w:gridCol w:w="1598"/>
        <w:gridCol w:w="1651"/>
        <w:gridCol w:w="1680"/>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一、存放于朔州农商行存款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1,760.23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二、存放于朔州农商行承兑汇票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三、委托朔州农商行开具承兑汇票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四、向朔州农商行进行票据贴现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五、向朔州农商行借款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六、向朔州农商行办理应收账款无追索权保理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499" w:right="0" w:firstLine="0"/>
        <w:jc w:val="left"/>
        <w:rPr>
          <w:sz w:val="17"/>
          <w:szCs w:val="17"/>
        </w:rPr>
      </w:pPr>
      <w:r>
        <w:rPr>
          <w:color w:val="000000"/>
          <w:spacing w:val="0"/>
          <w:w w:val="100"/>
          <w:position w:val="0"/>
          <w:sz w:val="17"/>
          <w:szCs w:val="17"/>
        </w:rPr>
        <w:t>续前表：</w:t>
      </w:r>
    </w:p>
    <w:tbl>
      <w:tblPr>
        <w:tblOverlap w:val="never"/>
        <w:jc w:val="center"/>
        <w:tblLayout w:type="fixed"/>
      </w:tblPr>
      <w:tblGrid>
        <w:gridCol w:w="4901"/>
        <w:gridCol w:w="1747"/>
        <w:gridCol w:w="2712"/>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7"/>
                <w:szCs w:val="17"/>
              </w:rPr>
            </w:pPr>
            <w:r>
              <w:rPr>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应收取或支付</w:t>
            </w:r>
            <w:r>
              <w:rPr>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r>
              <w:rPr>
                <w:b/>
                <w:bCs/>
                <w:color w:val="000000"/>
                <w:spacing w:val="0"/>
                <w:w w:val="100"/>
                <w:position w:val="0"/>
                <w:sz w:val="17"/>
                <w:szCs w:val="17"/>
              </w:rPr>
              <w:t>的利息</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一、存放于朔州农商行存款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1,560.23</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二、存放于朔州农商行承兑汇票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三、委托朔州农商行开具承兑汇票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四、向朔州农商行进行票据贴现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01"/>
        <w:gridCol w:w="1747"/>
        <w:gridCol w:w="2712"/>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五、向朔州农商行借款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六、向朔州农商行办理应收账款无追索权保理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520"/>
        <w:jc w:val="left"/>
        <w:rPr>
          <w:sz w:val="17"/>
          <w:szCs w:val="17"/>
        </w:rPr>
      </w:pPr>
      <w:bookmarkStart w:id="1132" w:name="bookmark1132"/>
      <w:bookmarkStart w:id="1133" w:name="bookmark1133"/>
      <w:bookmarkStart w:id="1134" w:name="bookmark1134"/>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、关联方应收应付款项</w:t>
      </w:r>
      <w:bookmarkEnd w:id="1132"/>
      <w:bookmarkEnd w:id="1133"/>
      <w:bookmarkEnd w:id="1134"/>
    </w:p>
    <w:p>
      <w:pPr>
        <w:pStyle w:val="Style25"/>
        <w:keepNext w:val="0"/>
        <w:keepLines w:val="0"/>
        <w:widowControl w:val="0"/>
        <w:shd w:val="clear" w:color="auto" w:fill="auto"/>
        <w:bidi w:val="0"/>
        <w:spacing w:before="0" w:after="0" w:line="240" w:lineRule="auto"/>
        <w:ind w:left="408"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sz w:val="17"/>
          <w:szCs w:val="17"/>
        </w:rPr>
        <w:t>）应收项目</w:t>
      </w:r>
    </w:p>
    <w:tbl>
      <w:tblPr>
        <w:tblOverlap w:val="never"/>
        <w:jc w:val="center"/>
        <w:tblLayout w:type="fixed"/>
      </w:tblPr>
      <w:tblGrid>
        <w:gridCol w:w="3902"/>
        <w:gridCol w:w="1416"/>
        <w:gridCol w:w="1282"/>
        <w:gridCol w:w="1272"/>
        <w:gridCol w:w="1334"/>
      </w:tblGrid>
      <w:tr>
        <w:trPr>
          <w:trHeight w:val="42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深圳鸿基地产有限公司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6,808,184.00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607,435.20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昆明东旭启明投资开发有限公司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156,460.00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156,460.00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北京旭泉科技有限公司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22,640,997.60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2,332,022.76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22,640,997.60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1,166,011.38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大连旭昶科技有限公司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8,581,024.92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883,845.57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8,581,024.92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441,922.77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9,390,948.76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967,267.73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9,390,948.76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483,633.86</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16,896,700.56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1,739,120.04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16,920,910.56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869,560.02</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宁波旭泽宏宇实业有限公司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14,348,866.48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1,477,933.25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14,348,866.48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738,966.62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武汉中凯科技有限公司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1,518,920.00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156,448.76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1,518,920.00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Arial Narrow" w:eastAsia="Arial Narrow" w:hAnsi="Arial Narrow" w:cs="Arial Narrow"/>
                <w:color w:val="000000"/>
                <w:spacing w:val="0"/>
                <w:w w:val="100"/>
                <w:position w:val="0"/>
                <w:sz w:val="18"/>
                <w:szCs w:val="18"/>
              </w:rPr>
              <w:t>78,224.38</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天津东旭中大商贸有限公司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8,865,421.78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913,138.44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8,865,421.78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456,569.22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汪清县振发投资有限公司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45,012,462.10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上海申龙客车有限公司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广西申龙汽车制造有限公司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广西申龙汽车制造有限公司北京分公司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中山市东鸿房地产开发有限公司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690,785.96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35,575.48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中山市深中房地产开发有限公司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4,338,159.45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福建鸿基启明置业有限公司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2,364,524.69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121,773.02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尚义县旭蓝新能源科技有限公司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81,093,607.11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2,112,835.59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723,991.43</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华融金属表面处理（安平）科技有限公司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3,601,501.07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603,141.11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3,597,725.07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3,260,739.46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汪清县振发投资有限公司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20,274,769.91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1,044,150.65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112,774,769.91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华融金属表面处理（安平）科技有限公司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58,795,230.13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15,487,839.11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83,971,677.94</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宁夏旭盛新能源科技有限公司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1,360,042.53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70,042.19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02"/>
        <w:gridCol w:w="1416"/>
        <w:gridCol w:w="1282"/>
        <w:gridCol w:w="1267"/>
        <w:gridCol w:w="1339"/>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733,085.53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36,908.45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32,906,093.46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张北旭源新能源科技有限公司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651,300.00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56,863.43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643,987.21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湖南旭腾医疗管理有限公司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276,689,711.94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31,299,645.04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368,122,431.88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b/>
                <w:bCs/>
                <w:color w:val="000000"/>
                <w:spacing w:val="0"/>
                <w:w w:val="100"/>
                <w:position w:val="0"/>
                <w:sz w:val="18"/>
                <w:szCs w:val="18"/>
              </w:rPr>
              <w:t>7,495,627.71</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432"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)应付项目</w:t>
      </w:r>
    </w:p>
    <w:tbl>
      <w:tblPr>
        <w:tblOverlap w:val="never"/>
        <w:jc w:val="center"/>
        <w:tblLayout w:type="fixed"/>
      </w:tblPr>
      <w:tblGrid>
        <w:gridCol w:w="3950"/>
        <w:gridCol w:w="2616"/>
        <w:gridCol w:w="2640"/>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东旭建设集团有限公司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70,435,552.19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155,435,552.19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上海碳源汇谷新材料科技有限公司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109,032.00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109,032.00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广州市鸿基投资发展有限公司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34,160.00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深圳市深运工贸企业公司翠苑旅馆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242,742.91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242,742.91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宁波东旭鸿基投资管理有限责任公司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714,357.92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22,761,185.91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深圳鸿基地产有限公司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7,538,784.02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12,324,149.17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东旭国际投资集团有限公司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11,500,000.00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东莞市宜久房地产开发有限公司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4,905,802.79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昆明东旭启明投资开发有限公司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49,157,214.37</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深圳市欧富源科技有限公司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1,995,771.02</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东旭北方置业(北京)有限公司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12,500.10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92,582,900.16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256,435,679.34</w:t>
            </w:r>
          </w:p>
        </w:tc>
      </w:tr>
    </w:tbl>
    <w:p>
      <w:pPr>
        <w:widowControl w:val="0"/>
        <w:spacing w:after="299" w:line="1" w:lineRule="exact"/>
      </w:pPr>
    </w:p>
    <w:p>
      <w:pPr>
        <w:pStyle w:val="Style8"/>
        <w:keepNext/>
        <w:keepLines/>
        <w:widowControl w:val="0"/>
        <w:shd w:val="clear" w:color="auto" w:fill="auto"/>
        <w:bidi w:val="0"/>
        <w:spacing w:before="0" w:after="300" w:line="240" w:lineRule="auto"/>
        <w:ind w:left="0" w:right="0" w:firstLine="500"/>
        <w:jc w:val="left"/>
        <w:rPr>
          <w:sz w:val="17"/>
          <w:szCs w:val="17"/>
        </w:rPr>
      </w:pPr>
      <w:bookmarkStart w:id="1135" w:name="bookmark1135"/>
      <w:bookmarkStart w:id="1136" w:name="bookmark1136"/>
      <w:bookmarkStart w:id="1137" w:name="bookmark1137"/>
      <w:r>
        <w:rPr>
          <w:color w:val="000000"/>
          <w:spacing w:val="0"/>
          <w:w w:val="100"/>
          <w:position w:val="0"/>
          <w:sz w:val="17"/>
          <w:szCs w:val="17"/>
        </w:rPr>
        <w:t>十一、承诺及或有事项</w:t>
      </w:r>
      <w:bookmarkEnd w:id="1135"/>
      <w:bookmarkEnd w:id="1136"/>
      <w:bookmarkEnd w:id="1137"/>
    </w:p>
    <w:p>
      <w:pPr>
        <w:pStyle w:val="Style20"/>
        <w:keepNext/>
        <w:keepLines/>
        <w:widowControl w:val="0"/>
        <w:shd w:val="clear" w:color="auto" w:fill="auto"/>
        <w:bidi w:val="0"/>
        <w:spacing w:before="0" w:after="300" w:line="240" w:lineRule="auto"/>
        <w:ind w:left="0" w:right="0" w:firstLine="580"/>
        <w:jc w:val="left"/>
        <w:rPr>
          <w:sz w:val="20"/>
          <w:szCs w:val="20"/>
        </w:rPr>
      </w:pPr>
      <w:bookmarkStart w:id="1138" w:name="bookmark1138"/>
      <w:bookmarkStart w:id="1139" w:name="bookmark1139"/>
      <w:bookmarkStart w:id="1140" w:name="bookmark1140"/>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、承诺事项</w:t>
      </w:r>
      <w:bookmarkEnd w:id="1138"/>
      <w:bookmarkEnd w:id="1139"/>
      <w:bookmarkEnd w:id="1140"/>
    </w:p>
    <w:p>
      <w:pPr>
        <w:pStyle w:val="Style27"/>
        <w:keepNext w:val="0"/>
        <w:keepLines w:val="0"/>
        <w:widowControl w:val="0"/>
        <w:shd w:val="clear" w:color="auto" w:fill="auto"/>
        <w:bidi w:val="0"/>
        <w:spacing w:before="0" w:after="300" w:line="240" w:lineRule="auto"/>
        <w:ind w:left="0" w:right="0" w:firstLine="500"/>
        <w:jc w:val="left"/>
        <w:rPr>
          <w:sz w:val="17"/>
          <w:szCs w:val="17"/>
        </w:rPr>
      </w:pPr>
      <w:r>
        <w:rPr>
          <w:color w:val="000000"/>
          <w:spacing w:val="0"/>
          <w:w w:val="100"/>
          <w:position w:val="0"/>
          <w:sz w:val="17"/>
          <w:szCs w:val="17"/>
        </w:rPr>
        <w:t>无</w:t>
      </w:r>
    </w:p>
    <w:p>
      <w:pPr>
        <w:pStyle w:val="Style20"/>
        <w:keepNext/>
        <w:keepLines/>
        <w:widowControl w:val="0"/>
        <w:shd w:val="clear" w:color="auto" w:fill="auto"/>
        <w:bidi w:val="0"/>
        <w:spacing w:before="0" w:after="300" w:line="240" w:lineRule="auto"/>
        <w:ind w:left="0" w:right="0" w:firstLine="500"/>
        <w:jc w:val="left"/>
        <w:rPr>
          <w:sz w:val="17"/>
          <w:szCs w:val="17"/>
        </w:rPr>
      </w:pPr>
      <w:bookmarkStart w:id="1141" w:name="bookmark1141"/>
      <w:bookmarkStart w:id="1142" w:name="bookmark1142"/>
      <w:bookmarkStart w:id="1143" w:name="bookmark1143"/>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、或有事项</w:t>
      </w:r>
      <w:bookmarkEnd w:id="1141"/>
      <w:bookmarkEnd w:id="1142"/>
      <w:bookmarkEnd w:id="1143"/>
    </w:p>
    <w:p>
      <w:pPr>
        <w:pStyle w:val="Style27"/>
        <w:keepNext w:val="0"/>
        <w:keepLines w:val="0"/>
        <w:widowControl w:val="0"/>
        <w:shd w:val="clear" w:color="auto" w:fill="auto"/>
        <w:bidi w:val="0"/>
        <w:spacing w:before="0" w:after="300" w:line="240" w:lineRule="auto"/>
        <w:ind w:left="0" w:right="0" w:firstLine="500"/>
        <w:jc w:val="left"/>
        <w:rPr>
          <w:sz w:val="17"/>
          <w:szCs w:val="17"/>
        </w:rPr>
      </w:pPr>
      <w:r>
        <w:rPr>
          <w:color w:val="000000"/>
          <w:spacing w:val="0"/>
          <w:w w:val="100"/>
          <w:position w:val="0"/>
          <w:sz w:val="17"/>
          <w:szCs w:val="17"/>
        </w:rPr>
        <w:t>资产负债表日存在的重要或有事项</w:t>
      </w:r>
    </w:p>
    <w:p>
      <w:pPr>
        <w:pStyle w:val="Style27"/>
        <w:keepNext w:val="0"/>
        <w:keepLines w:val="0"/>
        <w:widowControl w:val="0"/>
        <w:shd w:val="clear" w:color="auto" w:fill="auto"/>
        <w:bidi w:val="0"/>
        <w:spacing w:before="0" w:after="300" w:line="240" w:lineRule="auto"/>
        <w:ind w:left="0" w:right="0" w:firstLine="50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sz w:val="17"/>
          <w:szCs w:val="17"/>
        </w:rPr>
        <w:t>)未决诉讼仲裁形成的或有负债及其影响</w:t>
      </w:r>
    </w:p>
    <w:p>
      <w:pPr>
        <w:pStyle w:val="Style27"/>
        <w:keepNext w:val="0"/>
        <w:keepLines w:val="0"/>
        <w:widowControl w:val="0"/>
        <w:shd w:val="clear" w:color="auto" w:fill="auto"/>
        <w:bidi w:val="0"/>
        <w:spacing w:before="0" w:after="0" w:line="514" w:lineRule="exact"/>
        <w:ind w:left="0" w:right="0" w:firstLine="400"/>
        <w:jc w:val="both"/>
        <w:rPr>
          <w:sz w:val="17"/>
          <w:szCs w:val="17"/>
        </w:rPr>
      </w:pPr>
      <w:r>
        <w:rPr>
          <w:color w:val="000000"/>
          <w:spacing w:val="0"/>
          <w:w w:val="100"/>
          <w:position w:val="0"/>
          <w:sz w:val="17"/>
          <w:szCs w:val="17"/>
        </w:rPr>
        <w:t>截至</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日，本公司存在借款违约、建设工程等合同纠纷，相关诉讼金额达</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亿元以上，上述诉讼尚处于 等待开庭阶段或审理阶段。</w:t>
      </w:r>
    </w:p>
    <w:p>
      <w:pPr>
        <w:pStyle w:val="Style17"/>
        <w:keepNext w:val="0"/>
        <w:keepLines w:val="0"/>
        <w:widowControl w:val="0"/>
        <w:shd w:val="clear" w:color="auto" w:fill="auto"/>
        <w:bidi w:val="0"/>
        <w:spacing w:before="0" w:after="0" w:line="502" w:lineRule="exact"/>
        <w:ind w:left="0" w:right="0" w:firstLine="440"/>
        <w:jc w:val="both"/>
      </w:pPr>
      <w:r>
        <w:rPr>
          <w:color w:val="000000"/>
          <w:spacing w:val="0"/>
          <w:w w:val="100"/>
          <w:position w:val="0"/>
        </w:rPr>
        <w:t>（</w:t>
      </w:r>
      <w:r>
        <w:rPr>
          <w:b/>
          <w:bCs/>
          <w:color w:val="000000"/>
          <w:spacing w:val="0"/>
          <w:w w:val="100"/>
          <w:position w:val="0"/>
        </w:rPr>
        <w:t>2</w:t>
      </w:r>
      <w:r>
        <w:rPr>
          <w:color w:val="000000"/>
          <w:spacing w:val="0"/>
          <w:w w:val="100"/>
          <w:position w:val="0"/>
        </w:rPr>
        <w:t>）</w:t>
      </w:r>
      <w:r>
        <w:rPr>
          <w:b/>
          <w:bCs/>
          <w:color w:val="000000"/>
          <w:spacing w:val="0"/>
          <w:w w:val="100"/>
          <w:position w:val="0"/>
        </w:rPr>
        <w:t>2019</w:t>
      </w:r>
      <w:r>
        <w:rPr>
          <w:color w:val="000000"/>
          <w:spacing w:val="0"/>
          <w:w w:val="100"/>
          <w:position w:val="0"/>
        </w:rPr>
        <w:t>年</w:t>
      </w:r>
      <w:r>
        <w:rPr>
          <w:b/>
          <w:bCs/>
          <w:color w:val="000000"/>
          <w:spacing w:val="0"/>
          <w:w w:val="100"/>
          <w:position w:val="0"/>
        </w:rPr>
        <w:t>10</w:t>
      </w:r>
      <w:r>
        <w:rPr>
          <w:color w:val="000000"/>
          <w:spacing w:val="0"/>
          <w:w w:val="100"/>
          <w:position w:val="0"/>
        </w:rPr>
        <w:t>月，本公司子公司东旭新能源投资有限公司（以下简称：新能源投资）与兴业银行股 份有限公司北京海淀支行（以下简称：兴业银行）签订《流动资金借款合同》，兴业银行向新能源投资发 放了贷款人民币</w:t>
      </w:r>
      <w:r>
        <w:rPr>
          <w:b/>
          <w:bCs/>
          <w:color w:val="000000"/>
          <w:spacing w:val="0"/>
          <w:w w:val="100"/>
          <w:position w:val="0"/>
        </w:rPr>
        <w:t>8</w:t>
      </w:r>
      <w:r>
        <w:rPr>
          <w:color w:val="000000"/>
          <w:spacing w:val="0"/>
          <w:w w:val="100"/>
          <w:position w:val="0"/>
        </w:rPr>
        <w:t>亿元整，期限自</w:t>
      </w:r>
      <w:r>
        <w:rPr>
          <w:b/>
          <w:bCs/>
          <w:color w:val="000000"/>
          <w:spacing w:val="0"/>
          <w:w w:val="100"/>
          <w:position w:val="0"/>
        </w:rPr>
        <w:t>2019</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14</w:t>
      </w:r>
      <w:r>
        <w:rPr>
          <w:color w:val="000000"/>
          <w:spacing w:val="0"/>
          <w:w w:val="100"/>
          <w:position w:val="0"/>
        </w:rPr>
        <w:t>日至</w:t>
      </w:r>
      <w:r>
        <w:rPr>
          <w:b/>
          <w:bCs/>
          <w:color w:val="000000"/>
          <w:spacing w:val="0"/>
          <w:w w:val="100"/>
          <w:position w:val="0"/>
        </w:rPr>
        <w:t>2020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13</w:t>
      </w:r>
      <w:r>
        <w:rPr>
          <w:color w:val="000000"/>
          <w:spacing w:val="0"/>
          <w:w w:val="100"/>
          <w:position w:val="0"/>
        </w:rPr>
        <w:t>日止（现已展期至</w:t>
      </w:r>
      <w:r>
        <w:rPr>
          <w:b/>
          <w:bCs/>
          <w:color w:val="000000"/>
          <w:spacing w:val="0"/>
          <w:w w:val="100"/>
          <w:position w:val="0"/>
        </w:rPr>
        <w:t>2022</w:t>
      </w:r>
      <w:r>
        <w:rPr>
          <w:color w:val="000000"/>
          <w:spacing w:val="0"/>
          <w:w w:val="100"/>
          <w:position w:val="0"/>
        </w:rPr>
        <w:t>年</w:t>
      </w:r>
      <w:r>
        <w:rPr>
          <w:b/>
          <w:bCs/>
          <w:color w:val="000000"/>
          <w:spacing w:val="0"/>
          <w:w w:val="100"/>
          <w:position w:val="0"/>
        </w:rPr>
        <w:t>12</w:t>
      </w:r>
      <w:r>
        <w:rPr>
          <w:color w:val="000000"/>
          <w:spacing w:val="0"/>
          <w:w w:val="100"/>
          <w:position w:val="0"/>
        </w:rPr>
        <w:t xml:space="preserve">月）。 </w:t>
      </w:r>
      <w:r>
        <w:rPr>
          <w:b/>
          <w:bCs/>
          <w:color w:val="000000"/>
          <w:spacing w:val="0"/>
          <w:w w:val="100"/>
          <w:position w:val="0"/>
        </w:rPr>
        <w:t>2020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9</w:t>
      </w:r>
      <w:r>
        <w:rPr>
          <w:color w:val="000000"/>
          <w:spacing w:val="0"/>
          <w:w w:val="100"/>
          <w:position w:val="0"/>
        </w:rPr>
        <w:t>日新能源投资与兴业银行、昆明东旭启明投资开发有限公司（以下简称：昆明启明）签订 《贷款债务承担协议》，追加昆明启明为上述贷款的债务承担人承担债务。虽然新能源投资向昆明启明转 移了对兴业银行的</w:t>
      </w:r>
      <w:r>
        <w:rPr>
          <w:b/>
          <w:bCs/>
          <w:color w:val="000000"/>
          <w:spacing w:val="0"/>
          <w:w w:val="100"/>
          <w:position w:val="0"/>
        </w:rPr>
        <w:t>8</w:t>
      </w:r>
      <w:r>
        <w:rPr>
          <w:color w:val="000000"/>
          <w:spacing w:val="0"/>
          <w:w w:val="100"/>
          <w:position w:val="0"/>
        </w:rPr>
        <w:t>亿元债务，但相关协议并不能免除新能源投资对该笔借款的责任，新能源投资仍对上 述贷款负连带清偿责任。</w:t>
      </w:r>
    </w:p>
    <w:p>
      <w:pPr>
        <w:pStyle w:val="Style8"/>
        <w:keepNext/>
        <w:keepLines/>
        <w:widowControl w:val="0"/>
        <w:shd w:val="clear" w:color="auto" w:fill="auto"/>
        <w:bidi w:val="0"/>
        <w:spacing w:before="0" w:after="100" w:line="502" w:lineRule="exact"/>
        <w:ind w:left="0" w:right="0" w:firstLine="440"/>
        <w:jc w:val="both"/>
        <w:rPr>
          <w:sz w:val="20"/>
          <w:szCs w:val="20"/>
        </w:rPr>
      </w:pPr>
      <w:bookmarkStart w:id="1144" w:name="bookmark1144"/>
      <w:bookmarkStart w:id="1145" w:name="bookmark1145"/>
      <w:bookmarkStart w:id="1146" w:name="bookmark1146"/>
      <w:r>
        <w:rPr>
          <w:color w:val="000000"/>
          <w:spacing w:val="0"/>
          <w:w w:val="100"/>
          <w:position w:val="0"/>
          <w:sz w:val="20"/>
          <w:szCs w:val="20"/>
        </w:rPr>
        <w:t>十二、资产负债表日后事项</w:t>
      </w:r>
      <w:bookmarkEnd w:id="1144"/>
      <w:bookmarkEnd w:id="1145"/>
      <w:bookmarkEnd w:id="1146"/>
    </w:p>
    <w:p>
      <w:pPr>
        <w:pStyle w:val="Style20"/>
        <w:keepNext/>
        <w:keepLines/>
        <w:widowControl w:val="0"/>
        <w:shd w:val="clear" w:color="auto" w:fill="auto"/>
        <w:tabs>
          <w:tab w:pos="784" w:val="left"/>
        </w:tabs>
        <w:bidi w:val="0"/>
        <w:spacing w:before="0" w:after="280" w:line="502" w:lineRule="exact"/>
        <w:ind w:left="0" w:right="0" w:firstLine="440"/>
        <w:jc w:val="both"/>
        <w:rPr>
          <w:sz w:val="20"/>
          <w:szCs w:val="20"/>
        </w:rPr>
      </w:pPr>
      <w:bookmarkStart w:id="1147" w:name="bookmark1147"/>
      <w:bookmarkStart w:id="1148" w:name="bookmark1148"/>
      <w:bookmarkStart w:id="1149" w:name="bookmark1149"/>
      <w:bookmarkStart w:id="1150" w:name="bookmark1150"/>
      <w:r>
        <w:rPr>
          <w:rFonts w:ascii="Arial Narrow" w:eastAsia="Arial Narrow" w:hAnsi="Arial Narrow" w:cs="Arial Narrow"/>
          <w:color w:val="000000"/>
          <w:spacing w:val="0"/>
          <w:w w:val="100"/>
          <w:position w:val="0"/>
          <w:sz w:val="20"/>
          <w:szCs w:val="20"/>
        </w:rPr>
        <w:t>1</w:t>
      </w:r>
      <w:bookmarkEnd w:id="1149"/>
      <w:r>
        <w:rPr>
          <w:color w:val="000000"/>
          <w:spacing w:val="0"/>
          <w:w w:val="100"/>
          <w:position w:val="0"/>
          <w:sz w:val="20"/>
          <w:szCs w:val="20"/>
        </w:rPr>
        <w:t>、</w:t>
        <w:tab/>
        <w:t>资产负债表日后利润分配情况说明</w:t>
      </w:r>
      <w:bookmarkEnd w:id="1147"/>
      <w:bookmarkEnd w:id="1148"/>
      <w:bookmarkEnd w:id="1150"/>
    </w:p>
    <w:p>
      <w:pPr>
        <w:pStyle w:val="Style17"/>
        <w:keepNext w:val="0"/>
        <w:keepLines w:val="0"/>
        <w:widowControl w:val="0"/>
        <w:shd w:val="clear" w:color="auto" w:fill="auto"/>
        <w:bidi w:val="0"/>
        <w:spacing w:before="0" w:after="0" w:line="498" w:lineRule="exact"/>
        <w:ind w:left="0" w:right="0" w:firstLine="820"/>
        <w:jc w:val="both"/>
      </w:pPr>
      <w:r>
        <w:rPr>
          <w:color w:val="000000"/>
          <w:spacing w:val="0"/>
          <w:w w:val="100"/>
          <w:position w:val="0"/>
        </w:rPr>
        <w:t>无。</w:t>
      </w:r>
    </w:p>
    <w:p>
      <w:pPr>
        <w:pStyle w:val="Style20"/>
        <w:keepNext/>
        <w:keepLines/>
        <w:widowControl w:val="0"/>
        <w:shd w:val="clear" w:color="auto" w:fill="auto"/>
        <w:tabs>
          <w:tab w:pos="789" w:val="left"/>
        </w:tabs>
        <w:bidi w:val="0"/>
        <w:spacing w:before="0" w:after="280" w:line="498" w:lineRule="exact"/>
        <w:ind w:left="0" w:right="0" w:firstLine="440"/>
        <w:jc w:val="both"/>
        <w:rPr>
          <w:sz w:val="20"/>
          <w:szCs w:val="20"/>
        </w:rPr>
      </w:pPr>
      <w:bookmarkStart w:id="1151" w:name="bookmark1151"/>
      <w:bookmarkStart w:id="1152" w:name="bookmark1152"/>
      <w:bookmarkStart w:id="1153" w:name="bookmark1153"/>
      <w:bookmarkStart w:id="1154" w:name="bookmark1154"/>
      <w:r>
        <w:rPr>
          <w:rFonts w:ascii="Arial Narrow" w:eastAsia="Arial Narrow" w:hAnsi="Arial Narrow" w:cs="Arial Narrow"/>
          <w:color w:val="000000"/>
          <w:spacing w:val="0"/>
          <w:w w:val="100"/>
          <w:position w:val="0"/>
          <w:sz w:val="20"/>
          <w:szCs w:val="20"/>
        </w:rPr>
        <w:t>2</w:t>
      </w:r>
      <w:bookmarkEnd w:id="1153"/>
      <w:r>
        <w:rPr>
          <w:color w:val="000000"/>
          <w:spacing w:val="0"/>
          <w:w w:val="100"/>
          <w:position w:val="0"/>
          <w:sz w:val="20"/>
          <w:szCs w:val="20"/>
        </w:rPr>
        <w:t>、</w:t>
        <w:tab/>
        <w:t>董事会选举暨董事离任</w:t>
      </w:r>
      <w:bookmarkEnd w:id="1151"/>
      <w:bookmarkEnd w:id="1152"/>
      <w:bookmarkEnd w:id="1154"/>
    </w:p>
    <w:p>
      <w:pPr>
        <w:pStyle w:val="Style17"/>
        <w:keepNext w:val="0"/>
        <w:keepLines w:val="0"/>
        <w:widowControl w:val="0"/>
        <w:shd w:val="clear" w:color="auto" w:fill="auto"/>
        <w:bidi w:val="0"/>
        <w:spacing w:before="0" w:after="0" w:line="498" w:lineRule="exact"/>
        <w:ind w:left="0" w:right="0" w:firstLine="820"/>
        <w:jc w:val="both"/>
      </w:pPr>
      <w:r>
        <w:rPr>
          <w:color w:val="000000"/>
          <w:spacing w:val="0"/>
          <w:w w:val="100"/>
          <w:position w:val="0"/>
        </w:rPr>
        <w:t>无。</w:t>
      </w:r>
    </w:p>
    <w:p>
      <w:pPr>
        <w:pStyle w:val="Style8"/>
        <w:keepNext/>
        <w:keepLines/>
        <w:widowControl w:val="0"/>
        <w:shd w:val="clear" w:color="auto" w:fill="auto"/>
        <w:bidi w:val="0"/>
        <w:spacing w:before="0" w:after="0" w:line="498" w:lineRule="exact"/>
        <w:ind w:left="0" w:right="0" w:firstLine="440"/>
        <w:jc w:val="both"/>
        <w:rPr>
          <w:sz w:val="20"/>
          <w:szCs w:val="20"/>
        </w:rPr>
      </w:pPr>
      <w:bookmarkStart w:id="1155" w:name="bookmark1155"/>
      <w:bookmarkStart w:id="1156" w:name="bookmark1156"/>
      <w:bookmarkStart w:id="1157" w:name="bookmark1157"/>
      <w:r>
        <w:rPr>
          <w:color w:val="000000"/>
          <w:spacing w:val="0"/>
          <w:w w:val="100"/>
          <w:position w:val="0"/>
          <w:sz w:val="20"/>
          <w:szCs w:val="20"/>
        </w:rPr>
        <w:t>十三、其他重要事项</w:t>
      </w:r>
      <w:bookmarkEnd w:id="1155"/>
      <w:bookmarkEnd w:id="1156"/>
      <w:bookmarkEnd w:id="1157"/>
    </w:p>
    <w:p>
      <w:pPr>
        <w:pStyle w:val="Style20"/>
        <w:keepNext/>
        <w:keepLines/>
        <w:widowControl w:val="0"/>
        <w:shd w:val="clear" w:color="auto" w:fill="auto"/>
        <w:bidi w:val="0"/>
        <w:spacing w:before="0" w:after="0" w:line="498" w:lineRule="exact"/>
        <w:ind w:left="0" w:right="0" w:firstLine="440"/>
        <w:jc w:val="both"/>
        <w:rPr>
          <w:sz w:val="20"/>
          <w:szCs w:val="20"/>
        </w:rPr>
      </w:pPr>
      <w:bookmarkStart w:id="1158" w:name="bookmark1158"/>
      <w:bookmarkStart w:id="1159" w:name="bookmark1159"/>
      <w:bookmarkStart w:id="1160" w:name="bookmark1160"/>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、分部报告</w:t>
      </w:r>
      <w:bookmarkEnd w:id="1158"/>
      <w:bookmarkEnd w:id="1159"/>
      <w:bookmarkEnd w:id="1160"/>
    </w:p>
    <w:p>
      <w:pPr>
        <w:pStyle w:val="Style27"/>
        <w:keepNext w:val="0"/>
        <w:keepLines w:val="0"/>
        <w:widowControl w:val="0"/>
        <w:shd w:val="clear" w:color="auto" w:fill="auto"/>
        <w:bidi w:val="0"/>
        <w:spacing w:before="0" w:after="0" w:line="498" w:lineRule="exact"/>
        <w:ind w:left="0" w:right="0" w:firstLine="400"/>
        <w:jc w:val="both"/>
        <w:rPr>
          <w:sz w:val="17"/>
          <w:szCs w:val="17"/>
        </w:rPr>
      </w:pPr>
      <w:r>
        <w:rPr>
          <w:color w:val="000000"/>
          <w:spacing w:val="0"/>
          <w:w w:val="100"/>
          <w:position w:val="0"/>
          <w:sz w:val="17"/>
          <w:szCs w:val="17"/>
        </w:rPr>
        <w:t>本公司根据内部组织结构、管理要求及内部报告制度确定了新能源、生态环保、物业及房屋租赁、供应链四大报告分部。 每个报告分部为单独的业务分部，提供不同的产品和劳务，由于每个分部需要不同的技术及市场策略而需要进行单独的管理。 本公司管理层将会定期审阅不同分部的财务信息以决定向其配置资源、评价业绩。</w:t>
      </w:r>
    </w:p>
    <w:p>
      <w:pPr>
        <w:pStyle w:val="Style27"/>
        <w:keepNext w:val="0"/>
        <w:keepLines w:val="0"/>
        <w:widowControl w:val="0"/>
        <w:shd w:val="clear" w:color="auto" w:fill="auto"/>
        <w:bidi w:val="0"/>
        <w:spacing w:before="0" w:after="280" w:line="498" w:lineRule="exact"/>
        <w:ind w:left="0" w:right="0" w:firstLine="400"/>
        <w:jc w:val="both"/>
        <w:rPr>
          <w:sz w:val="17"/>
          <w:szCs w:val="17"/>
        </w:rPr>
      </w:pPr>
      <w:r>
        <w:rPr>
          <w:color w:val="000000"/>
          <w:spacing w:val="0"/>
          <w:w w:val="100"/>
          <w:position w:val="0"/>
          <w:sz w:val="17"/>
          <w:szCs w:val="17"/>
        </w:rPr>
        <w:t>分部报告信息根据各分部向管理层报告时采用的会计政策及计量标准披露，这些计量基础与编制财务报表时的会计与计 量基础保持一致。</w:t>
      </w:r>
    </w:p>
    <w:p>
      <w:pPr>
        <w:pStyle w:val="Style25"/>
        <w:keepNext w:val="0"/>
        <w:keepLines w:val="0"/>
        <w:widowControl w:val="0"/>
        <w:shd w:val="clear" w:color="auto" w:fill="auto"/>
        <w:bidi w:val="0"/>
        <w:spacing w:before="0" w:after="0" w:line="498" w:lineRule="exact"/>
        <w:ind w:left="0" w:right="0" w:firstLine="0"/>
        <w:jc w:val="left"/>
        <w:rPr>
          <w:sz w:val="17"/>
          <w:szCs w:val="17"/>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7"/>
          <w:szCs w:val="17"/>
        </w:rPr>
        <w:t>报告分部的财务信息</w:t>
      </w:r>
    </w:p>
    <w:tbl>
      <w:tblPr>
        <w:tblOverlap w:val="never"/>
        <w:jc w:val="center"/>
        <w:tblLayout w:type="fixed"/>
      </w:tblPr>
      <w:tblGrid>
        <w:gridCol w:w="1070"/>
        <w:gridCol w:w="1334"/>
        <w:gridCol w:w="1454"/>
        <w:gridCol w:w="1334"/>
        <w:gridCol w:w="1320"/>
        <w:gridCol w:w="1373"/>
        <w:gridCol w:w="1378"/>
      </w:tblGrid>
      <w:tr>
        <w:trPr>
          <w:trHeight w:val="47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新能源</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物业及房屋租赁</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生态环保</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分部收入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6"/>
                <w:szCs w:val="16"/>
              </w:rPr>
              <w:t>2,295,221,379.38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1,367,533,123.56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142,750,079.59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87,369,293.39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184,928,746.95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6"/>
                <w:szCs w:val="16"/>
              </w:rPr>
              <w:t>461,730,960.27</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分部费用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6"/>
                <w:szCs w:val="16"/>
              </w:rPr>
              <w:t>2,356,786,663.93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1,534,420,917.23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258,354,339.69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291,250,552.75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193,203,160.57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6"/>
                <w:szCs w:val="16"/>
              </w:rPr>
              <w:t>491,054,057.89</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分部利润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-61,565,284.55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-166,887,793.67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-115,604,260.10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-203,881,259.36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-8,274,413.62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6"/>
                <w:szCs w:val="16"/>
              </w:rPr>
              <w:t>-29,323,097.62</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资产总额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6"/>
                <w:szCs w:val="16"/>
              </w:rPr>
              <w:t>24,342,626,900.94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22,839,044,283.51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19,463,120,678.42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20,677,500,741.68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3,079,166,773.69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6"/>
                <w:szCs w:val="16"/>
              </w:rPr>
              <w:t>3,308,600,014.96</w:t>
            </w:r>
          </w:p>
        </w:tc>
      </w:tr>
    </w:tbl>
    <w:p>
      <w:pPr>
        <w:spacing w:lineRule="exact" w:line="1"/>
        <w:rPr>
          <w:sz w:val="2"/>
          <w:szCs w:val="2"/>
        </w:rPr>
      </w:pPr>
      <w:r>
        <w:br w:type="page"/>
      </w:r>
    </w:p>
    <w:tbl>
      <w:tblPr>
        <w:tblOverlap w:val="never"/>
        <w:jc w:val="center"/>
        <w:tblLayout w:type="fixed"/>
      </w:tblPr>
      <w:tblGrid>
        <w:gridCol w:w="1094"/>
        <w:gridCol w:w="1397"/>
        <w:gridCol w:w="1315"/>
        <w:gridCol w:w="1387"/>
        <w:gridCol w:w="187"/>
        <w:gridCol w:w="1133"/>
        <w:gridCol w:w="264"/>
        <w:gridCol w:w="1104"/>
        <w:gridCol w:w="125"/>
        <w:gridCol w:w="1258"/>
      </w:tblGrid>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负债总额</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6"/>
                <w:szCs w:val="16"/>
              </w:rPr>
              <w:t>14,059,755,610.10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6"/>
                <w:szCs w:val="16"/>
              </w:rPr>
              <w:t>13,490,486,192.87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6,499,972,988.78</w:t>
            </w:r>
          </w:p>
        </w:tc>
        <w:tc>
          <w:tcPr>
            <w:gridSpan w:val="2"/>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6,137,480,781.96</w:t>
            </w:r>
          </w:p>
        </w:tc>
        <w:tc>
          <w:tcPr>
            <w:gridSpan w:val="2"/>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2,271,939,661.10</w:t>
            </w:r>
          </w:p>
        </w:tc>
        <w:tc>
          <w:tcPr>
            <w:gridSpan w:val="2"/>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6"/>
                <w:szCs w:val="16"/>
              </w:rPr>
              <w:t>2,352,255,830.97</w:t>
            </w:r>
          </w:p>
        </w:tc>
      </w:tr>
      <w:tr>
        <w:trPr>
          <w:trHeight w:val="528" w:hRule="exact"/>
        </w:trPr>
        <w:tc>
          <w:tcPr>
            <w:gridSpan w:val="10"/>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续上表：</w:t>
            </w:r>
          </w:p>
        </w:tc>
      </w:tr>
      <w:tr>
        <w:trPr>
          <w:trHeight w:val="4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供应链</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分部间抵销</w:t>
            </w:r>
          </w:p>
        </w:tc>
        <w:tc>
          <w:tcPr>
            <w:gridSpan w:val="3"/>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合计</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分部收入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1,274,797,268.87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1,542,332,208.95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-20,974,465.23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12,462,851.81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3,876,723,009.56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6"/>
                <w:szCs w:val="16"/>
              </w:rPr>
              <w:t>3,471,428,437.98</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分部费用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1,283,326,360.30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1,550,273,358.64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-20,974,465.23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12,470,163.22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4,070,696,059.26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6"/>
                <w:szCs w:val="16"/>
              </w:rPr>
              <w:t>3,879,469,049.73</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分部利润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-8,529,091.43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-7,941,149.69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-7,311.41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-193,973,049.70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-408,040,611.75</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131,861,022.68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143,472,746.08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-20,863,848,360.73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6"/>
                <w:szCs w:val="16"/>
              </w:rPr>
              <w:t>-20,767,448,959.49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26,152,927,015.00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6"/>
                <w:szCs w:val="16"/>
              </w:rPr>
              <w:t>26,201,168,826.74</w:t>
            </w:r>
          </w:p>
        </w:tc>
      </w:tr>
      <w:tr>
        <w:trPr>
          <w:trHeight w:val="46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83,938,617.66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83,104,149.39</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-8,344,701,232.50</w:t>
            </w:r>
          </w:p>
        </w:tc>
        <w:tc>
          <w:tcPr>
            <w:gridSpan w:val="2"/>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-8,057,385,053.92</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6"/>
                <w:szCs w:val="16"/>
              </w:rPr>
              <w:t>14,570,905,645.14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6"/>
                <w:szCs w:val="16"/>
              </w:rPr>
              <w:t>14,005,941,901.27</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350"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 xml:space="preserve">2 </w:t>
      </w:r>
      <w:r>
        <w:rPr>
          <w:color w:val="000000"/>
          <w:spacing w:val="0"/>
          <w:w w:val="100"/>
          <w:position w:val="0"/>
          <w:sz w:val="17"/>
          <w:szCs w:val="17"/>
        </w:rPr>
        <w:t>）分部利润与财务报表营业利润总额的衔接如下:</w:t>
      </w:r>
    </w:p>
    <w:tbl>
      <w:tblPr>
        <w:tblOverlap w:val="never"/>
        <w:jc w:val="center"/>
        <w:tblLayout w:type="fixed"/>
      </w:tblPr>
      <w:tblGrid>
        <w:gridCol w:w="3086"/>
        <w:gridCol w:w="3048"/>
        <w:gridCol w:w="3077"/>
      </w:tblGrid>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上年同期发生额</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分部利润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-193,973,049.70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-408,040,611.75</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-2,841,656.64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-89,304,863.00</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公允价值变动净收益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资产处置收益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-2,546,379.14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-18,761.71</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-300,387,132.68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-177,690,435.95</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-100,474,228.25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-316,468,579.49</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167,337,780.85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16,356,028.29</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营业利润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-432,884,665.56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-975,167,223.61</w:t>
            </w:r>
          </w:p>
        </w:tc>
      </w:tr>
      <w:tr>
        <w:trPr>
          <w:trHeight w:val="480"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bookmarkStart w:id="1161" w:name="bookmark1161"/>
            <w:r>
              <w:rPr>
                <w:rFonts w:ascii="Arial Narrow" w:eastAsia="Arial Narrow" w:hAnsi="Arial Narrow" w:cs="Arial Narrow"/>
                <w:b/>
                <w:bCs/>
                <w:color w:val="000000"/>
                <w:spacing w:val="0"/>
                <w:w w:val="100"/>
                <w:position w:val="0"/>
                <w:sz w:val="20"/>
                <w:szCs w:val="20"/>
              </w:rPr>
              <w:t>2</w:t>
            </w:r>
            <w:r>
              <w:rPr>
                <w:b/>
                <w:bCs/>
                <w:color w:val="000000"/>
                <w:spacing w:val="0"/>
                <w:w w:val="100"/>
                <w:position w:val="0"/>
                <w:sz w:val="20"/>
                <w:szCs w:val="20"/>
              </w:rPr>
              <w:t>、其他对投资者决策有影响的重要事项</w:t>
            </w:r>
            <w:bookmarkEnd w:id="1161"/>
          </w:p>
        </w:tc>
      </w:tr>
    </w:tbl>
    <w:p>
      <w:pPr>
        <w:pStyle w:val="Style17"/>
        <w:keepNext w:val="0"/>
        <w:keepLines w:val="0"/>
        <w:widowControl w:val="0"/>
        <w:shd w:val="clear" w:color="auto" w:fill="auto"/>
        <w:bidi w:val="0"/>
        <w:spacing w:before="0" w:after="0" w:line="504" w:lineRule="exact"/>
        <w:ind w:left="0" w:right="0" w:firstLine="400"/>
        <w:jc w:val="both"/>
      </w:pPr>
      <w:r>
        <w:rPr>
          <w:color w:val="000000"/>
          <w:spacing w:val="0"/>
          <w:w w:val="100"/>
          <w:position w:val="0"/>
        </w:rPr>
        <w:t>（</w:t>
      </w:r>
      <w:r>
        <w:rPr>
          <w:b/>
          <w:bCs/>
          <w:color w:val="000000"/>
          <w:spacing w:val="0"/>
          <w:w w:val="100"/>
          <w:position w:val="0"/>
        </w:rPr>
        <w:t xml:space="preserve">1 </w:t>
      </w:r>
      <w:r>
        <w:rPr>
          <w:color w:val="000000"/>
          <w:spacing w:val="0"/>
          <w:w w:val="100"/>
          <w:position w:val="0"/>
        </w:rPr>
        <w:t>）截至报告期末，东旭集团有限公司持有本公司股份</w:t>
      </w:r>
      <w:r>
        <w:rPr>
          <w:b/>
          <w:bCs/>
          <w:color w:val="000000"/>
          <w:spacing w:val="0"/>
          <w:w w:val="100"/>
          <w:position w:val="0"/>
        </w:rPr>
        <w:t>580,419,914.00</w:t>
      </w:r>
      <w:r>
        <w:rPr>
          <w:color w:val="000000"/>
          <w:spacing w:val="0"/>
          <w:w w:val="100"/>
          <w:position w:val="0"/>
        </w:rPr>
        <w:t>股，其中限售股份</w:t>
      </w:r>
      <w:r>
        <w:rPr>
          <w:b/>
          <w:bCs/>
          <w:color w:val="000000"/>
          <w:spacing w:val="0"/>
          <w:w w:val="100"/>
          <w:position w:val="0"/>
        </w:rPr>
        <w:t>423,673,200.00</w:t>
      </w:r>
      <w:r>
        <w:rPr>
          <w:color w:val="000000"/>
          <w:spacing w:val="0"/>
          <w:w w:val="100"/>
          <w:position w:val="0"/>
        </w:rPr>
        <w:t>股， 无限售股份</w:t>
      </w:r>
      <w:r>
        <w:rPr>
          <w:b/>
          <w:bCs/>
          <w:color w:val="000000"/>
          <w:spacing w:val="0"/>
          <w:w w:val="100"/>
          <w:position w:val="0"/>
        </w:rPr>
        <w:t>156,746,714.00</w:t>
      </w:r>
      <w:r>
        <w:rPr>
          <w:color w:val="000000"/>
          <w:spacing w:val="0"/>
          <w:w w:val="100"/>
          <w:position w:val="0"/>
        </w:rPr>
        <w:t>股。东旭集团有限公司持有本公司股权质押数量</w:t>
      </w:r>
      <w:r>
        <w:rPr>
          <w:b/>
          <w:bCs/>
          <w:color w:val="000000"/>
          <w:spacing w:val="0"/>
          <w:w w:val="100"/>
          <w:position w:val="0"/>
        </w:rPr>
        <w:t>580,</w:t>
      </w:r>
      <w:r>
        <w:rPr>
          <w:b/>
          <w:bCs/>
          <w:color w:val="000000"/>
          <w:spacing w:val="0"/>
          <w:w w:val="100"/>
          <w:position w:val="0"/>
        </w:rPr>
        <w:t>419,914.00</w:t>
      </w:r>
      <w:r>
        <w:rPr>
          <w:color w:val="000000"/>
          <w:spacing w:val="0"/>
          <w:w w:val="100"/>
          <w:position w:val="0"/>
        </w:rPr>
        <w:t>股。</w:t>
      </w:r>
    </w:p>
    <w:p>
      <w:pPr>
        <w:pStyle w:val="Style17"/>
        <w:keepNext w:val="0"/>
        <w:keepLines w:val="0"/>
        <w:widowControl w:val="0"/>
        <w:shd w:val="clear" w:color="auto" w:fill="auto"/>
        <w:bidi w:val="0"/>
        <w:spacing w:before="0" w:after="0" w:line="504" w:lineRule="exact"/>
        <w:ind w:left="0" w:right="0" w:firstLine="400"/>
        <w:jc w:val="both"/>
      </w:pPr>
      <w:r>
        <w:rPr>
          <w:color w:val="000000"/>
          <w:spacing w:val="0"/>
          <w:w w:val="100"/>
          <w:position w:val="0"/>
        </w:rPr>
        <w:t>（</w:t>
      </w:r>
      <w:r>
        <w:rPr>
          <w:b/>
          <w:bCs/>
          <w:color w:val="000000"/>
          <w:spacing w:val="0"/>
          <w:w w:val="100"/>
          <w:position w:val="0"/>
        </w:rPr>
        <w:t>2</w:t>
      </w:r>
      <w:r>
        <w:rPr>
          <w:color w:val="000000"/>
          <w:spacing w:val="0"/>
          <w:w w:val="100"/>
          <w:position w:val="0"/>
        </w:rPr>
        <w:t>）截止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日，公司在东旭集团财务有限公司（简称：财务公司）存款账面余额为</w:t>
      </w:r>
      <w:r>
        <w:rPr>
          <w:b/>
          <w:bCs/>
          <w:color w:val="000000"/>
          <w:spacing w:val="0"/>
          <w:w w:val="100"/>
          <w:position w:val="0"/>
        </w:rPr>
        <w:t xml:space="preserve">28.92 </w:t>
      </w:r>
      <w:r>
        <w:rPr>
          <w:color w:val="000000"/>
          <w:spacing w:val="0"/>
          <w:w w:val="100"/>
          <w:position w:val="0"/>
        </w:rPr>
        <w:t xml:space="preserve">亿元。由于财务公司资金流动性问题，导致本公司在财务公司存款支取受限；公司在财务公司的部分定期存款 </w:t>
      </w:r>
      <w:r>
        <w:rPr>
          <w:color w:val="000000"/>
          <w:spacing w:val="0"/>
          <w:w w:val="100"/>
          <w:position w:val="0"/>
        </w:rPr>
        <w:t>到期后继续转存定期，考虑到利息收入的回收存在不确定性，本期未确认对财务公司的存款利息收入，相关款 项金额记录在本公司财务公司存款备查簿。</w:t>
      </w:r>
    </w:p>
    <w:p>
      <w:pPr>
        <w:pStyle w:val="Style17"/>
        <w:keepNext w:val="0"/>
        <w:keepLines w:val="0"/>
        <w:widowControl w:val="0"/>
        <w:shd w:val="clear" w:color="auto" w:fill="auto"/>
        <w:bidi w:val="0"/>
        <w:spacing w:before="0" w:after="0" w:line="499" w:lineRule="exact"/>
        <w:ind w:left="0" w:right="0" w:firstLine="400"/>
        <w:jc w:val="left"/>
      </w:pPr>
      <w:r>
        <w:rPr>
          <w:color w:val="000000"/>
          <w:spacing w:val="0"/>
          <w:w w:val="100"/>
          <w:position w:val="0"/>
        </w:rPr>
        <w:t>（</w:t>
      </w:r>
      <w:r>
        <w:rPr>
          <w:b/>
          <w:bCs/>
          <w:color w:val="000000"/>
          <w:spacing w:val="0"/>
          <w:w w:val="100"/>
          <w:position w:val="0"/>
        </w:rPr>
        <w:t>3</w:t>
      </w:r>
      <w:r>
        <w:rPr>
          <w:color w:val="000000"/>
          <w:spacing w:val="0"/>
          <w:w w:val="100"/>
          <w:position w:val="0"/>
        </w:rPr>
        <w:t>）截至</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日，公司货币资金账面余额</w:t>
      </w:r>
      <w:r>
        <w:rPr>
          <w:b/>
          <w:bCs/>
          <w:color w:val="000000"/>
          <w:spacing w:val="0"/>
          <w:w w:val="100"/>
          <w:position w:val="0"/>
        </w:rPr>
        <w:t>33.86</w:t>
      </w:r>
      <w:r>
        <w:rPr>
          <w:color w:val="000000"/>
          <w:spacing w:val="0"/>
          <w:w w:val="100"/>
          <w:position w:val="0"/>
        </w:rPr>
        <w:t>亿元，其中受限资金</w:t>
      </w:r>
      <w:r>
        <w:rPr>
          <w:b/>
          <w:bCs/>
          <w:color w:val="000000"/>
          <w:spacing w:val="0"/>
          <w:w w:val="100"/>
          <w:position w:val="0"/>
        </w:rPr>
        <w:t>29.87</w:t>
      </w:r>
      <w:r>
        <w:rPr>
          <w:color w:val="000000"/>
          <w:spacing w:val="0"/>
          <w:w w:val="100"/>
          <w:position w:val="0"/>
        </w:rPr>
        <w:t>亿元；负债中列示</w:t>
      </w:r>
    </w:p>
    <w:p>
      <w:pPr>
        <w:pStyle w:val="Style17"/>
        <w:keepNext w:val="0"/>
        <w:keepLines w:val="0"/>
        <w:widowControl w:val="0"/>
        <w:shd w:val="clear" w:color="auto" w:fill="auto"/>
        <w:bidi w:val="0"/>
        <w:spacing w:before="0" w:after="100" w:line="499" w:lineRule="exact"/>
        <w:ind w:left="0" w:right="0" w:firstLine="0"/>
        <w:jc w:val="both"/>
        <w:sectPr>
          <w:footnotePr>
            <w:pos w:val="pageBottom"/>
            <w:numFmt w:val="decimal"/>
            <w:numRestart w:val="continuous"/>
          </w:footnotePr>
          <w:pgSz w:w="11900" w:h="16840"/>
          <w:pgMar w:top="1346" w:right="1080" w:bottom="1550" w:left="890" w:header="0" w:footer="3" w:gutter="0"/>
          <w:cols w:space="720"/>
          <w:noEndnote/>
          <w:rtlGutter w:val="0"/>
          <w:docGrid w:linePitch="360"/>
        </w:sectPr>
      </w:pPr>
      <w:r>
        <w:rPr>
          <w:color w:val="000000"/>
          <w:spacing w:val="0"/>
          <w:w w:val="100"/>
          <w:position w:val="0"/>
        </w:rPr>
        <w:t>的金融有息负债账面余额</w:t>
      </w:r>
      <w:r>
        <w:rPr>
          <w:b/>
          <w:bCs/>
          <w:color w:val="000000"/>
          <w:spacing w:val="0"/>
          <w:w w:val="100"/>
          <w:position w:val="0"/>
        </w:rPr>
        <w:t>91.38</w:t>
      </w:r>
      <w:r>
        <w:rPr>
          <w:color w:val="000000"/>
          <w:spacing w:val="0"/>
          <w:w w:val="100"/>
          <w:position w:val="0"/>
        </w:rPr>
        <w:t>亿元，其中未能如期偿还债务本息合计</w:t>
      </w:r>
      <w:r>
        <w:rPr>
          <w:b/>
          <w:bCs/>
          <w:color w:val="000000"/>
          <w:spacing w:val="0"/>
          <w:w w:val="100"/>
          <w:position w:val="0"/>
        </w:rPr>
        <w:t>10.43</w:t>
      </w:r>
      <w:r>
        <w:rPr>
          <w:color w:val="000000"/>
          <w:spacing w:val="0"/>
          <w:w w:val="100"/>
          <w:position w:val="0"/>
        </w:rPr>
        <w:t>亿元。截至财务报告批准报出日，</w:t>
      </w:r>
    </w:p>
    <w:p>
      <w:pPr>
        <w:pStyle w:val="Style17"/>
        <w:keepNext w:val="0"/>
        <w:keepLines w:val="0"/>
        <w:widowControl w:val="0"/>
        <w:shd w:val="clear" w:color="auto" w:fill="auto"/>
        <w:bidi w:val="0"/>
        <w:spacing w:before="0" w:after="0" w:line="518" w:lineRule="exact"/>
        <w:ind w:left="0" w:right="0" w:firstLine="0"/>
        <w:jc w:val="left"/>
      </w:pPr>
      <w:r>
        <w:rPr>
          <w:color w:val="000000"/>
          <w:spacing w:val="0"/>
          <w:w w:val="100"/>
          <w:position w:val="0"/>
        </w:rPr>
        <w:t>新增未能如期偿还债务</w:t>
      </w:r>
      <w:r>
        <w:rPr>
          <w:b/>
          <w:bCs/>
          <w:color w:val="000000"/>
          <w:spacing w:val="0"/>
          <w:w w:val="100"/>
          <w:position w:val="0"/>
        </w:rPr>
        <w:t>8</w:t>
      </w:r>
      <w:r>
        <w:rPr>
          <w:color w:val="000000"/>
          <w:spacing w:val="0"/>
          <w:w w:val="100"/>
          <w:position w:val="0"/>
        </w:rPr>
        <w:t>亿元，目前本公司正在与金融机构沟通签订展期协议。以上情况表明公司偿还到期债 务的能力具有不确定性。</w:t>
      </w:r>
    </w:p>
    <w:p>
      <w:pPr>
        <w:pStyle w:val="Style8"/>
        <w:keepNext/>
        <w:keepLines/>
        <w:widowControl w:val="0"/>
        <w:shd w:val="clear" w:color="auto" w:fill="auto"/>
        <w:bidi w:val="0"/>
        <w:spacing w:before="0" w:after="280" w:line="518" w:lineRule="exact"/>
        <w:ind w:left="0" w:right="0" w:firstLine="360"/>
        <w:jc w:val="left"/>
        <w:rPr>
          <w:sz w:val="20"/>
          <w:szCs w:val="20"/>
        </w:rPr>
      </w:pPr>
      <w:bookmarkStart w:id="1162" w:name="bookmark1162"/>
      <w:bookmarkStart w:id="1163" w:name="bookmark1163"/>
      <w:bookmarkStart w:id="1164" w:name="bookmark1164"/>
      <w:r>
        <w:rPr>
          <w:color w:val="000000"/>
          <w:spacing w:val="0"/>
          <w:w w:val="100"/>
          <w:position w:val="0"/>
          <w:sz w:val="20"/>
          <w:szCs w:val="20"/>
        </w:rPr>
        <w:t>十四、母公司财务报表主要项目注释</w:t>
      </w:r>
      <w:bookmarkEnd w:id="1162"/>
      <w:bookmarkEnd w:id="1163"/>
      <w:bookmarkEnd w:id="1164"/>
    </w:p>
    <w:p>
      <w:pPr>
        <w:pStyle w:val="Style20"/>
        <w:keepNext/>
        <w:keepLines/>
        <w:widowControl w:val="0"/>
        <w:shd w:val="clear" w:color="auto" w:fill="auto"/>
        <w:bidi w:val="0"/>
        <w:spacing w:before="0" w:after="0" w:line="542" w:lineRule="auto"/>
        <w:ind w:left="0" w:right="0" w:firstLine="360"/>
        <w:jc w:val="left"/>
        <w:rPr>
          <w:sz w:val="20"/>
          <w:szCs w:val="20"/>
        </w:rPr>
      </w:pPr>
      <w:bookmarkStart w:id="1165" w:name="bookmark1165"/>
      <w:bookmarkStart w:id="1166" w:name="bookmark1166"/>
      <w:bookmarkStart w:id="1167" w:name="bookmark1167"/>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、应收账款</w:t>
      </w:r>
      <w:bookmarkEnd w:id="1165"/>
      <w:bookmarkEnd w:id="1166"/>
      <w:bookmarkEnd w:id="1167"/>
    </w:p>
    <w:p>
      <w:pPr>
        <w:pStyle w:val="Style27"/>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）以摊余成本计量的应收账款：</w:t>
      </w:r>
    </w:p>
    <w:tbl>
      <w:tblPr>
        <w:tblOverlap w:val="never"/>
        <w:jc w:val="center"/>
        <w:tblLayout w:type="fixed"/>
      </w:tblPr>
      <w:tblGrid>
        <w:gridCol w:w="1162"/>
        <w:gridCol w:w="1382"/>
        <w:gridCol w:w="1310"/>
        <w:gridCol w:w="1402"/>
        <w:gridCol w:w="1406"/>
        <w:gridCol w:w="1402"/>
        <w:gridCol w:w="1430"/>
      </w:tblGrid>
      <w:tr>
        <w:trPr>
          <w:trHeight w:val="46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3,055,301.93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67,115.93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2,988,186.00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101,970.93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71,180.93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30,790.00</w:t>
            </w:r>
          </w:p>
        </w:tc>
      </w:tr>
      <w:tr>
        <w:trPr>
          <w:trHeight w:val="4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b/>
                <w:bCs/>
                <w:color w:val="000000"/>
                <w:spacing w:val="0"/>
                <w:w w:val="100"/>
                <w:position w:val="0"/>
                <w:sz w:val="18"/>
                <w:szCs w:val="18"/>
              </w:rPr>
              <w:t>3,055,301.93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67,115.93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2,988,186.00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b/>
                <w:bCs/>
                <w:color w:val="000000"/>
                <w:spacing w:val="0"/>
                <w:w w:val="100"/>
                <w:position w:val="0"/>
                <w:sz w:val="18"/>
                <w:szCs w:val="18"/>
              </w:rPr>
              <w:t>101,970.93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71,180.93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b/>
                <w:bCs/>
                <w:color w:val="000000"/>
                <w:spacing w:val="0"/>
                <w:w w:val="100"/>
                <w:position w:val="0"/>
                <w:sz w:val="18"/>
                <w:szCs w:val="18"/>
              </w:rPr>
              <w:t>30,790.00</w:t>
            </w:r>
          </w:p>
        </w:tc>
      </w:tr>
    </w:tbl>
    <w:p>
      <w:pPr>
        <w:pStyle w:val="Style25"/>
        <w:keepNext w:val="0"/>
        <w:keepLines w:val="0"/>
        <w:widowControl w:val="0"/>
        <w:shd w:val="clear" w:color="auto" w:fill="auto"/>
        <w:bidi w:val="0"/>
        <w:spacing w:before="0" w:after="0" w:line="240" w:lineRule="auto"/>
        <w:ind w:left="293"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）坏账准备:</w:t>
      </w:r>
    </w:p>
    <w:p>
      <w:pPr>
        <w:widowControl w:val="0"/>
        <w:spacing w:after="279" w:line="1" w:lineRule="exact"/>
      </w:pPr>
    </w:p>
    <w:tbl>
      <w:tblPr>
        <w:tblOverlap w:val="never"/>
        <w:jc w:val="center"/>
        <w:tblLayout w:type="fixed"/>
      </w:tblPr>
      <w:tblGrid>
        <w:gridCol w:w="1973"/>
        <w:gridCol w:w="226"/>
        <w:gridCol w:w="1171"/>
        <w:gridCol w:w="307"/>
        <w:gridCol w:w="504"/>
        <w:gridCol w:w="586"/>
        <w:gridCol w:w="1027"/>
        <w:gridCol w:w="418"/>
        <w:gridCol w:w="1402"/>
        <w:gridCol w:w="1920"/>
      </w:tblGrid>
      <w:tr>
        <w:trPr>
          <w:trHeight w:val="643" w:hRule="exact"/>
        </w:trPr>
        <w:tc>
          <w:tcPr>
            <w:gridSpan w:val="10"/>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60" w:line="240" w:lineRule="auto"/>
              <w:ind w:left="0" w:right="0" w:firstLine="220"/>
              <w:jc w:val="left"/>
              <w:rPr>
                <w:sz w:val="17"/>
                <w:szCs w:val="17"/>
              </w:rPr>
            </w:pPr>
            <w:r>
              <w:rPr>
                <w:color w:val="000000"/>
                <w:spacing w:val="0"/>
                <w:w w:val="100"/>
                <w:position w:val="0"/>
                <w:sz w:val="17"/>
                <w:szCs w:val="17"/>
              </w:rPr>
              <w:t>本公司对应收账款，无论是否存在重大融资成分，均按照整个存续期的预期信用损失计量损失准备。</w:t>
            </w:r>
          </w:p>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①</w:t>
            </w: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日，组合计提坏账准备：</w:t>
            </w:r>
          </w:p>
        </w:tc>
      </w:tr>
      <w:tr>
        <w:trPr>
          <w:trHeight w:val="418" w:hRule="exact"/>
        </w:trPr>
        <w:tc>
          <w:tcPr>
            <w:gridSpan w:val="4"/>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名称</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2" w:hRule="exact"/>
        </w:trPr>
        <w:tc>
          <w:tcPr>
            <w:gridSpan w:val="4"/>
            <w:vMerge/>
            <w:tcBorders>
              <w:left w:val="single" w:sz="4"/>
            </w:tcBorders>
            <w:shd w:val="clear" w:color="auto" w:fill="FFFFFF"/>
            <w:vAlign w:val="center"/>
          </w:tcPr>
          <w:p>
            <w:pP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计提比例（</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r>
      <w:tr>
        <w:trPr>
          <w:trHeight w:val="427"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账龄分析法组合</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3,055,301.93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67,115.93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Arial Narrow" w:eastAsia="Arial Narrow" w:hAnsi="Arial Narrow" w:cs="Arial Narrow"/>
                <w:color w:val="000000"/>
                <w:spacing w:val="0"/>
                <w:w w:val="100"/>
                <w:position w:val="0"/>
                <w:sz w:val="18"/>
                <w:szCs w:val="18"/>
              </w:rPr>
              <w:t>2.20</w:t>
            </w:r>
          </w:p>
        </w:tc>
      </w:tr>
      <w:tr>
        <w:trPr>
          <w:trHeight w:val="437"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3,055,301.93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67,115.93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Arial Narrow" w:eastAsia="Arial Narrow" w:hAnsi="Arial Narrow" w:cs="Arial Narrow"/>
                <w:b/>
                <w:bCs/>
                <w:color w:val="000000"/>
                <w:spacing w:val="0"/>
                <w:w w:val="100"/>
                <w:position w:val="0"/>
                <w:sz w:val="18"/>
                <w:szCs w:val="18"/>
              </w:rPr>
              <w:t>2.20</w:t>
            </w:r>
          </w:p>
        </w:tc>
      </w:tr>
      <w:tr>
        <w:trPr>
          <w:trHeight w:val="566" w:hRule="exact"/>
        </w:trPr>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其中：账龄分析法组合列式如下</w:t>
            </w:r>
          </w:p>
        </w:tc>
      </w:tr>
      <w:tr>
        <w:trPr>
          <w:trHeight w:val="418" w:hRule="exact"/>
        </w:trPr>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账龄</w:t>
            </w:r>
          </w:p>
        </w:tc>
        <w:tc>
          <w:tcPr>
            <w:gridSpan w:val="8"/>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2" w:hRule="exact"/>
        </w:trPr>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整个存续期预期信用损失率（</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坏账准备</w:t>
            </w:r>
          </w:p>
        </w:tc>
      </w:tr>
      <w:tr>
        <w:trPr>
          <w:trHeight w:val="4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信用期内</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2,988,186.00</w:t>
            </w:r>
          </w:p>
        </w:tc>
        <w:tc>
          <w:tcPr>
            <w:gridSpan w:val="4"/>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年以内</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1 </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年</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年</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年</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年以上</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67,115.93</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67,115.93</w:t>
            </w:r>
          </w:p>
        </w:tc>
      </w:tr>
      <w:tr>
        <w:trPr>
          <w:trHeight w:val="43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3,055,301.93</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b/>
                <w:bCs/>
                <w:color w:val="000000"/>
                <w:spacing w:val="0"/>
                <w:w w:val="100"/>
                <w:position w:val="0"/>
                <w:sz w:val="18"/>
                <w:szCs w:val="18"/>
              </w:rPr>
              <w:t>67,115.93</w:t>
            </w:r>
          </w:p>
        </w:tc>
      </w:tr>
      <w:tr>
        <w:trPr>
          <w:trHeight w:val="610" w:hRule="exact"/>
        </w:trPr>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②坏账准备的变动</w:t>
            </w:r>
          </w:p>
        </w:tc>
      </w:tr>
      <w:tr>
        <w:trPr>
          <w:trHeight w:val="41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3"/>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37"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转销</w:t>
            </w:r>
          </w:p>
        </w:tc>
        <w:tc>
          <w:tcPr>
            <w:vMerge/>
            <w:tcBorders>
              <w:left w:val="single" w:sz="4"/>
              <w:right w:val="single" w:sz="4"/>
            </w:tcBorders>
            <w:shd w:val="clear" w:color="auto" w:fill="FFFFFF"/>
            <w:vAlign w:val="center"/>
          </w:tcPr>
          <w:p>
            <w:pPr/>
          </w:p>
        </w:tc>
      </w:tr>
      <w:tr>
        <w:trPr>
          <w:trHeight w:val="259" w:hRule="exact"/>
        </w:trPr>
        <w:tc>
          <w:tcPr>
            <w:gridSpan w:val="10"/>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 xml:space="preserve">217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224</w:t>
            </w:r>
          </w:p>
        </w:tc>
      </w:tr>
    </w:tbl>
    <w:p>
      <w:pPr>
        <w:sectPr>
          <w:footnotePr>
            <w:pos w:val="pageBottom"/>
            <w:numFmt w:val="decimal"/>
            <w:numRestart w:val="continuous"/>
          </w:footnotePr>
          <w:pgSz w:w="11900" w:h="16840"/>
          <w:pgMar w:top="1354" w:right="1102" w:bottom="1292" w:left="1112" w:header="0" w:footer="3" w:gutter="0"/>
          <w:cols w:space="720"/>
          <w:noEndnote/>
          <w:rtlGutter w:val="0"/>
          <w:docGrid w:linePitch="360"/>
        </w:sectPr>
      </w:pPr>
    </w:p>
    <w:p>
      <w:pPr>
        <w:pStyle w:val="Style82"/>
        <w:keepNext w:val="0"/>
        <w:keepLines w:val="0"/>
        <w:widowControl w:val="0"/>
        <w:shd w:val="clear" w:color="auto" w:fill="auto"/>
        <w:tabs>
          <w:tab w:pos="2571" w:val="left"/>
          <w:tab w:pos="5451" w:val="left"/>
          <w:tab w:pos="8370" w:val="left"/>
        </w:tabs>
        <w:bidi w:val="0"/>
        <w:spacing w:before="0" w:after="0" w:line="494" w:lineRule="exact"/>
        <w:ind w:left="0" w:right="0" w:firstLine="560"/>
        <w:jc w:val="left"/>
      </w:pPr>
      <w:r>
        <w:rPr>
          <w:rFonts w:ascii="SimSun" w:eastAsia="SimSun" w:hAnsi="SimSun" w:cs="SimSun"/>
          <w:color w:val="000000"/>
          <w:spacing w:val="0"/>
          <w:w w:val="100"/>
          <w:position w:val="0"/>
          <w:sz w:val="17"/>
          <w:szCs w:val="17"/>
        </w:rPr>
        <w:t>应收账款坏账准备</w:t>
        <w:tab/>
      </w:r>
      <w:r>
        <w:rPr>
          <w:color w:val="000000"/>
          <w:spacing w:val="0"/>
          <w:w w:val="100"/>
          <w:position w:val="0"/>
        </w:rPr>
        <w:t>71,180.93</w:t>
        <w:tab/>
        <w:t>4,065.00</w:t>
        <w:tab/>
        <w:t>67,115.93</w:t>
      </w:r>
    </w:p>
    <w:p>
      <w:pPr>
        <w:pStyle w:val="Style27"/>
        <w:keepNext w:val="0"/>
        <w:keepLines w:val="0"/>
        <w:widowControl w:val="0"/>
        <w:shd w:val="clear" w:color="auto" w:fill="auto"/>
        <w:bidi w:val="0"/>
        <w:spacing w:before="0" w:after="0" w:line="494" w:lineRule="exact"/>
        <w:ind w:left="0" w:right="0" w:firstLine="500"/>
        <w:jc w:val="left"/>
        <w:rPr>
          <w:sz w:val="17"/>
          <w:szCs w:val="17"/>
        </w:rPr>
      </w:pPr>
      <w:r>
        <w:rPr>
          <w:color w:val="000000"/>
          <w:spacing w:val="0"/>
          <w:w w:val="100"/>
          <w:position w:val="0"/>
          <w:sz w:val="17"/>
          <w:szCs w:val="17"/>
        </w:rPr>
        <w:t>③按欠款方归集的期末余额前五名的应收账款情况：</w:t>
      </w:r>
    </w:p>
    <w:p>
      <w:pPr>
        <w:pStyle w:val="Style27"/>
        <w:keepNext w:val="0"/>
        <w:keepLines w:val="0"/>
        <w:widowControl w:val="0"/>
        <w:shd w:val="clear" w:color="auto" w:fill="auto"/>
        <w:bidi w:val="0"/>
        <w:spacing w:before="0" w:after="280" w:line="494" w:lineRule="exact"/>
        <w:ind w:left="140" w:right="0" w:firstLine="360"/>
        <w:jc w:val="left"/>
        <w:rPr>
          <w:sz w:val="17"/>
          <w:szCs w:val="17"/>
        </w:rPr>
      </w:pPr>
      <w:r>
        <w:rPr>
          <w:color w:val="000000"/>
          <w:spacing w:val="0"/>
          <w:w w:val="100"/>
          <w:position w:val="0"/>
          <w:sz w:val="17"/>
          <w:szCs w:val="17"/>
        </w:rPr>
        <w:t>本报告期按欠款方归集的期末余额前五名应收账款汇总金额</w:t>
      </w:r>
      <w:r>
        <w:rPr>
          <w:rFonts w:ascii="Arial Narrow" w:eastAsia="Arial Narrow" w:hAnsi="Arial Narrow" w:cs="Arial Narrow"/>
          <w:color w:val="000000"/>
          <w:spacing w:val="0"/>
          <w:w w:val="100"/>
          <w:position w:val="0"/>
          <w:sz w:val="18"/>
          <w:szCs w:val="18"/>
        </w:rPr>
        <w:t>3,055,301.93</w:t>
      </w:r>
      <w:r>
        <w:rPr>
          <w:color w:val="000000"/>
          <w:spacing w:val="0"/>
          <w:w w:val="100"/>
          <w:position w:val="0"/>
          <w:sz w:val="17"/>
          <w:szCs w:val="17"/>
        </w:rPr>
        <w:t>元，占应收账款期末余额合计数的比例</w:t>
      </w:r>
      <w:r>
        <w:rPr>
          <w:rFonts w:ascii="Arial Narrow" w:eastAsia="Arial Narrow" w:hAnsi="Arial Narrow" w:cs="Arial Narrow"/>
          <w:color w:val="000000"/>
          <w:spacing w:val="0"/>
          <w:w w:val="100"/>
          <w:position w:val="0"/>
          <w:sz w:val="18"/>
          <w:szCs w:val="18"/>
        </w:rPr>
        <w:t>100.00%</w:t>
      </w:r>
      <w:r>
        <w:rPr>
          <w:color w:val="000000"/>
          <w:spacing w:val="0"/>
          <w:w w:val="100"/>
          <w:position w:val="0"/>
          <w:sz w:val="17"/>
          <w:szCs w:val="17"/>
        </w:rPr>
        <w:t>， 相应计提的坏账准备期末余额汇总金额</w:t>
      </w:r>
      <w:r>
        <w:rPr>
          <w:rFonts w:ascii="Arial Narrow" w:eastAsia="Arial Narrow" w:hAnsi="Arial Narrow" w:cs="Arial Narrow"/>
          <w:color w:val="000000"/>
          <w:spacing w:val="0"/>
          <w:w w:val="100"/>
          <w:position w:val="0"/>
          <w:sz w:val="18"/>
          <w:szCs w:val="18"/>
        </w:rPr>
        <w:t>67,115.93</w:t>
      </w:r>
      <w:r>
        <w:rPr>
          <w:color w:val="000000"/>
          <w:spacing w:val="0"/>
          <w:w w:val="100"/>
          <w:position w:val="0"/>
          <w:sz w:val="17"/>
          <w:szCs w:val="17"/>
        </w:rPr>
        <w:t>元。</w:t>
      </w:r>
    </w:p>
    <w:tbl>
      <w:tblPr>
        <w:tblOverlap w:val="never"/>
        <w:jc w:val="center"/>
        <w:tblLayout w:type="fixed"/>
      </w:tblPr>
      <w:tblGrid>
        <w:gridCol w:w="3182"/>
        <w:gridCol w:w="3202"/>
        <w:gridCol w:w="2856"/>
      </w:tblGrid>
      <w:tr>
        <w:trPr>
          <w:trHeight w:val="322"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20"/>
                <w:szCs w:val="20"/>
              </w:rPr>
            </w:pPr>
            <w:bookmarkStart w:id="1168" w:name="bookmark1168"/>
            <w:r>
              <w:rPr>
                <w:rFonts w:ascii="Arial Narrow" w:eastAsia="Arial Narrow" w:hAnsi="Arial Narrow" w:cs="Arial Narrow"/>
                <w:b/>
                <w:bCs/>
                <w:color w:val="000000"/>
                <w:spacing w:val="0"/>
                <w:w w:val="100"/>
                <w:position w:val="0"/>
                <w:sz w:val="20"/>
                <w:szCs w:val="20"/>
              </w:rPr>
              <w:t>2</w:t>
            </w:r>
            <w:r>
              <w:rPr>
                <w:b/>
                <w:bCs/>
                <w:color w:val="000000"/>
                <w:spacing w:val="0"/>
                <w:w w:val="100"/>
                <w:position w:val="0"/>
                <w:sz w:val="20"/>
                <w:szCs w:val="20"/>
              </w:rPr>
              <w:t>、其他应收款</w:t>
            </w:r>
            <w:bookmarkEnd w:id="1168"/>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2,792,765,894.14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2,786,129,563.11</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2,792,765,894.14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2,786,129,563.11</w:t>
            </w:r>
          </w:p>
        </w:tc>
      </w:tr>
    </w:tbl>
    <w:p>
      <w:pPr>
        <w:widowControl w:val="0"/>
        <w:spacing w:after="279" w:line="1" w:lineRule="exact"/>
      </w:pPr>
    </w:p>
    <w:p>
      <w:pPr>
        <w:pStyle w:val="Style27"/>
        <w:keepNext w:val="0"/>
        <w:keepLines w:val="0"/>
        <w:widowControl w:val="0"/>
        <w:shd w:val="clear" w:color="auto" w:fill="auto"/>
        <w:bidi w:val="0"/>
        <w:spacing w:before="0" w:after="280" w:line="240" w:lineRule="auto"/>
        <w:ind w:left="0" w:right="0" w:firstLine="56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）其他应收款情况</w:t>
      </w:r>
    </w:p>
    <w:p>
      <w:pPr>
        <w:pStyle w:val="Style27"/>
        <w:keepNext w:val="0"/>
        <w:keepLines w:val="0"/>
        <w:widowControl w:val="0"/>
        <w:shd w:val="clear" w:color="auto" w:fill="auto"/>
        <w:bidi w:val="0"/>
        <w:spacing w:before="0" w:after="280" w:line="240" w:lineRule="auto"/>
        <w:ind w:left="0" w:right="0" w:firstLine="560"/>
        <w:jc w:val="left"/>
        <w:rPr>
          <w:sz w:val="17"/>
          <w:szCs w:val="17"/>
        </w:rPr>
      </w:pPr>
      <w:r>
        <w:rPr>
          <w:color w:val="000000"/>
          <w:spacing w:val="0"/>
          <w:w w:val="100"/>
          <w:position w:val="0"/>
          <w:sz w:val="17"/>
          <w:szCs w:val="17"/>
        </w:rPr>
        <w:t>①坏账准备</w:t>
      </w:r>
    </w:p>
    <w:p>
      <w:pPr>
        <w:pStyle w:val="Style25"/>
        <w:keepNext w:val="0"/>
        <w:keepLines w:val="0"/>
        <w:widowControl w:val="0"/>
        <w:shd w:val="clear" w:color="auto" w:fill="auto"/>
        <w:bidi w:val="0"/>
        <w:spacing w:before="0" w:after="0" w:line="240" w:lineRule="auto"/>
        <w:ind w:left="307" w:right="0" w:firstLine="0"/>
        <w:jc w:val="left"/>
        <w:rPr>
          <w:sz w:val="17"/>
          <w:szCs w:val="17"/>
        </w:rPr>
      </w:pPr>
      <w:r>
        <w:rPr>
          <w:rFonts w:ascii="Arial Narrow" w:eastAsia="Arial Narrow" w:hAnsi="Arial Narrow" w:cs="Arial Narrow"/>
          <w:color w:val="000000"/>
          <w:spacing w:val="0"/>
          <w:w w:val="100"/>
          <w:position w:val="0"/>
          <w:sz w:val="18"/>
          <w:szCs w:val="18"/>
        </w:rPr>
        <w:t>A.2021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日，处于第一阶段的其他应收款坏账准备如下:</w:t>
      </w:r>
    </w:p>
    <w:tbl>
      <w:tblPr>
        <w:tblOverlap w:val="never"/>
        <w:jc w:val="left"/>
        <w:tblLayout w:type="fixed"/>
      </w:tblPr>
      <w:tblGrid>
        <w:gridCol w:w="2986"/>
        <w:gridCol w:w="1680"/>
        <w:gridCol w:w="1714"/>
        <w:gridCol w:w="1517"/>
        <w:gridCol w:w="1344"/>
      </w:tblGrid>
      <w:tr>
        <w:trPr>
          <w:trHeight w:val="42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6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未来</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20"/>
                <w:szCs w:val="20"/>
              </w:rPr>
              <w:t>个月预期 信用损失率（%）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理由</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按预期信用风险特征组合计提坏账 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61,612,085.73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15,108,056.50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回收可能性</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2,746,261,864.91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2,807,873,950.64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15,108,056.50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27"/>
        <w:keepNext w:val="0"/>
        <w:keepLines w:val="0"/>
        <w:widowControl w:val="0"/>
        <w:numPr>
          <w:ilvl w:val="0"/>
          <w:numId w:val="39"/>
        </w:numPr>
        <w:shd w:val="clear" w:color="auto" w:fill="auto"/>
        <w:tabs>
          <w:tab w:pos="760" w:val="left"/>
        </w:tabs>
        <w:bidi w:val="0"/>
        <w:spacing w:before="0" w:after="320" w:line="240" w:lineRule="auto"/>
        <w:ind w:left="0" w:right="0" w:firstLine="440"/>
        <w:jc w:val="left"/>
        <w:rPr>
          <w:sz w:val="17"/>
          <w:szCs w:val="17"/>
        </w:rPr>
      </w:pPr>
      <w:bookmarkStart w:id="1169" w:name="bookmark1169"/>
      <w:bookmarkEnd w:id="1169"/>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日，处于第二阶段的其他应收款坏账准备：无</w:t>
      </w:r>
    </w:p>
    <w:p>
      <w:pPr>
        <w:pStyle w:val="Style27"/>
        <w:keepNext w:val="0"/>
        <w:keepLines w:val="0"/>
        <w:widowControl w:val="0"/>
        <w:numPr>
          <w:ilvl w:val="0"/>
          <w:numId w:val="39"/>
        </w:numPr>
        <w:shd w:val="clear" w:color="auto" w:fill="auto"/>
        <w:tabs>
          <w:tab w:pos="770" w:val="left"/>
        </w:tabs>
        <w:bidi w:val="0"/>
        <w:spacing w:before="0" w:after="80" w:line="240" w:lineRule="auto"/>
        <w:ind w:left="0" w:right="0" w:firstLine="440"/>
        <w:jc w:val="left"/>
        <w:rPr>
          <w:sz w:val="17"/>
          <w:szCs w:val="17"/>
        </w:rPr>
      </w:pPr>
      <w:bookmarkStart w:id="1170" w:name="bookmark1170"/>
      <w:bookmarkEnd w:id="1170"/>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日，处于第三阶段的其他应收款坏账准备：</w:t>
      </w:r>
    </w:p>
    <w:tbl>
      <w:tblPr>
        <w:tblOverlap w:val="never"/>
        <w:jc w:val="center"/>
        <w:tblLayout w:type="fixed"/>
      </w:tblPr>
      <w:tblGrid>
        <w:gridCol w:w="3494"/>
        <w:gridCol w:w="1546"/>
        <w:gridCol w:w="1306"/>
        <w:gridCol w:w="1454"/>
        <w:gridCol w:w="1579"/>
      </w:tblGrid>
      <w:tr>
        <w:trPr>
          <w:trHeight w:val="42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10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未来</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20"/>
                <w:szCs w:val="20"/>
              </w:rPr>
              <w:t>个月 预期信用损 失率（</w:t>
            </w:r>
            <w:r>
              <w:rPr>
                <w:b/>
                <w:bCs/>
                <w:color w:val="000000"/>
                <w:spacing w:val="0"/>
                <w:w w:val="100"/>
                <w:position w:val="0"/>
                <w:sz w:val="24"/>
                <w:szCs w:val="24"/>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理由</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深圳市海龙王房地产开发有限公司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深圳业丰工贸发展公司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预计无法收回</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中天蓝瑞环保科技集团有限公司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33,003,080.86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33,003,080.86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预计无法收回</w:t>
            </w:r>
          </w:p>
        </w:tc>
      </w:tr>
    </w:tbl>
    <w:p>
      <w:pPr>
        <w:spacing w:lineRule="exact" w:line="1"/>
        <w:rPr>
          <w:sz w:val="2"/>
          <w:szCs w:val="2"/>
        </w:rPr>
      </w:pPr>
      <w:r>
        <w:br w:type="page"/>
      </w:r>
    </w:p>
    <w:tbl>
      <w:tblPr>
        <w:tblOverlap w:val="never"/>
        <w:jc w:val="center"/>
        <w:tblLayout w:type="fixed"/>
      </w:tblPr>
      <w:tblGrid>
        <w:gridCol w:w="3494"/>
        <w:gridCol w:w="1546"/>
        <w:gridCol w:w="1310"/>
        <w:gridCol w:w="1454"/>
        <w:gridCol w:w="1574"/>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广州金宇房地产开发公司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深圳桂兴贸易发展公司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深圳发中公司代持股款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深圳丰华电子公司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深圳发中实业有限公司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南山综合楼消防工程款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正中置业集团有限公司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深圳市竣雄投资有限公司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龙岗五联村将军帽自然村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珠海市鑫大生物工程有限公司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黄立业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106,345.00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106,345.00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平顶山市公共资产交易中心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天勤工程咨询有限公司淄博分公司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预计无法收回</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192,318,104.73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192,318,104.73</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按预期信用风险特征组合计提坏账准备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475" w:right="0" w:firstLine="0"/>
        <w:jc w:val="left"/>
        <w:rPr>
          <w:sz w:val="17"/>
          <w:szCs w:val="17"/>
        </w:rPr>
      </w:pPr>
      <w:r>
        <w:rPr>
          <w:color w:val="000000"/>
          <w:spacing w:val="0"/>
          <w:w w:val="100"/>
          <w:position w:val="0"/>
          <w:sz w:val="16"/>
          <w:szCs w:val="16"/>
        </w:rPr>
        <w:t>②</w:t>
      </w:r>
      <w:r>
        <w:rPr>
          <w:color w:val="000000"/>
          <w:spacing w:val="0"/>
          <w:w w:val="100"/>
          <w:position w:val="0"/>
          <w:sz w:val="17"/>
          <w:szCs w:val="17"/>
        </w:rPr>
        <w:t>坏账准备的变动</w:t>
      </w:r>
    </w:p>
    <w:tbl>
      <w:tblPr>
        <w:tblOverlap w:val="never"/>
        <w:jc w:val="center"/>
        <w:tblLayout w:type="fixed"/>
      </w:tblPr>
      <w:tblGrid>
        <w:gridCol w:w="2606"/>
        <w:gridCol w:w="1742"/>
        <w:gridCol w:w="1656"/>
        <w:gridCol w:w="1603"/>
        <w:gridCol w:w="1738"/>
      </w:tblGrid>
      <w:tr>
        <w:trPr>
          <w:trHeight w:val="38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第三阶段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9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17"/>
                <w:szCs w:val="17"/>
              </w:rPr>
              <w:t>个月内预期 信用损失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b/>
                <w:bCs/>
                <w:color w:val="000000"/>
                <w:spacing w:val="0"/>
                <w:w w:val="100"/>
                <w:position w:val="0"/>
                <w:sz w:val="17"/>
                <w:szCs w:val="17"/>
              </w:rPr>
              <w:t>整个存续期预期 信用损失（未发生 信用减值）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整个存续期预期 信用损失（已发生 信用减值）</w:t>
            </w:r>
          </w:p>
        </w:tc>
        <w:tc>
          <w:tcPr>
            <w:vMerge/>
            <w:tcBorders>
              <w:left w:val="single" w:sz="4"/>
            </w:tcBorders>
            <w:shd w:val="clear" w:color="auto" w:fill="FFFFFF"/>
            <w:vAlign w:val="center"/>
          </w:tcPr>
          <w:p>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10,740,202.84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190,818,104.73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201,558,307.57</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转入第一阶段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4,479,146.24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5,979,146.24</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本期转回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111,292.58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111,292.58</w:t>
            </w:r>
          </w:p>
        </w:tc>
      </w:tr>
    </w:tbl>
    <w:p>
      <w:pPr>
        <w:spacing w:lineRule="exact" w:line="1"/>
        <w:rPr>
          <w:sz w:val="2"/>
          <w:szCs w:val="2"/>
        </w:rPr>
      </w:pPr>
      <w:r>
        <w:br w:type="page"/>
      </w:r>
    </w:p>
    <w:tbl>
      <w:tblPr>
        <w:tblOverlap w:val="never"/>
        <w:jc w:val="center"/>
        <w:tblLayout w:type="fixed"/>
      </w:tblPr>
      <w:tblGrid>
        <w:gridCol w:w="2606"/>
        <w:gridCol w:w="1742"/>
        <w:gridCol w:w="1656"/>
        <w:gridCol w:w="1603"/>
        <w:gridCol w:w="1738"/>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15,108,056.50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192,318,104.73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207,426,161.23</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456" w:right="0" w:firstLine="0"/>
        <w:jc w:val="left"/>
        <w:rPr>
          <w:sz w:val="17"/>
          <w:szCs w:val="17"/>
        </w:rPr>
      </w:pPr>
      <w:r>
        <w:rPr>
          <w:color w:val="000000"/>
          <w:spacing w:val="0"/>
          <w:w w:val="100"/>
          <w:position w:val="0"/>
          <w:sz w:val="17"/>
          <w:szCs w:val="17"/>
        </w:rPr>
        <w:t>③其他应收款按款项性质分类情况</w:t>
      </w:r>
    </w:p>
    <w:tbl>
      <w:tblPr>
        <w:tblOverlap w:val="never"/>
        <w:jc w:val="center"/>
        <w:tblLayout w:type="fixed"/>
      </w:tblPr>
      <w:tblGrid>
        <w:gridCol w:w="3365"/>
        <w:gridCol w:w="3048"/>
        <w:gridCol w:w="2899"/>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2,722,017,571.82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2,717,794,357.83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28,833,060.56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27,280,529.79</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代垫款项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249,206,365.17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242,505,454.81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135,057.82</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107,528.25</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3,000,192,055.37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2,987,687,870.68</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504" w:right="0" w:firstLine="0"/>
        <w:jc w:val="left"/>
        <w:rPr>
          <w:sz w:val="17"/>
          <w:szCs w:val="17"/>
        </w:rPr>
      </w:pPr>
      <w:r>
        <w:rPr>
          <w:color w:val="000000"/>
          <w:spacing w:val="0"/>
          <w:w w:val="100"/>
          <w:position w:val="0"/>
          <w:sz w:val="17"/>
          <w:szCs w:val="17"/>
        </w:rPr>
        <w:t>④按欠款方归集的期末余额前五名的其他应收款情况:</w:t>
      </w:r>
    </w:p>
    <w:tbl>
      <w:tblPr>
        <w:tblOverlap w:val="never"/>
        <w:jc w:val="center"/>
        <w:tblLayout w:type="fixed"/>
      </w:tblPr>
      <w:tblGrid>
        <w:gridCol w:w="1978"/>
        <w:gridCol w:w="739"/>
        <w:gridCol w:w="686"/>
        <w:gridCol w:w="1574"/>
        <w:gridCol w:w="2270"/>
        <w:gridCol w:w="706"/>
        <w:gridCol w:w="1416"/>
      </w:tblGrid>
      <w:tr>
        <w:trPr>
          <w:trHeight w:val="15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b/>
                <w:bCs/>
                <w:color w:val="000000"/>
                <w:spacing w:val="0"/>
                <w:w w:val="100"/>
                <w:position w:val="0"/>
                <w:sz w:val="17"/>
                <w:szCs w:val="17"/>
              </w:rPr>
              <w:t>款项</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是否 关联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占其他 应收款 总额的 比例 （</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坏账准备余额</w:t>
            </w:r>
          </w:p>
        </w:tc>
      </w:tr>
      <w:tr>
        <w:trPr>
          <w:trHeight w:val="21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西藏东旭电力工程有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关联</w:t>
            </w:r>
          </w:p>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方往</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1,766,051,745.16</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1046" w:val="left"/>
              </w:tabs>
              <w:bidi w:val="0"/>
              <w:spacing w:before="0" w:after="0" w:line="302" w:lineRule="exact"/>
              <w:ind w:left="0" w:right="0" w:firstLine="0"/>
              <w:jc w:val="center"/>
              <w:rPr>
                <w:sz w:val="17"/>
                <w:szCs w:val="17"/>
              </w:rPr>
            </w:pPr>
            <w:r>
              <w:rPr>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 xml:space="preserve">年以内： </w:t>
            </w:r>
            <w:r>
              <w:rPr>
                <w:rFonts w:ascii="Arial Narrow" w:eastAsia="Arial Narrow" w:hAnsi="Arial Narrow" w:cs="Arial Narrow"/>
                <w:color w:val="000000"/>
                <w:spacing w:val="0"/>
                <w:w w:val="100"/>
                <w:position w:val="0"/>
                <w:sz w:val="18"/>
                <w:szCs w:val="18"/>
              </w:rPr>
              <w:t>9,119,034.15</w:t>
            </w:r>
            <w:r>
              <w:rPr>
                <w:color w:val="000000"/>
                <w:spacing w:val="0"/>
                <w:w w:val="100"/>
                <w:position w:val="0"/>
                <w:sz w:val="16"/>
                <w:szCs w:val="16"/>
              </w:rPr>
              <w:t>；</w:t>
              <w:tab/>
            </w: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302"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86,571,801.13 </w:t>
            </w:r>
            <w:r>
              <w:rPr>
                <w:color w:val="000000"/>
                <w:spacing w:val="0"/>
                <w:w w:val="100"/>
                <w:position w:val="0"/>
                <w:sz w:val="16"/>
                <w:szCs w:val="16"/>
              </w:rPr>
              <w:t xml:space="preserve">； </w:t>
            </w:r>
            <w:r>
              <w:rPr>
                <w:rFonts w:ascii="Arial Narrow" w:eastAsia="Arial Narrow" w:hAnsi="Arial Narrow" w:cs="Arial Narrow"/>
                <w:color w:val="000000"/>
                <w:spacing w:val="0"/>
                <w:w w:val="100"/>
                <w:position w:val="0"/>
                <w:sz w:val="18"/>
                <w:szCs w:val="18"/>
              </w:rPr>
              <w:t xml:space="preserve">2-3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142,078,001.02</w:t>
            </w:r>
            <w:r>
              <w:rPr>
                <w:color w:val="000000"/>
                <w:spacing w:val="0"/>
                <w:w w:val="100"/>
                <w:position w:val="0"/>
                <w:sz w:val="16"/>
                <w:szCs w:val="16"/>
              </w:rPr>
              <w:t xml:space="preserve">； </w:t>
            </w:r>
            <w:r>
              <w:rPr>
                <w:rFonts w:ascii="Arial Narrow" w:eastAsia="Arial Narrow" w:hAnsi="Arial Narrow" w:cs="Arial Narrow"/>
                <w:color w:val="000000"/>
                <w:spacing w:val="0"/>
                <w:w w:val="100"/>
                <w:position w:val="0"/>
                <w:sz w:val="18"/>
                <w:szCs w:val="18"/>
              </w:rPr>
              <w:t xml:space="preserve">3-4 </w:t>
            </w:r>
            <w:r>
              <w:rPr>
                <w:color w:val="000000"/>
                <w:spacing w:val="0"/>
                <w:w w:val="100"/>
                <w:position w:val="0"/>
                <w:sz w:val="17"/>
                <w:szCs w:val="17"/>
              </w:rPr>
              <w:t>年：</w:t>
            </w:r>
          </w:p>
          <w:p>
            <w:pPr>
              <w:pStyle w:val="Style22"/>
              <w:keepNext w:val="0"/>
              <w:keepLines w:val="0"/>
              <w:widowControl w:val="0"/>
              <w:shd w:val="clear" w:color="auto" w:fill="auto"/>
              <w:bidi w:val="0"/>
              <w:spacing w:before="0" w:after="60" w:line="353"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1,528,282,908.86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58.86</w:t>
            </w:r>
          </w:p>
        </w:tc>
        <w:tc>
          <w:tcPr>
            <w:tcBorders>
              <w:top w:val="single" w:sz="4"/>
              <w:left w:val="single" w:sz="4"/>
            </w:tcBorders>
            <w:shd w:val="clear" w:color="auto" w:fill="FFFFFF"/>
            <w:vAlign w:val="top"/>
          </w:tcPr>
          <w:p>
            <w:pPr>
              <w:widowControl w:val="0"/>
              <w:rPr>
                <w:sz w:val="10"/>
                <w:szCs w:val="10"/>
              </w:rPr>
            </w:pPr>
          </w:p>
        </w:tc>
      </w:tr>
      <w:tr>
        <w:trPr>
          <w:trHeight w:val="180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东旭蓝天生态环保科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关联</w:t>
            </w:r>
          </w:p>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方往</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关联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467,688,854.27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信用期内</w:t>
            </w:r>
            <w:r>
              <w:rPr>
                <w:color w:val="000000"/>
                <w:spacing w:val="0"/>
                <w:w w:val="100"/>
                <w:position w:val="0"/>
                <w:sz w:val="16"/>
                <w:szCs w:val="16"/>
              </w:rPr>
              <w:t>：</w:t>
            </w:r>
            <w:r>
              <w:rPr>
                <w:rFonts w:ascii="Arial Narrow" w:eastAsia="Arial Narrow" w:hAnsi="Arial Narrow" w:cs="Arial Narrow"/>
                <w:color w:val="000000"/>
                <w:spacing w:val="0"/>
                <w:w w:val="100"/>
                <w:position w:val="0"/>
                <w:sz w:val="18"/>
                <w:szCs w:val="18"/>
              </w:rPr>
              <w:t>882,714.84</w:t>
            </w:r>
            <w:r>
              <w:rPr>
                <w:color w:val="000000"/>
                <w:spacing w:val="0"/>
                <w:w w:val="100"/>
                <w:position w:val="0"/>
                <w:sz w:val="16"/>
                <w:szCs w:val="16"/>
              </w:rPr>
              <w:t>；</w:t>
            </w:r>
            <w:r>
              <w:rPr>
                <w:color w:val="000000"/>
                <w:spacing w:val="0"/>
                <w:w w:val="100"/>
                <w:position w:val="0"/>
                <w:sz w:val="17"/>
                <w:szCs w:val="17"/>
              </w:rPr>
              <w:t>信</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用期外</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年以内：</w:t>
            </w:r>
          </w:p>
          <w:p>
            <w:pPr>
              <w:pStyle w:val="Style22"/>
              <w:keepNext w:val="0"/>
              <w:keepLines w:val="0"/>
              <w:widowControl w:val="0"/>
              <w:shd w:val="clear" w:color="auto" w:fill="auto"/>
              <w:tabs>
                <w:tab w:pos="1439" w:val="left"/>
              </w:tabs>
              <w:bidi w:val="0"/>
              <w:spacing w:before="0" w:after="100" w:line="240" w:lineRule="auto"/>
              <w:ind w:left="0" w:right="0" w:firstLine="220"/>
              <w:jc w:val="left"/>
              <w:rPr>
                <w:sz w:val="17"/>
                <w:szCs w:val="17"/>
              </w:rPr>
            </w:pPr>
            <w:r>
              <w:rPr>
                <w:rFonts w:ascii="Arial Narrow" w:eastAsia="Arial Narrow" w:hAnsi="Arial Narrow" w:cs="Arial Narrow"/>
                <w:color w:val="000000"/>
                <w:spacing w:val="0"/>
                <w:w w:val="100"/>
                <w:position w:val="0"/>
                <w:sz w:val="18"/>
                <w:szCs w:val="18"/>
              </w:rPr>
              <w:t>307,826,274.67</w:t>
            </w:r>
            <w:r>
              <w:rPr>
                <w:color w:val="000000"/>
                <w:spacing w:val="0"/>
                <w:w w:val="100"/>
                <w:position w:val="0"/>
                <w:sz w:val="16"/>
                <w:szCs w:val="16"/>
              </w:rPr>
              <w:t>；</w:t>
              <w:tab/>
            </w: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220"/>
              <w:jc w:val="left"/>
              <w:rPr>
                <w:sz w:val="17"/>
                <w:szCs w:val="17"/>
              </w:rPr>
            </w:pPr>
            <w:r>
              <w:rPr>
                <w:rFonts w:ascii="Arial Narrow" w:eastAsia="Arial Narrow" w:hAnsi="Arial Narrow" w:cs="Arial Narrow"/>
                <w:color w:val="000000"/>
                <w:spacing w:val="0"/>
                <w:w w:val="100"/>
                <w:position w:val="0"/>
                <w:sz w:val="18"/>
                <w:szCs w:val="18"/>
              </w:rPr>
              <w:t>130,877,000.00</w:t>
            </w:r>
            <w:r>
              <w:rPr>
                <w:color w:val="000000"/>
                <w:spacing w:val="0"/>
                <w:w w:val="100"/>
                <w:position w:val="0"/>
                <w:sz w:val="16"/>
                <w:szCs w:val="16"/>
              </w:rPr>
              <w:t xml:space="preserve">； </w:t>
            </w:r>
            <w:r>
              <w:rPr>
                <w:rFonts w:ascii="Arial Narrow" w:eastAsia="Arial Narrow" w:hAnsi="Arial Narrow" w:cs="Arial Narrow"/>
                <w:color w:val="000000"/>
                <w:spacing w:val="0"/>
                <w:w w:val="100"/>
                <w:position w:val="0"/>
                <w:sz w:val="18"/>
                <w:szCs w:val="18"/>
              </w:rPr>
              <w:t xml:space="preserve">2-3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28,102,864.76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15.59</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北京中环鑫融科技有</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关联</w:t>
            </w:r>
          </w:p>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方往</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465,176,439.57</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1056" w:val="left"/>
              </w:tabs>
              <w:bidi w:val="0"/>
              <w:spacing w:before="0" w:after="100" w:line="293" w:lineRule="exact"/>
              <w:ind w:left="0" w:right="0" w:firstLine="0"/>
              <w:jc w:val="center"/>
              <w:rPr>
                <w:sz w:val="17"/>
                <w:szCs w:val="17"/>
              </w:rPr>
            </w:pPr>
            <w:r>
              <w:rPr>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 xml:space="preserve">年以内： </w:t>
            </w:r>
            <w:r>
              <w:rPr>
                <w:rFonts w:ascii="Arial Narrow" w:eastAsia="Arial Narrow" w:hAnsi="Arial Narrow" w:cs="Arial Narrow"/>
                <w:color w:val="000000"/>
                <w:spacing w:val="0"/>
                <w:w w:val="100"/>
                <w:position w:val="0"/>
                <w:sz w:val="18"/>
                <w:szCs w:val="18"/>
              </w:rPr>
              <w:t>2,200,000.00</w:t>
            </w:r>
            <w:r>
              <w:rPr>
                <w:color w:val="000000"/>
                <w:spacing w:val="0"/>
                <w:w w:val="100"/>
                <w:position w:val="0"/>
                <w:sz w:val="16"/>
                <w:szCs w:val="16"/>
              </w:rPr>
              <w:t>；</w:t>
              <w:tab/>
            </w: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年：</w:t>
            </w:r>
          </w:p>
          <w:p>
            <w:pPr>
              <w:pStyle w:val="Style22"/>
              <w:keepNext w:val="0"/>
              <w:keepLines w:val="0"/>
              <w:widowControl w:val="0"/>
              <w:shd w:val="clear" w:color="auto" w:fill="auto"/>
              <w:bidi w:val="0"/>
              <w:spacing w:before="0" w:after="0" w:line="341"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67,159,961.50</w:t>
            </w:r>
            <w:r>
              <w:rPr>
                <w:color w:val="000000"/>
                <w:spacing w:val="0"/>
                <w:w w:val="100"/>
                <w:position w:val="0"/>
                <w:sz w:val="16"/>
                <w:szCs w:val="16"/>
              </w:rPr>
              <w:t xml:space="preserve">； </w:t>
            </w:r>
            <w:r>
              <w:rPr>
                <w:rFonts w:ascii="Arial Narrow" w:eastAsia="Arial Narrow" w:hAnsi="Arial Narrow" w:cs="Arial Narrow"/>
                <w:color w:val="000000"/>
                <w:spacing w:val="0"/>
                <w:w w:val="100"/>
                <w:position w:val="0"/>
                <w:sz w:val="18"/>
                <w:szCs w:val="18"/>
              </w:rPr>
              <w:t xml:space="preserve">2-3 </w:t>
            </w:r>
            <w:r>
              <w:rPr>
                <w:color w:val="000000"/>
                <w:spacing w:val="0"/>
                <w:w w:val="100"/>
                <w:position w:val="0"/>
                <w:sz w:val="17"/>
                <w:szCs w:val="17"/>
              </w:rPr>
              <w:t>年：</w:t>
            </w:r>
          </w:p>
          <w:p>
            <w:pPr>
              <w:pStyle w:val="Style22"/>
              <w:keepNext w:val="0"/>
              <w:keepLines w:val="0"/>
              <w:widowControl w:val="0"/>
              <w:shd w:val="clear" w:color="auto" w:fill="auto"/>
              <w:bidi w:val="0"/>
              <w:spacing w:before="0" w:after="60" w:line="341"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395,816,478.07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15.50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深圳市海龙王房地产</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代垫</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非关</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50,119,685.55</w:t>
            </w:r>
          </w:p>
        </w:tc>
      </w:tr>
      <w:tr>
        <w:trPr>
          <w:trHeight w:val="4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深圳业丰工贸发展公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代垫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42,074,024.66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42,074,024.66</w:t>
            </w:r>
          </w:p>
        </w:tc>
      </w:tr>
    </w:tbl>
    <w:p>
      <w:pPr>
        <w:spacing w:lineRule="exact" w:line="1"/>
        <w:rPr>
          <w:sz w:val="2"/>
          <w:szCs w:val="2"/>
        </w:rPr>
      </w:pPr>
      <w:r>
        <w:br w:type="page"/>
      </w:r>
    </w:p>
    <w:tbl>
      <w:tblPr>
        <w:tblOverlap w:val="never"/>
        <w:jc w:val="center"/>
        <w:tblLayout w:type="fixed"/>
      </w:tblPr>
      <w:tblGrid>
        <w:gridCol w:w="1978"/>
        <w:gridCol w:w="739"/>
        <w:gridCol w:w="686"/>
        <w:gridCol w:w="1574"/>
        <w:gridCol w:w="2270"/>
        <w:gridCol w:w="706"/>
        <w:gridCol w:w="1416"/>
      </w:tblGrid>
      <w:tr>
        <w:trPr>
          <w:trHeight w:val="49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款项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2,791,110,749.21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93.02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b/>
                <w:bCs/>
                <w:color w:val="000000"/>
                <w:spacing w:val="0"/>
                <w:w w:val="100"/>
                <w:position w:val="0"/>
                <w:sz w:val="18"/>
                <w:szCs w:val="18"/>
              </w:rPr>
              <w:t>92,193,710.21</w:t>
            </w:r>
          </w:p>
        </w:tc>
      </w:tr>
    </w:tbl>
    <w:p>
      <w:pPr>
        <w:widowControl w:val="0"/>
        <w:spacing w:after="199" w:line="1" w:lineRule="exact"/>
      </w:pPr>
    </w:p>
    <w:p>
      <w:pPr>
        <w:pStyle w:val="Style20"/>
        <w:keepNext/>
        <w:keepLines/>
        <w:widowControl w:val="0"/>
        <w:shd w:val="clear" w:color="auto" w:fill="auto"/>
        <w:bidi w:val="0"/>
        <w:spacing w:before="0" w:after="260" w:line="240" w:lineRule="auto"/>
        <w:ind w:left="0" w:right="0" w:firstLine="560"/>
        <w:jc w:val="left"/>
        <w:rPr>
          <w:sz w:val="20"/>
          <w:szCs w:val="20"/>
        </w:rPr>
      </w:pPr>
      <w:bookmarkStart w:id="1171" w:name="bookmark1171"/>
      <w:bookmarkStart w:id="1172" w:name="bookmark1172"/>
      <w:bookmarkStart w:id="1173" w:name="bookmark1173"/>
      <w:bookmarkStart w:id="1174" w:name="bookmark1174"/>
      <w:r>
        <w:rPr>
          <w:rFonts w:ascii="Arial Narrow" w:eastAsia="Arial Narrow" w:hAnsi="Arial Narrow" w:cs="Arial Narrow"/>
          <w:color w:val="000000"/>
          <w:spacing w:val="0"/>
          <w:w w:val="100"/>
          <w:position w:val="0"/>
          <w:sz w:val="20"/>
          <w:szCs w:val="20"/>
        </w:rPr>
        <w:t>3</w:t>
      </w:r>
      <w:bookmarkEnd w:id="1173"/>
      <w:r>
        <w:rPr>
          <w:color w:val="000000"/>
          <w:spacing w:val="0"/>
          <w:w w:val="100"/>
          <w:position w:val="0"/>
          <w:sz w:val="20"/>
          <w:szCs w:val="20"/>
        </w:rPr>
        <w:t>、长期股权投资</w:t>
      </w:r>
      <w:bookmarkEnd w:id="1171"/>
      <w:bookmarkEnd w:id="1172"/>
      <w:bookmarkEnd w:id="1174"/>
    </w:p>
    <w:tbl>
      <w:tblPr>
        <w:tblOverlap w:val="never"/>
        <w:jc w:val="center"/>
        <w:tblLayout w:type="fixed"/>
      </w:tblPr>
      <w:tblGrid>
        <w:gridCol w:w="2986"/>
        <w:gridCol w:w="2126"/>
        <w:gridCol w:w="2126"/>
        <w:gridCol w:w="2126"/>
      </w:tblGrid>
      <w:tr>
        <w:trPr>
          <w:trHeight w:val="293" w:hRule="exact"/>
        </w:trPr>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)长期股权投资分类：</w:t>
            </w:r>
          </w:p>
        </w:tc>
      </w:tr>
      <w:tr>
        <w:trPr>
          <w:trHeight w:val="418"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13,252,523,567.64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468,430,046.93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12,784,093,520.71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对联营、合营企业投资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10,086,951.10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10,086,951.10</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b/>
                <w:bCs/>
                <w:color w:val="000000"/>
                <w:spacing w:val="0"/>
                <w:w w:val="100"/>
                <w:position w:val="0"/>
                <w:sz w:val="18"/>
                <w:szCs w:val="18"/>
              </w:rPr>
              <w:t>13,262,610,518.74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468,430,046.93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b/>
                <w:bCs/>
                <w:color w:val="000000"/>
                <w:spacing w:val="0"/>
                <w:w w:val="100"/>
                <w:position w:val="0"/>
                <w:sz w:val="18"/>
                <w:szCs w:val="18"/>
              </w:rPr>
              <w:t>12,794,180,471.81</w:t>
            </w:r>
          </w:p>
        </w:tc>
      </w:tr>
      <w:tr>
        <w:trPr>
          <w:trHeight w:val="528" w:hRule="exact"/>
        </w:trPr>
        <w:tc>
          <w:tcPr>
            <w:gridSpan w:val="4"/>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续前表：</w:t>
            </w:r>
          </w:p>
        </w:tc>
      </w:tr>
      <w:tr>
        <w:trPr>
          <w:trHeight w:val="418"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13,253,238,567.64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109,441,032.40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13,143,797,535.24</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对联营、合营企业投资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9,538,649.27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9,538,649.27</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b/>
                <w:bCs/>
                <w:color w:val="000000"/>
                <w:spacing w:val="0"/>
                <w:w w:val="100"/>
                <w:position w:val="0"/>
                <w:sz w:val="18"/>
                <w:szCs w:val="18"/>
              </w:rPr>
              <w:t>13,262,777,216.91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109,441,032.40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b/>
                <w:bCs/>
                <w:color w:val="000000"/>
                <w:spacing w:val="0"/>
                <w:w w:val="100"/>
                <w:position w:val="0"/>
                <w:sz w:val="18"/>
                <w:szCs w:val="18"/>
              </w:rPr>
              <w:t>13,153,336,184.51</w:t>
            </w:r>
          </w:p>
        </w:tc>
      </w:tr>
    </w:tbl>
    <w:p>
      <w:pPr>
        <w:widowControl w:val="0"/>
        <w:spacing w:after="199" w:line="1" w:lineRule="exact"/>
      </w:pPr>
    </w:p>
    <w:p>
      <w:pPr>
        <w:pStyle w:val="Style25"/>
        <w:keepNext w:val="0"/>
        <w:keepLines w:val="0"/>
        <w:widowControl w:val="0"/>
        <w:shd w:val="clear" w:color="auto" w:fill="auto"/>
        <w:bidi w:val="0"/>
        <w:spacing w:before="0" w:after="0" w:line="240" w:lineRule="auto"/>
        <w:ind w:left="451"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)对子公司投资</w:t>
      </w:r>
    </w:p>
    <w:tbl>
      <w:tblPr>
        <w:tblOverlap w:val="never"/>
        <w:jc w:val="center"/>
        <w:tblLayout w:type="fixed"/>
      </w:tblPr>
      <w:tblGrid>
        <w:gridCol w:w="2021"/>
        <w:gridCol w:w="1512"/>
        <w:gridCol w:w="811"/>
        <w:gridCol w:w="1171"/>
        <w:gridCol w:w="1325"/>
        <w:gridCol w:w="1152"/>
        <w:gridCol w:w="1157"/>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本期计提减值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减值准备 期末余额</w:t>
            </w:r>
          </w:p>
        </w:tc>
      </w:tr>
      <w:tr>
        <w:trPr>
          <w:trHeight w:val="63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深圳市东旭蓝天园林有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110,800,200.00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110,800,200.00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香港鸿业发展有限公司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10,212,500.00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10,212,500.00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福建升通网络传媒有限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8,000,000.00</w:t>
            </w:r>
          </w:p>
        </w:tc>
      </w:tr>
      <w:tr>
        <w:trPr>
          <w:trHeight w:val="9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东旭新能源投资有限公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10,763,971,432.26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10,763,971,432.26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东旭蓝天智慧能源科技</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星景生态环保科技(苏 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1,104,880,000.00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1,104,880,000.00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258,335,428.96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258,335,428.96</w:t>
            </w: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江西泓伟环境治理科技</w:t>
            </w:r>
          </w:p>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54,800,000.00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6,961,210.19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42,078,510.19</w:t>
            </w:r>
          </w:p>
        </w:tc>
      </w:tr>
      <w:tr>
        <w:trPr>
          <w:trHeight w:val="74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北京中环鑫融科技有限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987,979,924.37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987,979,924.37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50"/>
        <w:gridCol w:w="758"/>
        <w:gridCol w:w="754"/>
        <w:gridCol w:w="787"/>
        <w:gridCol w:w="802"/>
        <w:gridCol w:w="394"/>
        <w:gridCol w:w="245"/>
        <w:gridCol w:w="1080"/>
        <w:gridCol w:w="427"/>
        <w:gridCol w:w="725"/>
        <w:gridCol w:w="629"/>
        <w:gridCol w:w="1123"/>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被投资单位</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本期计提减值 准备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200" w:right="0" w:firstLine="0"/>
              <w:jc w:val="left"/>
              <w:rPr>
                <w:sz w:val="17"/>
                <w:szCs w:val="17"/>
              </w:rPr>
            </w:pPr>
            <w:r>
              <w:rPr>
                <w:b/>
                <w:bCs/>
                <w:color w:val="000000"/>
                <w:spacing w:val="0"/>
                <w:w w:val="100"/>
                <w:position w:val="0"/>
                <w:sz w:val="17"/>
                <w:szCs w:val="17"/>
              </w:rPr>
              <w:t>减值准备 期末余额</w:t>
            </w:r>
          </w:p>
        </w:tc>
      </w:tr>
      <w:tr>
        <w:trPr>
          <w:trHeight w:val="8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西藏旭阳投资管理有限 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广东两洋能源有限公司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48,000,000.00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48,000,000.00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34,136,596.77</w:t>
            </w: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东旭蓝天生态环保科技</w:t>
            </w:r>
          </w:p>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125,879,511.01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125,879,511.01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93,692,375.38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125,879,511.01</w:t>
            </w:r>
          </w:p>
        </w:tc>
      </w:tr>
      <w:tr>
        <w:trPr>
          <w:trHeight w:val="71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北京绿产国际科技发展</w:t>
            </w:r>
          </w:p>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715,000.00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715,000.00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13,253,238,567.64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715,000.00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13,252,523,567.64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358,989,014.53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468,430,046.93</w:t>
            </w:r>
          </w:p>
        </w:tc>
      </w:tr>
      <w:tr>
        <w:trPr>
          <w:trHeight w:val="533" w:hRule="exact"/>
        </w:trPr>
        <w:tc>
          <w:tcPr>
            <w:gridSpan w:val="1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）对联营企业投资</w:t>
            </w:r>
          </w:p>
        </w:tc>
      </w:tr>
      <w:tr>
        <w:trPr>
          <w:trHeight w:val="475" w:hRule="exact"/>
        </w:trPr>
        <w:tc>
          <w:tcPr>
            <w:gridSpan w:val="2"/>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被投资单位</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gridSpan w:val="8"/>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本期增减变动</w:t>
            </w:r>
          </w:p>
        </w:tc>
      </w:tr>
      <w:tr>
        <w:trPr>
          <w:trHeight w:val="653" w:hRule="exact"/>
        </w:trPr>
        <w:tc>
          <w:tcPr>
            <w:gridSpan w:val="2"/>
            <w:vMerge/>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追加</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投资</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减少投 资</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权益法下确认的投 资损益</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其他综合 收益调整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其他权益变 动</w:t>
            </w:r>
          </w:p>
        </w:tc>
      </w:tr>
      <w:tr>
        <w:trPr>
          <w:trHeight w:val="44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深圳市深威驳运有限公司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2,160,356.00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398,095.23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中环联融（北京）投资管理有限公 司</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北京融链科技有限公司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7,378,293.27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150,206.60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gridSpan w:val="2"/>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b/>
                <w:bCs/>
                <w:color w:val="000000"/>
                <w:spacing w:val="0"/>
                <w:w w:val="100"/>
                <w:position w:val="0"/>
                <w:sz w:val="18"/>
                <w:szCs w:val="18"/>
              </w:rPr>
              <w:t>9,538,649.27</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548,301.83</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466" w:right="0" w:firstLine="0"/>
        <w:jc w:val="left"/>
        <w:rPr>
          <w:sz w:val="17"/>
          <w:szCs w:val="17"/>
        </w:rPr>
      </w:pPr>
      <w:r>
        <w:rPr>
          <w:color w:val="000000"/>
          <w:spacing w:val="0"/>
          <w:w w:val="100"/>
          <w:position w:val="0"/>
          <w:sz w:val="17"/>
          <w:szCs w:val="17"/>
        </w:rPr>
        <w:t>续前表:</w:t>
      </w:r>
    </w:p>
    <w:tbl>
      <w:tblPr>
        <w:tblOverlap w:val="never"/>
        <w:jc w:val="center"/>
        <w:tblLayout w:type="fixed"/>
      </w:tblPr>
      <w:tblGrid>
        <w:gridCol w:w="2486"/>
        <w:gridCol w:w="1454"/>
        <w:gridCol w:w="1344"/>
        <w:gridCol w:w="1214"/>
        <w:gridCol w:w="1339"/>
        <w:gridCol w:w="1373"/>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被投资单位</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减值准备 期末余额</w:t>
            </w:r>
          </w:p>
        </w:tc>
      </w:tr>
      <w:tr>
        <w:trPr>
          <w:trHeight w:val="65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宣告发放现金 股利或利润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计提减值准备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深圳市深威驳运有限公司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2,558,451.23</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中环联融（北京）投资管理有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北京融链科技有限公司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7,528,499.87</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10,086,951.10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5"/>
        <w:keepNext w:val="0"/>
        <w:keepLines w:val="0"/>
        <w:widowControl w:val="0"/>
        <w:shd w:val="clear" w:color="auto" w:fill="auto"/>
        <w:bidi w:val="0"/>
        <w:spacing w:before="0" w:after="0" w:line="240" w:lineRule="auto"/>
        <w:ind w:left="494"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）长期股权投资减值准备</w:t>
      </w:r>
    </w:p>
    <w:tbl>
      <w:tblPr>
        <w:tblOverlap w:val="never"/>
        <w:jc w:val="center"/>
        <w:tblLayout w:type="fixed"/>
      </w:tblPr>
      <w:tblGrid>
        <w:gridCol w:w="3610"/>
        <w:gridCol w:w="1349"/>
        <w:gridCol w:w="1382"/>
        <w:gridCol w:w="1368"/>
        <w:gridCol w:w="1502"/>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被投资单位名称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2021.12.31</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福建升通网络传媒有限公司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8,000,000.00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江西泓伟环境治理科技服务有限公司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35,117,300.00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6,961,210.19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42,078,510.19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东旭蓝天生态环保科技有限公司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32,187,135.63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93,692,375.38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125,879,511.01</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广东两洋能源有限公司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34,136,596.77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34,136,596.77</w:t>
            </w:r>
          </w:p>
        </w:tc>
      </w:tr>
    </w:tbl>
    <w:p>
      <w:pPr>
        <w:spacing w:lineRule="exact" w:line="1"/>
        <w:rPr>
          <w:sz w:val="2"/>
          <w:szCs w:val="2"/>
        </w:rPr>
      </w:pPr>
      <w:r>
        <w:br w:type="page"/>
      </w:r>
    </w:p>
    <w:tbl>
      <w:tblPr>
        <w:tblOverlap w:val="never"/>
        <w:jc w:val="center"/>
        <w:tblLayout w:type="fixed"/>
      </w:tblPr>
      <w:tblGrid>
        <w:gridCol w:w="3610"/>
        <w:gridCol w:w="1349"/>
        <w:gridCol w:w="1382"/>
        <w:gridCol w:w="1368"/>
        <w:gridCol w:w="1502"/>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星景生态环保科技（苏州）有限公司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258,335,428.96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258,335,428.96</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109,441,032.40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358,989,014.53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b/>
                <w:bCs/>
                <w:color w:val="000000"/>
                <w:spacing w:val="0"/>
                <w:w w:val="100"/>
                <w:position w:val="0"/>
                <w:sz w:val="18"/>
                <w:szCs w:val="18"/>
              </w:rPr>
              <w:t>468,430,046.93</w:t>
            </w:r>
          </w:p>
        </w:tc>
      </w:tr>
    </w:tbl>
    <w:p>
      <w:pPr>
        <w:widowControl w:val="0"/>
        <w:spacing w:after="199" w:line="1" w:lineRule="exact"/>
      </w:pPr>
    </w:p>
    <w:p>
      <w:pPr>
        <w:pStyle w:val="Style20"/>
        <w:keepNext/>
        <w:keepLines/>
        <w:widowControl w:val="0"/>
        <w:shd w:val="clear" w:color="auto" w:fill="auto"/>
        <w:bidi w:val="0"/>
        <w:spacing w:before="0" w:after="40" w:line="240" w:lineRule="auto"/>
        <w:ind w:left="0" w:right="0" w:firstLine="500"/>
        <w:jc w:val="left"/>
        <w:rPr>
          <w:sz w:val="20"/>
          <w:szCs w:val="20"/>
        </w:rPr>
      </w:pPr>
      <w:bookmarkStart w:id="1175" w:name="bookmark1175"/>
      <w:bookmarkStart w:id="1176" w:name="bookmark1176"/>
      <w:bookmarkStart w:id="1177" w:name="bookmark1177"/>
      <w:bookmarkStart w:id="1178" w:name="bookmark1178"/>
      <w:r>
        <w:rPr>
          <w:rFonts w:ascii="Arial Narrow" w:eastAsia="Arial Narrow" w:hAnsi="Arial Narrow" w:cs="Arial Narrow"/>
          <w:color w:val="000000"/>
          <w:spacing w:val="0"/>
          <w:w w:val="100"/>
          <w:position w:val="0"/>
          <w:sz w:val="20"/>
          <w:szCs w:val="20"/>
        </w:rPr>
        <w:t>4</w:t>
      </w:r>
      <w:bookmarkEnd w:id="1177"/>
      <w:r>
        <w:rPr>
          <w:color w:val="000000"/>
          <w:spacing w:val="0"/>
          <w:w w:val="100"/>
          <w:position w:val="0"/>
          <w:sz w:val="20"/>
          <w:szCs w:val="20"/>
        </w:rPr>
        <w:t>、营业收入及营业成本</w:t>
      </w:r>
      <w:bookmarkEnd w:id="1175"/>
      <w:bookmarkEnd w:id="1176"/>
      <w:bookmarkEnd w:id="1178"/>
    </w:p>
    <w:tbl>
      <w:tblPr>
        <w:tblOverlap w:val="never"/>
        <w:jc w:val="center"/>
        <w:tblLayout w:type="fixed"/>
      </w:tblPr>
      <w:tblGrid>
        <w:gridCol w:w="2150"/>
        <w:gridCol w:w="1733"/>
        <w:gridCol w:w="1829"/>
        <w:gridCol w:w="1824"/>
        <w:gridCol w:w="1766"/>
      </w:tblGrid>
      <w:tr>
        <w:trPr>
          <w:trHeight w:val="4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成本</w:t>
            </w:r>
          </w:p>
        </w:tc>
      </w:tr>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5,606,320.97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1,664,389.15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2,465,290.04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917,511.60</w:t>
            </w:r>
          </w:p>
        </w:tc>
      </w:tr>
      <w:tr>
        <w:trPr>
          <w:trHeight w:val="4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5,606,320.97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1,664,389.15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2,465,290.04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b/>
                <w:bCs/>
                <w:color w:val="000000"/>
                <w:spacing w:val="0"/>
                <w:w w:val="100"/>
                <w:position w:val="0"/>
                <w:sz w:val="18"/>
                <w:szCs w:val="18"/>
              </w:rPr>
              <w:t>917,511.60</w:t>
            </w:r>
          </w:p>
        </w:tc>
      </w:tr>
    </w:tbl>
    <w:p>
      <w:pPr>
        <w:widowControl w:val="0"/>
        <w:spacing w:after="199" w:line="1" w:lineRule="exact"/>
      </w:pPr>
    </w:p>
    <w:p>
      <w:pPr>
        <w:pStyle w:val="Style20"/>
        <w:keepNext/>
        <w:keepLines/>
        <w:widowControl w:val="0"/>
        <w:shd w:val="clear" w:color="auto" w:fill="auto"/>
        <w:bidi w:val="0"/>
        <w:spacing w:before="0" w:after="40" w:line="240" w:lineRule="auto"/>
        <w:ind w:left="0" w:right="0" w:firstLine="500"/>
        <w:jc w:val="left"/>
        <w:rPr>
          <w:sz w:val="20"/>
          <w:szCs w:val="20"/>
        </w:rPr>
      </w:pPr>
      <w:bookmarkStart w:id="1179" w:name="bookmark1179"/>
      <w:bookmarkStart w:id="1180" w:name="bookmark1180"/>
      <w:bookmarkStart w:id="1181" w:name="bookmark1181"/>
      <w:bookmarkStart w:id="1182" w:name="bookmark1182"/>
      <w:r>
        <w:rPr>
          <w:rFonts w:ascii="Arial Narrow" w:eastAsia="Arial Narrow" w:hAnsi="Arial Narrow" w:cs="Arial Narrow"/>
          <w:color w:val="000000"/>
          <w:spacing w:val="0"/>
          <w:w w:val="100"/>
          <w:position w:val="0"/>
          <w:sz w:val="20"/>
          <w:szCs w:val="20"/>
        </w:rPr>
        <w:t>5</w:t>
      </w:r>
      <w:bookmarkEnd w:id="1181"/>
      <w:r>
        <w:rPr>
          <w:color w:val="000000"/>
          <w:spacing w:val="0"/>
          <w:w w:val="100"/>
          <w:position w:val="0"/>
          <w:sz w:val="20"/>
          <w:szCs w:val="20"/>
        </w:rPr>
        <w:t>、投资收益</w:t>
      </w:r>
      <w:bookmarkEnd w:id="1179"/>
      <w:bookmarkEnd w:id="1180"/>
      <w:bookmarkEnd w:id="1182"/>
    </w:p>
    <w:tbl>
      <w:tblPr>
        <w:tblOverlap w:val="never"/>
        <w:jc w:val="center"/>
        <w:tblLayout w:type="fixed"/>
      </w:tblPr>
      <w:tblGrid>
        <w:gridCol w:w="4536"/>
        <w:gridCol w:w="2328"/>
        <w:gridCol w:w="2347"/>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2021</w:t>
            </w:r>
            <w:r>
              <w:rPr>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548,301.83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272,542.40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-715,000.00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20,732,401.00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-166,698.17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b/>
                <w:bCs/>
                <w:color w:val="000000"/>
                <w:spacing w:val="0"/>
                <w:w w:val="100"/>
                <w:position w:val="0"/>
                <w:sz w:val="18"/>
                <w:szCs w:val="18"/>
              </w:rPr>
              <w:t>21,004,943.40</w:t>
            </w:r>
          </w:p>
        </w:tc>
      </w:tr>
    </w:tbl>
    <w:p>
      <w:pPr>
        <w:widowControl w:val="0"/>
        <w:spacing w:after="199" w:line="1" w:lineRule="exact"/>
      </w:pPr>
    </w:p>
    <w:p>
      <w:pPr>
        <w:pStyle w:val="Style8"/>
        <w:keepNext/>
        <w:keepLines/>
        <w:widowControl w:val="0"/>
        <w:shd w:val="clear" w:color="auto" w:fill="auto"/>
        <w:bidi w:val="0"/>
        <w:spacing w:before="0" w:after="260" w:line="240" w:lineRule="auto"/>
        <w:ind w:left="0" w:right="0" w:firstLine="500"/>
        <w:jc w:val="left"/>
        <w:rPr>
          <w:sz w:val="20"/>
          <w:szCs w:val="20"/>
        </w:rPr>
      </w:pPr>
      <w:bookmarkStart w:id="1183" w:name="bookmark1183"/>
      <w:bookmarkStart w:id="1184" w:name="bookmark1184"/>
      <w:bookmarkStart w:id="1185" w:name="bookmark1185"/>
      <w:r>
        <w:rPr>
          <w:color w:val="000000"/>
          <w:spacing w:val="0"/>
          <w:w w:val="100"/>
          <w:position w:val="0"/>
          <w:sz w:val="20"/>
          <w:szCs w:val="20"/>
        </w:rPr>
        <w:t>十五、补充资料：</w:t>
      </w:r>
      <w:bookmarkEnd w:id="1183"/>
      <w:bookmarkEnd w:id="1184"/>
      <w:bookmarkEnd w:id="1185"/>
    </w:p>
    <w:p>
      <w:pPr>
        <w:pStyle w:val="Style20"/>
        <w:keepNext/>
        <w:keepLines/>
        <w:widowControl w:val="0"/>
        <w:shd w:val="clear" w:color="auto" w:fill="auto"/>
        <w:bidi w:val="0"/>
        <w:spacing w:before="0" w:after="260" w:line="240" w:lineRule="auto"/>
        <w:ind w:left="0" w:right="0" w:firstLine="500"/>
        <w:jc w:val="left"/>
        <w:rPr>
          <w:sz w:val="20"/>
          <w:szCs w:val="20"/>
        </w:rPr>
      </w:pPr>
      <w:bookmarkStart w:id="1186" w:name="bookmark1186"/>
      <w:bookmarkStart w:id="1187" w:name="bookmark1187"/>
      <w:bookmarkStart w:id="1188" w:name="bookmark1188"/>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、当期非经常性损益明细表</w:t>
      </w:r>
      <w:bookmarkEnd w:id="1186"/>
      <w:bookmarkEnd w:id="1187"/>
      <w:bookmarkEnd w:id="1188"/>
    </w:p>
    <w:p>
      <w:pPr>
        <w:pStyle w:val="Style27"/>
        <w:keepNext w:val="0"/>
        <w:keepLines w:val="0"/>
        <w:widowControl w:val="0"/>
        <w:shd w:val="clear" w:color="auto" w:fill="auto"/>
        <w:bidi w:val="0"/>
        <w:spacing w:before="0" w:after="260" w:line="240" w:lineRule="auto"/>
        <w:ind w:left="0" w:right="0" w:firstLine="500"/>
        <w:jc w:val="left"/>
        <w:rPr>
          <w:sz w:val="17"/>
          <w:szCs w:val="17"/>
        </w:rPr>
      </w:pPr>
      <w:r>
        <w:rPr>
          <w:color w:val="000000"/>
          <w:spacing w:val="0"/>
          <w:w w:val="100"/>
          <w:position w:val="0"/>
          <w:sz w:val="17"/>
          <w:szCs w:val="17"/>
        </w:rPr>
        <w:t>根据中国证监会《公开发行证券的公司信息披露解释性公告第</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号</w:t>
      </w:r>
      <w:r>
        <w:rPr>
          <w:color w:val="000000"/>
          <w:spacing w:val="0"/>
          <w:w w:val="100"/>
          <w:position w:val="0"/>
          <w:sz w:val="22"/>
          <w:szCs w:val="22"/>
        </w:rPr>
        <w:t>一一</w:t>
      </w:r>
      <w:r>
        <w:rPr>
          <w:color w:val="000000"/>
          <w:spacing w:val="0"/>
          <w:w w:val="100"/>
          <w:position w:val="0"/>
          <w:sz w:val="17"/>
          <w:szCs w:val="17"/>
        </w:rPr>
        <w:t>非经常性损益》（“中国证券监督管理委员会公告</w:t>
      </w:r>
    </w:p>
    <w:p>
      <w:pPr>
        <w:pStyle w:val="Style25"/>
        <w:keepNext w:val="0"/>
        <w:keepLines w:val="0"/>
        <w:widowControl w:val="0"/>
        <w:shd w:val="clear" w:color="auto" w:fill="auto"/>
        <w:bidi w:val="0"/>
        <w:spacing w:before="0" w:after="0" w:line="240" w:lineRule="auto"/>
        <w:ind w:left="134" w:right="0" w:firstLine="0"/>
        <w:jc w:val="left"/>
        <w:rPr>
          <w:sz w:val="17"/>
          <w:szCs w:val="17"/>
        </w:rPr>
      </w:pPr>
      <w:r>
        <w:rPr>
          <w:rFonts w:ascii="Arial Narrow" w:eastAsia="Arial Narrow" w:hAnsi="Arial Narrow" w:cs="Arial Narrow"/>
          <w:color w:val="000000"/>
          <w:spacing w:val="0"/>
          <w:w w:val="100"/>
          <w:position w:val="0"/>
          <w:sz w:val="18"/>
          <w:szCs w:val="18"/>
        </w:rPr>
        <w:t>[2008]43</w:t>
      </w:r>
      <w:r>
        <w:rPr>
          <w:color w:val="000000"/>
          <w:spacing w:val="0"/>
          <w:w w:val="100"/>
          <w:position w:val="0"/>
          <w:sz w:val="17"/>
          <w:szCs w:val="17"/>
        </w:rPr>
        <w:t>号”），本公司非经常性损益如下:</w:t>
      </w:r>
    </w:p>
    <w:tbl>
      <w:tblPr>
        <w:tblOverlap w:val="never"/>
        <w:jc w:val="center"/>
        <w:tblLayout w:type="fixed"/>
      </w:tblPr>
      <w:tblGrid>
        <w:gridCol w:w="7334"/>
        <w:gridCol w:w="2030"/>
      </w:tblGrid>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本期金额</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非流动性资产处置损益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-5,936,337.60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计入当期损益的政府补助，但与企业正常经营业务密切相关，符合国家政策规定，按照一 定标准定额或定量持续享受的政府补助除外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14,744,653.08</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取得子公司、联营企业及合营企业的投资成本小于取得投资时应享有被投资单位可辨认净 资产公允价值产生的收益</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152,490,745.90</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与公司正常经营业务无关的或有事项产生的损益</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34"/>
        <w:gridCol w:w="2030"/>
      </w:tblGrid>
      <w:tr>
        <w:trPr>
          <w:trHeight w:val="9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both"/>
              <w:rPr>
                <w:sz w:val="17"/>
                <w:szCs w:val="17"/>
              </w:rPr>
            </w:pPr>
            <w:r>
              <w:rPr>
                <w:color w:val="000000"/>
                <w:spacing w:val="0"/>
                <w:w w:val="100"/>
                <w:position w:val="0"/>
                <w:sz w:val="17"/>
                <w:szCs w:val="17"/>
              </w:rPr>
              <w:t>除同公司正常经营业务相关的有效套期保值业务外，持有交易性金融资产、交易性金融负 债、衍生金融资产、衍生金融负债产生的公允价值变动损益，以及处置交易性金融资产、 交易性金融负债、衍生金融资产、衍生金融负债和其他债权投资取得的投资收益</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采用公允价值模式进行后续计量的投资性房地产公允价值变动产生的损益</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根据税收、会计等法律、法规的要求对当期损益进行一次性调整对当期损益的影响</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-130,975,178.95</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非经常性损益总额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30,323,882.43</w:t>
            </w:r>
          </w:p>
        </w:tc>
      </w:tr>
      <w:tr>
        <w:trPr>
          <w:trHeight w:val="4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减：非经常性损益的所得税影响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41,364.34</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非经常性损益净额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30,282,518.09</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减：归属于少数股东的非经常性损益净影响数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6,557.17</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归属于公司普通股股东的非经常性损益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30,275,960.92</w:t>
            </w:r>
          </w:p>
        </w:tc>
      </w:tr>
    </w:tbl>
    <w:p>
      <w:pPr>
        <w:widowControl w:val="0"/>
        <w:spacing w:after="199" w:line="1" w:lineRule="exact"/>
      </w:pPr>
    </w:p>
    <w:p>
      <w:pPr>
        <w:pStyle w:val="Style20"/>
        <w:keepNext/>
        <w:keepLines/>
        <w:widowControl w:val="0"/>
        <w:shd w:val="clear" w:color="auto" w:fill="auto"/>
        <w:bidi w:val="0"/>
        <w:spacing w:before="0" w:after="540" w:line="240" w:lineRule="auto"/>
        <w:ind w:left="0" w:right="0" w:firstLine="560"/>
        <w:jc w:val="left"/>
        <w:rPr>
          <w:sz w:val="20"/>
          <w:szCs w:val="20"/>
        </w:rPr>
      </w:pPr>
      <w:bookmarkStart w:id="1189" w:name="bookmark1189"/>
      <w:bookmarkStart w:id="1190" w:name="bookmark1190"/>
      <w:bookmarkStart w:id="1191" w:name="bookmark1191"/>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、净资产收益率及每股收益</w:t>
      </w:r>
      <w:bookmarkEnd w:id="1189"/>
      <w:bookmarkEnd w:id="1190"/>
      <w:bookmarkEnd w:id="1191"/>
    </w:p>
    <w:tbl>
      <w:tblPr>
        <w:tblOverlap w:val="never"/>
        <w:jc w:val="center"/>
        <w:tblLayout w:type="fixed"/>
      </w:tblPr>
      <w:tblGrid>
        <w:gridCol w:w="2395"/>
        <w:gridCol w:w="2760"/>
        <w:gridCol w:w="1920"/>
        <w:gridCol w:w="2102"/>
      </w:tblGrid>
      <w:tr>
        <w:trPr>
          <w:trHeight w:val="49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报告期利润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加权平均净资产收益率（</w:t>
            </w:r>
            <w:r>
              <w:rPr>
                <w:b/>
                <w:bCs/>
                <w:color w:val="000000"/>
                <w:spacing w:val="0"/>
                <w:w w:val="100"/>
                <w:position w:val="0"/>
                <w:sz w:val="22"/>
                <w:szCs w:val="22"/>
              </w:rPr>
              <w:t>％</w:t>
            </w:r>
            <w:r>
              <w:rPr>
                <w:b/>
                <w:bCs/>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每股收益</w:t>
            </w:r>
          </w:p>
        </w:tc>
      </w:tr>
      <w:tr>
        <w:trPr>
          <w:trHeight w:val="39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稀释每股收益</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归属于公司普通股股东的净 利润计算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-0.3970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-0.3970</w:t>
            </w:r>
          </w:p>
        </w:tc>
      </w:tr>
      <w:tr>
        <w:trPr>
          <w:trHeight w:val="66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扣除非经常损益后归属于普 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-0.4174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-0.4174</w:t>
            </w:r>
          </w:p>
        </w:tc>
      </w:tr>
    </w:tbl>
    <w:p>
      <w:pPr>
        <w:widowControl w:val="0"/>
        <w:spacing w:after="199" w:line="1" w:lineRule="exact"/>
      </w:pPr>
    </w:p>
    <w:p>
      <w:pPr>
        <w:pStyle w:val="Style27"/>
        <w:keepNext w:val="0"/>
        <w:keepLines w:val="0"/>
        <w:widowControl w:val="0"/>
        <w:shd w:val="clear" w:color="auto" w:fill="auto"/>
        <w:bidi w:val="0"/>
        <w:spacing w:before="0" w:line="240" w:lineRule="auto"/>
        <w:ind w:left="0" w:right="0" w:firstLine="140"/>
        <w:jc w:val="left"/>
        <w:rPr>
          <w:sz w:val="17"/>
          <w:szCs w:val="17"/>
        </w:rPr>
      </w:pPr>
      <w:r>
        <w:rPr>
          <w:color w:val="000000"/>
          <w:spacing w:val="0"/>
          <w:w w:val="100"/>
          <w:position w:val="0"/>
          <w:sz w:val="17"/>
          <w:szCs w:val="17"/>
        </w:rPr>
        <w:t>旭蓝天新能源股份有限公司</w:t>
      </w:r>
    </w:p>
    <w:p>
      <w:pPr>
        <w:pStyle w:val="Style8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280" w:right="1136" w:bottom="1549" w:left="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2"/>
      <w:numFmt w:val="upperLetter"/>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upperLetter"/>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bCs/>
      <w:i w:val="0"/>
      <w:iCs w:val="0"/>
      <w:smallCaps w:val="0"/>
      <w:strike w:val="0"/>
      <w:sz w:val="28"/>
      <w:szCs w:val="28"/>
      <w:u w:val="none"/>
      <w:shd w:val="clear" w:color="auto" w:fill="auto"/>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6)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Table of contents_"/>
    <w:basedOn w:val="DefaultParagraphFont"/>
    <w:link w:val="Style12"/>
    <w:rPr>
      <w:rFonts w:ascii="SimSun" w:eastAsia="SimSun" w:hAnsi="SimSun" w:cs="SimSun"/>
      <w:b w:val="0"/>
      <w:bCs w:val="0"/>
      <w:i w:val="0"/>
      <w:iCs w:val="0"/>
      <w:smallCaps w:val="0"/>
      <w:strike w:val="0"/>
      <w:sz w:val="16"/>
      <w:szCs w:val="16"/>
      <w:u w:val="none"/>
      <w:shd w:val="clear" w:color="auto" w:fill="auto"/>
    </w:rPr>
  </w:style>
  <w:style w:type="character" w:customStyle="1" w:styleId="CharStyle16">
    <w:name w:val="Body text (5)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Heading #2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16"/>
      <w:szCs w:val="16"/>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6"/>
      <w:szCs w:val="16"/>
      <w:u w:val="none"/>
      <w:shd w:val="clear" w:color="auto" w:fill="auto"/>
    </w:rPr>
  </w:style>
  <w:style w:type="character" w:customStyle="1" w:styleId="CharStyle28">
    <w:name w:val="Body text (2)_"/>
    <w:basedOn w:val="DefaultParagraphFont"/>
    <w:link w:val="Style27"/>
    <w:rPr>
      <w:rFonts w:ascii="SimSun" w:eastAsia="SimSun" w:hAnsi="SimSun" w:cs="SimSun"/>
      <w:b w:val="0"/>
      <w:bCs w:val="0"/>
      <w:i w:val="0"/>
      <w:iCs w:val="0"/>
      <w:smallCaps w:val="0"/>
      <w:strike w:val="0"/>
      <w:sz w:val="16"/>
      <w:szCs w:val="16"/>
      <w:u w:val="none"/>
      <w:shd w:val="clear" w:color="auto" w:fill="auto"/>
    </w:rPr>
  </w:style>
  <w:style w:type="character" w:customStyle="1" w:styleId="CharStyle32">
    <w:name w:val="Heading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83">
    <w:name w:val="Body text (9)_"/>
    <w:basedOn w:val="DefaultParagraphFont"/>
    <w:link w:val="Style82"/>
    <w:rPr>
      <w:rFonts w:ascii="Arial Narrow" w:eastAsia="Arial Narrow" w:hAnsi="Arial Narrow" w:cs="Arial Narrow"/>
      <w:b w:val="0"/>
      <w:bCs w:val="0"/>
      <w:i w:val="0"/>
      <w:iCs w:val="0"/>
      <w:smallCaps w:val="0"/>
      <w:strike w:val="0"/>
      <w:sz w:val="18"/>
      <w:szCs w:val="18"/>
      <w:u w:val="none"/>
      <w:shd w:val="clear" w:color="auto" w:fill="auto"/>
    </w:rPr>
  </w:style>
  <w:style w:type="paragraph" w:customStyle="1" w:styleId="Style2">
    <w:name w:val="Body text (3)"/>
    <w:basedOn w:val="Normal"/>
    <w:link w:val="CharStyle3"/>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5">
    <w:name w:val="Body text (4)"/>
    <w:basedOn w:val="Normal"/>
    <w:link w:val="CharStyle6"/>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8">
    <w:name w:val="Heading #1"/>
    <w:basedOn w:val="Normal"/>
    <w:link w:val="CharStyle9"/>
    <w:pPr>
      <w:widowControl w:val="0"/>
      <w:shd w:val="clear" w:color="auto" w:fill="auto"/>
      <w:spacing w:before="4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6)"/>
    <w:basedOn w:val="Normal"/>
    <w:link w:val="CharStyle11"/>
    <w:pPr>
      <w:widowControl w:val="0"/>
      <w:shd w:val="clear" w:color="auto" w:fill="auto"/>
      <w:spacing w:after="15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Table of contents"/>
    <w:basedOn w:val="Normal"/>
    <w:link w:val="CharStyle13"/>
    <w:pPr>
      <w:widowControl w:val="0"/>
      <w:shd w:val="clear" w:color="auto" w:fill="auto"/>
      <w:spacing w:after="160"/>
    </w:pPr>
    <w:rPr>
      <w:rFonts w:ascii="SimSun" w:eastAsia="SimSun" w:hAnsi="SimSun" w:cs="SimSun"/>
      <w:b w:val="0"/>
      <w:bCs w:val="0"/>
      <w:i w:val="0"/>
      <w:iCs w:val="0"/>
      <w:smallCaps w:val="0"/>
      <w:strike w:val="0"/>
      <w:sz w:val="16"/>
      <w:szCs w:val="16"/>
      <w:u w:val="none"/>
      <w:shd w:val="clear" w:color="auto" w:fill="auto"/>
    </w:rPr>
  </w:style>
  <w:style w:type="paragraph" w:customStyle="1" w:styleId="Style15">
    <w:name w:val="Body text (5)"/>
    <w:basedOn w:val="Normal"/>
    <w:link w:val="CharStyle16"/>
    <w:pPr>
      <w:widowControl w:val="0"/>
      <w:shd w:val="clear" w:color="auto" w:fill="auto"/>
      <w:spacing w:after="680"/>
      <w:jc w:val="center"/>
    </w:pPr>
    <w:rPr>
      <w:rFonts w:ascii="SimSun" w:eastAsia="SimSun" w:hAnsi="SimSun" w:cs="SimSun"/>
      <w:b/>
      <w:bCs/>
      <w:i w:val="0"/>
      <w:iCs w:val="0"/>
      <w:smallCaps w:val="0"/>
      <w:strike w:val="0"/>
      <w:sz w:val="32"/>
      <w:szCs w:val="32"/>
      <w:u w:val="none"/>
      <w:shd w:val="clear" w:color="auto" w:fill="auto"/>
    </w:rPr>
  </w:style>
  <w:style w:type="paragraph" w:styleId="Style17">
    <w:name w:val="Body text"/>
    <w:basedOn w:val="Normal"/>
    <w:link w:val="CharStyle18"/>
    <w:pPr>
      <w:widowControl w:val="0"/>
      <w:shd w:val="clear" w:color="auto" w:fill="auto"/>
      <w:spacing w:line="480" w:lineRule="auto"/>
      <w:ind w:firstLine="38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Heading #2"/>
    <w:basedOn w:val="Normal"/>
    <w:link w:val="CharStyle21"/>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2">
    <w:name w:val="Other"/>
    <w:basedOn w:val="Normal"/>
    <w:link w:val="CharStyle2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7">
    <w:name w:val="Body text (2)"/>
    <w:basedOn w:val="Normal"/>
    <w:link w:val="CharStyle28"/>
    <w:qFormat/>
    <w:pPr>
      <w:widowControl w:val="0"/>
      <w:shd w:val="clear" w:color="auto" w:fill="auto"/>
      <w:spacing w:after="140"/>
    </w:pPr>
    <w:rPr>
      <w:rFonts w:ascii="SimSun" w:eastAsia="SimSun" w:hAnsi="SimSun" w:cs="SimSun"/>
      <w:b w:val="0"/>
      <w:bCs w:val="0"/>
      <w:i w:val="0"/>
      <w:iCs w:val="0"/>
      <w:smallCaps w:val="0"/>
      <w:strike w:val="0"/>
      <w:sz w:val="16"/>
      <w:szCs w:val="16"/>
      <w:u w:val="none"/>
      <w:shd w:val="clear" w:color="auto" w:fill="auto"/>
    </w:rPr>
  </w:style>
  <w:style w:type="paragraph" w:customStyle="1" w:styleId="Style31">
    <w:name w:val="Heading #3"/>
    <w:basedOn w:val="Normal"/>
    <w:link w:val="CharStyle32"/>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Heading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2">
    <w:name w:val="Body text (9)"/>
    <w:basedOn w:val="Normal"/>
    <w:link w:val="CharStyle83"/>
    <w:pPr>
      <w:widowControl w:val="0"/>
      <w:shd w:val="clear" w:color="auto" w:fill="auto"/>
      <w:spacing w:after="190"/>
      <w:ind w:left="240" w:firstLine="180"/>
    </w:pPr>
    <w:rPr>
      <w:rFonts w:ascii="Arial Narrow" w:eastAsia="Arial Narrow" w:hAnsi="Arial Narrow" w:cs="Arial Narrow"/>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xiaye</dc:creator>
  <cp:keywords/>
</cp:coreProperties>
</file>